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39" w:rsidRPr="00AB4843" w:rsidRDefault="00DC0A39" w:rsidP="00AF53FF">
      <w:pPr>
        <w:pStyle w:val="BodyText"/>
        <w:jc w:val="right"/>
        <w:rPr>
          <w:rFonts w:asciiTheme="minorHAnsi" w:hAnsiTheme="minorHAnsi" w:cstheme="minorHAnsi"/>
          <w:i/>
          <w:sz w:val="20"/>
          <w:szCs w:val="20"/>
          <w:u w:val="single"/>
        </w:rPr>
      </w:pPr>
      <w:bookmarkStart w:id="0" w:name="_GoBack"/>
      <w:bookmarkEnd w:id="0"/>
      <w:r w:rsidRPr="00AB4843">
        <w:rPr>
          <w:rFonts w:asciiTheme="minorHAnsi" w:hAnsiTheme="minorHAnsi" w:cstheme="minorHAnsi"/>
          <w:i/>
          <w:sz w:val="20"/>
          <w:szCs w:val="20"/>
          <w:u w:val="single"/>
        </w:rPr>
        <w:t>NACRT</w:t>
      </w:r>
    </w:p>
    <w:p w:rsidR="00DC0A39" w:rsidRPr="00AB4843" w:rsidRDefault="00DC0A39" w:rsidP="00403695">
      <w:pPr>
        <w:pStyle w:val="BodyText"/>
        <w:jc w:val="center"/>
        <w:rPr>
          <w:rFonts w:asciiTheme="minorHAnsi" w:hAnsiTheme="minorHAnsi" w:cstheme="minorHAnsi"/>
          <w:sz w:val="20"/>
          <w:szCs w:val="20"/>
        </w:rPr>
      </w:pPr>
    </w:p>
    <w:p w:rsidR="00DC0A39" w:rsidRPr="00AB4843" w:rsidRDefault="00DC0A39" w:rsidP="00403695">
      <w:pPr>
        <w:pStyle w:val="BodyText"/>
        <w:jc w:val="center"/>
        <w:rPr>
          <w:rFonts w:asciiTheme="minorHAnsi" w:hAnsiTheme="minorHAnsi" w:cstheme="minorHAnsi"/>
          <w:sz w:val="20"/>
          <w:szCs w:val="20"/>
        </w:rPr>
      </w:pPr>
      <w:r w:rsidRPr="00AB4843">
        <w:rPr>
          <w:rFonts w:asciiTheme="minorHAnsi" w:hAnsiTheme="minorHAnsi" w:cstheme="minorHAnsi"/>
          <w:sz w:val="20"/>
          <w:szCs w:val="20"/>
        </w:rPr>
        <w:t>PLAN DAVANJA KONCESIJA ZA DETALJNA GEOLOŠKA ISTRAŽIVANJA I EKSPLOATACIJU MINERALNIH SIROVINA Z</w:t>
      </w:r>
      <w:r w:rsidR="004B677F" w:rsidRPr="00AB4843">
        <w:rPr>
          <w:rFonts w:asciiTheme="minorHAnsi" w:hAnsiTheme="minorHAnsi" w:cstheme="minorHAnsi"/>
          <w:sz w:val="20"/>
          <w:szCs w:val="20"/>
        </w:rPr>
        <w:t>A 2015.</w:t>
      </w:r>
      <w:r w:rsidRPr="00AB4843">
        <w:rPr>
          <w:rFonts w:asciiTheme="minorHAnsi" w:hAnsiTheme="minorHAnsi" w:cstheme="minorHAnsi"/>
          <w:sz w:val="20"/>
          <w:szCs w:val="20"/>
        </w:rPr>
        <w:t xml:space="preserve"> GODINU SA PROGRAMOM JAVNE RASPRAVE</w:t>
      </w:r>
    </w:p>
    <w:p w:rsidR="00DC0A39" w:rsidRPr="00AB4843" w:rsidRDefault="00DC0A39" w:rsidP="00403695">
      <w:pPr>
        <w:pStyle w:val="BodyText"/>
        <w:ind w:left="360"/>
        <w:rPr>
          <w:rFonts w:asciiTheme="minorHAnsi" w:hAnsiTheme="minorHAnsi" w:cstheme="minorHAnsi"/>
          <w:sz w:val="20"/>
          <w:szCs w:val="20"/>
        </w:rPr>
      </w:pPr>
    </w:p>
    <w:p w:rsidR="00DC0A39" w:rsidRPr="00AB4843" w:rsidRDefault="00DC0A39" w:rsidP="00403695">
      <w:pPr>
        <w:pStyle w:val="BodyText"/>
        <w:ind w:left="360"/>
        <w:rPr>
          <w:rFonts w:asciiTheme="minorHAnsi" w:hAnsiTheme="minorHAnsi" w:cstheme="minorHAnsi"/>
          <w:sz w:val="20"/>
          <w:szCs w:val="20"/>
        </w:rPr>
      </w:pPr>
    </w:p>
    <w:p w:rsidR="00DC0A39" w:rsidRPr="00AB4843" w:rsidRDefault="00DC0A39" w:rsidP="00403695">
      <w:pPr>
        <w:pStyle w:val="BodyText"/>
        <w:ind w:left="360"/>
        <w:rPr>
          <w:rFonts w:asciiTheme="minorHAnsi" w:hAnsiTheme="minorHAnsi" w:cstheme="minorHAnsi"/>
          <w:sz w:val="20"/>
          <w:szCs w:val="20"/>
        </w:rPr>
      </w:pPr>
    </w:p>
    <w:tbl>
      <w:tblPr>
        <w:tblW w:w="5041" w:type="pct"/>
        <w:tblBorders>
          <w:top w:val="thickThinLargeGap" w:sz="12" w:space="0" w:color="FFFFFF"/>
          <w:left w:val="thickThinLargeGap" w:sz="12" w:space="0" w:color="FFFFFF"/>
          <w:bottom w:val="thickThinLargeGap" w:sz="12" w:space="0" w:color="FFFFFF"/>
          <w:right w:val="thickThinLargeGap" w:sz="12" w:space="0" w:color="FFFFFF"/>
          <w:insideH w:val="thickThinLargeGap" w:sz="12" w:space="0" w:color="FFFFFF"/>
          <w:insideV w:val="thickThinLargeGap" w:sz="12" w:space="0" w:color="FFFFFF"/>
        </w:tblBorders>
        <w:shd w:val="clear" w:color="auto" w:fill="E6E6E6"/>
        <w:tblLook w:val="01E0" w:firstRow="1" w:lastRow="1" w:firstColumn="1" w:lastColumn="1" w:noHBand="0" w:noVBand="0"/>
      </w:tblPr>
      <w:tblGrid>
        <w:gridCol w:w="1898"/>
        <w:gridCol w:w="7757"/>
      </w:tblGrid>
      <w:tr w:rsidR="00DC0A39" w:rsidRPr="00AB4843" w:rsidTr="00AF53FF">
        <w:trPr>
          <w:trHeight w:val="400"/>
        </w:trPr>
        <w:tc>
          <w:tcPr>
            <w:tcW w:w="983" w:type="pct"/>
            <w:tcBorders>
              <w:top w:val="thickThinLargeGap" w:sz="48"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DC0A39" w:rsidP="00AF53FF">
            <w:pPr>
              <w:rPr>
                <w:rFonts w:asciiTheme="minorHAnsi" w:hAnsiTheme="minorHAnsi" w:cstheme="minorHAnsi"/>
                <w:b/>
                <w:bCs/>
                <w:sz w:val="20"/>
                <w:szCs w:val="20"/>
                <w:lang w:val="en-GB"/>
              </w:rPr>
            </w:pPr>
            <w:r w:rsidRPr="00AB4843">
              <w:rPr>
                <w:rFonts w:asciiTheme="minorHAnsi" w:hAnsiTheme="minorHAnsi" w:cstheme="minorHAnsi"/>
                <w:b/>
                <w:bCs/>
                <w:sz w:val="20"/>
                <w:szCs w:val="20"/>
              </w:rPr>
              <w:t>Pravni okvir</w:t>
            </w:r>
          </w:p>
        </w:tc>
        <w:tc>
          <w:tcPr>
            <w:tcW w:w="4017" w:type="pct"/>
            <w:tcBorders>
              <w:top w:val="thickThinLargeGap" w:sz="48"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DC0A39" w:rsidP="00AF53FF">
            <w:pPr>
              <w:ind w:right="-180"/>
              <w:jc w:val="both"/>
              <w:rPr>
                <w:rFonts w:asciiTheme="minorHAnsi" w:hAnsiTheme="minorHAnsi" w:cstheme="minorHAnsi"/>
                <w:b/>
                <w:sz w:val="20"/>
                <w:szCs w:val="20"/>
                <w:lang w:val="sr-Latn-CS"/>
              </w:rPr>
            </w:pPr>
            <w:r w:rsidRPr="00AB4843">
              <w:rPr>
                <w:rFonts w:asciiTheme="minorHAnsi" w:hAnsiTheme="minorHAnsi" w:cstheme="minorHAnsi"/>
                <w:b/>
                <w:bCs/>
                <w:sz w:val="20"/>
                <w:szCs w:val="20"/>
              </w:rPr>
              <w:t>Zakon o koncesijama (“Službeni list CG”</w:t>
            </w:r>
            <w:proofErr w:type="gramStart"/>
            <w:r w:rsidRPr="00AB4843">
              <w:rPr>
                <w:rFonts w:asciiTheme="minorHAnsi" w:hAnsiTheme="minorHAnsi" w:cstheme="minorHAnsi"/>
                <w:b/>
                <w:bCs/>
                <w:sz w:val="20"/>
                <w:szCs w:val="20"/>
              </w:rPr>
              <w:t>,br.8</w:t>
            </w:r>
            <w:proofErr w:type="gramEnd"/>
            <w:r w:rsidRPr="00AB4843">
              <w:rPr>
                <w:rFonts w:asciiTheme="minorHAnsi" w:hAnsiTheme="minorHAnsi" w:cstheme="minorHAnsi"/>
                <w:b/>
                <w:bCs/>
                <w:sz w:val="20"/>
                <w:szCs w:val="20"/>
              </w:rPr>
              <w:t xml:space="preserve">/09), Zakon o rudarstvu (“Službeni list CG”, br.65/08) i Zakon o geološkim istraživanjima </w:t>
            </w:r>
            <w:r w:rsidRPr="00AB4843">
              <w:rPr>
                <w:rFonts w:asciiTheme="minorHAnsi" w:hAnsiTheme="minorHAnsi" w:cstheme="minorHAnsi"/>
                <w:b/>
                <w:sz w:val="20"/>
                <w:szCs w:val="20"/>
                <w:lang w:val="sr-Latn-CS"/>
              </w:rPr>
              <w:t>(„Službeni list RCG“, br.</w:t>
            </w:r>
            <w:r w:rsidRPr="00AB4843">
              <w:rPr>
                <w:rFonts w:asciiTheme="minorHAnsi" w:hAnsiTheme="minorHAnsi" w:cstheme="minorHAnsi"/>
                <w:sz w:val="20"/>
                <w:szCs w:val="20"/>
              </w:rPr>
              <w:t xml:space="preserve"> </w:t>
            </w:r>
            <w:r w:rsidRPr="00AB4843">
              <w:rPr>
                <w:rFonts w:asciiTheme="minorHAnsi" w:hAnsiTheme="minorHAnsi" w:cstheme="minorHAnsi"/>
                <w:b/>
                <w:sz w:val="20"/>
                <w:szCs w:val="20"/>
              </w:rPr>
              <w:t>28/93, 27/94, 42/94 i 26/07 i “Sl.list CG”, br.28/11 I 42/11</w:t>
            </w:r>
            <w:r w:rsidRPr="00AB4843">
              <w:rPr>
                <w:rFonts w:asciiTheme="minorHAnsi" w:hAnsiTheme="minorHAnsi" w:cstheme="minorHAnsi"/>
                <w:b/>
                <w:sz w:val="20"/>
                <w:szCs w:val="20"/>
                <w:lang w:val="sr-Latn-CS"/>
              </w:rPr>
              <w:t>).</w:t>
            </w:r>
          </w:p>
        </w:tc>
      </w:tr>
      <w:tr w:rsidR="00DC0A39" w:rsidRPr="00FF14BA" w:rsidTr="00AF53FF">
        <w:trPr>
          <w:trHeight w:val="400"/>
        </w:trPr>
        <w:tc>
          <w:tcPr>
            <w:tcW w:w="983" w:type="pct"/>
            <w:tcBorders>
              <w:top w:val="thickThinLargeGap" w:sz="12"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DC0A39" w:rsidP="00AF53FF">
            <w:pPr>
              <w:tabs>
                <w:tab w:val="left" w:pos="1066"/>
              </w:tabs>
              <w:rPr>
                <w:rFonts w:asciiTheme="minorHAnsi" w:hAnsiTheme="minorHAnsi" w:cstheme="minorHAnsi"/>
                <w:b/>
                <w:bCs/>
                <w:sz w:val="20"/>
                <w:szCs w:val="20"/>
                <w:lang w:val="en-GB"/>
              </w:rPr>
            </w:pPr>
            <w:r w:rsidRPr="00AB4843">
              <w:rPr>
                <w:rFonts w:asciiTheme="minorHAnsi" w:hAnsiTheme="minorHAnsi" w:cstheme="minorHAnsi"/>
                <w:b/>
                <w:bCs/>
                <w:sz w:val="20"/>
                <w:szCs w:val="20"/>
              </w:rPr>
              <w:t>Opis dokumenta</w:t>
            </w:r>
          </w:p>
        </w:tc>
        <w:tc>
          <w:tcPr>
            <w:tcW w:w="4017" w:type="pct"/>
            <w:tcBorders>
              <w:top w:val="thickThinLargeGap" w:sz="12"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DC0A39" w:rsidP="00AF53FF">
            <w:pPr>
              <w:numPr>
                <w:ilvl w:val="0"/>
                <w:numId w:val="1"/>
              </w:numPr>
              <w:jc w:val="both"/>
              <w:rPr>
                <w:rFonts w:asciiTheme="minorHAnsi" w:hAnsiTheme="minorHAnsi" w:cstheme="minorHAnsi"/>
                <w:b/>
                <w:sz w:val="20"/>
                <w:szCs w:val="20"/>
                <w:lang w:val="sl-SI"/>
              </w:rPr>
            </w:pPr>
            <w:r w:rsidRPr="00AB4843">
              <w:rPr>
                <w:rFonts w:asciiTheme="minorHAnsi" w:hAnsiTheme="minorHAnsi" w:cstheme="minorHAnsi"/>
                <w:b/>
                <w:sz w:val="20"/>
                <w:szCs w:val="20"/>
                <w:lang w:val="sr-Latn-CS"/>
              </w:rPr>
              <w:t>Plan davanja koncesija odnosi se na analizu i ocjenu postojećeg stanja i to u pogledu opisa predmetnih koncesija</w:t>
            </w:r>
            <w:r w:rsidRPr="00AB4843">
              <w:rPr>
                <w:rFonts w:asciiTheme="minorHAnsi" w:hAnsiTheme="minorHAnsi" w:cstheme="minorHAnsi"/>
                <w:b/>
                <w:sz w:val="20"/>
                <w:szCs w:val="20"/>
                <w:lang w:val="sl-SI"/>
              </w:rPr>
              <w:t xml:space="preserve">, </w:t>
            </w:r>
            <w:r w:rsidRPr="00AB4843">
              <w:rPr>
                <w:rFonts w:asciiTheme="minorHAnsi" w:hAnsiTheme="minorHAnsi" w:cstheme="minorHAnsi"/>
                <w:b/>
                <w:sz w:val="20"/>
                <w:szCs w:val="20"/>
                <w:lang w:val="sr-Latn-CS"/>
              </w:rPr>
              <w:t>lokacija na kojima se može vršiti koncesiona djelatnost i rokovima za objavljivanje javnih oglasa za davanje koncesija.</w:t>
            </w:r>
          </w:p>
          <w:p w:rsidR="00DC0A39" w:rsidRPr="00AB4843" w:rsidRDefault="00DC0A39" w:rsidP="00AF53FF">
            <w:pPr>
              <w:widowControl w:val="0"/>
              <w:jc w:val="both"/>
              <w:rPr>
                <w:rFonts w:asciiTheme="minorHAnsi" w:hAnsiTheme="minorHAnsi" w:cstheme="minorHAnsi"/>
                <w:b/>
                <w:sz w:val="20"/>
                <w:szCs w:val="20"/>
                <w:lang w:val="sr-Latn-CS"/>
              </w:rPr>
            </w:pPr>
            <w:r w:rsidRPr="00AB4843">
              <w:rPr>
                <w:rFonts w:asciiTheme="minorHAnsi" w:hAnsiTheme="minorHAnsi" w:cstheme="minorHAnsi"/>
                <w:b/>
                <w:sz w:val="20"/>
                <w:szCs w:val="20"/>
                <w:lang w:val="sr-Latn-CS"/>
              </w:rPr>
              <w:t xml:space="preserve">Plan je vođen jasnom vizijom </w:t>
            </w:r>
            <w:r w:rsidR="00AF53FF">
              <w:rPr>
                <w:rFonts w:asciiTheme="minorHAnsi" w:hAnsiTheme="minorHAnsi" w:cstheme="minorHAnsi"/>
                <w:b/>
                <w:sz w:val="20"/>
                <w:szCs w:val="20"/>
                <w:lang w:val="sr-Latn-CS"/>
              </w:rPr>
              <w:t xml:space="preserve">budućeg stanja u prostoru koji </w:t>
            </w:r>
            <w:r w:rsidRPr="00AB4843">
              <w:rPr>
                <w:rFonts w:asciiTheme="minorHAnsi" w:hAnsiTheme="minorHAnsi" w:cstheme="minorHAnsi"/>
                <w:b/>
                <w:sz w:val="20"/>
                <w:szCs w:val="20"/>
                <w:lang w:val="sr-Latn-CS"/>
              </w:rPr>
              <w:t>uvažava principe održivog razvoja i obezbjeđuje racionalno korišćenje mineralnog resursa.</w:t>
            </w:r>
          </w:p>
        </w:tc>
      </w:tr>
      <w:tr w:rsidR="00DC0A39" w:rsidRPr="00AB4843" w:rsidTr="00AF53FF">
        <w:trPr>
          <w:trHeight w:val="400"/>
        </w:trPr>
        <w:tc>
          <w:tcPr>
            <w:tcW w:w="983" w:type="pct"/>
            <w:tcBorders>
              <w:top w:val="thickThinLargeGap" w:sz="12"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DC0A39" w:rsidP="00AF53FF">
            <w:pPr>
              <w:tabs>
                <w:tab w:val="left" w:pos="1066"/>
              </w:tabs>
              <w:rPr>
                <w:rFonts w:asciiTheme="minorHAnsi" w:hAnsiTheme="minorHAnsi" w:cstheme="minorHAnsi"/>
                <w:b/>
                <w:bCs/>
                <w:sz w:val="20"/>
                <w:szCs w:val="20"/>
                <w:lang w:val="en-GB"/>
              </w:rPr>
            </w:pPr>
            <w:r w:rsidRPr="00AB4843">
              <w:rPr>
                <w:rFonts w:asciiTheme="minorHAnsi" w:hAnsiTheme="minorHAnsi" w:cstheme="minorHAnsi"/>
                <w:b/>
                <w:bCs/>
                <w:sz w:val="20"/>
                <w:szCs w:val="20"/>
              </w:rPr>
              <w:t>Period sprovođenja</w:t>
            </w:r>
          </w:p>
        </w:tc>
        <w:tc>
          <w:tcPr>
            <w:tcW w:w="4017" w:type="pct"/>
            <w:tcBorders>
              <w:top w:val="thickThinLargeGap" w:sz="12"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DC0A39" w:rsidP="00AF53FF">
            <w:pPr>
              <w:rPr>
                <w:rFonts w:asciiTheme="minorHAnsi" w:hAnsiTheme="minorHAnsi" w:cstheme="minorHAnsi"/>
                <w:b/>
                <w:sz w:val="20"/>
                <w:szCs w:val="20"/>
                <w:lang w:val="en-GB"/>
              </w:rPr>
            </w:pPr>
            <w:r w:rsidRPr="00AB4843">
              <w:rPr>
                <w:rFonts w:asciiTheme="minorHAnsi" w:hAnsiTheme="minorHAnsi" w:cstheme="minorHAnsi"/>
                <w:b/>
                <w:sz w:val="20"/>
                <w:szCs w:val="20"/>
              </w:rPr>
              <w:t>2015. godina</w:t>
            </w:r>
          </w:p>
        </w:tc>
      </w:tr>
      <w:tr w:rsidR="00DC0A39" w:rsidRPr="00AB4843" w:rsidTr="00AF53FF">
        <w:trPr>
          <w:trHeight w:val="400"/>
        </w:trPr>
        <w:tc>
          <w:tcPr>
            <w:tcW w:w="983" w:type="pct"/>
            <w:tcBorders>
              <w:top w:val="thickThinLargeGap" w:sz="12"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DC0A39" w:rsidP="00AF53FF">
            <w:pPr>
              <w:rPr>
                <w:rFonts w:asciiTheme="minorHAnsi" w:hAnsiTheme="minorHAnsi" w:cstheme="minorHAnsi"/>
                <w:b/>
                <w:bCs/>
                <w:sz w:val="20"/>
                <w:szCs w:val="20"/>
                <w:lang w:val="en-GB"/>
              </w:rPr>
            </w:pPr>
            <w:r w:rsidRPr="00AB4843">
              <w:rPr>
                <w:rFonts w:asciiTheme="minorHAnsi" w:hAnsiTheme="minorHAnsi" w:cstheme="minorHAnsi"/>
                <w:b/>
                <w:bCs/>
                <w:sz w:val="20"/>
                <w:szCs w:val="20"/>
              </w:rPr>
              <w:t>Status dokumenta</w:t>
            </w:r>
          </w:p>
        </w:tc>
        <w:tc>
          <w:tcPr>
            <w:tcW w:w="4017" w:type="pct"/>
            <w:tcBorders>
              <w:top w:val="thickThinLargeGap" w:sz="12"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DC0A39" w:rsidP="00AF53FF">
            <w:pPr>
              <w:rPr>
                <w:rFonts w:asciiTheme="minorHAnsi" w:hAnsiTheme="minorHAnsi" w:cstheme="minorHAnsi"/>
                <w:b/>
                <w:sz w:val="20"/>
                <w:szCs w:val="20"/>
                <w:lang w:val="en-GB"/>
              </w:rPr>
            </w:pPr>
            <w:r w:rsidRPr="00AB4843">
              <w:rPr>
                <w:rFonts w:asciiTheme="minorHAnsi" w:hAnsiTheme="minorHAnsi" w:cstheme="minorHAnsi"/>
                <w:b/>
                <w:sz w:val="20"/>
                <w:szCs w:val="20"/>
              </w:rPr>
              <w:t>Predlog</w:t>
            </w:r>
          </w:p>
        </w:tc>
      </w:tr>
      <w:tr w:rsidR="00DC0A39" w:rsidRPr="00AB4843" w:rsidTr="00AF53FF">
        <w:trPr>
          <w:trHeight w:val="400"/>
        </w:trPr>
        <w:tc>
          <w:tcPr>
            <w:tcW w:w="983" w:type="pct"/>
            <w:tcBorders>
              <w:top w:val="thickThinLargeGap" w:sz="12"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DC0A39" w:rsidP="00AF53FF">
            <w:pPr>
              <w:rPr>
                <w:rFonts w:asciiTheme="minorHAnsi" w:hAnsiTheme="minorHAnsi" w:cstheme="minorHAnsi"/>
                <w:b/>
                <w:bCs/>
                <w:sz w:val="20"/>
                <w:szCs w:val="20"/>
                <w:lang w:val="en-GB"/>
              </w:rPr>
            </w:pPr>
            <w:r w:rsidRPr="00AB4843">
              <w:rPr>
                <w:rFonts w:asciiTheme="minorHAnsi" w:hAnsiTheme="minorHAnsi" w:cstheme="minorHAnsi"/>
                <w:b/>
                <w:bCs/>
                <w:sz w:val="20"/>
                <w:szCs w:val="20"/>
              </w:rPr>
              <w:t>Datum verzije</w:t>
            </w:r>
          </w:p>
        </w:tc>
        <w:tc>
          <w:tcPr>
            <w:tcW w:w="4017" w:type="pct"/>
            <w:tcBorders>
              <w:top w:val="thickThinLargeGap" w:sz="12"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FF14BA" w:rsidP="00AF53FF">
            <w:pPr>
              <w:rPr>
                <w:rFonts w:asciiTheme="minorHAnsi" w:hAnsiTheme="minorHAnsi" w:cstheme="minorHAnsi"/>
                <w:b/>
                <w:sz w:val="20"/>
                <w:szCs w:val="20"/>
                <w:lang w:val="en-GB"/>
              </w:rPr>
            </w:pPr>
            <w:r>
              <w:rPr>
                <w:rFonts w:asciiTheme="minorHAnsi" w:hAnsiTheme="minorHAnsi" w:cstheme="minorHAnsi"/>
                <w:b/>
                <w:sz w:val="20"/>
                <w:szCs w:val="20"/>
              </w:rPr>
              <w:t>05.05</w:t>
            </w:r>
            <w:r w:rsidR="00DC0A39" w:rsidRPr="00AB4843">
              <w:rPr>
                <w:rFonts w:asciiTheme="minorHAnsi" w:hAnsiTheme="minorHAnsi" w:cstheme="minorHAnsi"/>
                <w:b/>
                <w:sz w:val="20"/>
                <w:szCs w:val="20"/>
              </w:rPr>
              <w:t>.201</w:t>
            </w:r>
            <w:r w:rsidR="0001002F" w:rsidRPr="00AB4843">
              <w:rPr>
                <w:rFonts w:asciiTheme="minorHAnsi" w:hAnsiTheme="minorHAnsi" w:cstheme="minorHAnsi"/>
                <w:b/>
                <w:sz w:val="20"/>
                <w:szCs w:val="20"/>
              </w:rPr>
              <w:t>5</w:t>
            </w:r>
            <w:r w:rsidR="00DC0A39" w:rsidRPr="00AB4843">
              <w:rPr>
                <w:rFonts w:asciiTheme="minorHAnsi" w:hAnsiTheme="minorHAnsi" w:cstheme="minorHAnsi"/>
                <w:b/>
                <w:sz w:val="20"/>
                <w:szCs w:val="20"/>
              </w:rPr>
              <w:t>. godine</w:t>
            </w:r>
          </w:p>
        </w:tc>
      </w:tr>
      <w:tr w:rsidR="00DC0A39" w:rsidRPr="00AB4843" w:rsidTr="00AF53FF">
        <w:trPr>
          <w:trHeight w:val="1752"/>
        </w:trPr>
        <w:tc>
          <w:tcPr>
            <w:tcW w:w="983" w:type="pct"/>
            <w:tcBorders>
              <w:top w:val="thickThinLargeGap" w:sz="12"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DC0A39" w:rsidP="00AF53FF">
            <w:pPr>
              <w:rPr>
                <w:rFonts w:asciiTheme="minorHAnsi" w:hAnsiTheme="minorHAnsi" w:cstheme="minorHAnsi"/>
                <w:b/>
                <w:bCs/>
                <w:sz w:val="20"/>
                <w:szCs w:val="20"/>
                <w:lang w:val="en-GB"/>
              </w:rPr>
            </w:pPr>
            <w:r w:rsidRPr="00AB4843">
              <w:rPr>
                <w:rFonts w:asciiTheme="minorHAnsi" w:hAnsiTheme="minorHAnsi" w:cstheme="minorHAnsi"/>
                <w:b/>
                <w:bCs/>
                <w:sz w:val="20"/>
                <w:szCs w:val="20"/>
              </w:rPr>
              <w:t>Korisnici</w:t>
            </w:r>
          </w:p>
        </w:tc>
        <w:tc>
          <w:tcPr>
            <w:tcW w:w="4017" w:type="pct"/>
            <w:tcBorders>
              <w:top w:val="thickThinLargeGap" w:sz="12" w:space="0" w:color="FFFFFF"/>
              <w:left w:val="thickThinLargeGap" w:sz="12" w:space="0" w:color="FFFFFF"/>
              <w:bottom w:val="thickThinLargeGap" w:sz="12" w:space="0" w:color="FFFFFF"/>
              <w:right w:val="thickThinLargeGap" w:sz="12" w:space="0" w:color="FFFFFF"/>
            </w:tcBorders>
            <w:shd w:val="clear" w:color="auto" w:fill="E6E6E6"/>
            <w:vAlign w:val="center"/>
          </w:tcPr>
          <w:p w:rsidR="00DC0A39" w:rsidRPr="00AB4843" w:rsidRDefault="00DC0A39" w:rsidP="00AF53FF">
            <w:pPr>
              <w:rPr>
                <w:rFonts w:asciiTheme="minorHAnsi" w:hAnsiTheme="minorHAnsi" w:cstheme="minorHAnsi"/>
                <w:b/>
                <w:sz w:val="20"/>
                <w:szCs w:val="20"/>
                <w:lang w:val="nl-NL"/>
              </w:rPr>
            </w:pPr>
            <w:r w:rsidRPr="00AB4843">
              <w:rPr>
                <w:rFonts w:asciiTheme="minorHAnsi" w:hAnsiTheme="minorHAnsi" w:cstheme="minorHAnsi"/>
                <w:b/>
                <w:sz w:val="20"/>
                <w:szCs w:val="20"/>
                <w:lang w:val="nl-NL"/>
              </w:rPr>
              <w:t xml:space="preserve">Vlada Crne Gore </w:t>
            </w:r>
          </w:p>
          <w:p w:rsidR="00DC0A39" w:rsidRPr="00AB4843" w:rsidRDefault="00DC0A39" w:rsidP="00AF53FF">
            <w:pPr>
              <w:rPr>
                <w:rFonts w:asciiTheme="minorHAnsi" w:hAnsiTheme="minorHAnsi" w:cstheme="minorHAnsi"/>
                <w:b/>
                <w:sz w:val="20"/>
                <w:szCs w:val="20"/>
                <w:lang w:val="nl-NL"/>
              </w:rPr>
            </w:pPr>
            <w:r w:rsidRPr="00AB4843">
              <w:rPr>
                <w:rFonts w:asciiTheme="minorHAnsi" w:hAnsiTheme="minorHAnsi" w:cstheme="minorHAnsi"/>
                <w:b/>
                <w:sz w:val="20"/>
                <w:szCs w:val="20"/>
                <w:lang w:val="nl-NL"/>
              </w:rPr>
              <w:t>Ministarstvo  ekonomije</w:t>
            </w:r>
          </w:p>
          <w:p w:rsidR="00DC0A39" w:rsidRPr="00AB4843" w:rsidRDefault="00DC0A39" w:rsidP="00AF53FF">
            <w:pPr>
              <w:rPr>
                <w:rFonts w:asciiTheme="minorHAnsi" w:hAnsiTheme="minorHAnsi" w:cstheme="minorHAnsi"/>
                <w:b/>
                <w:sz w:val="20"/>
                <w:szCs w:val="20"/>
                <w:lang w:val="nl-NL"/>
              </w:rPr>
            </w:pPr>
            <w:r w:rsidRPr="00AB4843">
              <w:rPr>
                <w:rFonts w:asciiTheme="minorHAnsi" w:hAnsiTheme="minorHAnsi" w:cstheme="minorHAnsi"/>
                <w:b/>
                <w:sz w:val="20"/>
                <w:szCs w:val="20"/>
                <w:lang w:val="nl-NL"/>
              </w:rPr>
              <w:t>Ministarstvo održivog razvoja i turizma</w:t>
            </w:r>
          </w:p>
          <w:p w:rsidR="00DC0A39" w:rsidRPr="00AB4843" w:rsidRDefault="00DC0A39" w:rsidP="00AF53FF">
            <w:pPr>
              <w:rPr>
                <w:rFonts w:asciiTheme="minorHAnsi" w:hAnsiTheme="minorHAnsi" w:cstheme="minorHAnsi"/>
                <w:b/>
                <w:sz w:val="20"/>
                <w:szCs w:val="20"/>
                <w:lang w:val="nl-NL"/>
              </w:rPr>
            </w:pPr>
            <w:r w:rsidRPr="00AB4843">
              <w:rPr>
                <w:rFonts w:asciiTheme="minorHAnsi" w:hAnsiTheme="minorHAnsi" w:cstheme="minorHAnsi"/>
                <w:b/>
                <w:sz w:val="20"/>
                <w:szCs w:val="20"/>
                <w:lang w:val="nl-NL"/>
              </w:rPr>
              <w:t>Ministarstvo finansija</w:t>
            </w:r>
          </w:p>
          <w:p w:rsidR="00DC0A39" w:rsidRPr="00AB4843" w:rsidRDefault="00DC0A39" w:rsidP="00AF53FF">
            <w:pPr>
              <w:ind w:left="-234" w:firstLine="234"/>
              <w:rPr>
                <w:rFonts w:asciiTheme="minorHAnsi" w:hAnsiTheme="minorHAnsi" w:cstheme="minorHAnsi"/>
                <w:b/>
                <w:sz w:val="20"/>
                <w:szCs w:val="20"/>
                <w:lang w:val="pl-PL"/>
              </w:rPr>
            </w:pPr>
            <w:r w:rsidRPr="00AB4843">
              <w:rPr>
                <w:rFonts w:asciiTheme="minorHAnsi" w:hAnsiTheme="minorHAnsi" w:cstheme="minorHAnsi"/>
                <w:b/>
                <w:sz w:val="20"/>
                <w:szCs w:val="20"/>
                <w:lang w:val="pl-PL"/>
              </w:rPr>
              <w:t>Poreska uprava</w:t>
            </w:r>
          </w:p>
        </w:tc>
      </w:tr>
    </w:tbl>
    <w:p w:rsidR="00DC0A39" w:rsidRPr="00AB4843" w:rsidRDefault="00DC0A39" w:rsidP="00403695">
      <w:pPr>
        <w:pStyle w:val="Heading1"/>
        <w:ind w:left="0"/>
        <w:rPr>
          <w:rFonts w:asciiTheme="minorHAnsi" w:hAnsiTheme="minorHAnsi" w:cstheme="minorHAnsi"/>
          <w:sz w:val="20"/>
          <w:szCs w:val="20"/>
          <w:lang w:val="pl-PL"/>
        </w:rPr>
      </w:pPr>
    </w:p>
    <w:p w:rsidR="00DC0A39" w:rsidRPr="00AB4843" w:rsidRDefault="00DC0A39" w:rsidP="00403695">
      <w:pPr>
        <w:rPr>
          <w:rFonts w:asciiTheme="minorHAnsi" w:hAnsiTheme="minorHAnsi" w:cstheme="minorHAnsi"/>
          <w:b/>
          <w:sz w:val="20"/>
          <w:szCs w:val="20"/>
          <w:lang w:val="pl-PL"/>
        </w:rPr>
      </w:pPr>
    </w:p>
    <w:p w:rsidR="00DC0A39" w:rsidRPr="00AB4843" w:rsidRDefault="00DC0A39" w:rsidP="00403695">
      <w:pPr>
        <w:rPr>
          <w:rFonts w:asciiTheme="minorHAnsi" w:hAnsiTheme="minorHAnsi" w:cstheme="minorHAnsi"/>
          <w:b/>
          <w:sz w:val="20"/>
          <w:szCs w:val="20"/>
          <w:lang w:val="pl-PL"/>
        </w:rPr>
      </w:pPr>
    </w:p>
    <w:p w:rsidR="00DC0A39" w:rsidRPr="00AB4843" w:rsidRDefault="00DC0A39" w:rsidP="00403695">
      <w:pPr>
        <w:jc w:val="both"/>
        <w:rPr>
          <w:rFonts w:asciiTheme="minorHAnsi" w:hAnsiTheme="minorHAnsi" w:cstheme="minorHAnsi"/>
          <w:b/>
          <w:sz w:val="20"/>
          <w:szCs w:val="20"/>
          <w:lang w:val="pl-PL"/>
        </w:rPr>
      </w:pPr>
    </w:p>
    <w:p w:rsidR="00DC0A39" w:rsidRPr="00AB4843" w:rsidRDefault="00DC0A39" w:rsidP="00403695">
      <w:pPr>
        <w:rPr>
          <w:rFonts w:asciiTheme="minorHAnsi" w:hAnsiTheme="minorHAnsi" w:cstheme="minorHAnsi"/>
          <w:b/>
          <w:sz w:val="20"/>
          <w:szCs w:val="20"/>
          <w:u w:val="single"/>
          <w:lang w:val="sr-Latn-CS"/>
        </w:rPr>
      </w:pPr>
    </w:p>
    <w:p w:rsidR="00DC0A39" w:rsidRPr="00AB4843" w:rsidRDefault="00DC0A39" w:rsidP="00403695">
      <w:pPr>
        <w:rPr>
          <w:rFonts w:asciiTheme="minorHAnsi" w:hAnsiTheme="minorHAnsi" w:cstheme="minorHAnsi"/>
          <w:b/>
          <w:sz w:val="20"/>
          <w:szCs w:val="20"/>
          <w:u w:val="single"/>
          <w:lang w:val="sr-Latn-CS"/>
        </w:rPr>
      </w:pPr>
    </w:p>
    <w:p w:rsidR="00DC0A39" w:rsidRPr="00AB4843" w:rsidRDefault="00DC0A39" w:rsidP="00403695">
      <w:pPr>
        <w:rPr>
          <w:rFonts w:asciiTheme="minorHAnsi" w:hAnsiTheme="minorHAnsi" w:cstheme="minorHAnsi"/>
          <w:b/>
          <w:sz w:val="20"/>
          <w:szCs w:val="20"/>
          <w:u w:val="single"/>
          <w:lang w:val="sr-Latn-CS"/>
        </w:rPr>
      </w:pPr>
    </w:p>
    <w:p w:rsidR="00DC0A39" w:rsidRPr="00AB4843" w:rsidRDefault="00DC0A39" w:rsidP="00403695">
      <w:pPr>
        <w:rPr>
          <w:rFonts w:asciiTheme="minorHAnsi" w:hAnsiTheme="minorHAnsi" w:cstheme="minorHAnsi"/>
          <w:b/>
          <w:sz w:val="20"/>
          <w:szCs w:val="20"/>
          <w:u w:val="single"/>
          <w:lang w:val="sr-Latn-CS"/>
        </w:rPr>
      </w:pPr>
    </w:p>
    <w:p w:rsidR="00DC0A39" w:rsidRDefault="00DC0A39" w:rsidP="00403695">
      <w:pPr>
        <w:rPr>
          <w:rFonts w:asciiTheme="minorHAnsi" w:hAnsiTheme="minorHAnsi" w:cstheme="minorHAnsi"/>
          <w:b/>
          <w:sz w:val="20"/>
          <w:szCs w:val="20"/>
          <w:u w:val="single"/>
          <w:lang w:val="sr-Latn-CS"/>
        </w:rPr>
      </w:pPr>
    </w:p>
    <w:p w:rsidR="00F27279" w:rsidRDefault="00F27279" w:rsidP="00403695">
      <w:pPr>
        <w:rPr>
          <w:rFonts w:asciiTheme="minorHAnsi" w:hAnsiTheme="minorHAnsi" w:cstheme="minorHAnsi"/>
          <w:b/>
          <w:sz w:val="20"/>
          <w:szCs w:val="20"/>
          <w:u w:val="single"/>
          <w:lang w:val="sr-Latn-CS"/>
        </w:rPr>
      </w:pPr>
    </w:p>
    <w:p w:rsidR="00F27279" w:rsidRDefault="00F27279" w:rsidP="00403695">
      <w:pPr>
        <w:rPr>
          <w:rFonts w:asciiTheme="minorHAnsi" w:hAnsiTheme="minorHAnsi" w:cstheme="minorHAnsi"/>
          <w:b/>
          <w:sz w:val="20"/>
          <w:szCs w:val="20"/>
          <w:u w:val="single"/>
          <w:lang w:val="sr-Latn-CS"/>
        </w:rPr>
      </w:pPr>
    </w:p>
    <w:p w:rsidR="00F27279" w:rsidRDefault="00F27279" w:rsidP="00403695">
      <w:pPr>
        <w:rPr>
          <w:rFonts w:asciiTheme="minorHAnsi" w:hAnsiTheme="minorHAnsi" w:cstheme="minorHAnsi"/>
          <w:b/>
          <w:sz w:val="20"/>
          <w:szCs w:val="20"/>
          <w:u w:val="single"/>
          <w:lang w:val="sr-Latn-CS"/>
        </w:rPr>
      </w:pPr>
    </w:p>
    <w:p w:rsidR="00F27279" w:rsidRDefault="00F27279" w:rsidP="00403695">
      <w:pPr>
        <w:rPr>
          <w:rFonts w:asciiTheme="minorHAnsi" w:hAnsiTheme="minorHAnsi" w:cstheme="minorHAnsi"/>
          <w:b/>
          <w:sz w:val="20"/>
          <w:szCs w:val="20"/>
          <w:u w:val="single"/>
          <w:lang w:val="sr-Latn-CS"/>
        </w:rPr>
      </w:pPr>
    </w:p>
    <w:p w:rsidR="00F27279" w:rsidRDefault="00F27279" w:rsidP="00403695">
      <w:pPr>
        <w:rPr>
          <w:rFonts w:asciiTheme="minorHAnsi" w:hAnsiTheme="minorHAnsi" w:cstheme="minorHAnsi"/>
          <w:b/>
          <w:sz w:val="20"/>
          <w:szCs w:val="20"/>
          <w:u w:val="single"/>
          <w:lang w:val="sr-Latn-CS"/>
        </w:rPr>
      </w:pPr>
    </w:p>
    <w:p w:rsidR="00AF53FF" w:rsidRDefault="00AF53FF" w:rsidP="00403695">
      <w:pPr>
        <w:rPr>
          <w:rFonts w:asciiTheme="minorHAnsi" w:hAnsiTheme="minorHAnsi" w:cstheme="minorHAnsi"/>
          <w:b/>
          <w:sz w:val="20"/>
          <w:szCs w:val="20"/>
          <w:u w:val="single"/>
          <w:lang w:val="sr-Latn-CS"/>
        </w:rPr>
      </w:pPr>
    </w:p>
    <w:p w:rsidR="00AF53FF" w:rsidRDefault="00AF53FF" w:rsidP="00403695">
      <w:pPr>
        <w:rPr>
          <w:rFonts w:asciiTheme="minorHAnsi" w:hAnsiTheme="minorHAnsi" w:cstheme="minorHAnsi"/>
          <w:b/>
          <w:sz w:val="20"/>
          <w:szCs w:val="20"/>
          <w:u w:val="single"/>
          <w:lang w:val="sr-Latn-CS"/>
        </w:rPr>
      </w:pPr>
    </w:p>
    <w:p w:rsidR="00AF53FF" w:rsidRDefault="00AF53FF" w:rsidP="00403695">
      <w:pPr>
        <w:rPr>
          <w:rFonts w:asciiTheme="minorHAnsi" w:hAnsiTheme="minorHAnsi" w:cstheme="minorHAnsi"/>
          <w:b/>
          <w:sz w:val="20"/>
          <w:szCs w:val="20"/>
          <w:u w:val="single"/>
          <w:lang w:val="sr-Latn-CS"/>
        </w:rPr>
      </w:pPr>
    </w:p>
    <w:p w:rsidR="00AF53FF" w:rsidRPr="00AB4843" w:rsidRDefault="00AF53FF" w:rsidP="00403695">
      <w:pPr>
        <w:rPr>
          <w:rFonts w:asciiTheme="minorHAnsi" w:hAnsiTheme="minorHAnsi" w:cstheme="minorHAnsi"/>
          <w:b/>
          <w:sz w:val="20"/>
          <w:szCs w:val="20"/>
          <w:u w:val="single"/>
          <w:lang w:val="sr-Latn-CS"/>
        </w:rPr>
      </w:pPr>
    </w:p>
    <w:p w:rsidR="00DC0A39" w:rsidRPr="00AB4843" w:rsidRDefault="00DC0A39" w:rsidP="00403695">
      <w:pPr>
        <w:rPr>
          <w:rFonts w:asciiTheme="minorHAnsi" w:hAnsiTheme="minorHAnsi" w:cstheme="minorHAnsi"/>
          <w:b/>
          <w:sz w:val="20"/>
          <w:szCs w:val="20"/>
          <w:u w:val="single"/>
          <w:lang w:val="sr-Latn-CS"/>
        </w:rPr>
      </w:pPr>
    </w:p>
    <w:p w:rsidR="00DC0A39" w:rsidRPr="00AB4843" w:rsidRDefault="00DC0A39" w:rsidP="00403695">
      <w:pPr>
        <w:rPr>
          <w:rFonts w:asciiTheme="minorHAnsi" w:hAnsiTheme="minorHAnsi" w:cstheme="minorHAnsi"/>
          <w:b/>
          <w:sz w:val="20"/>
          <w:szCs w:val="20"/>
          <w:u w:val="single"/>
          <w:lang w:val="sr-Latn-CS"/>
        </w:rPr>
      </w:pPr>
    </w:p>
    <w:p w:rsidR="00DC0A39" w:rsidRPr="00AB4843" w:rsidRDefault="00DC0A39" w:rsidP="00403695">
      <w:pPr>
        <w:rPr>
          <w:rFonts w:asciiTheme="minorHAnsi" w:hAnsiTheme="minorHAnsi" w:cstheme="minorHAnsi"/>
          <w:b/>
          <w:sz w:val="20"/>
          <w:szCs w:val="20"/>
          <w:u w:val="single"/>
          <w:lang w:val="sr-Latn-CS"/>
        </w:rPr>
      </w:pPr>
    </w:p>
    <w:p w:rsidR="00DC0A39" w:rsidRPr="00AB4843" w:rsidRDefault="00DC0A39" w:rsidP="00403695">
      <w:pPr>
        <w:rPr>
          <w:rFonts w:asciiTheme="minorHAnsi" w:hAnsiTheme="minorHAnsi" w:cstheme="minorHAnsi"/>
          <w:b/>
          <w:sz w:val="20"/>
          <w:szCs w:val="20"/>
          <w:u w:val="single"/>
          <w:lang w:val="sr-Latn-CS"/>
        </w:rPr>
      </w:pPr>
    </w:p>
    <w:p w:rsidR="00DC0A39" w:rsidRPr="00AB4843" w:rsidRDefault="00DC0A39" w:rsidP="00403695">
      <w:pPr>
        <w:jc w:val="center"/>
        <w:rPr>
          <w:rFonts w:asciiTheme="minorHAnsi" w:hAnsiTheme="minorHAnsi" w:cstheme="minorHAnsi"/>
          <w:b/>
          <w:sz w:val="20"/>
          <w:szCs w:val="20"/>
          <w:lang w:val="sr-Latn-CS"/>
        </w:rPr>
      </w:pPr>
      <w:r w:rsidRPr="00AB4843">
        <w:rPr>
          <w:rFonts w:asciiTheme="minorHAnsi" w:hAnsiTheme="minorHAnsi" w:cstheme="minorHAnsi"/>
          <w:b/>
          <w:sz w:val="20"/>
          <w:szCs w:val="20"/>
          <w:lang w:val="sr-Latn-CS"/>
        </w:rPr>
        <w:t xml:space="preserve">                                                                                                          </w:t>
      </w:r>
    </w:p>
    <w:p w:rsidR="00DC0A39" w:rsidRPr="00AB4843" w:rsidRDefault="00C56E0A" w:rsidP="007F3B69">
      <w:pPr>
        <w:jc w:val="right"/>
        <w:rPr>
          <w:rFonts w:asciiTheme="minorHAnsi" w:hAnsiTheme="minorHAnsi" w:cstheme="minorHAnsi"/>
          <w:b/>
          <w:i/>
          <w:sz w:val="20"/>
          <w:szCs w:val="20"/>
          <w:u w:val="single"/>
          <w:lang w:val="sr-Latn-CS"/>
        </w:rPr>
      </w:pPr>
      <w:r>
        <w:rPr>
          <w:rFonts w:asciiTheme="minorHAnsi" w:hAnsiTheme="minorHAnsi" w:cstheme="minorHAnsi"/>
          <w:b/>
          <w:i/>
          <w:sz w:val="20"/>
          <w:szCs w:val="20"/>
          <w:u w:val="single"/>
          <w:lang w:val="sr-Latn-CS"/>
        </w:rPr>
        <w:lastRenderedPageBreak/>
        <w:t>Nacrt</w:t>
      </w: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Na osnovu člana 7 stav</w:t>
      </w:r>
      <w:r w:rsidRPr="00AB4843">
        <w:rPr>
          <w:rFonts w:asciiTheme="minorHAnsi" w:hAnsiTheme="minorHAnsi" w:cstheme="minorHAnsi"/>
          <w:color w:val="339966"/>
          <w:sz w:val="20"/>
          <w:szCs w:val="20"/>
          <w:lang w:val="sr-Latn-CS"/>
        </w:rPr>
        <w:t xml:space="preserve"> </w:t>
      </w:r>
      <w:r w:rsidRPr="00AB4843">
        <w:rPr>
          <w:rFonts w:asciiTheme="minorHAnsi" w:hAnsiTheme="minorHAnsi" w:cstheme="minorHAnsi"/>
          <w:sz w:val="20"/>
          <w:szCs w:val="20"/>
          <w:lang w:val="sr-Latn-CS"/>
        </w:rPr>
        <w:t xml:space="preserve">1 Zakona o koncesijama („Službeni list“ CG“, broj 8/09), Vlada Crne Gore, </w:t>
      </w:r>
      <w:r w:rsidR="0001002F" w:rsidRPr="00AB4843">
        <w:rPr>
          <w:rFonts w:asciiTheme="minorHAnsi" w:hAnsiTheme="minorHAnsi" w:cstheme="minorHAnsi"/>
          <w:sz w:val="20"/>
          <w:szCs w:val="20"/>
          <w:lang w:val="sr-Latn-CS"/>
        </w:rPr>
        <w:t>na sjednici od _________</w:t>
      </w:r>
      <w:r w:rsidR="00AF53FF">
        <w:rPr>
          <w:rFonts w:asciiTheme="minorHAnsi" w:hAnsiTheme="minorHAnsi" w:cstheme="minorHAnsi"/>
          <w:sz w:val="20"/>
          <w:szCs w:val="20"/>
          <w:lang w:val="sr-Latn-CS"/>
        </w:rPr>
        <w:t xml:space="preserve"> </w:t>
      </w:r>
      <w:r w:rsidR="0001002F" w:rsidRPr="00AB4843">
        <w:rPr>
          <w:rFonts w:asciiTheme="minorHAnsi" w:hAnsiTheme="minorHAnsi" w:cstheme="minorHAnsi"/>
          <w:sz w:val="20"/>
          <w:szCs w:val="20"/>
          <w:lang w:val="sr-Latn-CS"/>
        </w:rPr>
        <w:t>2015</w:t>
      </w:r>
      <w:r w:rsidRPr="00AB4843">
        <w:rPr>
          <w:rFonts w:asciiTheme="minorHAnsi" w:hAnsiTheme="minorHAnsi" w:cstheme="minorHAnsi"/>
          <w:sz w:val="20"/>
          <w:szCs w:val="20"/>
          <w:lang w:val="sr-Latn-CS"/>
        </w:rPr>
        <w:t>. godine, je utvrdila</w:t>
      </w:r>
    </w:p>
    <w:p w:rsidR="00DC0A39" w:rsidRPr="00AB4843" w:rsidRDefault="00DC0A39" w:rsidP="00403695">
      <w:pPr>
        <w:jc w:val="both"/>
        <w:rPr>
          <w:rFonts w:asciiTheme="minorHAnsi" w:hAnsiTheme="minorHAnsi" w:cstheme="minorHAnsi"/>
          <w:sz w:val="20"/>
          <w:szCs w:val="20"/>
          <w:lang w:val="sr-Latn-CS"/>
        </w:rPr>
      </w:pPr>
    </w:p>
    <w:p w:rsidR="00DC0A39" w:rsidRPr="00AB4843" w:rsidRDefault="00DC0A39" w:rsidP="00403695">
      <w:pPr>
        <w:jc w:val="center"/>
        <w:rPr>
          <w:rFonts w:asciiTheme="minorHAnsi" w:hAnsiTheme="minorHAnsi" w:cstheme="minorHAnsi"/>
          <w:b/>
          <w:sz w:val="20"/>
          <w:szCs w:val="20"/>
          <w:lang w:val="sr-Latn-CS"/>
        </w:rPr>
      </w:pPr>
    </w:p>
    <w:p w:rsidR="00DC0A39" w:rsidRPr="00AB4843" w:rsidRDefault="00DC0A39" w:rsidP="00403695">
      <w:pPr>
        <w:jc w:val="center"/>
        <w:rPr>
          <w:rFonts w:asciiTheme="minorHAnsi" w:hAnsiTheme="minorHAnsi" w:cstheme="minorHAnsi"/>
          <w:b/>
          <w:sz w:val="20"/>
          <w:szCs w:val="20"/>
          <w:lang w:val="sr-Latn-CS"/>
        </w:rPr>
      </w:pPr>
      <w:r w:rsidRPr="00AB4843">
        <w:rPr>
          <w:rFonts w:asciiTheme="minorHAnsi" w:hAnsiTheme="minorHAnsi" w:cstheme="minorHAnsi"/>
          <w:b/>
          <w:sz w:val="20"/>
          <w:szCs w:val="20"/>
          <w:lang w:val="sr-Latn-CS"/>
        </w:rPr>
        <w:t>P L A N</w:t>
      </w:r>
    </w:p>
    <w:p w:rsidR="00DC0A39" w:rsidRPr="00AB4843" w:rsidRDefault="00DC0A39" w:rsidP="00403695">
      <w:pPr>
        <w:pStyle w:val="BodyText"/>
        <w:jc w:val="center"/>
        <w:rPr>
          <w:rFonts w:asciiTheme="minorHAnsi" w:hAnsiTheme="minorHAnsi" w:cstheme="minorHAnsi"/>
          <w:sz w:val="20"/>
          <w:szCs w:val="20"/>
        </w:rPr>
      </w:pPr>
      <w:r w:rsidRPr="00AB4843">
        <w:rPr>
          <w:rFonts w:asciiTheme="minorHAnsi" w:hAnsiTheme="minorHAnsi" w:cstheme="minorHAnsi"/>
          <w:sz w:val="20"/>
          <w:szCs w:val="20"/>
        </w:rPr>
        <w:t>DAVANJA KONCESIJA ZA DETALJNA GEOLOŠKA ISTRAŽIVANJA I EKSPLOATACIJU MINERALNIH SIROVINA ZA 2015. GODINU</w:t>
      </w:r>
    </w:p>
    <w:p w:rsidR="00DC0A39" w:rsidRPr="00AB4843" w:rsidRDefault="00DC0A39" w:rsidP="00403695">
      <w:pPr>
        <w:ind w:left="75"/>
        <w:rPr>
          <w:rFonts w:asciiTheme="minorHAnsi" w:hAnsiTheme="minorHAnsi" w:cstheme="minorHAnsi"/>
          <w:b/>
          <w:sz w:val="20"/>
          <w:szCs w:val="20"/>
          <w:lang w:val="sr-Latn-CS"/>
        </w:rPr>
      </w:pPr>
    </w:p>
    <w:p w:rsidR="00DC0A39" w:rsidRPr="00AB4843" w:rsidRDefault="00DC0A39" w:rsidP="00403695">
      <w:pPr>
        <w:ind w:left="-360"/>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Jedan od ciljeva je i uspostavljanje transparentnih uslova za davanje koncesija u cilju ravnopravnosti svih zainteresovanih subjekata, odnosno, učesnika u postupku davanja koncesija za korišćenje mineralnog resursa, kao i stvaranje uslova za rješavanje otvorenih pitanja od značaja za ostvarivanje prava na koncesiju.</w:t>
      </w:r>
    </w:p>
    <w:p w:rsidR="00DC0A39" w:rsidRPr="00AB4843" w:rsidRDefault="00DC0A39" w:rsidP="00403695">
      <w:pPr>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Pored toga, koncesije se daju radi obezbjeđenja </w:t>
      </w:r>
      <w:r w:rsidRPr="00AB4843">
        <w:rPr>
          <w:rFonts w:asciiTheme="minorHAnsi" w:hAnsiTheme="minorHAnsi" w:cstheme="minorHAnsi"/>
          <w:color w:val="000000"/>
          <w:sz w:val="20"/>
          <w:szCs w:val="20"/>
          <w:lang w:val="sl-SI"/>
        </w:rPr>
        <w:t xml:space="preserve">odgovarajućeg javnog interesa, </w:t>
      </w:r>
      <w:r w:rsidRPr="00AB4843">
        <w:rPr>
          <w:rFonts w:asciiTheme="minorHAnsi" w:hAnsiTheme="minorHAnsi" w:cstheme="minorHAnsi"/>
          <w:sz w:val="20"/>
          <w:szCs w:val="20"/>
          <w:lang w:val="sr-Latn-CS"/>
        </w:rPr>
        <w:t xml:space="preserve">unapređenja rudarske djelatnosti, obezbjeđenja održivog korišćenja neobnovljivog mineralnog resursa zasnovanog na njegovom dugoročnom korišćenju, </w:t>
      </w:r>
      <w:r w:rsidRPr="00AB4843">
        <w:rPr>
          <w:rFonts w:asciiTheme="minorHAnsi" w:hAnsiTheme="minorHAnsi" w:cstheme="minorHAnsi"/>
          <w:color w:val="000000"/>
          <w:sz w:val="20"/>
          <w:szCs w:val="20"/>
          <w:lang w:val="sl-SI"/>
        </w:rPr>
        <w:t>veće zaposlenosti, kao i racionalnog, ekonomičnog, pravilnog i efikasnog korišćenja prirodnih bogatstava, tehničko-tehnološkog unapr</w:t>
      </w:r>
      <w:r w:rsidR="007F008D" w:rsidRPr="00AB4843">
        <w:rPr>
          <w:rFonts w:asciiTheme="minorHAnsi" w:hAnsiTheme="minorHAnsi" w:cstheme="minorHAnsi"/>
          <w:color w:val="000000"/>
          <w:sz w:val="20"/>
          <w:szCs w:val="20"/>
          <w:lang w:val="sl-SI"/>
        </w:rPr>
        <w:t>j</w:t>
      </w:r>
      <w:r w:rsidRPr="00AB4843">
        <w:rPr>
          <w:rFonts w:asciiTheme="minorHAnsi" w:hAnsiTheme="minorHAnsi" w:cstheme="minorHAnsi"/>
          <w:color w:val="000000"/>
          <w:sz w:val="20"/>
          <w:szCs w:val="20"/>
          <w:lang w:val="sl-SI"/>
        </w:rPr>
        <w:t>eđenja i očuvanja životne sredine.</w:t>
      </w:r>
      <w:r w:rsidRPr="00AB4843">
        <w:rPr>
          <w:rFonts w:asciiTheme="minorHAnsi" w:hAnsiTheme="minorHAnsi" w:cstheme="minorHAnsi"/>
          <w:sz w:val="20"/>
          <w:szCs w:val="20"/>
          <w:lang w:val="sr-Latn-CS"/>
        </w:rPr>
        <w:t xml:space="preserve"> </w:t>
      </w:r>
      <w:r w:rsidRPr="00AB4843">
        <w:rPr>
          <w:rFonts w:asciiTheme="minorHAnsi" w:hAnsiTheme="minorHAnsi" w:cstheme="minorHAnsi"/>
          <w:color w:val="000000"/>
          <w:sz w:val="20"/>
          <w:szCs w:val="20"/>
          <w:lang w:val="sl-SI"/>
        </w:rPr>
        <w:t xml:space="preserve"> </w:t>
      </w:r>
    </w:p>
    <w:p w:rsidR="00DC0A39" w:rsidRPr="00AB4843" w:rsidRDefault="00DC0A39" w:rsidP="00403695">
      <w:pPr>
        <w:ind w:left="-360"/>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Dosadašnja iskorišćenost mineralnih sirovina i realna mogućnost njihovog daljeg i optimalnijeg korišćenja nameću potrebu za njihovim daljim istraživanjima, eksploatacijom i korišćenjem u skladu sa savremenim dostignućima nauke, tehnike i tehnologije i racionalnim upravljanjem prema međunarodnim standardima. </w:t>
      </w:r>
    </w:p>
    <w:p w:rsidR="00DC0A39" w:rsidRPr="00AB4843" w:rsidRDefault="00DC0A39" w:rsidP="00403695">
      <w:pPr>
        <w:ind w:left="-360"/>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U tom cilju je neophodno, da se primjenom zakonskih i drugih propisa pristupi sprovođenju procedure za davanje koncesija pod jednakim, transparentnim i nediskriminatorskim uslovima, uz nadoknadu koja mora biti adekvatna valorizaciji prirodnog bogatstva, kako bi se na optimalan način koristili mineralni resursi. Međutim, mora se voditi računa da se korišćenje prirodnih resursa odvija na održiv način. U praksi se davanje koncesija pokazalo kao optimalan model valorizacije prirodnih potencijala.</w:t>
      </w:r>
    </w:p>
    <w:p w:rsidR="00DC0A39" w:rsidRPr="00AB4843" w:rsidRDefault="00DC0A39" w:rsidP="00403695">
      <w:pPr>
        <w:ind w:left="-360"/>
        <w:jc w:val="both"/>
        <w:rPr>
          <w:rFonts w:asciiTheme="minorHAnsi" w:hAnsiTheme="minorHAnsi" w:cstheme="minorHAnsi"/>
          <w:sz w:val="20"/>
          <w:szCs w:val="20"/>
          <w:lang w:val="sr-Latn-CS"/>
        </w:rPr>
      </w:pPr>
    </w:p>
    <w:p w:rsidR="00DC0A39" w:rsidRPr="00AB4843" w:rsidRDefault="007F008D"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U Crnoj Gori je registrovan znatan broj</w:t>
      </w:r>
      <w:r w:rsidR="00DC0A39" w:rsidRPr="00AB4843">
        <w:rPr>
          <w:rFonts w:asciiTheme="minorHAnsi" w:hAnsiTheme="minorHAnsi" w:cstheme="minorHAnsi"/>
          <w:sz w:val="20"/>
          <w:szCs w:val="20"/>
          <w:lang w:val="sr-Latn-CS"/>
        </w:rPr>
        <w:t xml:space="preserve"> pojava nemetaličnih mineralnih sirovina među kojima su tehničko-građevinski (u daljem tekstu: TGK) i arhitektonsko-građevinski (ukrasni) kamen (u daljem tekstu: AGK).</w:t>
      </w: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Inače, od svih nemetala, najveće trend rasta broja ležišta i pojava imaju, upravo, naprijed navedene mineralne sirovine. Uglavnom, sve registrovane nemetalične mineralne sirovine imaju svoje mjesto u strateškom značaju za razvoj države. Među njima su, posebno, izdvojeni TGK i AGK, kao najznačajnije nemetalične mineralne sirovine.</w:t>
      </w: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Svi su izgledi, ne bez razloga, da će se ove mineralne sirovine, vrlo brzo, po značaju za privredni razvoj Crne Gore, a posebno za strategiju razvoja, svrstati među najznačajnije mineralne sirovine uopšte. Niz je razloga za ovakvu tvrdnju, kao što su: značajan broj ležišta i pojava različitih vrsta i tipova uz tendenciju njihovog povećavanja, ravnomjerna raspoređenost ležišta i pojava, lokacije, kratki vremenski period za izgradnju i otvaranje rudnika, uslovi eksploatacije, potražnje na tržištu, pristupni putevi do ležišta i pojava, neka su blizu manjih ili većeih morskih pristaništa i dr.</w:t>
      </w:r>
    </w:p>
    <w:p w:rsidR="00DC0A39" w:rsidRPr="00AB4843" w:rsidRDefault="00DC0A39" w:rsidP="00403695">
      <w:pPr>
        <w:ind w:left="-360"/>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Najznačajnija mineralna sirovina u Crnoj Gori je AGK ili, kako se najčešće naziva, ukrasni građevinski kamen. U doglednoj budućnosti ova nemetalična mineralna sirovina mogla bi se, po značaju za privredni razvoj Crne Gore, a posebno za strategiju razvoja, svrstati među najznačnije mineralne sirovine uopšte, u koje su, za sada, uvršteni samo crveni boksiti i ugalj. Takva očekivanja zasnivaju se na nizu povoljnih faktora, kao što su: brojnost ležišta i pojava različitih vrsta i tipova kamena, razmještaj i lokacije ležišta i pojava, kratko vrijeme neophodno za izgradnju rudnika, povoljnost u vezi sa nabavkom i održavanjem opreme i dr.</w:t>
      </w:r>
    </w:p>
    <w:p w:rsidR="00DC0A39" w:rsidRPr="00AB4843" w:rsidRDefault="00DC0A39" w:rsidP="00403695">
      <w:pPr>
        <w:ind w:left="-360"/>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Po broju ležišta i pojava, AGK je na drugom mjestu među čvrstim mineralnim sirovinama, poslije crvenih boksita, a sa bigrom, kao specifičnom vrstom AGK, na prvom mjestu. Svako ležište i pojava AGK je specifično i sa jedinstvenim kamenom, što je, uz dobar marketing, bitno za uspješan plasman.</w:t>
      </w:r>
    </w:p>
    <w:p w:rsidR="00DC0A39" w:rsidRPr="00AB4843" w:rsidRDefault="00DC0A39" w:rsidP="00403695">
      <w:pPr>
        <w:ind w:left="-360"/>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lastRenderedPageBreak/>
        <w:t>Treba istaći da su ležišta i pojave AGK ravnomjerno raspoređeni na teritoriji Crne Gore, što je povoljno sa gledišta lokalne potrošnje, kao i zapošljavanja, odnosno, radne snage. Do ležišta i većine pojava AGK postoje pristupni putevi, odnosno, infrastruktura je na zadovoljavajućem nivou.</w:t>
      </w:r>
    </w:p>
    <w:p w:rsidR="00DC0A39" w:rsidRPr="00AB4843" w:rsidRDefault="00DC0A39" w:rsidP="00403695">
      <w:pPr>
        <w:ind w:left="-360"/>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U pogledu ekološke komponente u strategiji razvoja Crne Gore značajno je da površinski kopovi ukrasnog kamena pružaju više mogućnosti od drugih da se u konačnom rezultatu teren kopa oplemeni i učini ambijentalno i sadržajno bogatijim u odnosu na stanje prije otpočonjanja radova. Takvi objekti su izazov za svaralačku imaginaciju u pogledu pejzažne arhitekture, prostornog planiranja, pa i ekoloških sadržaja, odnosno, sa aspekta očuvanja i zaštite prirode. Za ekološku državu nije niti smije biti zamrzavanja svake privredne aktivnosti u primarnim djelatnostima, jer bi to vodilo stagnaciji i zaostajanju i negiralo bi plemeniti smisao ekološke ideje. Pravi smisao je da se radi i razvija, ali da se pri tome biraju najkorisnije ili bar najmanje štetne varijante u ekološkom pogledu.  </w:t>
      </w:r>
    </w:p>
    <w:p w:rsidR="00DC0A39" w:rsidRPr="00AB4843" w:rsidRDefault="00DC0A39" w:rsidP="00403695">
      <w:pPr>
        <w:ind w:left="-360"/>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U Crnoj Gori ležišta i pojave TGK su krečnjačko-dolomitskog i izuzetno dolomitsko-krečnjačkog sastava. S obzirom na geološku građu Crne Gore, broj sličnih ležišta i pojava može da ima tedenciju rasta. Ova mineralna sirovina je jeftina, pa sa tog aspekta ne trpi skupi transport. Znači, lokacija geološke formacije i potencijalnog rudnog tijela je ključni faktor za uvrštavanje u ležište i rentabilnu eksploataciju. Naravno, kvalitet se podrazumijeva, a lokacija razmatra i u odnosu na mogućnost transporta i na blizinu potrošača.</w:t>
      </w: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Ležišta TGK, kao što je već istaknuto, su ravnomjerno raspoređena na teritoriji Crne Gore i uglavnom se nalaze blizu većih potrošača.</w:t>
      </w:r>
    </w:p>
    <w:p w:rsidR="00DC0A39" w:rsidRPr="00AB4843" w:rsidRDefault="00DC0A39" w:rsidP="00403695">
      <w:pPr>
        <w:ind w:left="-360"/>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Geološke specifičnosti Crne Gore i izvjesni deficit u pogledu istraženih ležišta šljunka i pijeska, kao i posljedice eksploatacije šljunka i pijeska iz korita rijeka, koja su dovela do znatnih deformacija korita, obala i čitavih područja, uslovili su da TGK postane supsitut šljunka i pijeska.</w:t>
      </w:r>
      <w:r w:rsidR="007F008D" w:rsidRPr="00AB4843">
        <w:rPr>
          <w:rFonts w:asciiTheme="minorHAnsi" w:hAnsiTheme="minorHAnsi" w:cstheme="minorHAnsi"/>
          <w:sz w:val="20"/>
          <w:szCs w:val="20"/>
          <w:lang w:val="sr-Latn-CS"/>
        </w:rPr>
        <w:t xml:space="preserve"> Šljunak i pijesak glacijalnog i fluvioglacijalnog porijekla je veoma rasprostranjen na teritoriji Crne Gore. Javljaju se na padinama planina, u karstnim poljima, karstnim površima i drugim oblicima niskog reljefa koji se nalaze u podnožju tih planina. Jedno od najvećih rasprostranjenja</w:t>
      </w:r>
      <w:r w:rsidR="00706565" w:rsidRPr="00AB4843">
        <w:rPr>
          <w:rFonts w:asciiTheme="minorHAnsi" w:hAnsiTheme="minorHAnsi" w:cstheme="minorHAnsi"/>
          <w:sz w:val="20"/>
          <w:szCs w:val="20"/>
          <w:lang w:val="sr-Latn-CS"/>
        </w:rPr>
        <w:t xml:space="preserve"> je i na prostoru Nalježića u Boki kotorskoj, koji su i predmet ovog Plana. </w:t>
      </w:r>
    </w:p>
    <w:p w:rsidR="00706565" w:rsidRPr="00AB4843" w:rsidRDefault="00706565"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Šljunak i pijeska glacijalnog i fluvioglacijalnog porijekla predstavljaju mineralnu sirovinu koja se koristi za nasipanje i izgradnju puteva, proizvodnju raznih agregata i za druge geađevinske potrebe.</w:t>
      </w:r>
    </w:p>
    <w:p w:rsidR="00DC0A39" w:rsidRPr="00AB4843" w:rsidRDefault="00DC0A39" w:rsidP="00403695">
      <w:pPr>
        <w:ind w:left="-360"/>
        <w:jc w:val="both"/>
        <w:rPr>
          <w:rFonts w:asciiTheme="minorHAnsi" w:hAnsiTheme="minorHAnsi" w:cstheme="minorHAnsi"/>
          <w:sz w:val="20"/>
          <w:szCs w:val="20"/>
          <w:lang w:val="sr-Latn-CS"/>
        </w:rPr>
      </w:pPr>
    </w:p>
    <w:p w:rsidR="00E657AC"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Tehničko-građevinski kamen je dobrog kvaliteta, ali rijetko vrhunskog, koji bi odgovarao i najstrožijim zahtjevima za habajuće slijeve puteva sa velikim opterećenjima ili za brze pruge. Ležišta takvog kamena se nalaze u kompleksima magmatskih stijena, uključujući vulkanske, kao što su poj</w:t>
      </w:r>
      <w:r w:rsidR="00706565" w:rsidRPr="00AB4843">
        <w:rPr>
          <w:rFonts w:asciiTheme="minorHAnsi" w:hAnsiTheme="minorHAnsi" w:cstheme="minorHAnsi"/>
          <w:sz w:val="20"/>
          <w:szCs w:val="20"/>
          <w:lang w:val="sr-Latn-CS"/>
        </w:rPr>
        <w:t>ave u području Crmnice,</w:t>
      </w:r>
      <w:r w:rsidRPr="00AB4843">
        <w:rPr>
          <w:rFonts w:asciiTheme="minorHAnsi" w:hAnsiTheme="minorHAnsi" w:cstheme="minorHAnsi"/>
          <w:sz w:val="20"/>
          <w:szCs w:val="20"/>
          <w:lang w:val="sr-Latn-CS"/>
        </w:rPr>
        <w:t xml:space="preserve"> op</w:t>
      </w:r>
      <w:r w:rsidR="00706565" w:rsidRPr="00AB4843">
        <w:rPr>
          <w:rFonts w:asciiTheme="minorHAnsi" w:hAnsiTheme="minorHAnsi" w:cstheme="minorHAnsi"/>
          <w:sz w:val="20"/>
          <w:szCs w:val="20"/>
          <w:lang w:val="sr-Latn-CS"/>
        </w:rPr>
        <w:t>ština</w:t>
      </w:r>
      <w:r w:rsidRPr="00AB4843">
        <w:rPr>
          <w:rFonts w:asciiTheme="minorHAnsi" w:hAnsiTheme="minorHAnsi" w:cstheme="minorHAnsi"/>
          <w:sz w:val="20"/>
          <w:szCs w:val="20"/>
          <w:lang w:val="sr-Latn-CS"/>
        </w:rPr>
        <w:t xml:space="preserve"> Bar</w:t>
      </w:r>
      <w:r w:rsidR="00706565" w:rsidRPr="00AB4843">
        <w:rPr>
          <w:rFonts w:asciiTheme="minorHAnsi" w:hAnsiTheme="minorHAnsi" w:cstheme="minorHAnsi"/>
          <w:sz w:val="20"/>
          <w:szCs w:val="20"/>
          <w:lang w:val="sr-Latn-CS"/>
        </w:rPr>
        <w:t>, kao i u Štitarici, opština Mojkovac, koja je predmet ovog Plana. Rudno tijelo izgrađuju vulkanske stijene, koje su određene kao keratofiri i kvarckeratofiri. Može se koristiti za izradu asfaltnih betona za putne zastore</w:t>
      </w:r>
      <w:r w:rsidR="00E657AC" w:rsidRPr="00AB4843">
        <w:rPr>
          <w:rFonts w:asciiTheme="minorHAnsi" w:hAnsiTheme="minorHAnsi" w:cstheme="minorHAnsi"/>
          <w:sz w:val="20"/>
          <w:szCs w:val="20"/>
          <w:lang w:val="sr-Latn-CS"/>
        </w:rPr>
        <w:t>, izradu gornjih i donjih nosećih slojeva, izradu armiranog i prenapregnutog betona, izradu gornjih i donjih slojeva cementno-betonskih puteva, izradu donjih nosećih (tamponskih) slojeva, izradu zastora željezničkih pruga i kao lomljen, poluobrađen ili obrađen kamen za izradu hidrotehničkih objekata i zidanja u niskogradnji.</w:t>
      </w:r>
    </w:p>
    <w:p w:rsidR="0045080B" w:rsidRDefault="0045080B" w:rsidP="00403695">
      <w:pPr>
        <w:jc w:val="both"/>
        <w:rPr>
          <w:rFonts w:asciiTheme="minorHAnsi" w:hAnsiTheme="minorHAnsi" w:cstheme="minorHAnsi"/>
          <w:sz w:val="20"/>
          <w:szCs w:val="20"/>
          <w:lang w:val="sr-Latn-CS"/>
        </w:rPr>
      </w:pPr>
    </w:p>
    <w:p w:rsidR="0045080B" w:rsidRPr="00863E33" w:rsidRDefault="0045080B" w:rsidP="00403695">
      <w:pPr>
        <w:jc w:val="both"/>
        <w:rPr>
          <w:rFonts w:asciiTheme="minorHAnsi" w:hAnsiTheme="minorHAnsi" w:cstheme="minorHAnsi"/>
          <w:sz w:val="20"/>
          <w:szCs w:val="20"/>
          <w:lang w:val="pl-PL"/>
        </w:rPr>
      </w:pPr>
      <w:r w:rsidRPr="00863E33">
        <w:rPr>
          <w:rFonts w:asciiTheme="minorHAnsi" w:hAnsiTheme="minorHAnsi" w:cstheme="minorHAnsi"/>
          <w:sz w:val="20"/>
          <w:szCs w:val="20"/>
          <w:lang w:val="pl-PL"/>
        </w:rPr>
        <w:t>Sa razvojnog aspekta naše  privrede posebno su značajna ležišta cementnog laporca u okolini Pljevalja, jer se  radi o velikim ležištima kvalitetne sirovine, koja može da se otkopava kao otkrivka uglja pri površinskoj eksploataciji.</w:t>
      </w:r>
    </w:p>
    <w:p w:rsidR="0045080B" w:rsidRPr="00863E33" w:rsidRDefault="0045080B" w:rsidP="00403695">
      <w:pPr>
        <w:jc w:val="both"/>
        <w:rPr>
          <w:rFonts w:asciiTheme="minorHAnsi" w:hAnsiTheme="minorHAnsi" w:cstheme="minorHAnsi"/>
          <w:sz w:val="20"/>
          <w:szCs w:val="20"/>
          <w:lang w:val="hr-HR"/>
        </w:rPr>
      </w:pPr>
    </w:p>
    <w:p w:rsidR="0045080B" w:rsidRPr="0045080B" w:rsidRDefault="0045080B"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U Crnoj Gori je registrovano sedam</w:t>
      </w:r>
      <w:r w:rsidRPr="00863E33">
        <w:rPr>
          <w:rFonts w:asciiTheme="minorHAnsi" w:hAnsiTheme="minorHAnsi" w:cstheme="minorHAnsi"/>
          <w:sz w:val="20"/>
          <w:szCs w:val="20"/>
          <w:lang w:val="hr-HR"/>
        </w:rPr>
        <w:t xml:space="preserve"> ležiš</w:t>
      </w:r>
      <w:r>
        <w:rPr>
          <w:rFonts w:asciiTheme="minorHAnsi" w:hAnsiTheme="minorHAnsi" w:cstheme="minorHAnsi"/>
          <w:sz w:val="20"/>
          <w:szCs w:val="20"/>
          <w:lang w:val="hr-HR"/>
        </w:rPr>
        <w:t>ta cementnih laporaca, od čega pet</w:t>
      </w:r>
      <w:r w:rsidRPr="00863E33">
        <w:rPr>
          <w:rFonts w:asciiTheme="minorHAnsi" w:hAnsiTheme="minorHAnsi" w:cstheme="minorHAnsi"/>
          <w:sz w:val="20"/>
          <w:szCs w:val="20"/>
          <w:lang w:val="hr-HR"/>
        </w:rPr>
        <w:t xml:space="preserve"> u Pljevaljskom ugljonosnom basenu, gdje se javlja kao prateća sirovina u krovini glavnog ugljenog sloja. Jedno ležište je u blizini Danilovgrada, a jedno u okolini Ulcinja. Sa razvojnog aspekta posebno su značajna ležišta u okolini Pljevalja, jer se radi o velikim ležištima kvalitetne sirovine, koja može da se otkopava uzgred, odnosno, kao otkrivka uglja pri površinskoj eksploataciji. </w:t>
      </w:r>
      <w:r>
        <w:rPr>
          <w:rFonts w:asciiTheme="minorHAnsi" w:hAnsiTheme="minorHAnsi" w:cstheme="minorHAnsi"/>
          <w:sz w:val="20"/>
          <w:szCs w:val="20"/>
          <w:lang w:val="hr-HR"/>
        </w:rPr>
        <w:t>Koristi se za proizvodnju portland cementa.</w:t>
      </w:r>
    </w:p>
    <w:p w:rsidR="00E657AC" w:rsidRPr="00AB4843" w:rsidRDefault="00E657AC" w:rsidP="00403695">
      <w:pPr>
        <w:jc w:val="both"/>
        <w:rPr>
          <w:rFonts w:asciiTheme="minorHAnsi" w:hAnsiTheme="minorHAnsi" w:cstheme="minorHAnsi"/>
          <w:sz w:val="20"/>
          <w:szCs w:val="20"/>
          <w:lang w:val="sr-Latn-CS"/>
        </w:rPr>
      </w:pPr>
    </w:p>
    <w:p w:rsidR="00E657AC" w:rsidRPr="00AB4843" w:rsidRDefault="00E657AC"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Bijeli boksiti su specifična i kompleksna mineralna sirovina koja se rijetko javlja u prirodi. Geološko-ekonomski značajna ležišta i brojne rudne pojave nalaze se u Crnoj Gori na širokom prostranstvu između Nikšićkog polja, rijeke Zete, Čeva, Grahova i rijeke Trebišnjice.</w:t>
      </w:r>
    </w:p>
    <w:p w:rsidR="00E657AC" w:rsidRPr="00AB4843" w:rsidRDefault="00E657AC"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Bijeli boksiti imaju široku primjenu u industriji, posebno u proizvodnji visokovatrostalnih materijala i brzovezujućeg cementa, u industriji boja i lakova, hemijskoj industriji</w:t>
      </w:r>
      <w:r w:rsidR="0097505F" w:rsidRPr="00AB4843">
        <w:rPr>
          <w:rFonts w:asciiTheme="minorHAnsi" w:hAnsiTheme="minorHAnsi" w:cstheme="minorHAnsi"/>
          <w:sz w:val="20"/>
          <w:szCs w:val="20"/>
          <w:lang w:val="sr-Latn-CS"/>
        </w:rPr>
        <w:t>, kozmetici i dr.</w:t>
      </w:r>
    </w:p>
    <w:p w:rsidR="0097505F" w:rsidRDefault="009750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lastRenderedPageBreak/>
        <w:t>Od posebnog značaja su već osvojena i dokazana tehnološka rješenja prerade kompleksne rude bijelog boksita (svih vrsta i kvaliteta) elektrotopljenjem, pri čemu se dobija visokokvalitetan elektrotopljeni mulit, zatim, izolaciona vuna za visoke temperature, ferosilicijum i drugi proizvodi. To otvara nove značajne perspektive aktiviranja proizvodnje bijelih boksita, sa jedne strane, a sa druge strane omogućava prozvodnju elektrotopljenih i livenih visoko vatrostalnih materijala koji imaju siguran plasman i povoljnu cijenu.</w:t>
      </w:r>
    </w:p>
    <w:p w:rsidR="00541061" w:rsidRDefault="00541061" w:rsidP="00403695">
      <w:pPr>
        <w:jc w:val="both"/>
        <w:rPr>
          <w:rFonts w:asciiTheme="minorHAnsi" w:hAnsiTheme="minorHAnsi" w:cstheme="minorHAnsi"/>
          <w:sz w:val="20"/>
          <w:szCs w:val="20"/>
          <w:lang w:val="sr-Latn-CS"/>
        </w:rPr>
      </w:pPr>
    </w:p>
    <w:p w:rsidR="00541061" w:rsidRDefault="00541061" w:rsidP="00403695">
      <w:pPr>
        <w:jc w:val="both"/>
        <w:rPr>
          <w:rFonts w:asciiTheme="minorHAnsi" w:hAnsiTheme="minorHAnsi" w:cstheme="minorHAnsi"/>
          <w:sz w:val="20"/>
          <w:szCs w:val="20"/>
          <w:lang w:val="sr-Latn-CS"/>
        </w:rPr>
      </w:pPr>
      <w:r>
        <w:rPr>
          <w:rFonts w:asciiTheme="minorHAnsi" w:hAnsiTheme="minorHAnsi" w:cstheme="minorHAnsi"/>
          <w:sz w:val="20"/>
          <w:szCs w:val="20"/>
          <w:lang w:val="sr-Latn-CS"/>
        </w:rPr>
        <w:t xml:space="preserve">Među najznačajnijim mineralnim sirovinama u Crnoj Gori, sa aspekta obimnosti i ekonomske vrijednosti, su boksiti. To se posebno odnosi na crvene boksite, koji su najznačajnija metalična sirovina u Crnoj Gori. Otkriveni su na širokom prostoru središnje, zapadne i južne Crne Gore, sa najvećom koncentracijom u nikšićkoj opštini, gdje se u suštini i nalaze skoro </w:t>
      </w:r>
      <w:r w:rsidR="009762DA">
        <w:rPr>
          <w:rFonts w:asciiTheme="minorHAnsi" w:hAnsiTheme="minorHAnsi" w:cstheme="minorHAnsi"/>
          <w:sz w:val="20"/>
          <w:szCs w:val="20"/>
          <w:lang w:val="sr-Latn-CS"/>
        </w:rPr>
        <w:t>sve rezerve bivše Jugoslavije.</w:t>
      </w:r>
    </w:p>
    <w:p w:rsidR="009762DA" w:rsidRPr="00AB4843" w:rsidRDefault="009762DA" w:rsidP="00403695">
      <w:pPr>
        <w:jc w:val="both"/>
        <w:rPr>
          <w:rFonts w:asciiTheme="minorHAnsi" w:hAnsiTheme="minorHAnsi" w:cstheme="minorHAnsi"/>
          <w:sz w:val="20"/>
          <w:szCs w:val="20"/>
          <w:lang w:val="sr-Latn-CS"/>
        </w:rPr>
      </w:pPr>
      <w:r>
        <w:rPr>
          <w:rFonts w:asciiTheme="minorHAnsi" w:hAnsiTheme="minorHAnsi" w:cstheme="minorHAnsi"/>
          <w:sz w:val="20"/>
          <w:szCs w:val="20"/>
          <w:lang w:val="sr-Latn-CS"/>
        </w:rPr>
        <w:t>Eksploataciju crvenih boksita od 1948. Godine do danas vrši AD Rudnici boksita – Nikšić. Na bazi ovog resursa zasnovana je proizvodnja i prerada aluminijuma kao izuzetno značajnog berzanskog resursa.</w:t>
      </w:r>
    </w:p>
    <w:p w:rsidR="0097505F" w:rsidRPr="00AB4843" w:rsidRDefault="0097505F" w:rsidP="00403695">
      <w:pPr>
        <w:jc w:val="both"/>
        <w:rPr>
          <w:rFonts w:asciiTheme="minorHAnsi" w:hAnsiTheme="minorHAnsi" w:cstheme="minorHAnsi"/>
          <w:sz w:val="20"/>
          <w:szCs w:val="20"/>
          <w:lang w:val="sr-Latn-CS"/>
        </w:rPr>
      </w:pPr>
    </w:p>
    <w:p w:rsidR="0097505F" w:rsidRPr="00AB4843" w:rsidRDefault="009750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Predmet ovog Plana je i mineralna voda. Izvor mineralne vode „Čeoča“ nalazi se u doloini rijeke Lješnice, 6,5 km od Bijelog Polja, na koti 650 m.</w:t>
      </w:r>
    </w:p>
    <w:p w:rsidR="0064085A" w:rsidRPr="00AB4843" w:rsidRDefault="0064085A"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Obim dosadašnjih istraživanja (istražno-eksploatacione bušotine i istražno-eksploatacioni bunari) nedovoljan je za pouzdano utvrđivanje rezervi mineralne vode ovog lokaliteta.</w:t>
      </w:r>
      <w:r w:rsidR="00F27279">
        <w:rPr>
          <w:rFonts w:asciiTheme="minorHAnsi" w:hAnsiTheme="minorHAnsi" w:cstheme="minorHAnsi"/>
          <w:sz w:val="20"/>
          <w:szCs w:val="20"/>
          <w:lang w:val="sr-Latn-CS"/>
        </w:rPr>
        <w:t xml:space="preserve"> </w:t>
      </w:r>
      <w:r w:rsidRPr="00AB4843">
        <w:rPr>
          <w:rFonts w:asciiTheme="minorHAnsi" w:hAnsiTheme="minorHAnsi" w:cstheme="minorHAnsi"/>
          <w:sz w:val="20"/>
          <w:szCs w:val="20"/>
          <w:lang w:val="sr-Latn-CS"/>
        </w:rPr>
        <w:t>Mineralna voda izvora „Čeoča“ je prijatnog kisjelog ukusa, bistra i bez mirisa. Tempreatura vode je 11,4</w:t>
      </w:r>
      <w:r w:rsidRPr="00AB4843">
        <w:rPr>
          <w:rFonts w:asciiTheme="minorHAnsi" w:hAnsiTheme="minorHAnsi" w:cstheme="minorHAnsi"/>
          <w:sz w:val="20"/>
          <w:szCs w:val="20"/>
          <w:vertAlign w:val="superscript"/>
          <w:lang w:val="sr-Latn-CS"/>
        </w:rPr>
        <w:t>0</w:t>
      </w:r>
      <w:r w:rsidRPr="00AB4843">
        <w:rPr>
          <w:rFonts w:asciiTheme="minorHAnsi" w:hAnsiTheme="minorHAnsi" w:cstheme="minorHAnsi"/>
          <w:sz w:val="20"/>
          <w:szCs w:val="20"/>
          <w:lang w:val="sr-Latn-CS"/>
        </w:rPr>
        <w:t xml:space="preserve"> C. Prema hemijskom sastavu pripada redu alkalno-zemnoalkalno saličnih kiseljaka, odnosno, natrijum-kalcijum bikarbonat-sulfatnom redu. Prema intrenacionalnoj klasifikaciji ovu mineralnu vou karakteriše natrijum-hidrokarbonat. Pogodna je</w:t>
      </w:r>
      <w:r w:rsidR="00733FAC" w:rsidRPr="00AB4843">
        <w:rPr>
          <w:rFonts w:asciiTheme="minorHAnsi" w:hAnsiTheme="minorHAnsi" w:cstheme="minorHAnsi"/>
          <w:sz w:val="20"/>
          <w:szCs w:val="20"/>
          <w:lang w:val="sr-Latn-CS"/>
        </w:rPr>
        <w:t xml:space="preserve"> za proizvodnju bezalkoholnih osvježavajućih napitaka i za ličenje većeg broja hroničnih oboljenja.</w:t>
      </w:r>
    </w:p>
    <w:p w:rsidR="00DC0A39" w:rsidRPr="00AB4843" w:rsidRDefault="00DC0A39" w:rsidP="00403695">
      <w:pPr>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b/>
          <w:sz w:val="20"/>
          <w:szCs w:val="20"/>
          <w:lang w:val="sl-SI"/>
        </w:rPr>
      </w:pPr>
      <w:r w:rsidRPr="00AB4843">
        <w:rPr>
          <w:rFonts w:asciiTheme="minorHAnsi" w:hAnsiTheme="minorHAnsi" w:cstheme="minorHAnsi"/>
          <w:b/>
          <w:sz w:val="20"/>
          <w:szCs w:val="20"/>
          <w:lang w:val="sl-SI"/>
        </w:rPr>
        <w:t xml:space="preserve">Predmet koncesija </w:t>
      </w:r>
    </w:p>
    <w:p w:rsidR="00DC0A39" w:rsidRPr="00AB4843" w:rsidRDefault="00DC0A39" w:rsidP="00403695">
      <w:pPr>
        <w:ind w:left="-360"/>
        <w:jc w:val="both"/>
        <w:rPr>
          <w:rFonts w:asciiTheme="minorHAnsi" w:hAnsiTheme="minorHAnsi" w:cstheme="minorHAnsi"/>
          <w:sz w:val="20"/>
          <w:szCs w:val="20"/>
          <w:lang w:val="sl-SI"/>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Koncesije za detaljna geološka istraživanja i eksploataciju mineralnih sirovina definisane su Zakonom o koncesijama („Službeni list CG“, br.08/09), Zakonom o rudarstvu </w:t>
      </w:r>
      <w:r w:rsidRPr="00AB4843">
        <w:rPr>
          <w:rFonts w:asciiTheme="minorHAnsi" w:hAnsiTheme="minorHAnsi" w:cstheme="minorHAnsi"/>
          <w:bCs/>
          <w:sz w:val="20"/>
          <w:szCs w:val="20"/>
          <w:lang w:val="sr-Latn-CS"/>
        </w:rPr>
        <w:t xml:space="preserve">(“Službeni list CG”, br.65/08) i Zakonom o geološkim istraživanjima </w:t>
      </w:r>
      <w:r w:rsidRPr="00AB4843">
        <w:rPr>
          <w:rFonts w:asciiTheme="minorHAnsi" w:hAnsiTheme="minorHAnsi" w:cstheme="minorHAnsi"/>
          <w:sz w:val="20"/>
          <w:szCs w:val="20"/>
          <w:lang w:val="sr-Latn-CS"/>
        </w:rPr>
        <w:t>(„Službeni list RCG“, br. 28/93, 27/94, 42/94 i 26/07 i „Sl.list CG“, br.  28/11 i 42/11).</w:t>
      </w:r>
    </w:p>
    <w:p w:rsidR="00DC0A39" w:rsidRPr="00AB4843" w:rsidRDefault="00DC0A39" w:rsidP="00403695">
      <w:pPr>
        <w:ind w:left="-360"/>
        <w:jc w:val="both"/>
        <w:rPr>
          <w:rFonts w:asciiTheme="minorHAnsi" w:hAnsiTheme="minorHAnsi" w:cstheme="minorHAnsi"/>
          <w:sz w:val="20"/>
          <w:szCs w:val="20"/>
          <w:lang w:val="sr-Latn-CS"/>
        </w:rPr>
      </w:pPr>
    </w:p>
    <w:p w:rsidR="00DC0A39" w:rsidRPr="00AB4843" w:rsidRDefault="00DC0A39"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1</w:t>
      </w:r>
      <w:r w:rsidR="0090259B" w:rsidRPr="00AB4843">
        <w:rPr>
          <w:rFonts w:asciiTheme="minorHAnsi" w:hAnsiTheme="minorHAnsi" w:cstheme="minorHAnsi"/>
          <w:sz w:val="20"/>
          <w:szCs w:val="20"/>
          <w:lang w:val="sr-Latn-CS"/>
        </w:rPr>
        <w:t>. „Haj-Nehaj</w:t>
      </w:r>
      <w:r w:rsidRPr="00AB4843">
        <w:rPr>
          <w:rFonts w:asciiTheme="minorHAnsi" w:hAnsiTheme="minorHAnsi" w:cstheme="minorHAnsi"/>
          <w:sz w:val="20"/>
          <w:szCs w:val="20"/>
          <w:lang w:val="sr-Latn-CS"/>
        </w:rPr>
        <w:t>“ (TGK), opština Bar,</w:t>
      </w:r>
    </w:p>
    <w:p w:rsidR="00DC0A39" w:rsidRPr="00AB4843" w:rsidRDefault="0090259B"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2. „Štitarica-Okruglički krš</w:t>
      </w:r>
      <w:r w:rsidR="00DC0A39" w:rsidRPr="00AB4843">
        <w:rPr>
          <w:rFonts w:asciiTheme="minorHAnsi" w:hAnsiTheme="minorHAnsi" w:cstheme="minorHAnsi"/>
          <w:sz w:val="20"/>
          <w:szCs w:val="20"/>
          <w:lang w:val="sr-Latn-CS"/>
        </w:rPr>
        <w:t>“ (TGK</w:t>
      </w:r>
      <w:r w:rsidRPr="00AB4843">
        <w:rPr>
          <w:rFonts w:asciiTheme="minorHAnsi" w:hAnsiTheme="minorHAnsi" w:cstheme="minorHAnsi"/>
          <w:sz w:val="20"/>
          <w:szCs w:val="20"/>
          <w:lang w:val="sr-Latn-CS"/>
        </w:rPr>
        <w:t>-eruptiv</w:t>
      </w:r>
      <w:r w:rsidR="00DC0A39" w:rsidRPr="00AB4843">
        <w:rPr>
          <w:rFonts w:asciiTheme="minorHAnsi" w:hAnsiTheme="minorHAnsi" w:cstheme="minorHAnsi"/>
          <w:sz w:val="20"/>
          <w:szCs w:val="20"/>
          <w:lang w:val="sr-Latn-CS"/>
        </w:rPr>
        <w:t>), o</w:t>
      </w:r>
      <w:r w:rsidRPr="00AB4843">
        <w:rPr>
          <w:rFonts w:asciiTheme="minorHAnsi" w:hAnsiTheme="minorHAnsi" w:cstheme="minorHAnsi"/>
          <w:sz w:val="20"/>
          <w:szCs w:val="20"/>
          <w:lang w:val="sr-Latn-CS"/>
        </w:rPr>
        <w:t>pština Mojkovac</w:t>
      </w:r>
      <w:r w:rsidR="00DC0A39" w:rsidRPr="00AB4843">
        <w:rPr>
          <w:rFonts w:asciiTheme="minorHAnsi" w:hAnsiTheme="minorHAnsi" w:cstheme="minorHAnsi"/>
          <w:sz w:val="20"/>
          <w:szCs w:val="20"/>
          <w:lang w:val="sr-Latn-CS"/>
        </w:rPr>
        <w:t>,</w:t>
      </w:r>
    </w:p>
    <w:p w:rsidR="00DC0A39" w:rsidRPr="00AB4843" w:rsidRDefault="0090259B"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3. „Štitarica-Taskavac</w:t>
      </w:r>
      <w:r w:rsidR="00DC0A39" w:rsidRPr="00AB4843">
        <w:rPr>
          <w:rFonts w:asciiTheme="minorHAnsi" w:hAnsiTheme="minorHAnsi" w:cstheme="minorHAnsi"/>
          <w:sz w:val="20"/>
          <w:szCs w:val="20"/>
          <w:lang w:val="sr-Latn-CS"/>
        </w:rPr>
        <w:t>“</w:t>
      </w:r>
      <w:r w:rsidRPr="00AB4843">
        <w:rPr>
          <w:rFonts w:asciiTheme="minorHAnsi" w:hAnsiTheme="minorHAnsi" w:cstheme="minorHAnsi"/>
          <w:sz w:val="20"/>
          <w:szCs w:val="20"/>
          <w:lang w:val="sr-Latn-CS"/>
        </w:rPr>
        <w:t xml:space="preserve"> (T</w:t>
      </w:r>
      <w:r w:rsidR="00DC0A39" w:rsidRPr="00AB4843">
        <w:rPr>
          <w:rFonts w:asciiTheme="minorHAnsi" w:hAnsiTheme="minorHAnsi" w:cstheme="minorHAnsi"/>
          <w:sz w:val="20"/>
          <w:szCs w:val="20"/>
          <w:lang w:val="sr-Latn-CS"/>
        </w:rPr>
        <w:t>GK</w:t>
      </w:r>
      <w:r w:rsidRPr="00AB4843">
        <w:rPr>
          <w:rFonts w:asciiTheme="minorHAnsi" w:hAnsiTheme="minorHAnsi" w:cstheme="minorHAnsi"/>
          <w:sz w:val="20"/>
          <w:szCs w:val="20"/>
          <w:lang w:val="sr-Latn-CS"/>
        </w:rPr>
        <w:t>-krečnjak), opština Mojkovac</w:t>
      </w:r>
      <w:r w:rsidR="00DC0A39" w:rsidRPr="00AB4843">
        <w:rPr>
          <w:rFonts w:asciiTheme="minorHAnsi" w:hAnsiTheme="minorHAnsi" w:cstheme="minorHAnsi"/>
          <w:sz w:val="20"/>
          <w:szCs w:val="20"/>
          <w:lang w:val="sr-Latn-CS"/>
        </w:rPr>
        <w:t>,</w:t>
      </w:r>
    </w:p>
    <w:p w:rsidR="00DC0A39" w:rsidRPr="00AB4843" w:rsidRDefault="00FF14BA" w:rsidP="00403695">
      <w:pPr>
        <w:jc w:val="both"/>
        <w:rPr>
          <w:rFonts w:asciiTheme="minorHAnsi" w:hAnsiTheme="minorHAnsi" w:cstheme="minorHAnsi"/>
          <w:sz w:val="20"/>
          <w:szCs w:val="20"/>
          <w:lang w:val="sr-Latn-CS"/>
        </w:rPr>
      </w:pPr>
      <w:r>
        <w:rPr>
          <w:rFonts w:asciiTheme="minorHAnsi" w:hAnsiTheme="minorHAnsi" w:cstheme="minorHAnsi"/>
          <w:sz w:val="20"/>
          <w:szCs w:val="20"/>
          <w:lang w:val="sr-Latn-CS"/>
        </w:rPr>
        <w:t>4. „Nalježići“ (TGK</w:t>
      </w:r>
      <w:r w:rsidR="00DC0A39" w:rsidRPr="00AB4843">
        <w:rPr>
          <w:rFonts w:asciiTheme="minorHAnsi" w:hAnsiTheme="minorHAnsi" w:cstheme="minorHAnsi"/>
          <w:sz w:val="20"/>
          <w:szCs w:val="20"/>
          <w:lang w:val="sr-Latn-CS"/>
        </w:rPr>
        <w:t>), o</w:t>
      </w:r>
      <w:r w:rsidR="0090259B" w:rsidRPr="00AB4843">
        <w:rPr>
          <w:rFonts w:asciiTheme="minorHAnsi" w:hAnsiTheme="minorHAnsi" w:cstheme="minorHAnsi"/>
          <w:sz w:val="20"/>
          <w:szCs w:val="20"/>
          <w:lang w:val="sr-Latn-CS"/>
        </w:rPr>
        <w:t>pština Kotor</w:t>
      </w:r>
      <w:r w:rsidR="00DC0A39" w:rsidRPr="00AB4843">
        <w:rPr>
          <w:rFonts w:asciiTheme="minorHAnsi" w:hAnsiTheme="minorHAnsi" w:cstheme="minorHAnsi"/>
          <w:sz w:val="20"/>
          <w:szCs w:val="20"/>
          <w:lang w:val="sr-Latn-CS"/>
        </w:rPr>
        <w:t>,</w:t>
      </w:r>
    </w:p>
    <w:p w:rsidR="00DC0A39" w:rsidRPr="00AB4843" w:rsidRDefault="0090259B" w:rsidP="00403695">
      <w:pPr>
        <w:jc w:val="both"/>
        <w:rPr>
          <w:rFonts w:asciiTheme="minorHAnsi" w:hAnsiTheme="minorHAnsi" w:cstheme="minorHAnsi"/>
          <w:sz w:val="20"/>
          <w:szCs w:val="20"/>
          <w:lang w:val="hr-HR"/>
        </w:rPr>
      </w:pPr>
      <w:r w:rsidRPr="00AB4843">
        <w:rPr>
          <w:rFonts w:asciiTheme="minorHAnsi" w:hAnsiTheme="minorHAnsi" w:cstheme="minorHAnsi"/>
          <w:sz w:val="20"/>
          <w:szCs w:val="20"/>
          <w:lang w:val="hr-HR"/>
        </w:rPr>
        <w:t>5. „Velji Zabio“ (TGK), opština Bar</w:t>
      </w:r>
      <w:r w:rsidR="00DC0A39" w:rsidRPr="00AB4843">
        <w:rPr>
          <w:rFonts w:asciiTheme="minorHAnsi" w:hAnsiTheme="minorHAnsi" w:cstheme="minorHAnsi"/>
          <w:sz w:val="20"/>
          <w:szCs w:val="20"/>
          <w:lang w:val="hr-HR"/>
        </w:rPr>
        <w:t>,</w:t>
      </w:r>
    </w:p>
    <w:p w:rsidR="00DC0A39" w:rsidRPr="00AB4843" w:rsidRDefault="0090259B" w:rsidP="00403695">
      <w:pPr>
        <w:jc w:val="both"/>
        <w:rPr>
          <w:rFonts w:asciiTheme="minorHAnsi" w:hAnsiTheme="minorHAnsi" w:cstheme="minorHAnsi"/>
          <w:sz w:val="20"/>
          <w:szCs w:val="20"/>
          <w:lang w:val="hr-HR"/>
        </w:rPr>
      </w:pPr>
      <w:r w:rsidRPr="00AB4843">
        <w:rPr>
          <w:rFonts w:asciiTheme="minorHAnsi" w:hAnsiTheme="minorHAnsi" w:cstheme="minorHAnsi"/>
          <w:sz w:val="20"/>
          <w:szCs w:val="20"/>
          <w:lang w:val="hr-HR"/>
        </w:rPr>
        <w:t>6. „Visočica“</w:t>
      </w:r>
      <w:r w:rsidR="00DC0A39" w:rsidRPr="00AB4843">
        <w:rPr>
          <w:rFonts w:asciiTheme="minorHAnsi" w:hAnsiTheme="minorHAnsi" w:cstheme="minorHAnsi"/>
          <w:sz w:val="20"/>
          <w:szCs w:val="20"/>
          <w:lang w:val="hr-HR"/>
        </w:rPr>
        <w:t>(AGK</w:t>
      </w:r>
      <w:r w:rsidRPr="00AB4843">
        <w:rPr>
          <w:rFonts w:asciiTheme="minorHAnsi" w:hAnsiTheme="minorHAnsi" w:cstheme="minorHAnsi"/>
          <w:sz w:val="20"/>
          <w:szCs w:val="20"/>
          <w:lang w:val="hr-HR"/>
        </w:rPr>
        <w:t xml:space="preserve"> i TGK), opština Danilovgrad</w:t>
      </w:r>
      <w:r w:rsidR="00DC0A39" w:rsidRPr="00AB4843">
        <w:rPr>
          <w:rFonts w:asciiTheme="minorHAnsi" w:hAnsiTheme="minorHAnsi" w:cstheme="minorHAnsi"/>
          <w:sz w:val="20"/>
          <w:szCs w:val="20"/>
          <w:lang w:val="hr-HR"/>
        </w:rPr>
        <w:t>,</w:t>
      </w:r>
    </w:p>
    <w:p w:rsidR="00DC0A39" w:rsidRPr="00AB4843" w:rsidRDefault="0090259B" w:rsidP="00403695">
      <w:pPr>
        <w:jc w:val="both"/>
        <w:rPr>
          <w:rFonts w:asciiTheme="minorHAnsi" w:hAnsiTheme="minorHAnsi" w:cstheme="minorHAnsi"/>
          <w:sz w:val="20"/>
          <w:szCs w:val="20"/>
          <w:lang w:val="hr-HR"/>
        </w:rPr>
      </w:pPr>
      <w:r w:rsidRPr="00AB4843">
        <w:rPr>
          <w:rFonts w:asciiTheme="minorHAnsi" w:hAnsiTheme="minorHAnsi" w:cstheme="minorHAnsi"/>
          <w:sz w:val="20"/>
          <w:szCs w:val="20"/>
          <w:lang w:val="hr-HR"/>
        </w:rPr>
        <w:t>7. „Poljane“(bijeli boksiti), Prijestonica Cetinje</w:t>
      </w:r>
      <w:r w:rsidR="00DC0A39" w:rsidRPr="00AB4843">
        <w:rPr>
          <w:rFonts w:asciiTheme="minorHAnsi" w:hAnsiTheme="minorHAnsi" w:cstheme="minorHAnsi"/>
          <w:sz w:val="20"/>
          <w:szCs w:val="20"/>
          <w:lang w:val="hr-HR"/>
        </w:rPr>
        <w:t>,</w:t>
      </w:r>
    </w:p>
    <w:p w:rsidR="00C26145" w:rsidRDefault="0090259B" w:rsidP="00403695">
      <w:pPr>
        <w:jc w:val="both"/>
        <w:rPr>
          <w:rFonts w:asciiTheme="minorHAnsi" w:hAnsiTheme="minorHAnsi" w:cstheme="minorHAnsi"/>
          <w:sz w:val="20"/>
          <w:szCs w:val="20"/>
          <w:lang w:val="hr-HR"/>
        </w:rPr>
      </w:pPr>
      <w:r w:rsidRPr="00AB4843">
        <w:rPr>
          <w:rFonts w:asciiTheme="minorHAnsi" w:hAnsiTheme="minorHAnsi" w:cstheme="minorHAnsi"/>
          <w:sz w:val="20"/>
          <w:szCs w:val="20"/>
          <w:lang w:val="hr-HR"/>
        </w:rPr>
        <w:t>8. „Čeoče“ (mineralna voda), opština Bijelo Polje</w:t>
      </w:r>
      <w:r w:rsidR="00E27F40" w:rsidRPr="00AB4843">
        <w:rPr>
          <w:rFonts w:asciiTheme="minorHAnsi" w:hAnsiTheme="minorHAnsi" w:cstheme="minorHAnsi"/>
          <w:sz w:val="20"/>
          <w:szCs w:val="20"/>
          <w:lang w:val="hr-HR"/>
        </w:rPr>
        <w:t>,</w:t>
      </w:r>
    </w:p>
    <w:p w:rsidR="00E27F40" w:rsidRPr="00AB4843" w:rsidRDefault="00C26145"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9</w:t>
      </w:r>
      <w:r w:rsidR="00E27F40" w:rsidRPr="00AB4843">
        <w:rPr>
          <w:rFonts w:asciiTheme="minorHAnsi" w:hAnsiTheme="minorHAnsi" w:cstheme="minorHAnsi"/>
          <w:sz w:val="20"/>
          <w:szCs w:val="20"/>
          <w:lang w:val="hr-HR"/>
        </w:rPr>
        <w:t xml:space="preserve">. „Radujev </w:t>
      </w:r>
      <w:r w:rsidR="00F14DD5" w:rsidRPr="00AB4843">
        <w:rPr>
          <w:rFonts w:asciiTheme="minorHAnsi" w:hAnsiTheme="minorHAnsi" w:cstheme="minorHAnsi"/>
          <w:sz w:val="20"/>
          <w:szCs w:val="20"/>
          <w:lang w:val="hr-HR"/>
        </w:rPr>
        <w:t>kr</w:t>
      </w:r>
      <w:r w:rsidR="00C07850" w:rsidRPr="00AB4843">
        <w:rPr>
          <w:rFonts w:asciiTheme="minorHAnsi" w:hAnsiTheme="minorHAnsi" w:cstheme="minorHAnsi"/>
          <w:sz w:val="20"/>
          <w:szCs w:val="20"/>
          <w:lang w:val="hr-HR"/>
        </w:rPr>
        <w:t>š“ (AGK), opština Danilovgrad,</w:t>
      </w:r>
    </w:p>
    <w:p w:rsidR="00C07850" w:rsidRPr="00AB4843" w:rsidRDefault="00C07850" w:rsidP="00403695">
      <w:pPr>
        <w:jc w:val="both"/>
        <w:rPr>
          <w:rFonts w:asciiTheme="minorHAnsi" w:hAnsiTheme="minorHAnsi" w:cstheme="minorHAnsi"/>
          <w:sz w:val="20"/>
          <w:szCs w:val="20"/>
          <w:lang w:val="hr-HR"/>
        </w:rPr>
      </w:pPr>
      <w:r w:rsidRPr="00AB4843">
        <w:rPr>
          <w:rFonts w:asciiTheme="minorHAnsi" w:hAnsiTheme="minorHAnsi" w:cstheme="minorHAnsi"/>
          <w:sz w:val="20"/>
          <w:szCs w:val="20"/>
          <w:lang w:val="hr-HR"/>
        </w:rPr>
        <w:t>1</w:t>
      </w:r>
      <w:r w:rsidR="00C26145">
        <w:rPr>
          <w:rFonts w:asciiTheme="minorHAnsi" w:hAnsiTheme="minorHAnsi" w:cstheme="minorHAnsi"/>
          <w:sz w:val="20"/>
          <w:szCs w:val="20"/>
          <w:lang w:val="hr-HR"/>
        </w:rPr>
        <w:t>0</w:t>
      </w:r>
      <w:r w:rsidRPr="00AB4843">
        <w:rPr>
          <w:rFonts w:asciiTheme="minorHAnsi" w:hAnsiTheme="minorHAnsi" w:cstheme="minorHAnsi"/>
          <w:sz w:val="20"/>
          <w:szCs w:val="20"/>
          <w:lang w:val="hr-HR"/>
        </w:rPr>
        <w:t>.</w:t>
      </w:r>
      <w:r w:rsidR="00FB5224">
        <w:rPr>
          <w:rFonts w:asciiTheme="minorHAnsi" w:hAnsiTheme="minorHAnsi" w:cstheme="minorHAnsi"/>
          <w:sz w:val="20"/>
          <w:szCs w:val="20"/>
          <w:lang w:val="hr-HR"/>
        </w:rPr>
        <w:t xml:space="preserve"> „Krute“ (AGK), opština Ulcinj,</w:t>
      </w:r>
    </w:p>
    <w:p w:rsidR="00C07850" w:rsidRPr="00AB4843" w:rsidRDefault="00C26145"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11</w:t>
      </w:r>
      <w:r w:rsidR="00C07850" w:rsidRPr="00AB4843">
        <w:rPr>
          <w:rFonts w:asciiTheme="minorHAnsi" w:hAnsiTheme="minorHAnsi" w:cstheme="minorHAnsi"/>
          <w:sz w:val="20"/>
          <w:szCs w:val="20"/>
          <w:lang w:val="hr-HR"/>
        </w:rPr>
        <w:t>. „Bog</w:t>
      </w:r>
      <w:r w:rsidR="00FB5224">
        <w:rPr>
          <w:rFonts w:asciiTheme="minorHAnsi" w:hAnsiTheme="minorHAnsi" w:cstheme="minorHAnsi"/>
          <w:sz w:val="20"/>
          <w:szCs w:val="20"/>
          <w:lang w:val="hr-HR"/>
        </w:rPr>
        <w:t>ovi Lazi“ (TGK), opština Nikšić,</w:t>
      </w:r>
    </w:p>
    <w:p w:rsidR="00DC0A39" w:rsidRDefault="00FB5224" w:rsidP="00403695">
      <w:pPr>
        <w:jc w:val="both"/>
        <w:rPr>
          <w:rFonts w:asciiTheme="minorHAnsi" w:hAnsiTheme="minorHAnsi" w:cstheme="minorHAnsi"/>
          <w:sz w:val="20"/>
          <w:szCs w:val="20"/>
          <w:lang w:val="sr-Latn-CS"/>
        </w:rPr>
      </w:pPr>
      <w:r>
        <w:rPr>
          <w:rFonts w:asciiTheme="minorHAnsi" w:hAnsiTheme="minorHAnsi" w:cstheme="minorHAnsi"/>
          <w:sz w:val="20"/>
          <w:szCs w:val="20"/>
          <w:lang w:val="hr-HR"/>
        </w:rPr>
        <w:t xml:space="preserve">12. </w:t>
      </w:r>
      <w:r>
        <w:rPr>
          <w:rFonts w:asciiTheme="minorHAnsi" w:hAnsiTheme="minorHAnsi" w:cstheme="minorHAnsi"/>
          <w:b/>
          <w:sz w:val="20"/>
          <w:szCs w:val="20"/>
          <w:lang w:val="sr-Latn-CS"/>
        </w:rPr>
        <w:t>„</w:t>
      </w:r>
      <w:r w:rsidRPr="00FB5224">
        <w:rPr>
          <w:rFonts w:asciiTheme="minorHAnsi" w:hAnsiTheme="minorHAnsi" w:cstheme="minorHAnsi"/>
          <w:sz w:val="20"/>
          <w:szCs w:val="20"/>
          <w:lang w:val="sr-Latn-CS"/>
        </w:rPr>
        <w:t>Jagnjilo“ (cementni laporac), opština Pljevlja</w:t>
      </w:r>
      <w:r>
        <w:rPr>
          <w:rFonts w:asciiTheme="minorHAnsi" w:hAnsiTheme="minorHAnsi" w:cstheme="minorHAnsi"/>
          <w:sz w:val="20"/>
          <w:szCs w:val="20"/>
          <w:lang w:val="sr-Latn-CS"/>
        </w:rPr>
        <w:t xml:space="preserve"> i</w:t>
      </w:r>
    </w:p>
    <w:p w:rsidR="00FB5224" w:rsidRDefault="00FB5224" w:rsidP="00403695">
      <w:pPr>
        <w:jc w:val="both"/>
        <w:rPr>
          <w:rFonts w:asciiTheme="minorHAnsi" w:hAnsiTheme="minorHAnsi" w:cstheme="minorHAnsi"/>
          <w:sz w:val="20"/>
          <w:szCs w:val="20"/>
          <w:lang w:val="sr-Latn-CS"/>
        </w:rPr>
      </w:pPr>
      <w:r>
        <w:rPr>
          <w:rFonts w:asciiTheme="minorHAnsi" w:hAnsiTheme="minorHAnsi" w:cstheme="minorHAnsi"/>
          <w:sz w:val="20"/>
          <w:szCs w:val="20"/>
          <w:lang w:val="sr-Latn-CS"/>
        </w:rPr>
        <w:t>13.</w:t>
      </w:r>
      <w:r w:rsidR="0045080B">
        <w:rPr>
          <w:rFonts w:asciiTheme="minorHAnsi" w:hAnsiTheme="minorHAnsi" w:cstheme="minorHAnsi"/>
          <w:sz w:val="20"/>
          <w:szCs w:val="20"/>
          <w:lang w:val="sr-Latn-CS"/>
        </w:rPr>
        <w:t xml:space="preserve"> „Zagrad“, „Đurakov do II“, „Štitovo II“ i „Biočki stan“ (crveni boksiti), opština Nikšić.</w:t>
      </w:r>
    </w:p>
    <w:p w:rsidR="00FB5224" w:rsidRPr="00FB5224" w:rsidRDefault="00FB5224" w:rsidP="00403695">
      <w:pPr>
        <w:jc w:val="both"/>
        <w:rPr>
          <w:rFonts w:asciiTheme="minorHAnsi" w:hAnsiTheme="minorHAnsi" w:cstheme="minorHAnsi"/>
          <w:sz w:val="20"/>
          <w:szCs w:val="20"/>
          <w:lang w:val="hr-HR"/>
        </w:rPr>
      </w:pPr>
    </w:p>
    <w:p w:rsidR="00DC0A39" w:rsidRPr="00AB4843" w:rsidRDefault="00DC0A39" w:rsidP="00403695">
      <w:pPr>
        <w:ind w:left="-90"/>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Položaj i osnovne karakteristike istražno-eksploatacionih prostora mineralnih sirovina čija se detaljna geološka istraživanja i eksploatacija predviđa</w:t>
      </w:r>
    </w:p>
    <w:p w:rsidR="00634E70" w:rsidRPr="00AB4843" w:rsidRDefault="00634E70" w:rsidP="00403695">
      <w:pPr>
        <w:ind w:left="-90"/>
        <w:rPr>
          <w:rFonts w:asciiTheme="minorHAnsi" w:hAnsiTheme="minorHAnsi" w:cstheme="minorHAnsi"/>
          <w:b/>
          <w:sz w:val="20"/>
          <w:szCs w:val="20"/>
          <w:lang w:val="hr-HR"/>
        </w:rPr>
      </w:pPr>
    </w:p>
    <w:p w:rsidR="00634E70" w:rsidRPr="00AB4843" w:rsidRDefault="00634E70" w:rsidP="00403695">
      <w:pPr>
        <w:ind w:left="-90"/>
        <w:rPr>
          <w:rFonts w:asciiTheme="minorHAnsi" w:hAnsiTheme="minorHAnsi" w:cstheme="minorHAnsi"/>
          <w:b/>
          <w:sz w:val="20"/>
          <w:szCs w:val="20"/>
          <w:lang w:val="hr-HR"/>
        </w:rPr>
      </w:pPr>
      <w:r w:rsidRPr="00AB4843">
        <w:rPr>
          <w:rFonts w:asciiTheme="minorHAnsi" w:hAnsiTheme="minorHAnsi" w:cstheme="minorHAnsi"/>
          <w:b/>
          <w:sz w:val="20"/>
          <w:szCs w:val="20"/>
          <w:lang w:val="hr-HR"/>
        </w:rPr>
        <w:t>1. Ležište tehničko-građevinskog kamena (TGK) „Haj-Nehaj“, opština Bar</w:t>
      </w:r>
    </w:p>
    <w:p w:rsidR="00634E70" w:rsidRPr="00AB4843" w:rsidRDefault="00634E70" w:rsidP="00403695">
      <w:pPr>
        <w:ind w:left="-90"/>
        <w:rPr>
          <w:rFonts w:asciiTheme="minorHAnsi" w:hAnsiTheme="minorHAnsi" w:cstheme="minorHAnsi"/>
          <w:b/>
          <w:sz w:val="20"/>
          <w:szCs w:val="20"/>
          <w:lang w:val="hr-HR"/>
        </w:rPr>
      </w:pPr>
    </w:p>
    <w:p w:rsidR="00D13B64" w:rsidRPr="00AB4843" w:rsidRDefault="00634E70" w:rsidP="00403695">
      <w:pPr>
        <w:ind w:left="-90"/>
        <w:jc w:val="both"/>
        <w:rPr>
          <w:rFonts w:asciiTheme="minorHAnsi" w:hAnsiTheme="minorHAnsi" w:cstheme="minorHAnsi"/>
          <w:sz w:val="20"/>
          <w:szCs w:val="20"/>
          <w:lang w:val="hr-HR"/>
        </w:rPr>
      </w:pPr>
      <w:r w:rsidRPr="00AB4843">
        <w:rPr>
          <w:rFonts w:asciiTheme="minorHAnsi" w:hAnsiTheme="minorHAnsi" w:cstheme="minorHAnsi"/>
          <w:sz w:val="20"/>
          <w:szCs w:val="20"/>
          <w:lang w:val="hr-HR"/>
        </w:rPr>
        <w:t xml:space="preserve">Ležište TGK „Haj-Nehaj“ udaljeno je oko 4 km od Sutomora u pravcu sjeverozapada. </w:t>
      </w:r>
    </w:p>
    <w:p w:rsidR="00125EB1" w:rsidRPr="00AB4843" w:rsidRDefault="00125EB1" w:rsidP="00403695">
      <w:pPr>
        <w:ind w:left="-90"/>
        <w:jc w:val="both"/>
        <w:rPr>
          <w:rFonts w:asciiTheme="minorHAnsi" w:hAnsiTheme="minorHAnsi" w:cstheme="minorHAnsi"/>
          <w:sz w:val="20"/>
          <w:szCs w:val="20"/>
          <w:lang w:val="hr-HR"/>
        </w:rPr>
      </w:pPr>
      <w:r w:rsidRPr="00AB4843">
        <w:rPr>
          <w:rFonts w:asciiTheme="minorHAnsi" w:hAnsiTheme="minorHAnsi" w:cstheme="minorHAnsi"/>
          <w:sz w:val="20"/>
          <w:szCs w:val="20"/>
        </w:rPr>
        <w:t>Le</w:t>
      </w:r>
      <w:r w:rsidRPr="00AB4843">
        <w:rPr>
          <w:rFonts w:asciiTheme="minorHAnsi" w:hAnsiTheme="minorHAnsi" w:cstheme="minorHAnsi"/>
          <w:sz w:val="20"/>
          <w:szCs w:val="20"/>
          <w:lang w:val="hr-HR"/>
        </w:rPr>
        <w:t>ž</w:t>
      </w:r>
      <w:r w:rsidRPr="00AB4843">
        <w:rPr>
          <w:rFonts w:asciiTheme="minorHAnsi" w:hAnsiTheme="minorHAnsi" w:cstheme="minorHAnsi"/>
          <w:sz w:val="20"/>
          <w:szCs w:val="20"/>
        </w:rPr>
        <w:t>i</w:t>
      </w:r>
      <w:r w:rsidRPr="00AB4843">
        <w:rPr>
          <w:rFonts w:asciiTheme="minorHAnsi" w:hAnsiTheme="minorHAnsi" w:cstheme="minorHAnsi"/>
          <w:sz w:val="20"/>
          <w:szCs w:val="20"/>
          <w:lang w:val="hr-HR"/>
        </w:rPr>
        <w:t>š</w:t>
      </w:r>
      <w:r w:rsidRPr="00AB4843">
        <w:rPr>
          <w:rFonts w:asciiTheme="minorHAnsi" w:hAnsiTheme="minorHAnsi" w:cstheme="minorHAnsi"/>
          <w:sz w:val="20"/>
          <w:szCs w:val="20"/>
        </w:rPr>
        <w:t>te</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je</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locirano</w:t>
      </w:r>
      <w:r w:rsidRPr="00AB4843">
        <w:rPr>
          <w:rFonts w:asciiTheme="minorHAnsi" w:hAnsiTheme="minorHAnsi" w:cstheme="minorHAnsi"/>
          <w:sz w:val="20"/>
          <w:szCs w:val="20"/>
          <w:lang w:val="hr-HR"/>
        </w:rPr>
        <w:t xml:space="preserve"> </w:t>
      </w:r>
      <w:proofErr w:type="gramStart"/>
      <w:r w:rsidRPr="00AB4843">
        <w:rPr>
          <w:rFonts w:asciiTheme="minorHAnsi" w:hAnsiTheme="minorHAnsi" w:cstheme="minorHAnsi"/>
          <w:sz w:val="20"/>
          <w:szCs w:val="20"/>
        </w:rPr>
        <w:t>na</w:t>
      </w:r>
      <w:proofErr w:type="gramEnd"/>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sjeveroisto</w:t>
      </w:r>
      <w:r w:rsidRPr="00AB4843">
        <w:rPr>
          <w:rFonts w:asciiTheme="minorHAnsi" w:hAnsiTheme="minorHAnsi" w:cstheme="minorHAnsi"/>
          <w:sz w:val="20"/>
          <w:szCs w:val="20"/>
          <w:lang w:val="hr-HR"/>
        </w:rPr>
        <w:t>č</w:t>
      </w:r>
      <w:r w:rsidRPr="00AB4843">
        <w:rPr>
          <w:rFonts w:asciiTheme="minorHAnsi" w:hAnsiTheme="minorHAnsi" w:cstheme="minorHAnsi"/>
          <w:sz w:val="20"/>
          <w:szCs w:val="20"/>
        </w:rPr>
        <w:t>nim</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padinama</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uzvi</w:t>
      </w:r>
      <w:r w:rsidRPr="00AB4843">
        <w:rPr>
          <w:rFonts w:asciiTheme="minorHAnsi" w:hAnsiTheme="minorHAnsi" w:cstheme="minorHAnsi"/>
          <w:sz w:val="20"/>
          <w:szCs w:val="20"/>
          <w:lang w:val="hr-HR"/>
        </w:rPr>
        <w:t>š</w:t>
      </w:r>
      <w:r w:rsidRPr="00AB4843">
        <w:rPr>
          <w:rFonts w:asciiTheme="minorHAnsi" w:hAnsiTheme="minorHAnsi" w:cstheme="minorHAnsi"/>
          <w:sz w:val="20"/>
          <w:szCs w:val="20"/>
        </w:rPr>
        <w:t>enja</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Velji</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Grad</w:t>
      </w:r>
      <w:r w:rsidRPr="00AB4843">
        <w:rPr>
          <w:rFonts w:asciiTheme="minorHAnsi" w:hAnsiTheme="minorHAnsi" w:cstheme="minorHAnsi"/>
          <w:sz w:val="20"/>
          <w:szCs w:val="20"/>
          <w:lang w:val="hr-HR"/>
        </w:rPr>
        <w:t>.</w:t>
      </w:r>
    </w:p>
    <w:p w:rsidR="00125EB1" w:rsidRPr="00AB4843" w:rsidRDefault="00125EB1" w:rsidP="00403695">
      <w:pPr>
        <w:ind w:left="-90"/>
        <w:jc w:val="both"/>
        <w:rPr>
          <w:rFonts w:asciiTheme="minorHAnsi" w:hAnsiTheme="minorHAnsi" w:cstheme="minorHAnsi"/>
          <w:sz w:val="20"/>
          <w:szCs w:val="20"/>
          <w:lang w:val="hr-HR"/>
        </w:rPr>
      </w:pPr>
      <w:r w:rsidRPr="00AB4843">
        <w:rPr>
          <w:rFonts w:asciiTheme="minorHAnsi" w:hAnsiTheme="minorHAnsi" w:cstheme="minorHAnsi"/>
          <w:sz w:val="20"/>
          <w:szCs w:val="20"/>
        </w:rPr>
        <w:t>Zahvata</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povr</w:t>
      </w:r>
      <w:r w:rsidRPr="00AB4843">
        <w:rPr>
          <w:rFonts w:asciiTheme="minorHAnsi" w:hAnsiTheme="minorHAnsi" w:cstheme="minorHAnsi"/>
          <w:sz w:val="20"/>
          <w:szCs w:val="20"/>
          <w:lang w:val="hr-HR"/>
        </w:rPr>
        <w:t>š</w:t>
      </w:r>
      <w:r w:rsidRPr="00AB4843">
        <w:rPr>
          <w:rFonts w:asciiTheme="minorHAnsi" w:hAnsiTheme="minorHAnsi" w:cstheme="minorHAnsi"/>
          <w:sz w:val="20"/>
          <w:szCs w:val="20"/>
        </w:rPr>
        <w:t>inu</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od</w:t>
      </w:r>
      <w:r w:rsidRPr="00AB4843">
        <w:rPr>
          <w:rFonts w:asciiTheme="minorHAnsi" w:hAnsiTheme="minorHAnsi" w:cstheme="minorHAnsi"/>
          <w:sz w:val="20"/>
          <w:szCs w:val="20"/>
          <w:lang w:val="hr-HR"/>
        </w:rPr>
        <w:t xml:space="preserve"> 18,3 </w:t>
      </w:r>
      <w:r w:rsidRPr="00AB4843">
        <w:rPr>
          <w:rFonts w:asciiTheme="minorHAnsi" w:hAnsiTheme="minorHAnsi" w:cstheme="minorHAnsi"/>
          <w:sz w:val="20"/>
          <w:szCs w:val="20"/>
        </w:rPr>
        <w:t>ha</w:t>
      </w:r>
      <w:r w:rsidR="00074AC2" w:rsidRPr="00AB4843">
        <w:rPr>
          <w:rFonts w:asciiTheme="minorHAnsi" w:hAnsiTheme="minorHAnsi" w:cstheme="minorHAnsi"/>
          <w:sz w:val="20"/>
          <w:szCs w:val="20"/>
          <w:lang w:val="hr-HR"/>
        </w:rPr>
        <w:t xml:space="preserve"> između izihipsi – kota 110 i 360 m.n.n.</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Po</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geografskoj</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podjeli</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pripada</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listu</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Titograd</w:t>
      </w:r>
      <w:r w:rsidRPr="00AB4843">
        <w:rPr>
          <w:rFonts w:asciiTheme="minorHAnsi" w:hAnsiTheme="minorHAnsi" w:cstheme="minorHAnsi"/>
          <w:sz w:val="20"/>
          <w:szCs w:val="20"/>
          <w:lang w:val="hr-HR"/>
        </w:rPr>
        <w:t xml:space="preserve">, 1:100 000, </w:t>
      </w:r>
      <w:r w:rsidRPr="00AB4843">
        <w:rPr>
          <w:rFonts w:asciiTheme="minorHAnsi" w:hAnsiTheme="minorHAnsi" w:cstheme="minorHAnsi"/>
          <w:sz w:val="20"/>
          <w:szCs w:val="20"/>
        </w:rPr>
        <w:t>odnosno</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sekciji</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rPr>
        <w:t>Virpazar</w:t>
      </w:r>
      <w:r w:rsidRPr="00AB4843">
        <w:rPr>
          <w:rFonts w:asciiTheme="minorHAnsi" w:hAnsiTheme="minorHAnsi" w:cstheme="minorHAnsi"/>
          <w:sz w:val="20"/>
          <w:szCs w:val="20"/>
          <w:lang w:val="hr-HR"/>
        </w:rPr>
        <w:t>, 1:25 000.</w:t>
      </w:r>
      <w:r w:rsidR="00074AC2" w:rsidRPr="00AB4843">
        <w:rPr>
          <w:rFonts w:asciiTheme="minorHAnsi" w:hAnsiTheme="minorHAnsi" w:cstheme="minorHAnsi"/>
          <w:sz w:val="20"/>
          <w:szCs w:val="20"/>
          <w:lang w:val="hr-HR"/>
        </w:rPr>
        <w:t xml:space="preserve"> Administrativno pripada opštini Bar.</w:t>
      </w:r>
    </w:p>
    <w:p w:rsidR="00D13B64" w:rsidRPr="00AB4843" w:rsidRDefault="00D13B64" w:rsidP="00403695">
      <w:pPr>
        <w:ind w:left="-90"/>
        <w:jc w:val="both"/>
        <w:rPr>
          <w:rFonts w:asciiTheme="minorHAnsi" w:hAnsiTheme="minorHAnsi" w:cstheme="minorHAnsi"/>
          <w:sz w:val="20"/>
          <w:szCs w:val="20"/>
          <w:lang w:val="hr-HR"/>
        </w:rPr>
      </w:pPr>
    </w:p>
    <w:p w:rsidR="00074AC2" w:rsidRPr="00AB4843" w:rsidRDefault="00074AC2" w:rsidP="00403695">
      <w:pPr>
        <w:ind w:left="-90"/>
        <w:jc w:val="both"/>
        <w:outlineLvl w:val="0"/>
        <w:rPr>
          <w:rFonts w:ascii="Calibri" w:hAnsi="Calibri" w:cs="Calibri"/>
          <w:sz w:val="20"/>
          <w:szCs w:val="20"/>
          <w:lang w:val="sr-Latn-CS"/>
        </w:rPr>
      </w:pPr>
      <w:r w:rsidRPr="00AB4843">
        <w:rPr>
          <w:rFonts w:ascii="Calibri" w:hAnsi="Calibri" w:cs="Calibri"/>
          <w:color w:val="000000"/>
          <w:sz w:val="20"/>
          <w:szCs w:val="20"/>
          <w:lang w:val="sr-Latn-CS"/>
        </w:rPr>
        <w:lastRenderedPageBreak/>
        <w:t>Pored ležišta i drobiličnog postrojenja, postoji stari makadamski put Petrovac-Bar, čiji je jedan (oko 400 m) krak veza ležišta sa novim magistralnim putem M-2, kod tunela.</w:t>
      </w:r>
      <w:r w:rsidRPr="00AB4843">
        <w:rPr>
          <w:rFonts w:ascii="Calibri" w:hAnsi="Calibri" w:cs="Calibri"/>
          <w:sz w:val="20"/>
          <w:szCs w:val="20"/>
          <w:lang w:val="sr-Latn-CS"/>
        </w:rPr>
        <w:t xml:space="preserve"> Pomenutom magistralom ležište ima vezu sa primorskim mjestima na sjeverozapadu i sa željezničkom stanicom u Sutomoru i sa Lukom Bar u Baru na jugoistoku. Kroz novoizgrađeni tunel </w:t>
      </w:r>
      <w:r w:rsidRPr="00AB4843">
        <w:rPr>
          <w:rFonts w:ascii="Calibri" w:hAnsi="Calibri" w:cs="Calibri"/>
          <w:color w:val="000000"/>
          <w:sz w:val="20"/>
          <w:szCs w:val="20"/>
          <w:lang w:val="sr-Latn-CS"/>
        </w:rPr>
        <w:t>Sozina,</w:t>
      </w:r>
      <w:r w:rsidRPr="00AB4843">
        <w:rPr>
          <w:rFonts w:ascii="Calibri" w:hAnsi="Calibri" w:cs="Calibri"/>
          <w:sz w:val="20"/>
          <w:szCs w:val="20"/>
          <w:lang w:val="sr-Latn-CS"/>
        </w:rPr>
        <w:t xml:space="preserve"> ležište “Haj-Nehaj” je preko Virpazara povezano sa Podgoricom. </w:t>
      </w:r>
    </w:p>
    <w:p w:rsidR="00D13B64" w:rsidRPr="00AB4843" w:rsidRDefault="00D13B64" w:rsidP="00403695">
      <w:pPr>
        <w:ind w:left="-90"/>
        <w:jc w:val="both"/>
        <w:rPr>
          <w:rFonts w:asciiTheme="minorHAnsi" w:hAnsiTheme="minorHAnsi" w:cstheme="minorHAnsi"/>
          <w:sz w:val="20"/>
          <w:szCs w:val="20"/>
          <w:lang w:val="sr-Latn-CS"/>
        </w:rPr>
      </w:pPr>
    </w:p>
    <w:p w:rsidR="00D13B64" w:rsidRPr="00AB4843" w:rsidRDefault="003C249C" w:rsidP="00403695">
      <w:pPr>
        <w:ind w:left="-90"/>
        <w:jc w:val="both"/>
        <w:rPr>
          <w:rFonts w:asciiTheme="minorHAnsi" w:hAnsiTheme="minorHAnsi" w:cstheme="minorHAnsi"/>
          <w:sz w:val="20"/>
          <w:szCs w:val="20"/>
          <w:lang w:val="sv-SE"/>
        </w:rPr>
      </w:pPr>
      <w:r w:rsidRPr="00AB4843">
        <w:rPr>
          <w:rFonts w:asciiTheme="minorHAnsi" w:hAnsiTheme="minorHAnsi" w:cstheme="minorHAnsi"/>
          <w:sz w:val="20"/>
          <w:szCs w:val="20"/>
          <w:lang w:val="sv-SE"/>
        </w:rPr>
        <w:t xml:space="preserve">Predmetno ležište se istražuje i eksploataiše </w:t>
      </w:r>
      <w:r w:rsidR="00AB4843">
        <w:rPr>
          <w:rFonts w:asciiTheme="minorHAnsi" w:hAnsiTheme="minorHAnsi" w:cstheme="minorHAnsi"/>
          <w:sz w:val="20"/>
          <w:szCs w:val="20"/>
          <w:lang w:val="sv-SE"/>
        </w:rPr>
        <w:t>od 50-tih godina prošlog vijeka.</w:t>
      </w:r>
    </w:p>
    <w:p w:rsidR="00A826FC" w:rsidRPr="00AB4843" w:rsidRDefault="00A826FC" w:rsidP="00403695">
      <w:pPr>
        <w:ind w:left="-90"/>
        <w:jc w:val="both"/>
        <w:rPr>
          <w:rFonts w:asciiTheme="minorHAnsi" w:hAnsiTheme="minorHAnsi" w:cstheme="minorHAnsi"/>
          <w:sz w:val="20"/>
          <w:szCs w:val="20"/>
          <w:lang w:val="sr-Latn-CS"/>
        </w:rPr>
      </w:pPr>
    </w:p>
    <w:p w:rsidR="00A826FC" w:rsidRDefault="00A826FC" w:rsidP="00403695">
      <w:pPr>
        <w:ind w:left="-90"/>
        <w:jc w:val="both"/>
        <w:rPr>
          <w:rFonts w:asciiTheme="minorHAnsi" w:hAnsiTheme="minorHAnsi" w:cstheme="minorHAnsi"/>
          <w:sz w:val="20"/>
          <w:szCs w:val="20"/>
        </w:rPr>
      </w:pPr>
      <w:r w:rsidRPr="00AB4843">
        <w:rPr>
          <w:rFonts w:asciiTheme="minorHAnsi" w:hAnsiTheme="minorHAnsi" w:cstheme="minorHAnsi"/>
          <w:sz w:val="20"/>
          <w:szCs w:val="20"/>
        </w:rPr>
        <w:t>Koordinate istražno-eksploatacionog pros</w:t>
      </w:r>
      <w:r w:rsidR="001F3308">
        <w:rPr>
          <w:rFonts w:asciiTheme="minorHAnsi" w:hAnsiTheme="minorHAnsi" w:cstheme="minorHAnsi"/>
          <w:sz w:val="20"/>
          <w:szCs w:val="20"/>
        </w:rPr>
        <w:t>tora date su u sljedećoj tabeli:</w:t>
      </w:r>
    </w:p>
    <w:p w:rsidR="00F27279" w:rsidRPr="00AB4843" w:rsidRDefault="00F27279" w:rsidP="00403695">
      <w:pPr>
        <w:ind w:left="-90"/>
        <w:jc w:val="both"/>
        <w:rPr>
          <w:rFonts w:asciiTheme="minorHAnsi" w:hAnsiTheme="minorHAnsi" w:cstheme="minorHAnsi"/>
          <w:sz w:val="20"/>
          <w:szCs w:val="20"/>
        </w:rPr>
      </w:pPr>
    </w:p>
    <w:tbl>
      <w:tblPr>
        <w:tblW w:w="5000" w:type="pct"/>
        <w:tblLook w:val="04A0" w:firstRow="1" w:lastRow="0" w:firstColumn="1" w:lastColumn="0" w:noHBand="0" w:noVBand="1"/>
      </w:tblPr>
      <w:tblGrid>
        <w:gridCol w:w="1916"/>
        <w:gridCol w:w="1896"/>
        <w:gridCol w:w="19"/>
        <w:gridCol w:w="1915"/>
        <w:gridCol w:w="1915"/>
        <w:gridCol w:w="1915"/>
      </w:tblGrid>
      <w:tr w:rsidR="00A826FC" w:rsidRPr="00AB4843" w:rsidTr="00AF53FF">
        <w:trPr>
          <w:trHeight w:val="194"/>
        </w:trPr>
        <w:tc>
          <w:tcPr>
            <w:tcW w:w="1000" w:type="pct"/>
            <w:vMerge w:val="restart"/>
            <w:tcBorders>
              <w:top w:val="thinThickSmallGap" w:sz="12" w:space="0" w:color="auto"/>
              <w:left w:val="thinThickSmallGap" w:sz="12" w:space="0" w:color="auto"/>
              <w:right w:val="double" w:sz="4" w:space="0" w:color="auto"/>
            </w:tcBorders>
            <w:shd w:val="clear" w:color="auto" w:fill="92D050"/>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T A Č K A</w:t>
            </w:r>
          </w:p>
        </w:tc>
        <w:tc>
          <w:tcPr>
            <w:tcW w:w="2000" w:type="pct"/>
            <w:gridSpan w:val="3"/>
            <w:tcBorders>
              <w:top w:val="thinThickSmallGap" w:sz="12" w:space="0" w:color="auto"/>
              <w:left w:val="double" w:sz="4" w:space="0" w:color="auto"/>
              <w:bottom w:val="single" w:sz="4" w:space="0" w:color="auto"/>
              <w:right w:val="double" w:sz="4" w:space="0" w:color="auto"/>
            </w:tcBorders>
            <w:shd w:val="clear" w:color="auto" w:fill="92D050"/>
            <w:vAlign w:val="center"/>
          </w:tcPr>
          <w:p w:rsidR="00A826FC" w:rsidRPr="00AB4843" w:rsidRDefault="00A826FC" w:rsidP="00AF53FF">
            <w:pPr>
              <w:jc w:val="center"/>
              <w:rPr>
                <w:rFonts w:asciiTheme="minorHAnsi" w:hAnsiTheme="minorHAnsi" w:cstheme="minorHAnsi"/>
                <w:b/>
                <w:sz w:val="20"/>
                <w:szCs w:val="20"/>
                <w:lang w:val="de-DE"/>
              </w:rPr>
            </w:pPr>
            <w:r w:rsidRPr="00AB4843">
              <w:rPr>
                <w:rFonts w:asciiTheme="minorHAnsi" w:hAnsiTheme="minorHAnsi" w:cstheme="minorHAnsi"/>
                <w:b/>
                <w:sz w:val="20"/>
                <w:szCs w:val="20"/>
                <w:lang w:val="de-DE"/>
              </w:rPr>
              <w:t>K O O R D I N A T E</w:t>
            </w:r>
          </w:p>
        </w:tc>
        <w:tc>
          <w:tcPr>
            <w:tcW w:w="1000" w:type="pct"/>
            <w:vMerge w:val="restart"/>
            <w:tcBorders>
              <w:top w:val="thinThickSmallGap" w:sz="12" w:space="0" w:color="auto"/>
              <w:left w:val="double" w:sz="4" w:space="0" w:color="auto"/>
              <w:right w:val="double" w:sz="4" w:space="0" w:color="auto"/>
            </w:tcBorders>
            <w:shd w:val="clear" w:color="auto" w:fill="92D050"/>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DUŽINA STRANA</w:t>
            </w:r>
          </w:p>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(m)</w:t>
            </w:r>
          </w:p>
        </w:tc>
        <w:tc>
          <w:tcPr>
            <w:tcW w:w="1000" w:type="pct"/>
            <w:vMerge w:val="restart"/>
            <w:tcBorders>
              <w:top w:val="thinThickSmallGap" w:sz="12" w:space="0" w:color="auto"/>
              <w:left w:val="double" w:sz="4" w:space="0" w:color="auto"/>
              <w:right w:val="thinThickSmallGap" w:sz="12" w:space="0" w:color="auto"/>
            </w:tcBorders>
            <w:shd w:val="clear" w:color="auto" w:fill="92D050"/>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POVRŠINA (ha)</w:t>
            </w:r>
          </w:p>
        </w:tc>
      </w:tr>
      <w:tr w:rsidR="00A826FC" w:rsidRPr="00AB4843" w:rsidTr="00AF53FF">
        <w:trPr>
          <w:trHeight w:val="291"/>
        </w:trPr>
        <w:tc>
          <w:tcPr>
            <w:tcW w:w="1000" w:type="pct"/>
            <w:vMerge/>
            <w:tcBorders>
              <w:left w:val="thinThickSmallGap" w:sz="12" w:space="0" w:color="auto"/>
              <w:bottom w:val="double" w:sz="4" w:space="0" w:color="auto"/>
              <w:right w:val="double" w:sz="4" w:space="0" w:color="auto"/>
            </w:tcBorders>
          </w:tcPr>
          <w:p w:rsidR="00A826FC" w:rsidRPr="00AB4843" w:rsidRDefault="00A826FC" w:rsidP="00403695">
            <w:pPr>
              <w:jc w:val="both"/>
              <w:rPr>
                <w:rFonts w:asciiTheme="minorHAnsi" w:hAnsiTheme="minorHAnsi" w:cstheme="minorHAnsi"/>
                <w:sz w:val="20"/>
                <w:szCs w:val="20"/>
              </w:rPr>
            </w:pPr>
          </w:p>
        </w:tc>
        <w:tc>
          <w:tcPr>
            <w:tcW w:w="990" w:type="pct"/>
            <w:tcBorders>
              <w:top w:val="single" w:sz="4" w:space="0" w:color="auto"/>
              <w:left w:val="double" w:sz="4" w:space="0" w:color="auto"/>
              <w:bottom w:val="double" w:sz="4" w:space="0" w:color="auto"/>
              <w:right w:val="double" w:sz="4" w:space="0" w:color="auto"/>
            </w:tcBorders>
            <w:shd w:val="clear" w:color="auto" w:fill="92D050"/>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X</w:t>
            </w:r>
          </w:p>
        </w:tc>
        <w:tc>
          <w:tcPr>
            <w:tcW w:w="1009" w:type="pct"/>
            <w:gridSpan w:val="2"/>
            <w:tcBorders>
              <w:top w:val="single" w:sz="4" w:space="0" w:color="auto"/>
              <w:left w:val="double" w:sz="4" w:space="0" w:color="auto"/>
              <w:bottom w:val="double" w:sz="4" w:space="0" w:color="auto"/>
              <w:right w:val="double" w:sz="4" w:space="0" w:color="auto"/>
            </w:tcBorders>
            <w:shd w:val="clear" w:color="auto" w:fill="92D050"/>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Y</w:t>
            </w:r>
          </w:p>
        </w:tc>
        <w:tc>
          <w:tcPr>
            <w:tcW w:w="1000" w:type="pct"/>
            <w:vMerge/>
            <w:tcBorders>
              <w:left w:val="double" w:sz="4" w:space="0" w:color="auto"/>
              <w:bottom w:val="double" w:sz="4" w:space="0" w:color="auto"/>
              <w:right w:val="double" w:sz="4" w:space="0" w:color="auto"/>
            </w:tcBorders>
          </w:tcPr>
          <w:p w:rsidR="00A826FC" w:rsidRPr="00AB4843" w:rsidRDefault="00A826FC" w:rsidP="00403695">
            <w:pPr>
              <w:jc w:val="both"/>
              <w:rPr>
                <w:rFonts w:asciiTheme="minorHAnsi" w:hAnsiTheme="minorHAnsi" w:cstheme="minorHAnsi"/>
                <w:sz w:val="20"/>
                <w:szCs w:val="20"/>
              </w:rPr>
            </w:pPr>
          </w:p>
        </w:tc>
        <w:tc>
          <w:tcPr>
            <w:tcW w:w="1000" w:type="pct"/>
            <w:vMerge/>
            <w:tcBorders>
              <w:left w:val="double" w:sz="4" w:space="0" w:color="auto"/>
              <w:bottom w:val="double" w:sz="4" w:space="0" w:color="auto"/>
              <w:right w:val="thinThickSmallGap" w:sz="12" w:space="0" w:color="auto"/>
            </w:tcBorders>
          </w:tcPr>
          <w:p w:rsidR="00A826FC" w:rsidRPr="00AB4843" w:rsidRDefault="00A826FC" w:rsidP="00403695">
            <w:pPr>
              <w:jc w:val="both"/>
              <w:rPr>
                <w:rFonts w:asciiTheme="minorHAnsi" w:hAnsiTheme="minorHAnsi" w:cstheme="minorHAnsi"/>
                <w:sz w:val="20"/>
                <w:szCs w:val="20"/>
              </w:rPr>
            </w:pPr>
          </w:p>
        </w:tc>
      </w:tr>
      <w:tr w:rsidR="00A826FC" w:rsidRPr="00AB4843" w:rsidTr="00AF53FF">
        <w:tc>
          <w:tcPr>
            <w:tcW w:w="1000" w:type="pct"/>
            <w:tcBorders>
              <w:top w:val="double" w:sz="4" w:space="0" w:color="auto"/>
              <w:left w:val="thinThickSmallGap" w:sz="12" w:space="0" w:color="auto"/>
              <w:right w:val="double" w:sz="4" w:space="0" w:color="auto"/>
            </w:tcBorders>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A</w:t>
            </w:r>
          </w:p>
        </w:tc>
        <w:tc>
          <w:tcPr>
            <w:tcW w:w="1000" w:type="pct"/>
            <w:gridSpan w:val="2"/>
            <w:tcBorders>
              <w:top w:val="double" w:sz="4" w:space="0" w:color="auto"/>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4 668 439</w:t>
            </w:r>
          </w:p>
        </w:tc>
        <w:tc>
          <w:tcPr>
            <w:tcW w:w="1000" w:type="pct"/>
            <w:tcBorders>
              <w:top w:val="double" w:sz="4" w:space="0" w:color="auto"/>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6 584 564</w:t>
            </w:r>
          </w:p>
        </w:tc>
        <w:tc>
          <w:tcPr>
            <w:tcW w:w="1000" w:type="pct"/>
            <w:tcBorders>
              <w:top w:val="double" w:sz="4" w:space="0" w:color="auto"/>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A – B = 312</w:t>
            </w:r>
          </w:p>
        </w:tc>
        <w:tc>
          <w:tcPr>
            <w:tcW w:w="1000" w:type="pct"/>
            <w:vMerge w:val="restart"/>
            <w:tcBorders>
              <w:left w:val="double" w:sz="4" w:space="0" w:color="auto"/>
              <w:right w:val="thinThickSmallGap" w:sz="12" w:space="0" w:color="auto"/>
            </w:tcBorders>
            <w:vAlign w:val="center"/>
          </w:tcPr>
          <w:p w:rsidR="00A21FDF"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18,3</w:t>
            </w:r>
          </w:p>
        </w:tc>
      </w:tr>
      <w:tr w:rsidR="00A826FC" w:rsidRPr="00AB4843" w:rsidTr="00AF53FF">
        <w:tc>
          <w:tcPr>
            <w:tcW w:w="1000" w:type="pct"/>
            <w:tcBorders>
              <w:left w:val="thinThickSmallGap" w:sz="12" w:space="0" w:color="auto"/>
              <w:right w:val="double" w:sz="4" w:space="0" w:color="auto"/>
            </w:tcBorders>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B</w:t>
            </w:r>
          </w:p>
        </w:tc>
        <w:tc>
          <w:tcPr>
            <w:tcW w:w="1000" w:type="pct"/>
            <w:gridSpan w:val="2"/>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4 668 453</w:t>
            </w:r>
          </w:p>
        </w:tc>
        <w:tc>
          <w:tcPr>
            <w:tcW w:w="1000" w:type="pct"/>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6 584 875</w:t>
            </w:r>
          </w:p>
        </w:tc>
        <w:tc>
          <w:tcPr>
            <w:tcW w:w="1000" w:type="pct"/>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B – C = 222</w:t>
            </w:r>
          </w:p>
        </w:tc>
        <w:tc>
          <w:tcPr>
            <w:tcW w:w="1000" w:type="pct"/>
            <w:vMerge/>
            <w:tcBorders>
              <w:left w:val="double" w:sz="4" w:space="0" w:color="auto"/>
              <w:right w:val="thinThickSmallGap" w:sz="12" w:space="0" w:color="auto"/>
            </w:tcBorders>
            <w:vAlign w:val="center"/>
          </w:tcPr>
          <w:p w:rsidR="00A826FC" w:rsidRPr="00AB4843" w:rsidRDefault="00A826FC" w:rsidP="00AF53FF">
            <w:pPr>
              <w:jc w:val="center"/>
              <w:rPr>
                <w:rFonts w:asciiTheme="minorHAnsi" w:hAnsiTheme="minorHAnsi" w:cstheme="minorHAnsi"/>
                <w:sz w:val="20"/>
                <w:szCs w:val="20"/>
              </w:rPr>
            </w:pPr>
          </w:p>
        </w:tc>
      </w:tr>
      <w:tr w:rsidR="00A826FC" w:rsidRPr="00AB4843" w:rsidTr="00AF53FF">
        <w:tc>
          <w:tcPr>
            <w:tcW w:w="1000" w:type="pct"/>
            <w:tcBorders>
              <w:left w:val="thinThickSmallGap" w:sz="12" w:space="0" w:color="auto"/>
              <w:right w:val="double" w:sz="4" w:space="0" w:color="auto"/>
            </w:tcBorders>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C</w:t>
            </w:r>
          </w:p>
        </w:tc>
        <w:tc>
          <w:tcPr>
            <w:tcW w:w="1000" w:type="pct"/>
            <w:gridSpan w:val="2"/>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4 688 400</w:t>
            </w:r>
          </w:p>
        </w:tc>
        <w:tc>
          <w:tcPr>
            <w:tcW w:w="1000" w:type="pct"/>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6 584 090</w:t>
            </w:r>
          </w:p>
        </w:tc>
        <w:tc>
          <w:tcPr>
            <w:tcW w:w="1000" w:type="pct"/>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 xml:space="preserve">C – D = </w:t>
            </w:r>
            <w:r w:rsidR="00D13B64" w:rsidRPr="00AB4843">
              <w:rPr>
                <w:rFonts w:asciiTheme="minorHAnsi" w:hAnsiTheme="minorHAnsi" w:cstheme="minorHAnsi"/>
                <w:sz w:val="20"/>
                <w:szCs w:val="20"/>
              </w:rPr>
              <w:t xml:space="preserve">  </w:t>
            </w:r>
            <w:r w:rsidRPr="00AB4843">
              <w:rPr>
                <w:rFonts w:asciiTheme="minorHAnsi" w:hAnsiTheme="minorHAnsi" w:cstheme="minorHAnsi"/>
                <w:sz w:val="20"/>
                <w:szCs w:val="20"/>
              </w:rPr>
              <w:t>67</w:t>
            </w:r>
          </w:p>
        </w:tc>
        <w:tc>
          <w:tcPr>
            <w:tcW w:w="1000" w:type="pct"/>
            <w:vMerge/>
            <w:tcBorders>
              <w:left w:val="double" w:sz="4" w:space="0" w:color="auto"/>
              <w:right w:val="thinThickSmallGap" w:sz="12" w:space="0" w:color="auto"/>
            </w:tcBorders>
            <w:vAlign w:val="center"/>
          </w:tcPr>
          <w:p w:rsidR="00A826FC" w:rsidRPr="00AB4843" w:rsidRDefault="00A826FC" w:rsidP="00AF53FF">
            <w:pPr>
              <w:jc w:val="center"/>
              <w:rPr>
                <w:rFonts w:asciiTheme="minorHAnsi" w:hAnsiTheme="minorHAnsi" w:cstheme="minorHAnsi"/>
                <w:sz w:val="20"/>
                <w:szCs w:val="20"/>
              </w:rPr>
            </w:pPr>
          </w:p>
        </w:tc>
      </w:tr>
      <w:tr w:rsidR="00A826FC" w:rsidRPr="00AB4843" w:rsidTr="00AF53FF">
        <w:tc>
          <w:tcPr>
            <w:tcW w:w="1000" w:type="pct"/>
            <w:tcBorders>
              <w:left w:val="thinThickSmallGap" w:sz="12" w:space="0" w:color="auto"/>
              <w:right w:val="double" w:sz="4" w:space="0" w:color="auto"/>
            </w:tcBorders>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D</w:t>
            </w:r>
          </w:p>
        </w:tc>
        <w:tc>
          <w:tcPr>
            <w:tcW w:w="1000" w:type="pct"/>
            <w:gridSpan w:val="2"/>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4 688 350</w:t>
            </w:r>
          </w:p>
        </w:tc>
        <w:tc>
          <w:tcPr>
            <w:tcW w:w="1000" w:type="pct"/>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6 584 134</w:t>
            </w:r>
          </w:p>
        </w:tc>
        <w:tc>
          <w:tcPr>
            <w:tcW w:w="1000" w:type="pct"/>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 xml:space="preserve">D – E = </w:t>
            </w:r>
            <w:r w:rsidR="00D13B64" w:rsidRPr="00AB4843">
              <w:rPr>
                <w:rFonts w:asciiTheme="minorHAnsi" w:hAnsiTheme="minorHAnsi" w:cstheme="minorHAnsi"/>
                <w:sz w:val="20"/>
                <w:szCs w:val="20"/>
              </w:rPr>
              <w:t xml:space="preserve"> </w:t>
            </w:r>
            <w:r w:rsidRPr="00AB4843">
              <w:rPr>
                <w:rFonts w:asciiTheme="minorHAnsi" w:hAnsiTheme="minorHAnsi" w:cstheme="minorHAnsi"/>
                <w:sz w:val="20"/>
                <w:szCs w:val="20"/>
              </w:rPr>
              <w:t>245</w:t>
            </w:r>
          </w:p>
        </w:tc>
        <w:tc>
          <w:tcPr>
            <w:tcW w:w="1000" w:type="pct"/>
            <w:vMerge/>
            <w:tcBorders>
              <w:left w:val="double" w:sz="4" w:space="0" w:color="auto"/>
              <w:right w:val="thinThickSmallGap" w:sz="12" w:space="0" w:color="auto"/>
            </w:tcBorders>
            <w:vAlign w:val="center"/>
          </w:tcPr>
          <w:p w:rsidR="00A826FC" w:rsidRPr="00AB4843" w:rsidRDefault="00A826FC" w:rsidP="00AF53FF">
            <w:pPr>
              <w:jc w:val="center"/>
              <w:rPr>
                <w:rFonts w:asciiTheme="minorHAnsi" w:hAnsiTheme="minorHAnsi" w:cstheme="minorHAnsi"/>
                <w:sz w:val="20"/>
                <w:szCs w:val="20"/>
              </w:rPr>
            </w:pPr>
          </w:p>
        </w:tc>
      </w:tr>
      <w:tr w:rsidR="00A826FC" w:rsidRPr="00AB4843" w:rsidTr="00AF53FF">
        <w:tc>
          <w:tcPr>
            <w:tcW w:w="1000" w:type="pct"/>
            <w:tcBorders>
              <w:left w:val="thinThickSmallGap" w:sz="12" w:space="0" w:color="auto"/>
              <w:right w:val="double" w:sz="4" w:space="0" w:color="auto"/>
            </w:tcBorders>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E</w:t>
            </w:r>
          </w:p>
        </w:tc>
        <w:tc>
          <w:tcPr>
            <w:tcW w:w="1000" w:type="pct"/>
            <w:gridSpan w:val="2"/>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4 688 105</w:t>
            </w:r>
          </w:p>
        </w:tc>
        <w:tc>
          <w:tcPr>
            <w:tcW w:w="1000" w:type="pct"/>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6 584 136</w:t>
            </w:r>
          </w:p>
        </w:tc>
        <w:tc>
          <w:tcPr>
            <w:tcW w:w="1000" w:type="pct"/>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 xml:space="preserve">E – F = </w:t>
            </w:r>
            <w:r w:rsidR="00D13B64" w:rsidRPr="00AB4843">
              <w:rPr>
                <w:rFonts w:asciiTheme="minorHAnsi" w:hAnsiTheme="minorHAnsi" w:cstheme="minorHAnsi"/>
                <w:sz w:val="20"/>
                <w:szCs w:val="20"/>
              </w:rPr>
              <w:t xml:space="preserve"> </w:t>
            </w:r>
            <w:r w:rsidRPr="00AB4843">
              <w:rPr>
                <w:rFonts w:asciiTheme="minorHAnsi" w:hAnsiTheme="minorHAnsi" w:cstheme="minorHAnsi"/>
                <w:sz w:val="20"/>
                <w:szCs w:val="20"/>
              </w:rPr>
              <w:t>402</w:t>
            </w:r>
          </w:p>
        </w:tc>
        <w:tc>
          <w:tcPr>
            <w:tcW w:w="1000" w:type="pct"/>
            <w:vMerge/>
            <w:tcBorders>
              <w:left w:val="double" w:sz="4" w:space="0" w:color="auto"/>
              <w:right w:val="thinThickSmallGap" w:sz="12" w:space="0" w:color="auto"/>
            </w:tcBorders>
            <w:vAlign w:val="center"/>
          </w:tcPr>
          <w:p w:rsidR="00A826FC" w:rsidRPr="00AB4843" w:rsidRDefault="00A826FC" w:rsidP="00AF53FF">
            <w:pPr>
              <w:jc w:val="center"/>
              <w:rPr>
                <w:rFonts w:asciiTheme="minorHAnsi" w:hAnsiTheme="minorHAnsi" w:cstheme="minorHAnsi"/>
                <w:sz w:val="20"/>
                <w:szCs w:val="20"/>
              </w:rPr>
            </w:pPr>
          </w:p>
        </w:tc>
      </w:tr>
      <w:tr w:rsidR="00A826FC" w:rsidRPr="00AB4843" w:rsidTr="00AF53FF">
        <w:tc>
          <w:tcPr>
            <w:tcW w:w="1000" w:type="pct"/>
            <w:tcBorders>
              <w:left w:val="thinThickSmallGap" w:sz="12" w:space="0" w:color="auto"/>
              <w:right w:val="double" w:sz="4" w:space="0" w:color="auto"/>
            </w:tcBorders>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F</w:t>
            </w:r>
          </w:p>
        </w:tc>
        <w:tc>
          <w:tcPr>
            <w:tcW w:w="1000" w:type="pct"/>
            <w:gridSpan w:val="2"/>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4 688 054</w:t>
            </w:r>
          </w:p>
        </w:tc>
        <w:tc>
          <w:tcPr>
            <w:tcW w:w="1000" w:type="pct"/>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6 584 738</w:t>
            </w:r>
          </w:p>
        </w:tc>
        <w:tc>
          <w:tcPr>
            <w:tcW w:w="1000" w:type="pct"/>
            <w:tcBorders>
              <w:left w:val="double" w:sz="4"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 xml:space="preserve">F – G = </w:t>
            </w:r>
            <w:r w:rsidR="00D13B64" w:rsidRPr="00AB4843">
              <w:rPr>
                <w:rFonts w:asciiTheme="minorHAnsi" w:hAnsiTheme="minorHAnsi" w:cstheme="minorHAnsi"/>
                <w:sz w:val="20"/>
                <w:szCs w:val="20"/>
              </w:rPr>
              <w:t xml:space="preserve"> </w:t>
            </w:r>
            <w:r w:rsidRPr="00AB4843">
              <w:rPr>
                <w:rFonts w:asciiTheme="minorHAnsi" w:hAnsiTheme="minorHAnsi" w:cstheme="minorHAnsi"/>
                <w:sz w:val="20"/>
                <w:szCs w:val="20"/>
              </w:rPr>
              <w:t>201</w:t>
            </w:r>
          </w:p>
        </w:tc>
        <w:tc>
          <w:tcPr>
            <w:tcW w:w="1000" w:type="pct"/>
            <w:vMerge/>
            <w:tcBorders>
              <w:left w:val="double" w:sz="4" w:space="0" w:color="auto"/>
              <w:right w:val="thinThickSmallGap" w:sz="12" w:space="0" w:color="auto"/>
            </w:tcBorders>
            <w:vAlign w:val="center"/>
          </w:tcPr>
          <w:p w:rsidR="00A826FC" w:rsidRPr="00AB4843" w:rsidRDefault="00A826FC" w:rsidP="00AF53FF">
            <w:pPr>
              <w:jc w:val="center"/>
              <w:rPr>
                <w:rFonts w:asciiTheme="minorHAnsi" w:hAnsiTheme="minorHAnsi" w:cstheme="minorHAnsi"/>
                <w:sz w:val="20"/>
                <w:szCs w:val="20"/>
              </w:rPr>
            </w:pPr>
          </w:p>
        </w:tc>
      </w:tr>
      <w:tr w:rsidR="00A826FC" w:rsidRPr="00AB4843" w:rsidTr="00AF53FF">
        <w:tc>
          <w:tcPr>
            <w:tcW w:w="1000" w:type="pct"/>
            <w:tcBorders>
              <w:left w:val="thinThickSmallGap" w:sz="12" w:space="0" w:color="auto"/>
              <w:bottom w:val="thinThickSmallGap" w:sz="12" w:space="0" w:color="auto"/>
              <w:right w:val="double" w:sz="4" w:space="0" w:color="auto"/>
            </w:tcBorders>
            <w:vAlign w:val="center"/>
          </w:tcPr>
          <w:p w:rsidR="00A826FC" w:rsidRPr="00AB4843" w:rsidRDefault="00A826FC" w:rsidP="00AF53FF">
            <w:pPr>
              <w:jc w:val="center"/>
              <w:rPr>
                <w:rFonts w:asciiTheme="minorHAnsi" w:hAnsiTheme="minorHAnsi" w:cstheme="minorHAnsi"/>
                <w:b/>
                <w:sz w:val="20"/>
                <w:szCs w:val="20"/>
              </w:rPr>
            </w:pPr>
            <w:r w:rsidRPr="00AB4843">
              <w:rPr>
                <w:rFonts w:asciiTheme="minorHAnsi" w:hAnsiTheme="minorHAnsi" w:cstheme="minorHAnsi"/>
                <w:b/>
                <w:sz w:val="20"/>
                <w:szCs w:val="20"/>
              </w:rPr>
              <w:t>G</w:t>
            </w:r>
          </w:p>
        </w:tc>
        <w:tc>
          <w:tcPr>
            <w:tcW w:w="1000" w:type="pct"/>
            <w:gridSpan w:val="2"/>
            <w:tcBorders>
              <w:left w:val="double" w:sz="4" w:space="0" w:color="auto"/>
              <w:bottom w:val="thinThickSmallGap" w:sz="12"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4 688 232</w:t>
            </w:r>
          </w:p>
        </w:tc>
        <w:tc>
          <w:tcPr>
            <w:tcW w:w="1000" w:type="pct"/>
            <w:tcBorders>
              <w:left w:val="double" w:sz="4" w:space="0" w:color="auto"/>
              <w:bottom w:val="thinThickSmallGap" w:sz="12"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6 584 565</w:t>
            </w:r>
          </w:p>
        </w:tc>
        <w:tc>
          <w:tcPr>
            <w:tcW w:w="1000" w:type="pct"/>
            <w:tcBorders>
              <w:left w:val="double" w:sz="4" w:space="0" w:color="auto"/>
              <w:bottom w:val="thinThickSmallGap" w:sz="12" w:space="0" w:color="auto"/>
              <w:right w:val="double" w:sz="4" w:space="0" w:color="auto"/>
            </w:tcBorders>
            <w:vAlign w:val="center"/>
          </w:tcPr>
          <w:p w:rsidR="00A826FC" w:rsidRPr="00AB4843" w:rsidRDefault="00A21FDF" w:rsidP="00AF53FF">
            <w:pPr>
              <w:jc w:val="center"/>
              <w:rPr>
                <w:rFonts w:asciiTheme="minorHAnsi" w:hAnsiTheme="minorHAnsi" w:cstheme="minorHAnsi"/>
                <w:sz w:val="20"/>
                <w:szCs w:val="20"/>
              </w:rPr>
            </w:pPr>
            <w:r w:rsidRPr="00AB4843">
              <w:rPr>
                <w:rFonts w:asciiTheme="minorHAnsi" w:hAnsiTheme="minorHAnsi" w:cstheme="minorHAnsi"/>
                <w:sz w:val="20"/>
                <w:szCs w:val="20"/>
              </w:rPr>
              <w:t>G –</w:t>
            </w:r>
            <w:r w:rsidR="00D13B64" w:rsidRPr="00AB4843">
              <w:rPr>
                <w:rFonts w:asciiTheme="minorHAnsi" w:hAnsiTheme="minorHAnsi" w:cstheme="minorHAnsi"/>
                <w:sz w:val="20"/>
                <w:szCs w:val="20"/>
              </w:rPr>
              <w:t xml:space="preserve"> A = </w:t>
            </w:r>
            <w:r w:rsidRPr="00AB4843">
              <w:rPr>
                <w:rFonts w:asciiTheme="minorHAnsi" w:hAnsiTheme="minorHAnsi" w:cstheme="minorHAnsi"/>
                <w:sz w:val="20"/>
                <w:szCs w:val="20"/>
              </w:rPr>
              <w:t>187</w:t>
            </w:r>
          </w:p>
        </w:tc>
        <w:tc>
          <w:tcPr>
            <w:tcW w:w="1000" w:type="pct"/>
            <w:vMerge/>
            <w:tcBorders>
              <w:left w:val="double" w:sz="4" w:space="0" w:color="auto"/>
              <w:bottom w:val="thinThickSmallGap" w:sz="12" w:space="0" w:color="auto"/>
              <w:right w:val="thinThickSmallGap" w:sz="12" w:space="0" w:color="auto"/>
            </w:tcBorders>
            <w:vAlign w:val="center"/>
          </w:tcPr>
          <w:p w:rsidR="00A826FC" w:rsidRPr="00AB4843" w:rsidRDefault="00A826FC" w:rsidP="00AF53FF">
            <w:pPr>
              <w:jc w:val="center"/>
              <w:rPr>
                <w:rFonts w:asciiTheme="minorHAnsi" w:hAnsiTheme="minorHAnsi" w:cstheme="minorHAnsi"/>
                <w:sz w:val="20"/>
                <w:szCs w:val="20"/>
              </w:rPr>
            </w:pPr>
          </w:p>
        </w:tc>
      </w:tr>
    </w:tbl>
    <w:p w:rsidR="003C249C" w:rsidRPr="00AB4843" w:rsidRDefault="003C249C" w:rsidP="00403695">
      <w:pPr>
        <w:jc w:val="both"/>
        <w:rPr>
          <w:rFonts w:asciiTheme="minorHAnsi" w:hAnsiTheme="minorHAnsi" w:cstheme="minorHAnsi"/>
          <w:color w:val="000000"/>
          <w:sz w:val="20"/>
          <w:szCs w:val="20"/>
          <w:lang w:val="sr-Latn-CS"/>
        </w:rPr>
      </w:pPr>
      <w:r w:rsidRPr="00AB4843">
        <w:rPr>
          <w:rFonts w:asciiTheme="minorHAnsi" w:hAnsiTheme="minorHAnsi" w:cstheme="minorHAnsi"/>
          <w:sz w:val="20"/>
          <w:szCs w:val="20"/>
          <w:lang w:val="sr-Latn-CS"/>
        </w:rPr>
        <w:t>Š</w:t>
      </w:r>
      <w:r w:rsidR="00074AC2" w:rsidRPr="00AB4843">
        <w:rPr>
          <w:rFonts w:asciiTheme="minorHAnsi" w:hAnsiTheme="minorHAnsi" w:cstheme="minorHAnsi"/>
          <w:sz w:val="20"/>
          <w:szCs w:val="20"/>
          <w:lang w:val="sr-Latn-CS"/>
        </w:rPr>
        <w:t>ire područje, kome pripada i istražno-eksploatacioni prostor ležišta “Haj-Nehaj”</w:t>
      </w:r>
      <w:r w:rsidRPr="00AB4843">
        <w:rPr>
          <w:rFonts w:asciiTheme="minorHAnsi" w:hAnsiTheme="minorHAnsi" w:cstheme="minorHAnsi"/>
          <w:sz w:val="20"/>
          <w:szCs w:val="20"/>
          <w:lang w:val="sr-Latn-CS"/>
        </w:rPr>
        <w:t xml:space="preserve"> </w:t>
      </w:r>
      <w:r w:rsidR="00074AC2" w:rsidRPr="00AB4843">
        <w:rPr>
          <w:rFonts w:asciiTheme="minorHAnsi" w:hAnsiTheme="minorHAnsi" w:cstheme="minorHAnsi"/>
          <w:sz w:val="20"/>
          <w:szCs w:val="20"/>
          <w:lang w:val="sr-Latn-CS"/>
        </w:rPr>
        <w:t xml:space="preserve">locirano </w:t>
      </w:r>
      <w:r w:rsidRPr="00AB4843">
        <w:rPr>
          <w:rFonts w:asciiTheme="minorHAnsi" w:hAnsiTheme="minorHAnsi" w:cstheme="minorHAnsi"/>
          <w:sz w:val="20"/>
          <w:szCs w:val="20"/>
          <w:lang w:val="sr-Latn-CS"/>
        </w:rPr>
        <w:t xml:space="preserve">je </w:t>
      </w:r>
      <w:r w:rsidR="00074AC2" w:rsidRPr="00AB4843">
        <w:rPr>
          <w:rFonts w:asciiTheme="minorHAnsi" w:hAnsiTheme="minorHAnsi" w:cstheme="minorHAnsi"/>
          <w:sz w:val="20"/>
          <w:szCs w:val="20"/>
          <w:lang w:val="sr-Latn-CS"/>
        </w:rPr>
        <w:t>u</w:t>
      </w:r>
      <w:r w:rsidRPr="00AB4843">
        <w:rPr>
          <w:rFonts w:asciiTheme="minorHAnsi" w:hAnsiTheme="minorHAnsi" w:cstheme="minorHAnsi"/>
          <w:sz w:val="20"/>
          <w:szCs w:val="20"/>
          <w:lang w:val="sr-Latn-CS"/>
        </w:rPr>
        <w:t xml:space="preserve"> primorskom pojasu Crne Gore i, </w:t>
      </w:r>
      <w:r w:rsidR="00074AC2" w:rsidRPr="00AB4843">
        <w:rPr>
          <w:rFonts w:asciiTheme="minorHAnsi" w:hAnsiTheme="minorHAnsi" w:cstheme="minorHAnsi"/>
          <w:sz w:val="20"/>
          <w:szCs w:val="20"/>
          <w:lang w:val="sr-Latn-CS"/>
        </w:rPr>
        <w:t xml:space="preserve"> uglavnom, predstavlja brdovit kraj, karakterističan za strme tektoniz</w:t>
      </w:r>
      <w:r w:rsidRPr="00AB4843">
        <w:rPr>
          <w:rFonts w:asciiTheme="minorHAnsi" w:hAnsiTheme="minorHAnsi" w:cstheme="minorHAnsi"/>
          <w:sz w:val="20"/>
          <w:szCs w:val="20"/>
          <w:lang w:val="sr-Latn-CS"/>
        </w:rPr>
        <w:t>irane terene Jadranske obale. N</w:t>
      </w:r>
      <w:r w:rsidR="00074AC2" w:rsidRPr="00AB4843">
        <w:rPr>
          <w:rFonts w:asciiTheme="minorHAnsi" w:hAnsiTheme="minorHAnsi" w:cstheme="minorHAnsi"/>
          <w:sz w:val="20"/>
          <w:szCs w:val="20"/>
          <w:lang w:val="sr-Latn-CS"/>
        </w:rPr>
        <w:t xml:space="preserve">a širem području Sutomora jasno </w:t>
      </w:r>
      <w:r w:rsidRPr="00AB4843">
        <w:rPr>
          <w:rFonts w:asciiTheme="minorHAnsi" w:hAnsiTheme="minorHAnsi" w:cstheme="minorHAnsi"/>
          <w:sz w:val="20"/>
          <w:szCs w:val="20"/>
          <w:lang w:val="sr-Latn-CS"/>
        </w:rPr>
        <w:t xml:space="preserve">se </w:t>
      </w:r>
      <w:r w:rsidR="00074AC2" w:rsidRPr="00AB4843">
        <w:rPr>
          <w:rFonts w:asciiTheme="minorHAnsi" w:hAnsiTheme="minorHAnsi" w:cstheme="minorHAnsi"/>
          <w:sz w:val="20"/>
          <w:szCs w:val="20"/>
          <w:lang w:val="sr-Latn-CS"/>
        </w:rPr>
        <w:t xml:space="preserve">izdvaja planinski masiv Sutorine i krečnjačka uzvišenja - grebeni: Velji Grad i Golo brdo, erozione zaravni visine 150 do 160 m između Čanja i Maljevika, kao i eroziono proširenje Spičansko polje. </w:t>
      </w:r>
      <w:r w:rsidR="00074AC2" w:rsidRPr="00AB4843">
        <w:rPr>
          <w:rFonts w:asciiTheme="minorHAnsi" w:hAnsiTheme="minorHAnsi" w:cstheme="minorHAnsi"/>
          <w:color w:val="000000"/>
          <w:sz w:val="20"/>
          <w:szCs w:val="20"/>
          <w:lang w:val="sr-Latn-CS"/>
        </w:rPr>
        <w:t>Na ovom području hidrografska mreža nije razvijena. U široj okolini, u morfološki pogodnim strukturama (jaruge), u vrijeme izraženijih kišnih perioda formiraju se povremeni bujični tokovi, kojim se, prema uvali Čanj i Sutomorskom zalivu i morskim uvalama, slivaju atmosferske padavine.</w:t>
      </w:r>
    </w:p>
    <w:p w:rsidR="003C249C" w:rsidRPr="00AB4843" w:rsidRDefault="003C249C" w:rsidP="00403695">
      <w:pPr>
        <w:jc w:val="both"/>
        <w:rPr>
          <w:rFonts w:asciiTheme="minorHAnsi" w:hAnsiTheme="minorHAnsi" w:cstheme="minorHAnsi"/>
          <w:color w:val="000000"/>
          <w:sz w:val="20"/>
          <w:szCs w:val="20"/>
          <w:lang w:val="sr-Latn-CS"/>
        </w:rPr>
      </w:pPr>
    </w:p>
    <w:p w:rsidR="00074AC2" w:rsidRPr="00AB4843" w:rsidRDefault="00074AC2"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 U klimatskom pogledu, područje pripada mediteranskom tipu sa bogats</w:t>
      </w:r>
      <w:r w:rsidR="003C249C" w:rsidRPr="00AB4843">
        <w:rPr>
          <w:rFonts w:asciiTheme="minorHAnsi" w:hAnsiTheme="minorHAnsi" w:cstheme="minorHAnsi"/>
          <w:sz w:val="20"/>
          <w:szCs w:val="20"/>
          <w:lang w:val="sr-Latn-CS"/>
        </w:rPr>
        <w:t>tvom padavina, velikom vlažnošću</w:t>
      </w:r>
      <w:r w:rsidRPr="00AB4843">
        <w:rPr>
          <w:rFonts w:asciiTheme="minorHAnsi" w:hAnsiTheme="minorHAnsi" w:cstheme="minorHAnsi"/>
          <w:sz w:val="20"/>
          <w:szCs w:val="20"/>
          <w:lang w:val="sr-Latn-CS"/>
        </w:rPr>
        <w:t>, temperaturama sa malim dnevnim i godišnjim kolebanjima, dok vjetrovi duvaju pretežno iz pravca sjevera, kad su hladni i suvi, a iz pravca juga topli i praćeni obilnim padavinama. Obilježja područja sa mediteranskom klimom su dugi, topli i sušni letnji periodi, a blagi i kišni zimski periodi.</w:t>
      </w:r>
      <w:r w:rsidR="003C249C" w:rsidRPr="00AB4843">
        <w:rPr>
          <w:rFonts w:asciiTheme="minorHAnsi" w:hAnsiTheme="minorHAnsi" w:cstheme="minorHAnsi"/>
          <w:sz w:val="20"/>
          <w:szCs w:val="20"/>
          <w:lang w:val="sr-Latn-CS"/>
        </w:rPr>
        <w:t xml:space="preserve"> </w:t>
      </w:r>
      <w:r w:rsidRPr="00AB4843">
        <w:rPr>
          <w:rFonts w:asciiTheme="minorHAnsi" w:hAnsiTheme="minorHAnsi" w:cstheme="minorHAnsi"/>
          <w:sz w:val="20"/>
          <w:szCs w:val="20"/>
          <w:lang w:val="sr-Latn-CS"/>
        </w:rPr>
        <w:t xml:space="preserve"> Ovakve klimatske karakteristike područja omogućavaju kontinualnu eksploataciju, odnosno, rad na eksploataciji i obradi tehničko-građevinskog kamena tokom čitave kalendarske godine.</w:t>
      </w:r>
    </w:p>
    <w:p w:rsidR="003C249C" w:rsidRPr="00AB4843" w:rsidRDefault="003C249C" w:rsidP="00403695">
      <w:pPr>
        <w:jc w:val="both"/>
        <w:rPr>
          <w:rFonts w:asciiTheme="minorHAnsi" w:hAnsiTheme="minorHAnsi" w:cstheme="minorHAnsi"/>
          <w:sz w:val="20"/>
          <w:szCs w:val="20"/>
          <w:lang w:val="sr-Latn-CS"/>
        </w:rPr>
      </w:pPr>
    </w:p>
    <w:p w:rsidR="00074AC2" w:rsidRPr="00AB4843" w:rsidRDefault="003C249C"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l-SI"/>
        </w:rPr>
        <w:t>P</w:t>
      </w:r>
      <w:r w:rsidR="00074AC2" w:rsidRPr="00AB4843">
        <w:rPr>
          <w:rFonts w:asciiTheme="minorHAnsi" w:hAnsiTheme="minorHAnsi" w:cstheme="minorHAnsi"/>
          <w:sz w:val="20"/>
          <w:szCs w:val="20"/>
          <w:lang w:val="sl-SI"/>
        </w:rPr>
        <w:t xml:space="preserve">rva ispitivanja na ležištu "Haj-Nehaj" izvršena </w:t>
      </w:r>
      <w:r w:rsidRPr="00AB4843">
        <w:rPr>
          <w:rFonts w:asciiTheme="minorHAnsi" w:hAnsiTheme="minorHAnsi" w:cstheme="minorHAnsi"/>
          <w:sz w:val="20"/>
          <w:szCs w:val="20"/>
          <w:lang w:val="sl-SI"/>
        </w:rPr>
        <w:t xml:space="preserve">su </w:t>
      </w:r>
      <w:r w:rsidR="00074AC2" w:rsidRPr="00AB4843">
        <w:rPr>
          <w:rFonts w:asciiTheme="minorHAnsi" w:hAnsiTheme="minorHAnsi" w:cstheme="minorHAnsi"/>
          <w:sz w:val="20"/>
          <w:szCs w:val="20"/>
          <w:lang w:val="sl-SI"/>
        </w:rPr>
        <w:t>u sklopu izrade Elaborata o klasifikaciji i kategorizaciji rezervi krečnjaka</w:t>
      </w:r>
      <w:r w:rsidR="00074AC2" w:rsidRPr="00AB4843">
        <w:rPr>
          <w:rFonts w:asciiTheme="minorHAnsi" w:hAnsiTheme="minorHAnsi" w:cstheme="minorHAnsi"/>
          <w:color w:val="FF0000"/>
          <w:sz w:val="20"/>
          <w:szCs w:val="20"/>
          <w:lang w:val="sl-SI"/>
        </w:rPr>
        <w:t>,</w:t>
      </w:r>
      <w:r w:rsidRPr="00AB4843">
        <w:rPr>
          <w:rFonts w:asciiTheme="minorHAnsi" w:hAnsiTheme="minorHAnsi" w:cstheme="minorHAnsi"/>
          <w:sz w:val="20"/>
          <w:szCs w:val="20"/>
          <w:lang w:val="sl-SI"/>
        </w:rPr>
        <w:t xml:space="preserve"> koji je urađen 1983. godine. Geološka istraživanja u kontinuitetu se izvode od 2003. godine.</w:t>
      </w:r>
    </w:p>
    <w:p w:rsidR="00074AC2" w:rsidRPr="00AB4843" w:rsidRDefault="00074AC2" w:rsidP="00403695">
      <w:pPr>
        <w:jc w:val="both"/>
        <w:rPr>
          <w:rFonts w:asciiTheme="minorHAnsi" w:hAnsiTheme="minorHAnsi" w:cstheme="minorHAnsi"/>
          <w:color w:val="000000"/>
          <w:sz w:val="20"/>
          <w:szCs w:val="20"/>
          <w:lang w:val="sr-Latn-CS"/>
        </w:rPr>
      </w:pPr>
    </w:p>
    <w:p w:rsidR="00074AC2" w:rsidRPr="00AB4843" w:rsidRDefault="003C249C"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Š</w:t>
      </w:r>
      <w:r w:rsidR="00074AC2" w:rsidRPr="00AB4843">
        <w:rPr>
          <w:rFonts w:asciiTheme="minorHAnsi" w:hAnsiTheme="minorHAnsi" w:cstheme="minorHAnsi"/>
          <w:sz w:val="20"/>
          <w:szCs w:val="20"/>
          <w:lang w:val="sr-Latn-CS"/>
        </w:rPr>
        <w:t xml:space="preserve">ire područje ležišta izgrađuju sedimentne i vulkanske stijene trijasa, sedimentne stijene jure, krede i kvartara. U širem području, a može se reći i u neposrednoj okolini ležišta </w:t>
      </w:r>
      <w:r w:rsidR="00074AC2" w:rsidRPr="00AB4843">
        <w:rPr>
          <w:rFonts w:asciiTheme="minorHAnsi" w:hAnsiTheme="minorHAnsi" w:cstheme="minorHAnsi"/>
          <w:sz w:val="20"/>
          <w:szCs w:val="20"/>
          <w:lang w:val="sl-SI"/>
        </w:rPr>
        <w:t>“Haj-Nehaj”</w:t>
      </w:r>
      <w:r w:rsidR="00074AC2" w:rsidRPr="00AB4843">
        <w:rPr>
          <w:rFonts w:asciiTheme="minorHAnsi" w:hAnsiTheme="minorHAnsi" w:cstheme="minorHAnsi"/>
          <w:sz w:val="20"/>
          <w:szCs w:val="20"/>
          <w:lang w:val="sr-Latn-CS"/>
        </w:rPr>
        <w:t>, kao najstarije tvorevine, otkrivene su stijene donjeg trijasa (T</w:t>
      </w:r>
      <w:r w:rsidR="00074AC2" w:rsidRPr="00AB4843">
        <w:rPr>
          <w:rFonts w:asciiTheme="minorHAnsi" w:hAnsiTheme="minorHAnsi" w:cstheme="minorHAnsi"/>
          <w:sz w:val="20"/>
          <w:szCs w:val="20"/>
          <w:vertAlign w:val="subscript"/>
          <w:lang w:val="sr-Latn-CS"/>
        </w:rPr>
        <w:t>1</w:t>
      </w:r>
      <w:r w:rsidR="00074AC2" w:rsidRPr="00AB4843">
        <w:rPr>
          <w:rFonts w:asciiTheme="minorHAnsi" w:hAnsiTheme="minorHAnsi" w:cstheme="minorHAnsi"/>
          <w:sz w:val="20"/>
          <w:szCs w:val="20"/>
          <w:lang w:val="sr-Latn-CS"/>
        </w:rPr>
        <w:t>).</w:t>
      </w:r>
    </w:p>
    <w:p w:rsidR="00074AC2" w:rsidRPr="00AB4843" w:rsidRDefault="00074AC2" w:rsidP="00403695">
      <w:pPr>
        <w:jc w:val="both"/>
        <w:rPr>
          <w:rFonts w:asciiTheme="minorHAnsi" w:hAnsiTheme="minorHAnsi" w:cstheme="minorHAnsi"/>
          <w:sz w:val="20"/>
          <w:szCs w:val="20"/>
          <w:lang w:val="sr-Latn-CS"/>
        </w:rPr>
      </w:pPr>
    </w:p>
    <w:p w:rsidR="00074AC2" w:rsidRPr="00AB4843" w:rsidRDefault="002426C2" w:rsidP="00403695">
      <w:pPr>
        <w:pStyle w:val="BodyText"/>
        <w:rPr>
          <w:rFonts w:asciiTheme="minorHAnsi" w:hAnsiTheme="minorHAnsi" w:cstheme="minorHAnsi"/>
          <w:b w:val="0"/>
          <w:color w:val="000000"/>
          <w:sz w:val="20"/>
          <w:szCs w:val="20"/>
        </w:rPr>
      </w:pPr>
      <w:r w:rsidRPr="00AB4843">
        <w:rPr>
          <w:rFonts w:asciiTheme="minorHAnsi" w:hAnsiTheme="minorHAnsi" w:cstheme="minorHAnsi"/>
          <w:b w:val="0"/>
          <w:color w:val="000000"/>
          <w:sz w:val="20"/>
          <w:szCs w:val="20"/>
        </w:rPr>
        <w:t>U</w:t>
      </w:r>
      <w:r w:rsidR="00074AC2" w:rsidRPr="00AB4843">
        <w:rPr>
          <w:rFonts w:asciiTheme="minorHAnsi" w:hAnsiTheme="minorHAnsi" w:cstheme="minorHAnsi"/>
          <w:b w:val="0"/>
          <w:color w:val="000000"/>
          <w:sz w:val="20"/>
          <w:szCs w:val="20"/>
        </w:rPr>
        <w:t xml:space="preserve"> okviru eksploatacionog polja </w:t>
      </w:r>
      <w:r w:rsidRPr="00AB4843">
        <w:rPr>
          <w:rFonts w:asciiTheme="minorHAnsi" w:hAnsiTheme="minorHAnsi" w:cstheme="minorHAnsi"/>
          <w:b w:val="0"/>
          <w:color w:val="000000"/>
          <w:sz w:val="20"/>
          <w:szCs w:val="20"/>
        </w:rPr>
        <w:t xml:space="preserve">„Haj-Nehaj“ </w:t>
      </w:r>
      <w:r w:rsidR="00074AC2" w:rsidRPr="00AB4843">
        <w:rPr>
          <w:rFonts w:asciiTheme="minorHAnsi" w:hAnsiTheme="minorHAnsi" w:cstheme="minorHAnsi"/>
          <w:b w:val="0"/>
          <w:color w:val="000000"/>
          <w:sz w:val="20"/>
          <w:szCs w:val="20"/>
        </w:rPr>
        <w:t xml:space="preserve">geološkim kartiranjem </w:t>
      </w:r>
      <w:r w:rsidRPr="00AB4843">
        <w:rPr>
          <w:rFonts w:asciiTheme="minorHAnsi" w:hAnsiTheme="minorHAnsi" w:cstheme="minorHAnsi"/>
          <w:b w:val="0"/>
          <w:color w:val="000000"/>
          <w:sz w:val="20"/>
          <w:szCs w:val="20"/>
        </w:rPr>
        <w:t xml:space="preserve">su </w:t>
      </w:r>
      <w:r w:rsidR="00074AC2" w:rsidRPr="00AB4843">
        <w:rPr>
          <w:rFonts w:asciiTheme="minorHAnsi" w:hAnsiTheme="minorHAnsi" w:cstheme="minorHAnsi"/>
          <w:b w:val="0"/>
          <w:color w:val="000000"/>
          <w:sz w:val="20"/>
          <w:szCs w:val="20"/>
        </w:rPr>
        <w:t>izdvojeni: sedimenti donjeg trijasa - liskunoviti pješčari, škriljci i pjeskoviti krečnjaci (</w:t>
      </w:r>
      <w:r w:rsidR="00074AC2" w:rsidRPr="00AB4843">
        <w:rPr>
          <w:rFonts w:asciiTheme="minorHAnsi" w:hAnsiTheme="minorHAnsi" w:cstheme="minorHAnsi"/>
          <w:b w:val="0"/>
          <w:color w:val="000000"/>
          <w:sz w:val="20"/>
          <w:szCs w:val="20"/>
          <w:vertAlign w:val="superscript"/>
        </w:rPr>
        <w:t>1</w:t>
      </w:r>
      <w:r w:rsidR="00074AC2" w:rsidRPr="00AB4843">
        <w:rPr>
          <w:rFonts w:asciiTheme="minorHAnsi" w:hAnsiTheme="minorHAnsi" w:cstheme="minorHAnsi"/>
          <w:b w:val="0"/>
          <w:color w:val="000000"/>
          <w:sz w:val="20"/>
          <w:szCs w:val="20"/>
        </w:rPr>
        <w:t>T</w:t>
      </w:r>
      <w:r w:rsidR="00074AC2" w:rsidRPr="00AB4843">
        <w:rPr>
          <w:rFonts w:asciiTheme="minorHAnsi" w:hAnsiTheme="minorHAnsi" w:cstheme="minorHAnsi"/>
          <w:b w:val="0"/>
          <w:color w:val="000000"/>
          <w:sz w:val="20"/>
          <w:szCs w:val="20"/>
          <w:vertAlign w:val="subscript"/>
        </w:rPr>
        <w:t>1</w:t>
      </w:r>
      <w:r w:rsidR="00074AC2" w:rsidRPr="00AB4843">
        <w:rPr>
          <w:rFonts w:asciiTheme="minorHAnsi" w:hAnsiTheme="minorHAnsi" w:cstheme="minorHAnsi"/>
          <w:b w:val="0"/>
          <w:color w:val="000000"/>
          <w:sz w:val="20"/>
          <w:szCs w:val="20"/>
        </w:rPr>
        <w:t>) i bankoviti, sivi, trošni dolomiti (</w:t>
      </w:r>
      <w:r w:rsidR="00074AC2" w:rsidRPr="00AB4843">
        <w:rPr>
          <w:rFonts w:asciiTheme="minorHAnsi" w:hAnsiTheme="minorHAnsi" w:cstheme="minorHAnsi"/>
          <w:b w:val="0"/>
          <w:color w:val="000000"/>
          <w:sz w:val="20"/>
          <w:szCs w:val="20"/>
          <w:vertAlign w:val="superscript"/>
        </w:rPr>
        <w:t>2</w:t>
      </w:r>
      <w:r w:rsidR="00074AC2" w:rsidRPr="00AB4843">
        <w:rPr>
          <w:rFonts w:asciiTheme="minorHAnsi" w:hAnsiTheme="minorHAnsi" w:cstheme="minorHAnsi"/>
          <w:b w:val="0"/>
          <w:color w:val="000000"/>
          <w:sz w:val="20"/>
          <w:szCs w:val="20"/>
        </w:rPr>
        <w:t>T</w:t>
      </w:r>
      <w:r w:rsidR="00074AC2" w:rsidRPr="00AB4843">
        <w:rPr>
          <w:rFonts w:asciiTheme="minorHAnsi" w:hAnsiTheme="minorHAnsi" w:cstheme="minorHAnsi"/>
          <w:b w:val="0"/>
          <w:color w:val="000000"/>
          <w:sz w:val="20"/>
          <w:szCs w:val="20"/>
          <w:vertAlign w:val="subscript"/>
        </w:rPr>
        <w:t>1</w:t>
      </w:r>
      <w:r w:rsidR="00074AC2" w:rsidRPr="00AB4843">
        <w:rPr>
          <w:rFonts w:asciiTheme="minorHAnsi" w:hAnsiTheme="minorHAnsi" w:cstheme="minorHAnsi"/>
          <w:b w:val="0"/>
          <w:color w:val="000000"/>
          <w:sz w:val="20"/>
          <w:szCs w:val="20"/>
        </w:rPr>
        <w:t>); sedimenti srednjeg trijasa - anizijski masivni, sivi i smeđesivi, rekristalisali krečnjaci (T</w:t>
      </w:r>
      <w:r w:rsidR="00074AC2" w:rsidRPr="00AB4843">
        <w:rPr>
          <w:rFonts w:asciiTheme="minorHAnsi" w:hAnsiTheme="minorHAnsi" w:cstheme="minorHAnsi"/>
          <w:b w:val="0"/>
          <w:color w:val="000000"/>
          <w:sz w:val="20"/>
          <w:szCs w:val="20"/>
          <w:vertAlign w:val="subscript"/>
        </w:rPr>
        <w:t>2</w:t>
      </w:r>
      <w:r w:rsidR="00074AC2" w:rsidRPr="00AB4843">
        <w:rPr>
          <w:rFonts w:asciiTheme="minorHAnsi" w:hAnsiTheme="minorHAnsi" w:cstheme="minorHAnsi"/>
          <w:b w:val="0"/>
          <w:color w:val="000000"/>
          <w:sz w:val="20"/>
          <w:szCs w:val="20"/>
          <w:vertAlign w:val="superscript"/>
        </w:rPr>
        <w:t>1</w:t>
      </w:r>
      <w:r w:rsidR="00074AC2" w:rsidRPr="00AB4843">
        <w:rPr>
          <w:rFonts w:asciiTheme="minorHAnsi" w:hAnsiTheme="minorHAnsi" w:cstheme="minorHAnsi"/>
          <w:b w:val="0"/>
          <w:color w:val="000000"/>
          <w:sz w:val="20"/>
          <w:szCs w:val="20"/>
        </w:rPr>
        <w:t>) i ladinski  brečizirani, sivi i rumeni krečnjaci sa uklopcima rožnaca (</w:t>
      </w:r>
      <w:r w:rsidR="00074AC2" w:rsidRPr="00AB4843">
        <w:rPr>
          <w:rFonts w:asciiTheme="minorHAnsi" w:hAnsiTheme="minorHAnsi" w:cstheme="minorHAnsi"/>
          <w:b w:val="0"/>
          <w:color w:val="000000"/>
          <w:sz w:val="20"/>
          <w:szCs w:val="20"/>
          <w:vertAlign w:val="superscript"/>
        </w:rPr>
        <w:t>1</w:t>
      </w:r>
      <w:r w:rsidR="00074AC2" w:rsidRPr="00AB4843">
        <w:rPr>
          <w:rFonts w:asciiTheme="minorHAnsi" w:hAnsiTheme="minorHAnsi" w:cstheme="minorHAnsi"/>
          <w:b w:val="0"/>
          <w:color w:val="000000"/>
          <w:sz w:val="20"/>
          <w:szCs w:val="20"/>
        </w:rPr>
        <w:t>T</w:t>
      </w:r>
      <w:r w:rsidR="00074AC2" w:rsidRPr="00AB4843">
        <w:rPr>
          <w:rFonts w:asciiTheme="minorHAnsi" w:hAnsiTheme="minorHAnsi" w:cstheme="minorHAnsi"/>
          <w:b w:val="0"/>
          <w:color w:val="000000"/>
          <w:sz w:val="20"/>
          <w:szCs w:val="20"/>
          <w:vertAlign w:val="subscript"/>
        </w:rPr>
        <w:t>2</w:t>
      </w:r>
      <w:r w:rsidR="00074AC2" w:rsidRPr="00AB4843">
        <w:rPr>
          <w:rFonts w:asciiTheme="minorHAnsi" w:hAnsiTheme="minorHAnsi" w:cstheme="minorHAnsi"/>
          <w:b w:val="0"/>
          <w:color w:val="000000"/>
          <w:sz w:val="20"/>
          <w:szCs w:val="20"/>
          <w:vertAlign w:val="superscript"/>
        </w:rPr>
        <w:t>2</w:t>
      </w:r>
      <w:r w:rsidR="00074AC2" w:rsidRPr="00AB4843">
        <w:rPr>
          <w:rFonts w:asciiTheme="minorHAnsi" w:hAnsiTheme="minorHAnsi" w:cstheme="minorHAnsi"/>
          <w:b w:val="0"/>
          <w:color w:val="000000"/>
          <w:sz w:val="20"/>
          <w:szCs w:val="20"/>
        </w:rPr>
        <w:t>), masivni bioklastični krečnjaci sa rijetkim uklopcima rožnaca (</w:t>
      </w:r>
      <w:r w:rsidR="00074AC2" w:rsidRPr="00AB4843">
        <w:rPr>
          <w:rFonts w:asciiTheme="minorHAnsi" w:hAnsiTheme="minorHAnsi" w:cstheme="minorHAnsi"/>
          <w:b w:val="0"/>
          <w:color w:val="000000"/>
          <w:sz w:val="20"/>
          <w:szCs w:val="20"/>
          <w:vertAlign w:val="superscript"/>
        </w:rPr>
        <w:t>2</w:t>
      </w:r>
      <w:r w:rsidR="00074AC2" w:rsidRPr="00AB4843">
        <w:rPr>
          <w:rFonts w:asciiTheme="minorHAnsi" w:hAnsiTheme="minorHAnsi" w:cstheme="minorHAnsi"/>
          <w:b w:val="0"/>
          <w:color w:val="000000"/>
          <w:sz w:val="20"/>
          <w:szCs w:val="20"/>
        </w:rPr>
        <w:t>T</w:t>
      </w:r>
      <w:r w:rsidR="00074AC2" w:rsidRPr="00AB4843">
        <w:rPr>
          <w:rFonts w:asciiTheme="minorHAnsi" w:hAnsiTheme="minorHAnsi" w:cstheme="minorHAnsi"/>
          <w:b w:val="0"/>
          <w:color w:val="000000"/>
          <w:sz w:val="20"/>
          <w:szCs w:val="20"/>
          <w:vertAlign w:val="subscript"/>
        </w:rPr>
        <w:t>2</w:t>
      </w:r>
      <w:r w:rsidR="00074AC2" w:rsidRPr="00AB4843">
        <w:rPr>
          <w:rFonts w:asciiTheme="minorHAnsi" w:hAnsiTheme="minorHAnsi" w:cstheme="minorHAnsi"/>
          <w:b w:val="0"/>
          <w:color w:val="000000"/>
          <w:sz w:val="20"/>
          <w:szCs w:val="20"/>
          <w:vertAlign w:val="superscript"/>
        </w:rPr>
        <w:t>2</w:t>
      </w:r>
      <w:r w:rsidR="00074AC2" w:rsidRPr="00AB4843">
        <w:rPr>
          <w:rFonts w:asciiTheme="minorHAnsi" w:hAnsiTheme="minorHAnsi" w:cstheme="minorHAnsi"/>
          <w:b w:val="0"/>
          <w:color w:val="000000"/>
          <w:sz w:val="20"/>
          <w:szCs w:val="20"/>
        </w:rPr>
        <w:t>) i slojeviti i pločasti rožnaci i krečnjaci sa rožnacima (</w:t>
      </w:r>
      <w:r w:rsidR="00074AC2" w:rsidRPr="00AB4843">
        <w:rPr>
          <w:rFonts w:asciiTheme="minorHAnsi" w:hAnsiTheme="minorHAnsi" w:cstheme="minorHAnsi"/>
          <w:b w:val="0"/>
          <w:color w:val="000000"/>
          <w:sz w:val="20"/>
          <w:szCs w:val="20"/>
          <w:vertAlign w:val="superscript"/>
        </w:rPr>
        <w:t>3</w:t>
      </w:r>
      <w:r w:rsidR="00074AC2" w:rsidRPr="00AB4843">
        <w:rPr>
          <w:rFonts w:asciiTheme="minorHAnsi" w:hAnsiTheme="minorHAnsi" w:cstheme="minorHAnsi"/>
          <w:b w:val="0"/>
          <w:color w:val="000000"/>
          <w:sz w:val="20"/>
          <w:szCs w:val="20"/>
        </w:rPr>
        <w:t>T</w:t>
      </w:r>
      <w:r w:rsidR="00074AC2" w:rsidRPr="00AB4843">
        <w:rPr>
          <w:rFonts w:asciiTheme="minorHAnsi" w:hAnsiTheme="minorHAnsi" w:cstheme="minorHAnsi"/>
          <w:b w:val="0"/>
          <w:color w:val="000000"/>
          <w:sz w:val="20"/>
          <w:szCs w:val="20"/>
          <w:vertAlign w:val="subscript"/>
        </w:rPr>
        <w:t>2</w:t>
      </w:r>
      <w:r w:rsidR="00074AC2" w:rsidRPr="00AB4843">
        <w:rPr>
          <w:rFonts w:asciiTheme="minorHAnsi" w:hAnsiTheme="minorHAnsi" w:cstheme="minorHAnsi"/>
          <w:b w:val="0"/>
          <w:color w:val="000000"/>
          <w:sz w:val="20"/>
          <w:szCs w:val="20"/>
          <w:vertAlign w:val="superscript"/>
        </w:rPr>
        <w:t>2</w:t>
      </w:r>
      <w:r w:rsidR="00074AC2" w:rsidRPr="00AB4843">
        <w:rPr>
          <w:rFonts w:asciiTheme="minorHAnsi" w:hAnsiTheme="minorHAnsi" w:cstheme="minorHAnsi"/>
          <w:b w:val="0"/>
          <w:color w:val="000000"/>
          <w:sz w:val="20"/>
          <w:szCs w:val="20"/>
        </w:rPr>
        <w:t>); gornjokredni slojeviti i pločasti krečnjaci i krečnjaci sa rožnacima (K</w:t>
      </w:r>
      <w:r w:rsidR="00074AC2" w:rsidRPr="00AB4843">
        <w:rPr>
          <w:rFonts w:asciiTheme="minorHAnsi" w:hAnsiTheme="minorHAnsi" w:cstheme="minorHAnsi"/>
          <w:b w:val="0"/>
          <w:color w:val="000000"/>
          <w:sz w:val="20"/>
          <w:szCs w:val="20"/>
          <w:vertAlign w:val="subscript"/>
        </w:rPr>
        <w:t>2</w:t>
      </w:r>
      <w:r w:rsidR="00074AC2" w:rsidRPr="00AB4843">
        <w:rPr>
          <w:rFonts w:asciiTheme="minorHAnsi" w:hAnsiTheme="minorHAnsi" w:cstheme="minorHAnsi"/>
          <w:b w:val="0"/>
          <w:color w:val="000000"/>
          <w:sz w:val="20"/>
          <w:szCs w:val="20"/>
          <w:vertAlign w:val="superscript"/>
        </w:rPr>
        <w:t>5,6</w:t>
      </w:r>
      <w:r w:rsidR="00074AC2" w:rsidRPr="00AB4843">
        <w:rPr>
          <w:rFonts w:asciiTheme="minorHAnsi" w:hAnsiTheme="minorHAnsi" w:cstheme="minorHAnsi"/>
          <w:b w:val="0"/>
          <w:color w:val="000000"/>
          <w:sz w:val="20"/>
          <w:szCs w:val="20"/>
        </w:rPr>
        <w:t xml:space="preserve">) i deluvijum (d).  Ležište tehničko-građevinskog kamena “Haj-Nehaj” izgrađuju karbonatni sedimenti srednjotrijaske (anizijske i ladinske) starosti. Oni predstavljaju produktivnu seriju koja je predmet eksploatacije. </w:t>
      </w:r>
    </w:p>
    <w:p w:rsidR="00074AC2" w:rsidRPr="001F3308" w:rsidRDefault="00074AC2" w:rsidP="00403695">
      <w:pPr>
        <w:pStyle w:val="BodyTextIndent"/>
        <w:tabs>
          <w:tab w:val="left" w:pos="-2430"/>
        </w:tabs>
        <w:spacing w:after="0"/>
        <w:ind w:left="0"/>
        <w:jc w:val="both"/>
        <w:rPr>
          <w:rFonts w:asciiTheme="minorHAnsi" w:hAnsiTheme="minorHAnsi" w:cstheme="minorHAnsi"/>
          <w:color w:val="000000"/>
          <w:sz w:val="20"/>
          <w:szCs w:val="20"/>
          <w:lang w:val="sr-Latn-CS"/>
        </w:rPr>
      </w:pPr>
      <w:r w:rsidRPr="00AB4843">
        <w:rPr>
          <w:rFonts w:asciiTheme="minorHAnsi" w:hAnsiTheme="minorHAnsi" w:cstheme="minorHAnsi"/>
          <w:color w:val="000000"/>
          <w:sz w:val="20"/>
          <w:szCs w:val="20"/>
          <w:lang w:val="sr-Latn-CS"/>
        </w:rPr>
        <w:t xml:space="preserve">Prema položaju u odnosu na osnovni nivo površinskog kopa, ležište tehničko-građevinskog kamena “Haj-Nehaj” pripada tipu ležišta sa rezervama kamena iznad osnovnog nivoa kopa, odnosno visinskom tipu površinskog kopa. </w:t>
      </w:r>
    </w:p>
    <w:p w:rsidR="00125EB1" w:rsidRPr="00AB4843" w:rsidRDefault="00125EB1" w:rsidP="00403695">
      <w:pPr>
        <w:jc w:val="both"/>
        <w:rPr>
          <w:rFonts w:asciiTheme="minorHAnsi" w:hAnsiTheme="minorHAnsi" w:cstheme="minorHAnsi"/>
          <w:b/>
          <w:sz w:val="20"/>
          <w:szCs w:val="20"/>
          <w:lang w:val="sr-Latn-CS"/>
        </w:rPr>
      </w:pPr>
    </w:p>
    <w:p w:rsidR="001F3308" w:rsidRPr="00F27279" w:rsidRDefault="00125EB1" w:rsidP="00403695">
      <w:pPr>
        <w:ind w:left="-86"/>
        <w:jc w:val="both"/>
        <w:rPr>
          <w:rFonts w:ascii="Calibri" w:hAnsi="Calibri" w:cs="Calibri"/>
          <w:sz w:val="20"/>
          <w:szCs w:val="20"/>
          <w:lang w:val="sr-Latn-CS"/>
        </w:rPr>
      </w:pPr>
      <w:r w:rsidRPr="00AB4843">
        <w:rPr>
          <w:rFonts w:asciiTheme="minorHAnsi" w:hAnsiTheme="minorHAnsi" w:cstheme="minorHAnsi"/>
          <w:sz w:val="20"/>
          <w:szCs w:val="20"/>
          <w:lang w:val="sr-Latn-CS"/>
        </w:rPr>
        <w:lastRenderedPageBreak/>
        <w:t xml:space="preserve">U „Elaboratu o klasifikaciji, kategorizaciji i proračunu rezervi tehničko-građevinskog kamena ležišta „Haj-Nehaj“, Sutomore, stanje 31.12.2012. godine“ utvrđene su </w:t>
      </w:r>
      <w:r w:rsidRPr="00AB4843">
        <w:rPr>
          <w:rFonts w:ascii="Calibri" w:hAnsi="Calibri" w:cs="Calibri"/>
          <w:sz w:val="20"/>
          <w:szCs w:val="20"/>
          <w:lang w:val="sr-Latn-CS"/>
        </w:rPr>
        <w:t>ukupne geološke, bilansne i eksploatacione rezerve tehničko-građevinskog kamena ležišta „Haj-Nehaj“, koje je ovjerilo Ministarstvo ekonomije.</w:t>
      </w:r>
    </w:p>
    <w:p w:rsidR="00125EB1" w:rsidRPr="00AB4843" w:rsidRDefault="00125EB1" w:rsidP="00403695">
      <w:pPr>
        <w:jc w:val="both"/>
        <w:rPr>
          <w:rFonts w:ascii="Calibri" w:hAnsi="Calibri" w:cs="Calibri"/>
          <w:sz w:val="20"/>
          <w:szCs w:val="20"/>
          <w:lang w:val="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379"/>
        <w:gridCol w:w="2118"/>
        <w:gridCol w:w="2118"/>
        <w:gridCol w:w="2365"/>
      </w:tblGrid>
      <w:tr w:rsidR="00125EB1" w:rsidRPr="003B150E" w:rsidTr="00AF53FF">
        <w:trPr>
          <w:jc w:val="center"/>
        </w:trPr>
        <w:tc>
          <w:tcPr>
            <w:tcW w:w="311" w:type="pct"/>
            <w:vMerge w:val="restart"/>
            <w:tcBorders>
              <w:top w:val="nil"/>
              <w:left w:val="nil"/>
              <w:right w:val="thinThickSmallGap" w:sz="12" w:space="0" w:color="auto"/>
            </w:tcBorders>
          </w:tcPr>
          <w:p w:rsidR="00125EB1" w:rsidRPr="00AB4843" w:rsidRDefault="00125EB1" w:rsidP="00403695">
            <w:pPr>
              <w:rPr>
                <w:rFonts w:ascii="Calibri" w:hAnsi="Calibri" w:cs="Calibri"/>
                <w:b/>
                <w:sz w:val="20"/>
                <w:szCs w:val="20"/>
                <w:lang w:val="sr-Latn-CS"/>
              </w:rPr>
            </w:pPr>
          </w:p>
        </w:tc>
        <w:tc>
          <w:tcPr>
            <w:tcW w:w="1242" w:type="pct"/>
            <w:vMerge w:val="restart"/>
            <w:tcBorders>
              <w:top w:val="thinThickSmallGap" w:sz="12" w:space="0" w:color="auto"/>
              <w:left w:val="thinThickSmallGap" w:sz="12" w:space="0" w:color="auto"/>
              <w:right w:val="double" w:sz="4" w:space="0" w:color="auto"/>
            </w:tcBorders>
            <w:shd w:val="clear" w:color="auto" w:fill="92D050"/>
            <w:vAlign w:val="center"/>
          </w:tcPr>
          <w:p w:rsidR="00125EB1" w:rsidRPr="00AB4843" w:rsidRDefault="00125EB1" w:rsidP="00AF53FF">
            <w:pPr>
              <w:jc w:val="center"/>
              <w:rPr>
                <w:rFonts w:ascii="Calibri" w:hAnsi="Calibri" w:cs="Calibri"/>
                <w:b/>
                <w:sz w:val="20"/>
                <w:szCs w:val="20"/>
              </w:rPr>
            </w:pPr>
            <w:r w:rsidRPr="00AB4843">
              <w:rPr>
                <w:rFonts w:ascii="Calibri" w:hAnsi="Calibri" w:cs="Calibri"/>
                <w:b/>
                <w:sz w:val="20"/>
                <w:szCs w:val="20"/>
              </w:rPr>
              <w:t>Rezerve</w:t>
            </w:r>
          </w:p>
        </w:tc>
        <w:tc>
          <w:tcPr>
            <w:tcW w:w="2212" w:type="pct"/>
            <w:gridSpan w:val="2"/>
            <w:tcBorders>
              <w:top w:val="thinThickSmallGap" w:sz="12" w:space="0" w:color="auto"/>
              <w:left w:val="double" w:sz="4" w:space="0" w:color="auto"/>
              <w:bottom w:val="double" w:sz="4" w:space="0" w:color="auto"/>
              <w:right w:val="double" w:sz="4" w:space="0" w:color="auto"/>
            </w:tcBorders>
            <w:shd w:val="clear" w:color="auto" w:fill="92D050"/>
            <w:vAlign w:val="center"/>
          </w:tcPr>
          <w:p w:rsidR="00125EB1" w:rsidRPr="00AB4843" w:rsidRDefault="00125EB1" w:rsidP="00AF53FF">
            <w:pPr>
              <w:jc w:val="center"/>
              <w:rPr>
                <w:rFonts w:ascii="Calibri" w:hAnsi="Calibri" w:cs="Calibri"/>
                <w:b/>
                <w:sz w:val="20"/>
                <w:szCs w:val="20"/>
              </w:rPr>
            </w:pPr>
            <w:r w:rsidRPr="00AB4843">
              <w:rPr>
                <w:rFonts w:ascii="Calibri" w:hAnsi="Calibri" w:cs="Calibri"/>
                <w:b/>
                <w:sz w:val="20"/>
                <w:szCs w:val="20"/>
              </w:rPr>
              <w:t>Kategorija</w:t>
            </w:r>
          </w:p>
        </w:tc>
        <w:tc>
          <w:tcPr>
            <w:tcW w:w="1235" w:type="pct"/>
            <w:vMerge w:val="restart"/>
            <w:tcBorders>
              <w:top w:val="thinThickSmallGap" w:sz="12" w:space="0" w:color="auto"/>
              <w:left w:val="double" w:sz="4" w:space="0" w:color="auto"/>
              <w:right w:val="thickThinSmallGap" w:sz="12" w:space="0" w:color="auto"/>
            </w:tcBorders>
            <w:shd w:val="clear" w:color="auto" w:fill="92D050"/>
            <w:vAlign w:val="center"/>
          </w:tcPr>
          <w:p w:rsidR="00125EB1" w:rsidRPr="00AB4843" w:rsidRDefault="00125EB1" w:rsidP="00AF53FF">
            <w:pPr>
              <w:jc w:val="center"/>
              <w:rPr>
                <w:rFonts w:ascii="Calibri" w:hAnsi="Calibri" w:cs="Calibri"/>
                <w:b/>
                <w:sz w:val="20"/>
                <w:szCs w:val="20"/>
                <w:vertAlign w:val="superscript"/>
                <w:lang w:val="de-DE"/>
              </w:rPr>
            </w:pPr>
            <w:r w:rsidRPr="00AB4843">
              <w:rPr>
                <w:rFonts w:ascii="Calibri" w:hAnsi="Calibri" w:cs="Calibri"/>
                <w:b/>
                <w:sz w:val="20"/>
                <w:szCs w:val="20"/>
                <w:lang w:val="de-DE"/>
              </w:rPr>
              <w:t>Ukupne rezerve t-g kamena, m</w:t>
            </w:r>
            <w:r w:rsidRPr="00AB4843">
              <w:rPr>
                <w:rFonts w:ascii="Calibri" w:hAnsi="Calibri" w:cs="Calibri"/>
                <w:b/>
                <w:sz w:val="20"/>
                <w:szCs w:val="20"/>
                <w:vertAlign w:val="superscript"/>
                <w:lang w:val="de-DE"/>
              </w:rPr>
              <w:t>3</w:t>
            </w:r>
          </w:p>
        </w:tc>
      </w:tr>
      <w:tr w:rsidR="00125EB1" w:rsidRPr="00AB4843" w:rsidTr="00AF53FF">
        <w:trPr>
          <w:jc w:val="center"/>
        </w:trPr>
        <w:tc>
          <w:tcPr>
            <w:tcW w:w="311" w:type="pct"/>
            <w:vMerge/>
            <w:tcBorders>
              <w:left w:val="nil"/>
              <w:bottom w:val="thinThickSmallGap" w:sz="12" w:space="0" w:color="auto"/>
              <w:right w:val="thinThickSmallGap" w:sz="12" w:space="0" w:color="auto"/>
            </w:tcBorders>
          </w:tcPr>
          <w:p w:rsidR="00125EB1" w:rsidRPr="00AB4843" w:rsidRDefault="00125EB1" w:rsidP="00403695">
            <w:pPr>
              <w:jc w:val="center"/>
              <w:rPr>
                <w:rFonts w:ascii="Calibri" w:hAnsi="Calibri" w:cs="Calibri"/>
                <w:b/>
                <w:sz w:val="20"/>
                <w:szCs w:val="20"/>
                <w:lang w:val="de-DE"/>
              </w:rPr>
            </w:pPr>
          </w:p>
        </w:tc>
        <w:tc>
          <w:tcPr>
            <w:tcW w:w="1242" w:type="pct"/>
            <w:vMerge/>
            <w:tcBorders>
              <w:left w:val="thinThickSmallGap" w:sz="12" w:space="0" w:color="auto"/>
              <w:bottom w:val="double" w:sz="4" w:space="0" w:color="auto"/>
              <w:right w:val="double" w:sz="4" w:space="0" w:color="auto"/>
            </w:tcBorders>
            <w:shd w:val="clear" w:color="auto" w:fill="9BBB59"/>
            <w:vAlign w:val="center"/>
          </w:tcPr>
          <w:p w:rsidR="00125EB1" w:rsidRPr="00AB4843" w:rsidRDefault="00125EB1" w:rsidP="00AF53FF">
            <w:pPr>
              <w:jc w:val="center"/>
              <w:rPr>
                <w:rFonts w:ascii="Calibri" w:hAnsi="Calibri" w:cs="Calibri"/>
                <w:b/>
                <w:sz w:val="20"/>
                <w:szCs w:val="20"/>
                <w:lang w:val="de-DE"/>
              </w:rPr>
            </w:pPr>
          </w:p>
        </w:tc>
        <w:tc>
          <w:tcPr>
            <w:tcW w:w="1106" w:type="pct"/>
            <w:tcBorders>
              <w:top w:val="double" w:sz="4" w:space="0" w:color="auto"/>
              <w:left w:val="double" w:sz="4" w:space="0" w:color="auto"/>
              <w:bottom w:val="double" w:sz="4" w:space="0" w:color="auto"/>
              <w:right w:val="double" w:sz="4" w:space="0" w:color="auto"/>
            </w:tcBorders>
            <w:shd w:val="clear" w:color="auto" w:fill="92D050"/>
            <w:vAlign w:val="center"/>
          </w:tcPr>
          <w:p w:rsidR="00125EB1" w:rsidRPr="00AB4843" w:rsidRDefault="00125EB1" w:rsidP="00AF53FF">
            <w:pPr>
              <w:jc w:val="center"/>
              <w:rPr>
                <w:rFonts w:ascii="Calibri" w:hAnsi="Calibri" w:cs="Calibri"/>
                <w:b/>
                <w:sz w:val="20"/>
                <w:szCs w:val="20"/>
              </w:rPr>
            </w:pPr>
            <w:r w:rsidRPr="00AB4843">
              <w:rPr>
                <w:rFonts w:ascii="Calibri" w:hAnsi="Calibri" w:cs="Calibri"/>
                <w:b/>
                <w:sz w:val="20"/>
                <w:szCs w:val="20"/>
              </w:rPr>
              <w:t>B</w:t>
            </w:r>
          </w:p>
        </w:tc>
        <w:tc>
          <w:tcPr>
            <w:tcW w:w="1106" w:type="pct"/>
            <w:tcBorders>
              <w:top w:val="double" w:sz="4" w:space="0" w:color="auto"/>
              <w:left w:val="double" w:sz="4" w:space="0" w:color="auto"/>
              <w:bottom w:val="double" w:sz="4" w:space="0" w:color="auto"/>
              <w:right w:val="double" w:sz="4" w:space="0" w:color="auto"/>
            </w:tcBorders>
            <w:shd w:val="clear" w:color="auto" w:fill="92D050"/>
            <w:vAlign w:val="center"/>
          </w:tcPr>
          <w:p w:rsidR="00125EB1" w:rsidRPr="00AB4843" w:rsidRDefault="00125EB1" w:rsidP="00AF53FF">
            <w:pPr>
              <w:jc w:val="center"/>
              <w:rPr>
                <w:rFonts w:ascii="Calibri" w:hAnsi="Calibri" w:cs="Calibri"/>
                <w:b/>
                <w:sz w:val="20"/>
                <w:szCs w:val="20"/>
                <w:vertAlign w:val="subscript"/>
              </w:rPr>
            </w:pPr>
            <w:r w:rsidRPr="00AB4843">
              <w:rPr>
                <w:rFonts w:ascii="Calibri" w:hAnsi="Calibri" w:cs="Calibri"/>
                <w:b/>
                <w:sz w:val="20"/>
                <w:szCs w:val="20"/>
              </w:rPr>
              <w:t>C</w:t>
            </w:r>
            <w:r w:rsidRPr="00AB4843">
              <w:rPr>
                <w:rFonts w:ascii="Calibri" w:hAnsi="Calibri" w:cs="Calibri"/>
                <w:b/>
                <w:sz w:val="20"/>
                <w:szCs w:val="20"/>
                <w:vertAlign w:val="subscript"/>
              </w:rPr>
              <w:t>1</w:t>
            </w:r>
          </w:p>
        </w:tc>
        <w:tc>
          <w:tcPr>
            <w:tcW w:w="1235" w:type="pct"/>
            <w:vMerge/>
            <w:tcBorders>
              <w:left w:val="double" w:sz="4" w:space="0" w:color="auto"/>
              <w:bottom w:val="double" w:sz="4" w:space="0" w:color="auto"/>
              <w:right w:val="thickThinSmallGap" w:sz="12" w:space="0" w:color="auto"/>
            </w:tcBorders>
            <w:shd w:val="clear" w:color="auto" w:fill="92D050"/>
            <w:vAlign w:val="center"/>
          </w:tcPr>
          <w:p w:rsidR="00125EB1" w:rsidRPr="00AB4843" w:rsidRDefault="00125EB1" w:rsidP="00AF53FF">
            <w:pPr>
              <w:jc w:val="center"/>
              <w:rPr>
                <w:rFonts w:ascii="Calibri" w:hAnsi="Calibri" w:cs="Calibri"/>
                <w:b/>
                <w:sz w:val="20"/>
                <w:szCs w:val="20"/>
              </w:rPr>
            </w:pPr>
          </w:p>
        </w:tc>
      </w:tr>
      <w:tr w:rsidR="00125EB1" w:rsidRPr="00AB4843" w:rsidTr="00AF53FF">
        <w:trPr>
          <w:jc w:val="center"/>
        </w:trPr>
        <w:tc>
          <w:tcPr>
            <w:tcW w:w="311" w:type="pct"/>
            <w:tcBorders>
              <w:top w:val="thinThickSmallGap" w:sz="12" w:space="0" w:color="auto"/>
              <w:left w:val="thinThickSmallGap" w:sz="12" w:space="0" w:color="auto"/>
            </w:tcBorders>
            <w:shd w:val="clear" w:color="auto" w:fill="92D050"/>
          </w:tcPr>
          <w:p w:rsidR="00125EB1" w:rsidRPr="00AB4843" w:rsidRDefault="00125EB1" w:rsidP="00403695">
            <w:pPr>
              <w:jc w:val="center"/>
              <w:rPr>
                <w:rFonts w:ascii="Calibri" w:hAnsi="Calibri" w:cs="Calibri"/>
                <w:b/>
                <w:color w:val="000000"/>
                <w:sz w:val="20"/>
                <w:szCs w:val="20"/>
              </w:rPr>
            </w:pPr>
            <w:r w:rsidRPr="00AB4843">
              <w:rPr>
                <w:rFonts w:ascii="Calibri" w:hAnsi="Calibri" w:cs="Calibri"/>
                <w:b/>
                <w:color w:val="000000"/>
                <w:sz w:val="20"/>
                <w:szCs w:val="20"/>
              </w:rPr>
              <w:t>1</w:t>
            </w:r>
          </w:p>
        </w:tc>
        <w:tc>
          <w:tcPr>
            <w:tcW w:w="1242" w:type="pct"/>
            <w:tcBorders>
              <w:top w:val="double" w:sz="4" w:space="0" w:color="auto"/>
              <w:right w:val="double" w:sz="4"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color w:val="000000"/>
                <w:sz w:val="20"/>
                <w:szCs w:val="20"/>
              </w:rPr>
              <w:t>Geološke</w:t>
            </w:r>
          </w:p>
        </w:tc>
        <w:tc>
          <w:tcPr>
            <w:tcW w:w="1106" w:type="pct"/>
            <w:tcBorders>
              <w:top w:val="double" w:sz="4" w:space="0" w:color="auto"/>
              <w:left w:val="double" w:sz="4" w:space="0" w:color="auto"/>
              <w:right w:val="double" w:sz="4"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bCs/>
                <w:iCs/>
                <w:sz w:val="20"/>
                <w:szCs w:val="20"/>
              </w:rPr>
              <w:t>1.680.000</w:t>
            </w:r>
          </w:p>
        </w:tc>
        <w:tc>
          <w:tcPr>
            <w:tcW w:w="1106" w:type="pct"/>
            <w:tcBorders>
              <w:top w:val="double" w:sz="4" w:space="0" w:color="auto"/>
              <w:left w:val="double" w:sz="4" w:space="0" w:color="auto"/>
              <w:right w:val="double" w:sz="4"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bCs/>
                <w:iCs/>
                <w:sz w:val="20"/>
                <w:szCs w:val="20"/>
              </w:rPr>
              <w:t>2.496.000</w:t>
            </w:r>
          </w:p>
        </w:tc>
        <w:tc>
          <w:tcPr>
            <w:tcW w:w="1235" w:type="pct"/>
            <w:tcBorders>
              <w:top w:val="double" w:sz="4" w:space="0" w:color="auto"/>
              <w:left w:val="double" w:sz="4" w:space="0" w:color="auto"/>
              <w:right w:val="thickThinSmallGap" w:sz="12"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bCs/>
                <w:iCs/>
                <w:sz w:val="20"/>
                <w:szCs w:val="20"/>
              </w:rPr>
              <w:t>4.176.000</w:t>
            </w:r>
          </w:p>
        </w:tc>
      </w:tr>
      <w:tr w:rsidR="00125EB1" w:rsidRPr="00AB4843" w:rsidTr="00AF53FF">
        <w:trPr>
          <w:jc w:val="center"/>
        </w:trPr>
        <w:tc>
          <w:tcPr>
            <w:tcW w:w="311" w:type="pct"/>
            <w:tcBorders>
              <w:left w:val="thinThickSmallGap" w:sz="12" w:space="0" w:color="auto"/>
            </w:tcBorders>
            <w:shd w:val="clear" w:color="auto" w:fill="92D050"/>
          </w:tcPr>
          <w:p w:rsidR="00125EB1" w:rsidRPr="00AB4843" w:rsidRDefault="00125EB1" w:rsidP="00403695">
            <w:pPr>
              <w:jc w:val="center"/>
              <w:rPr>
                <w:rFonts w:ascii="Calibri" w:hAnsi="Calibri" w:cs="Calibri"/>
                <w:b/>
                <w:color w:val="000000"/>
                <w:sz w:val="20"/>
                <w:szCs w:val="20"/>
              </w:rPr>
            </w:pPr>
            <w:r w:rsidRPr="00AB4843">
              <w:rPr>
                <w:rFonts w:ascii="Calibri" w:hAnsi="Calibri" w:cs="Calibri"/>
                <w:b/>
                <w:color w:val="000000"/>
                <w:sz w:val="20"/>
                <w:szCs w:val="20"/>
              </w:rPr>
              <w:t>2</w:t>
            </w:r>
          </w:p>
        </w:tc>
        <w:tc>
          <w:tcPr>
            <w:tcW w:w="1242" w:type="pct"/>
            <w:tcBorders>
              <w:right w:val="double" w:sz="4"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color w:val="000000"/>
                <w:sz w:val="20"/>
                <w:szCs w:val="20"/>
              </w:rPr>
              <w:t>Bilansne</w:t>
            </w:r>
          </w:p>
        </w:tc>
        <w:tc>
          <w:tcPr>
            <w:tcW w:w="1106" w:type="pct"/>
            <w:tcBorders>
              <w:left w:val="double" w:sz="4" w:space="0" w:color="auto"/>
              <w:right w:val="double" w:sz="4"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bCs/>
                <w:iCs/>
                <w:sz w:val="20"/>
                <w:szCs w:val="20"/>
              </w:rPr>
              <w:t>1.680.000</w:t>
            </w:r>
          </w:p>
        </w:tc>
        <w:tc>
          <w:tcPr>
            <w:tcW w:w="1106" w:type="pct"/>
            <w:tcBorders>
              <w:left w:val="double" w:sz="4" w:space="0" w:color="auto"/>
              <w:right w:val="double" w:sz="4"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bCs/>
                <w:iCs/>
                <w:sz w:val="20"/>
                <w:szCs w:val="20"/>
              </w:rPr>
              <w:t>2.496.000</w:t>
            </w:r>
          </w:p>
        </w:tc>
        <w:tc>
          <w:tcPr>
            <w:tcW w:w="1235" w:type="pct"/>
            <w:tcBorders>
              <w:left w:val="double" w:sz="4" w:space="0" w:color="auto"/>
              <w:right w:val="thickThinSmallGap" w:sz="12"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bCs/>
                <w:iCs/>
                <w:sz w:val="20"/>
                <w:szCs w:val="20"/>
              </w:rPr>
              <w:t>4.176.000</w:t>
            </w:r>
          </w:p>
        </w:tc>
      </w:tr>
      <w:tr w:rsidR="00125EB1" w:rsidRPr="00AB4843" w:rsidTr="00AF53FF">
        <w:trPr>
          <w:jc w:val="center"/>
        </w:trPr>
        <w:tc>
          <w:tcPr>
            <w:tcW w:w="311" w:type="pct"/>
            <w:tcBorders>
              <w:left w:val="thinThickSmallGap" w:sz="12" w:space="0" w:color="auto"/>
              <w:bottom w:val="thickThinSmallGap" w:sz="12" w:space="0" w:color="auto"/>
            </w:tcBorders>
            <w:shd w:val="clear" w:color="auto" w:fill="92D050"/>
          </w:tcPr>
          <w:p w:rsidR="00125EB1" w:rsidRPr="00AB4843" w:rsidRDefault="00125EB1" w:rsidP="00403695">
            <w:pPr>
              <w:jc w:val="center"/>
              <w:rPr>
                <w:rFonts w:ascii="Calibri" w:hAnsi="Calibri" w:cs="Calibri"/>
                <w:b/>
                <w:color w:val="000000"/>
                <w:sz w:val="20"/>
                <w:szCs w:val="20"/>
              </w:rPr>
            </w:pPr>
            <w:r w:rsidRPr="00AB4843">
              <w:rPr>
                <w:rFonts w:ascii="Calibri" w:hAnsi="Calibri" w:cs="Calibri"/>
                <w:b/>
                <w:color w:val="000000"/>
                <w:sz w:val="20"/>
                <w:szCs w:val="20"/>
              </w:rPr>
              <w:t>3</w:t>
            </w:r>
          </w:p>
        </w:tc>
        <w:tc>
          <w:tcPr>
            <w:tcW w:w="1242" w:type="pct"/>
            <w:tcBorders>
              <w:bottom w:val="thickThinSmallGap" w:sz="12" w:space="0" w:color="auto"/>
              <w:right w:val="double" w:sz="4"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color w:val="000000"/>
                <w:sz w:val="20"/>
                <w:szCs w:val="20"/>
              </w:rPr>
              <w:t>Eksploatacione</w:t>
            </w:r>
          </w:p>
        </w:tc>
        <w:tc>
          <w:tcPr>
            <w:tcW w:w="1106" w:type="pct"/>
            <w:tcBorders>
              <w:left w:val="double" w:sz="4" w:space="0" w:color="auto"/>
              <w:bottom w:val="thickThinSmallGap" w:sz="12" w:space="0" w:color="auto"/>
              <w:right w:val="double" w:sz="4"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color w:val="000000"/>
                <w:sz w:val="20"/>
                <w:szCs w:val="20"/>
              </w:rPr>
              <w:t>1.512.000</w:t>
            </w:r>
          </w:p>
        </w:tc>
        <w:tc>
          <w:tcPr>
            <w:tcW w:w="1106" w:type="pct"/>
            <w:tcBorders>
              <w:left w:val="double" w:sz="4" w:space="0" w:color="auto"/>
              <w:bottom w:val="thickThinSmallGap" w:sz="12" w:space="0" w:color="auto"/>
              <w:right w:val="double" w:sz="4"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color w:val="000000"/>
                <w:sz w:val="20"/>
                <w:szCs w:val="20"/>
              </w:rPr>
              <w:t>2.246.400</w:t>
            </w:r>
          </w:p>
        </w:tc>
        <w:tc>
          <w:tcPr>
            <w:tcW w:w="1235" w:type="pct"/>
            <w:tcBorders>
              <w:left w:val="double" w:sz="4" w:space="0" w:color="auto"/>
              <w:bottom w:val="thickThinSmallGap" w:sz="12" w:space="0" w:color="auto"/>
              <w:right w:val="thickThinSmallGap" w:sz="12" w:space="0" w:color="auto"/>
            </w:tcBorders>
            <w:vAlign w:val="center"/>
          </w:tcPr>
          <w:p w:rsidR="00125EB1" w:rsidRPr="00AB4843" w:rsidRDefault="00125EB1" w:rsidP="00AF53FF">
            <w:pPr>
              <w:jc w:val="center"/>
              <w:rPr>
                <w:rFonts w:ascii="Calibri" w:hAnsi="Calibri" w:cs="Calibri"/>
                <w:b/>
                <w:color w:val="000000"/>
                <w:sz w:val="20"/>
                <w:szCs w:val="20"/>
              </w:rPr>
            </w:pPr>
            <w:r w:rsidRPr="00AB4843">
              <w:rPr>
                <w:rFonts w:ascii="Calibri" w:hAnsi="Calibri" w:cs="Calibri"/>
                <w:b/>
                <w:color w:val="000000"/>
                <w:sz w:val="20"/>
                <w:szCs w:val="20"/>
              </w:rPr>
              <w:t>3.758.400</w:t>
            </w:r>
          </w:p>
        </w:tc>
      </w:tr>
    </w:tbl>
    <w:p w:rsidR="00D13B64" w:rsidRPr="00AB4843" w:rsidRDefault="00D13B64" w:rsidP="00403695">
      <w:pPr>
        <w:jc w:val="both"/>
        <w:rPr>
          <w:rFonts w:asciiTheme="minorHAnsi" w:hAnsiTheme="minorHAnsi" w:cstheme="minorHAnsi"/>
          <w:sz w:val="20"/>
          <w:szCs w:val="20"/>
          <w:lang w:val="sr-Latn-CS"/>
        </w:rPr>
      </w:pPr>
    </w:p>
    <w:p w:rsidR="00D13B64" w:rsidRPr="00AB4843" w:rsidRDefault="00D13B64"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Na osnovu fizičko-mehaničkih svojstava t</w:t>
      </w:r>
      <w:r w:rsidRPr="00AB4843">
        <w:rPr>
          <w:rFonts w:asciiTheme="minorHAnsi" w:hAnsiTheme="minorHAnsi" w:cstheme="minorHAnsi"/>
          <w:sz w:val="20"/>
          <w:szCs w:val="20"/>
          <w:lang w:val="sl-SI"/>
        </w:rPr>
        <w:t>ehničko-građevinski</w:t>
      </w:r>
      <w:r w:rsidRPr="00AB4843">
        <w:rPr>
          <w:rFonts w:asciiTheme="minorHAnsi" w:hAnsiTheme="minorHAnsi" w:cstheme="minorHAnsi"/>
          <w:sz w:val="20"/>
          <w:szCs w:val="20"/>
          <w:lang w:val="sr-Latn-CS"/>
        </w:rPr>
        <w:t xml:space="preserve"> kamen ležišta “Haj-Nehaj” može se </w:t>
      </w:r>
      <w:r w:rsidRPr="00AB4843">
        <w:rPr>
          <w:rFonts w:asciiTheme="minorHAnsi" w:hAnsiTheme="minorHAnsi" w:cstheme="minorHAnsi"/>
          <w:sz w:val="20"/>
          <w:szCs w:val="20"/>
          <w:lang w:val="sl-SI"/>
        </w:rPr>
        <w:t>upotrebljavati u građevinarstvu u tehničko-građevinske svrhe</w:t>
      </w:r>
      <w:r w:rsidRPr="00AB4843">
        <w:rPr>
          <w:rFonts w:asciiTheme="minorHAnsi" w:hAnsiTheme="minorHAnsi" w:cstheme="minorHAnsi"/>
          <w:sz w:val="20"/>
          <w:szCs w:val="20"/>
          <w:lang w:val="sr-Latn-CS"/>
        </w:rPr>
        <w:t xml:space="preserve"> za:</w:t>
      </w:r>
    </w:p>
    <w:p w:rsidR="00D13B64" w:rsidRPr="00AB4843" w:rsidRDefault="00D13B64" w:rsidP="00403695">
      <w:pPr>
        <w:jc w:val="both"/>
        <w:rPr>
          <w:rFonts w:asciiTheme="minorHAnsi" w:hAnsiTheme="minorHAnsi" w:cstheme="minorHAnsi"/>
          <w:sz w:val="20"/>
          <w:szCs w:val="20"/>
          <w:lang w:val="fr-FR"/>
        </w:rPr>
      </w:pPr>
    </w:p>
    <w:p w:rsidR="00D13B64" w:rsidRPr="00AB4843" w:rsidRDefault="00D13B64" w:rsidP="00403695">
      <w:pPr>
        <w:numPr>
          <w:ilvl w:val="0"/>
          <w:numId w:val="2"/>
        </w:numPr>
        <w:jc w:val="both"/>
        <w:rPr>
          <w:rFonts w:asciiTheme="minorHAnsi" w:hAnsiTheme="minorHAnsi" w:cstheme="minorHAnsi"/>
          <w:sz w:val="20"/>
          <w:szCs w:val="20"/>
          <w:lang w:val="pl-PL"/>
        </w:rPr>
      </w:pPr>
      <w:r w:rsidRPr="00AB4843">
        <w:rPr>
          <w:rFonts w:asciiTheme="minorHAnsi" w:hAnsiTheme="minorHAnsi" w:cstheme="minorHAnsi"/>
          <w:sz w:val="20"/>
          <w:szCs w:val="20"/>
          <w:lang w:val="pl-PL"/>
        </w:rPr>
        <w:t xml:space="preserve">proizvodnju agregata za izradu betona (JUS B.B2.009), </w:t>
      </w:r>
    </w:p>
    <w:p w:rsidR="00D13B64" w:rsidRPr="00AB4843" w:rsidRDefault="00D13B64" w:rsidP="00403695">
      <w:pPr>
        <w:numPr>
          <w:ilvl w:val="0"/>
          <w:numId w:val="2"/>
        </w:numPr>
        <w:jc w:val="both"/>
        <w:rPr>
          <w:rFonts w:asciiTheme="minorHAnsi" w:hAnsiTheme="minorHAnsi" w:cstheme="minorHAnsi"/>
          <w:sz w:val="20"/>
          <w:szCs w:val="20"/>
          <w:lang w:val="pl-PL"/>
        </w:rPr>
      </w:pPr>
      <w:r w:rsidRPr="00AB4843">
        <w:rPr>
          <w:rFonts w:asciiTheme="minorHAnsi" w:hAnsiTheme="minorHAnsi" w:cstheme="minorHAnsi"/>
          <w:sz w:val="20"/>
          <w:szCs w:val="20"/>
          <w:lang w:val="pl-PL"/>
        </w:rPr>
        <w:t xml:space="preserve">proizvodnju agregata za izradu habajućih slojeva od asfaltnih betona po vrućem postupku za puteve sa lakim i vrlo lakim saobraćajnim opterećenjem (JUS U.E4.014), </w:t>
      </w:r>
    </w:p>
    <w:p w:rsidR="00D13B64" w:rsidRPr="00AB4843" w:rsidRDefault="00D13B64" w:rsidP="00403695">
      <w:pPr>
        <w:numPr>
          <w:ilvl w:val="0"/>
          <w:numId w:val="2"/>
        </w:numPr>
        <w:jc w:val="both"/>
        <w:rPr>
          <w:rFonts w:asciiTheme="minorHAnsi" w:hAnsiTheme="minorHAnsi" w:cstheme="minorHAnsi"/>
          <w:sz w:val="20"/>
          <w:szCs w:val="20"/>
          <w:lang w:val="pl-PL"/>
        </w:rPr>
      </w:pPr>
      <w:r w:rsidRPr="00AB4843">
        <w:rPr>
          <w:rFonts w:asciiTheme="minorHAnsi" w:hAnsiTheme="minorHAnsi" w:cstheme="minorHAnsi"/>
          <w:sz w:val="20"/>
          <w:szCs w:val="20"/>
          <w:lang w:val="pl-PL"/>
        </w:rPr>
        <w:t xml:space="preserve">proizvodnju agregata za klasične i savremene podloge za puteve (JUS U.E.9020), </w:t>
      </w:r>
    </w:p>
    <w:p w:rsidR="00D13B64" w:rsidRPr="00AB4843" w:rsidRDefault="00D13B64" w:rsidP="00403695">
      <w:pPr>
        <w:numPr>
          <w:ilvl w:val="0"/>
          <w:numId w:val="2"/>
        </w:numPr>
        <w:jc w:val="both"/>
        <w:rPr>
          <w:rFonts w:asciiTheme="minorHAnsi" w:hAnsiTheme="minorHAnsi" w:cstheme="minorHAnsi"/>
          <w:sz w:val="20"/>
          <w:szCs w:val="20"/>
          <w:lang w:val="pl-PL"/>
        </w:rPr>
      </w:pPr>
      <w:r w:rsidRPr="00AB4843">
        <w:rPr>
          <w:rFonts w:asciiTheme="minorHAnsi" w:hAnsiTheme="minorHAnsi" w:cstheme="minorHAnsi"/>
          <w:sz w:val="20"/>
          <w:szCs w:val="20"/>
          <w:lang w:val="pl-PL"/>
        </w:rPr>
        <w:t>proizvodnju agregata za gornje i donje noseće slojeve od bituminiziranog materijala po vrućem postupku (JUS U.E9.021 i JUS U.E9.028),</w:t>
      </w:r>
    </w:p>
    <w:p w:rsidR="00D13B64" w:rsidRPr="00AB4843" w:rsidRDefault="00D13B64" w:rsidP="00403695">
      <w:pPr>
        <w:numPr>
          <w:ilvl w:val="0"/>
          <w:numId w:val="2"/>
        </w:numPr>
        <w:jc w:val="both"/>
        <w:rPr>
          <w:rFonts w:asciiTheme="minorHAnsi" w:hAnsiTheme="minorHAnsi" w:cstheme="minorHAnsi"/>
          <w:sz w:val="20"/>
          <w:szCs w:val="20"/>
          <w:lang w:val="pl-PL"/>
        </w:rPr>
      </w:pPr>
      <w:r w:rsidRPr="00AB4843">
        <w:rPr>
          <w:rFonts w:asciiTheme="minorHAnsi" w:hAnsiTheme="minorHAnsi" w:cstheme="minorHAnsi"/>
          <w:sz w:val="20"/>
          <w:szCs w:val="20"/>
          <w:lang w:val="pl-PL"/>
        </w:rPr>
        <w:t>proizvodnju tucanika kategorije II za zastor željezničkih pruga (po Uputstvu za prijem i isporuku tucanika za zastor pruga na JŽ) i</w:t>
      </w:r>
    </w:p>
    <w:p w:rsidR="00D13B64" w:rsidRPr="00AB4843" w:rsidRDefault="00D13B64" w:rsidP="00403695">
      <w:pPr>
        <w:numPr>
          <w:ilvl w:val="0"/>
          <w:numId w:val="2"/>
        </w:numPr>
        <w:jc w:val="both"/>
        <w:rPr>
          <w:rFonts w:asciiTheme="minorHAnsi" w:hAnsiTheme="minorHAnsi" w:cstheme="minorHAnsi"/>
          <w:sz w:val="20"/>
          <w:szCs w:val="20"/>
          <w:lang w:val="sr-Latn-CS"/>
        </w:rPr>
      </w:pPr>
      <w:r w:rsidRPr="00AB4843">
        <w:rPr>
          <w:rFonts w:asciiTheme="minorHAnsi" w:hAnsiTheme="minorHAnsi" w:cstheme="minorHAnsi"/>
          <w:sz w:val="20"/>
          <w:szCs w:val="20"/>
          <w:lang w:val="pl-PL"/>
        </w:rPr>
        <w:t>proizvodnju lomljenog kamena i tesanika za gruba zidanja u niskogradnji i hidrogradnji.</w:t>
      </w:r>
    </w:p>
    <w:p w:rsidR="00D13B64" w:rsidRDefault="00D13B64" w:rsidP="00403695">
      <w:pPr>
        <w:jc w:val="both"/>
        <w:rPr>
          <w:rFonts w:asciiTheme="minorHAnsi" w:hAnsiTheme="minorHAnsi" w:cstheme="minorHAnsi"/>
          <w:sz w:val="20"/>
          <w:szCs w:val="20"/>
          <w:lang w:val="pl-PL"/>
        </w:rPr>
      </w:pPr>
    </w:p>
    <w:p w:rsidR="001F3308" w:rsidRDefault="001F3308" w:rsidP="00403695">
      <w:pPr>
        <w:jc w:val="both"/>
        <w:rPr>
          <w:rFonts w:asciiTheme="minorHAnsi" w:hAnsiTheme="minorHAnsi" w:cstheme="minorHAnsi"/>
          <w:b/>
          <w:sz w:val="20"/>
          <w:szCs w:val="20"/>
          <w:lang w:val="pl-PL"/>
        </w:rPr>
      </w:pPr>
      <w:r w:rsidRPr="001F3308">
        <w:rPr>
          <w:rFonts w:asciiTheme="minorHAnsi" w:hAnsiTheme="minorHAnsi" w:cstheme="minorHAnsi"/>
          <w:b/>
          <w:sz w:val="20"/>
          <w:szCs w:val="20"/>
          <w:lang w:val="pl-PL"/>
        </w:rPr>
        <w:t xml:space="preserve">Imovinsko-pravni odnosi </w:t>
      </w:r>
    </w:p>
    <w:p w:rsidR="001F3308" w:rsidRPr="001F3308" w:rsidRDefault="001F3308" w:rsidP="00403695">
      <w:pPr>
        <w:jc w:val="both"/>
        <w:rPr>
          <w:rFonts w:asciiTheme="minorHAnsi" w:hAnsiTheme="minorHAnsi" w:cstheme="minorHAnsi"/>
          <w:b/>
          <w:sz w:val="20"/>
          <w:szCs w:val="20"/>
          <w:lang w:val="pl-PL"/>
        </w:rPr>
      </w:pPr>
    </w:p>
    <w:p w:rsidR="00D13B64" w:rsidRPr="00AB4843" w:rsidRDefault="009729C7" w:rsidP="00403695">
      <w:pPr>
        <w:jc w:val="both"/>
        <w:rPr>
          <w:rFonts w:asciiTheme="minorHAnsi" w:hAnsiTheme="minorHAnsi" w:cstheme="minorHAnsi"/>
          <w:sz w:val="20"/>
          <w:szCs w:val="20"/>
          <w:lang w:val="pl-PL"/>
        </w:rPr>
      </w:pPr>
      <w:r w:rsidRPr="00AB4843">
        <w:rPr>
          <w:rFonts w:asciiTheme="minorHAnsi" w:hAnsiTheme="minorHAnsi" w:cstheme="minorHAnsi"/>
          <w:sz w:val="20"/>
          <w:szCs w:val="20"/>
          <w:lang w:val="pl-PL"/>
        </w:rPr>
        <w:t xml:space="preserve">Zemljište na kojem se nalazi istražno-eksploatacioni prostor „Haj-Nehaj” je u državnom vlasništvu, LN 273, katastarske parcele br.1723/2, 2719/51, </w:t>
      </w:r>
      <w:r w:rsidR="00A27F1A" w:rsidRPr="00AB4843">
        <w:rPr>
          <w:rFonts w:asciiTheme="minorHAnsi" w:hAnsiTheme="minorHAnsi" w:cstheme="minorHAnsi"/>
          <w:sz w:val="20"/>
          <w:szCs w:val="20"/>
          <w:lang w:val="pl-PL"/>
        </w:rPr>
        <w:t xml:space="preserve">2719/52 i </w:t>
      </w:r>
      <w:r w:rsidRPr="00AB4843">
        <w:rPr>
          <w:rFonts w:asciiTheme="minorHAnsi" w:hAnsiTheme="minorHAnsi" w:cstheme="minorHAnsi"/>
          <w:sz w:val="20"/>
          <w:szCs w:val="20"/>
          <w:lang w:val="pl-PL"/>
        </w:rPr>
        <w:t>1731/11</w:t>
      </w:r>
      <w:r w:rsidR="00A27F1A" w:rsidRPr="00AB4843">
        <w:rPr>
          <w:rFonts w:asciiTheme="minorHAnsi" w:hAnsiTheme="minorHAnsi" w:cstheme="minorHAnsi"/>
          <w:sz w:val="20"/>
          <w:szCs w:val="20"/>
          <w:lang w:val="pl-PL"/>
        </w:rPr>
        <w:t>,</w:t>
      </w:r>
      <w:r w:rsidRPr="00AB4843">
        <w:rPr>
          <w:rFonts w:asciiTheme="minorHAnsi" w:hAnsiTheme="minorHAnsi" w:cstheme="minorHAnsi"/>
          <w:sz w:val="20"/>
          <w:szCs w:val="20"/>
          <w:lang w:val="pl-PL"/>
        </w:rPr>
        <w:t xml:space="preserve"> KO Mišići. </w:t>
      </w:r>
    </w:p>
    <w:p w:rsidR="000D0357" w:rsidRDefault="000D0357" w:rsidP="00403695">
      <w:pPr>
        <w:jc w:val="both"/>
        <w:rPr>
          <w:rFonts w:asciiTheme="minorHAnsi" w:hAnsiTheme="minorHAnsi" w:cstheme="minorHAnsi"/>
          <w:sz w:val="20"/>
          <w:szCs w:val="20"/>
          <w:lang w:val="pl-PL"/>
        </w:rPr>
      </w:pPr>
    </w:p>
    <w:p w:rsidR="001F3308" w:rsidRPr="001F3308" w:rsidRDefault="001F3308" w:rsidP="00403695">
      <w:pPr>
        <w:jc w:val="both"/>
        <w:rPr>
          <w:rFonts w:asciiTheme="minorHAnsi" w:hAnsiTheme="minorHAnsi" w:cstheme="minorHAnsi"/>
          <w:b/>
          <w:sz w:val="20"/>
          <w:szCs w:val="20"/>
          <w:lang w:val="pl-PL"/>
        </w:rPr>
      </w:pPr>
      <w:r w:rsidRPr="001F3308">
        <w:rPr>
          <w:rFonts w:asciiTheme="minorHAnsi" w:hAnsiTheme="minorHAnsi" w:cstheme="minorHAnsi"/>
          <w:b/>
          <w:sz w:val="20"/>
          <w:szCs w:val="20"/>
          <w:lang w:val="pl-PL"/>
        </w:rPr>
        <w:t>Prostorno-planska dokumentacija</w:t>
      </w:r>
    </w:p>
    <w:p w:rsidR="001F3308" w:rsidRPr="00AB4843" w:rsidRDefault="001F3308" w:rsidP="00403695">
      <w:pPr>
        <w:jc w:val="both"/>
        <w:rPr>
          <w:rFonts w:asciiTheme="minorHAnsi" w:hAnsiTheme="minorHAnsi" w:cstheme="minorHAnsi"/>
          <w:sz w:val="20"/>
          <w:szCs w:val="20"/>
          <w:lang w:val="pl-PL"/>
        </w:rPr>
      </w:pPr>
    </w:p>
    <w:p w:rsidR="000D0357" w:rsidRPr="00AB4843" w:rsidRDefault="008854E6" w:rsidP="00403695">
      <w:pPr>
        <w:jc w:val="both"/>
        <w:rPr>
          <w:rFonts w:asciiTheme="minorHAnsi" w:hAnsiTheme="minorHAnsi" w:cstheme="minorHAnsi"/>
          <w:sz w:val="20"/>
          <w:szCs w:val="20"/>
          <w:lang w:val="pl-PL"/>
        </w:rPr>
      </w:pPr>
      <w:r w:rsidRPr="00AB4843">
        <w:rPr>
          <w:rFonts w:asciiTheme="minorHAnsi" w:hAnsiTheme="minorHAnsi" w:cstheme="minorHAnsi"/>
          <w:sz w:val="20"/>
          <w:szCs w:val="20"/>
          <w:lang w:val="pl-PL"/>
        </w:rPr>
        <w:t>U aktu Sekretarijata</w:t>
      </w:r>
      <w:r w:rsidR="00CA4B26" w:rsidRPr="00AB4843">
        <w:rPr>
          <w:rFonts w:asciiTheme="minorHAnsi" w:hAnsiTheme="minorHAnsi" w:cstheme="minorHAnsi"/>
          <w:sz w:val="20"/>
          <w:szCs w:val="20"/>
          <w:lang w:val="pl-PL"/>
        </w:rPr>
        <w:t xml:space="preserve"> za uređenje prostora, </w:t>
      </w:r>
      <w:r w:rsidRPr="00AB4843">
        <w:rPr>
          <w:rFonts w:asciiTheme="minorHAnsi" w:hAnsiTheme="minorHAnsi" w:cstheme="minorHAnsi"/>
          <w:sz w:val="20"/>
          <w:szCs w:val="20"/>
          <w:lang w:val="pl-PL"/>
        </w:rPr>
        <w:t>komunalno-stambene poslove i zaštitu životne sredine opštine Bar, br.032-07-351/14-uv-155 od 26.12.2014. godine, navedeno je da opština Bar nema usvojen Prostorno-urbanistički plan i da je isti u postupku izrade. U prilogu akta dostavljen je izvod iz Generalnog urbanističkog plana Bara za katastarske parcele br.1723/2, 2719/51, 2719/52 i 1731/11, KO Mišići, i shodno legendi na njima je makija, šibljaci, garig.</w:t>
      </w:r>
    </w:p>
    <w:p w:rsidR="008854E6" w:rsidRPr="00AB4843" w:rsidRDefault="008854E6" w:rsidP="00403695">
      <w:pPr>
        <w:jc w:val="both"/>
        <w:rPr>
          <w:rFonts w:asciiTheme="minorHAnsi" w:hAnsiTheme="minorHAnsi" w:cstheme="minorHAnsi"/>
          <w:sz w:val="20"/>
          <w:szCs w:val="20"/>
          <w:lang w:val="pl-PL"/>
        </w:rPr>
      </w:pPr>
    </w:p>
    <w:p w:rsidR="001257C3" w:rsidRPr="00AB4843" w:rsidRDefault="001257C3" w:rsidP="00403695">
      <w:pPr>
        <w:jc w:val="both"/>
        <w:rPr>
          <w:rFonts w:asciiTheme="minorHAnsi" w:hAnsiTheme="minorHAnsi" w:cs="Arial"/>
          <w:sz w:val="20"/>
          <w:szCs w:val="20"/>
          <w:lang w:val="pl-PL"/>
        </w:rPr>
      </w:pPr>
      <w:r w:rsidRPr="00AB4843">
        <w:rPr>
          <w:rFonts w:asciiTheme="minorHAnsi" w:hAnsiTheme="minorHAnsi" w:cs="Arial"/>
          <w:sz w:val="20"/>
          <w:szCs w:val="20"/>
          <w:lang w:val="pl-PL"/>
        </w:rPr>
        <w:t>Prostornim planom Crne Gore do 2020. godine, u potpoglavlju 3.2.2. Mineralne sirovine, u dijelu koji se odnosi na tehničko-građevinski kamen (str. 24), naveden je i kamenolom (majdan) „Haj-Nehaj” kao aktivan.</w:t>
      </w:r>
    </w:p>
    <w:p w:rsidR="00A93430" w:rsidRPr="00AB4843" w:rsidRDefault="00A93430" w:rsidP="00403695">
      <w:pPr>
        <w:jc w:val="both"/>
        <w:rPr>
          <w:rFonts w:asciiTheme="minorHAnsi" w:hAnsiTheme="minorHAnsi" w:cstheme="minorHAnsi"/>
          <w:b/>
          <w:sz w:val="20"/>
          <w:szCs w:val="20"/>
          <w:lang w:val="pl-PL"/>
        </w:rPr>
      </w:pPr>
    </w:p>
    <w:p w:rsidR="00A93430" w:rsidRPr="00AB4843" w:rsidRDefault="00E0355F" w:rsidP="00403695">
      <w:pPr>
        <w:jc w:val="both"/>
        <w:rPr>
          <w:rFonts w:asciiTheme="minorHAnsi" w:hAnsiTheme="minorHAnsi" w:cstheme="minorHAnsi"/>
          <w:b/>
          <w:sz w:val="20"/>
          <w:szCs w:val="20"/>
          <w:lang w:val="sr-Latn-CS"/>
        </w:rPr>
      </w:pPr>
      <w:r w:rsidRPr="00AB4843">
        <w:rPr>
          <w:rFonts w:asciiTheme="minorHAnsi" w:hAnsiTheme="minorHAnsi" w:cstheme="minorHAnsi"/>
          <w:b/>
          <w:sz w:val="20"/>
          <w:szCs w:val="20"/>
          <w:lang w:val="sr-Latn-CS"/>
        </w:rPr>
        <w:t>2. Ležište tehničko-građevinskog kamena (erupti</w:t>
      </w:r>
      <w:r w:rsidR="001257C3" w:rsidRPr="00AB4843">
        <w:rPr>
          <w:rFonts w:asciiTheme="minorHAnsi" w:hAnsiTheme="minorHAnsi" w:cstheme="minorHAnsi"/>
          <w:b/>
          <w:sz w:val="20"/>
          <w:szCs w:val="20"/>
          <w:lang w:val="sr-Latn-CS"/>
        </w:rPr>
        <w:t>v) „Štitarica – Okruglički krš“</w:t>
      </w:r>
      <w:r w:rsidRPr="00AB4843">
        <w:rPr>
          <w:rFonts w:asciiTheme="minorHAnsi" w:hAnsiTheme="minorHAnsi" w:cstheme="minorHAnsi"/>
          <w:b/>
          <w:sz w:val="20"/>
          <w:szCs w:val="20"/>
          <w:lang w:val="sr-Latn-CS"/>
        </w:rPr>
        <w:t>, opština Mojkovac</w:t>
      </w:r>
    </w:p>
    <w:p w:rsidR="00E0355F" w:rsidRPr="00AB4843" w:rsidRDefault="00E0355F" w:rsidP="00403695">
      <w:pPr>
        <w:jc w:val="both"/>
        <w:rPr>
          <w:rFonts w:asciiTheme="minorHAnsi" w:hAnsiTheme="minorHAnsi" w:cstheme="minorHAnsi"/>
          <w:b/>
          <w:sz w:val="20"/>
          <w:szCs w:val="20"/>
          <w:lang w:val="sr-Latn-CS"/>
        </w:rPr>
      </w:pPr>
    </w:p>
    <w:p w:rsidR="00E0355F" w:rsidRPr="00AB4843" w:rsidRDefault="00E035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Ležište tehničko-građevinskog kamena vulkanskog porijekla „Štitarica - Okruglički krš“ se nalazi na lijevoj strani Štitaričke rijeke, odnosno na južnim i istočnim padinama od kote 1.072 m. Istražno-eksploatacioni prostor ovog ležišta ranije je bio obuhvaćen jedinstvenim istražno-eksploatacionim prostorom „Štitarica“ sa ležištem tehničko-građevinskog kamena, krečnjačkog sastava, „Štitarica - Taskavac“ i zajedničkim postrojenjem za obradu kamena. </w:t>
      </w:r>
    </w:p>
    <w:p w:rsidR="00E0355F" w:rsidRPr="00AB4843" w:rsidRDefault="00E0355F" w:rsidP="00403695">
      <w:pPr>
        <w:jc w:val="both"/>
        <w:rPr>
          <w:rFonts w:asciiTheme="minorHAnsi" w:hAnsiTheme="minorHAnsi" w:cstheme="minorHAnsi"/>
          <w:sz w:val="20"/>
          <w:szCs w:val="20"/>
          <w:lang w:val="sr-Latn-CS"/>
        </w:rPr>
      </w:pPr>
    </w:p>
    <w:p w:rsidR="00E0355F" w:rsidRPr="00AB4843" w:rsidRDefault="00E0355F" w:rsidP="00403695">
      <w:pPr>
        <w:jc w:val="both"/>
        <w:rPr>
          <w:rFonts w:asciiTheme="minorHAnsi" w:hAnsiTheme="minorHAnsi" w:cstheme="minorHAnsi"/>
          <w:b/>
          <w:sz w:val="20"/>
          <w:szCs w:val="20"/>
          <w:lang w:val="sr-Latn-CS"/>
        </w:rPr>
      </w:pPr>
      <w:r w:rsidRPr="00AB4843">
        <w:rPr>
          <w:rFonts w:asciiTheme="minorHAnsi" w:hAnsiTheme="minorHAnsi" w:cstheme="minorHAnsi"/>
          <w:sz w:val="20"/>
          <w:szCs w:val="20"/>
          <w:lang w:val="sr-Latn-CS"/>
        </w:rPr>
        <w:t xml:space="preserve">Prema teritorijalno-administrativnoj podjeli ležište „Štitarica - Okruglički krš“ pripada teritoriji opštine Mojkovac, udaljeno od Mojkovca oko </w:t>
      </w:r>
      <w:smartTag w:uri="urn:schemas-microsoft-com:office:smarttags" w:element="metricconverter">
        <w:smartTagPr>
          <w:attr w:name="ProductID" w:val="3,5 km"/>
        </w:smartTagPr>
        <w:r w:rsidRPr="00AB4843">
          <w:rPr>
            <w:rFonts w:asciiTheme="minorHAnsi" w:hAnsiTheme="minorHAnsi" w:cstheme="minorHAnsi"/>
            <w:sz w:val="20"/>
            <w:szCs w:val="20"/>
            <w:lang w:val="sr-Latn-CS"/>
          </w:rPr>
          <w:t>3,5 km</w:t>
        </w:r>
      </w:smartTag>
      <w:r w:rsidRPr="00AB4843">
        <w:rPr>
          <w:rFonts w:asciiTheme="minorHAnsi" w:hAnsiTheme="minorHAnsi" w:cstheme="minorHAnsi"/>
          <w:sz w:val="20"/>
          <w:szCs w:val="20"/>
          <w:lang w:val="sr-Latn-CS"/>
        </w:rPr>
        <w:t xml:space="preserve"> prema jugozapadu, a nalazi se na topografskom listu „Ivangrad“, 1:100 000, odnosno sekciji „Mojkovac“, 1:25 000.</w:t>
      </w:r>
      <w:r w:rsidRPr="00AB4843">
        <w:rPr>
          <w:rFonts w:asciiTheme="minorHAnsi" w:hAnsiTheme="minorHAnsi" w:cstheme="minorHAnsi"/>
          <w:b/>
          <w:sz w:val="20"/>
          <w:szCs w:val="20"/>
          <w:lang w:val="sr-Latn-CS"/>
        </w:rPr>
        <w:t xml:space="preserve"> </w:t>
      </w:r>
    </w:p>
    <w:p w:rsidR="003E0B5E" w:rsidRPr="00AB4843" w:rsidRDefault="003E0B5E" w:rsidP="00403695">
      <w:pPr>
        <w:jc w:val="both"/>
        <w:rPr>
          <w:rFonts w:asciiTheme="minorHAnsi" w:hAnsiTheme="minorHAnsi" w:cstheme="minorHAnsi"/>
          <w:sz w:val="20"/>
          <w:szCs w:val="20"/>
          <w:lang w:val="sr-Latn-CS"/>
        </w:rPr>
      </w:pPr>
    </w:p>
    <w:p w:rsidR="00865479" w:rsidRDefault="003E0B5E"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lastRenderedPageBreak/>
        <w:t>Eksploatacio</w:t>
      </w:r>
      <w:r w:rsidR="00865479" w:rsidRPr="00AB4843">
        <w:rPr>
          <w:rFonts w:asciiTheme="minorHAnsi" w:hAnsiTheme="minorHAnsi" w:cstheme="minorHAnsi"/>
          <w:sz w:val="20"/>
          <w:szCs w:val="20"/>
          <w:lang w:val="sr-Latn-CS"/>
        </w:rPr>
        <w:t>no polje je ograničeno tačkama T1 – T8</w:t>
      </w:r>
      <w:r w:rsidRPr="00AB4843">
        <w:rPr>
          <w:rFonts w:asciiTheme="minorHAnsi" w:hAnsiTheme="minorHAnsi" w:cstheme="minorHAnsi"/>
          <w:sz w:val="20"/>
          <w:szCs w:val="20"/>
          <w:lang w:val="sr-Latn-CS"/>
        </w:rPr>
        <w:t xml:space="preserve"> i pravim linijama između ovih tačaka koje su orjentisane pr</w:t>
      </w:r>
      <w:r w:rsidR="00865479" w:rsidRPr="00AB4843">
        <w:rPr>
          <w:rFonts w:asciiTheme="minorHAnsi" w:hAnsiTheme="minorHAnsi" w:cstheme="minorHAnsi"/>
          <w:sz w:val="20"/>
          <w:szCs w:val="20"/>
          <w:lang w:val="sr-Latn-CS"/>
        </w:rPr>
        <w:t>ema astronomskom meridijanu i  zahvata površinu od oko 56.648</w:t>
      </w:r>
      <w:r w:rsidRPr="00AB4843">
        <w:rPr>
          <w:rFonts w:asciiTheme="minorHAnsi" w:hAnsiTheme="minorHAnsi" w:cstheme="minorHAnsi"/>
          <w:sz w:val="20"/>
          <w:szCs w:val="20"/>
          <w:lang w:val="sr-Latn-CS"/>
        </w:rPr>
        <w:t xml:space="preserve"> m</w:t>
      </w:r>
      <w:r w:rsidRPr="00AB4843">
        <w:rPr>
          <w:rFonts w:asciiTheme="minorHAnsi" w:hAnsiTheme="minorHAnsi" w:cstheme="minorHAnsi"/>
          <w:sz w:val="20"/>
          <w:szCs w:val="20"/>
          <w:vertAlign w:val="superscript"/>
          <w:lang w:val="sr-Latn-CS"/>
        </w:rPr>
        <w:t>2</w:t>
      </w:r>
      <w:r w:rsidRPr="00AB4843">
        <w:rPr>
          <w:rFonts w:asciiTheme="minorHAnsi" w:hAnsiTheme="minorHAnsi" w:cstheme="minorHAnsi"/>
          <w:sz w:val="20"/>
          <w:szCs w:val="20"/>
          <w:lang w:val="sr-Latn-CS"/>
        </w:rPr>
        <w:t>. Koordinate tačaka i dužine strana su:</w:t>
      </w:r>
    </w:p>
    <w:p w:rsidR="003E0B5E" w:rsidRPr="00AB4843" w:rsidRDefault="003E0B5E" w:rsidP="00403695">
      <w:pPr>
        <w:jc w:val="both"/>
        <w:rPr>
          <w:rFonts w:asciiTheme="minorHAnsi" w:hAnsiTheme="minorHAnsi" w:cstheme="minorHAnsi"/>
          <w:sz w:val="20"/>
          <w:szCs w:val="20"/>
          <w:lang w:val="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940"/>
        <w:gridCol w:w="1940"/>
        <w:gridCol w:w="2157"/>
        <w:gridCol w:w="1724"/>
      </w:tblGrid>
      <w:tr w:rsidR="00865479" w:rsidRPr="00AB4843" w:rsidTr="00AF53FF">
        <w:trPr>
          <w:trHeight w:val="194"/>
          <w:jc w:val="center"/>
        </w:trPr>
        <w:tc>
          <w:tcPr>
            <w:tcW w:w="948" w:type="pct"/>
            <w:vMerge w:val="restart"/>
            <w:tcBorders>
              <w:top w:val="thinThickSmallGap" w:sz="12" w:space="0" w:color="auto"/>
              <w:left w:val="thinThickSmallGap" w:sz="12" w:space="0" w:color="auto"/>
              <w:right w:val="double" w:sz="4" w:space="0" w:color="auto"/>
            </w:tcBorders>
            <w:shd w:val="clear" w:color="auto" w:fill="92D050"/>
            <w:vAlign w:val="center"/>
          </w:tcPr>
          <w:p w:rsidR="00865479" w:rsidRPr="00AB4843" w:rsidRDefault="00865479" w:rsidP="00AF53FF">
            <w:pPr>
              <w:jc w:val="center"/>
              <w:rPr>
                <w:rFonts w:asciiTheme="minorHAnsi" w:hAnsiTheme="minorHAnsi" w:cstheme="minorHAnsi"/>
                <w:b/>
                <w:sz w:val="20"/>
                <w:szCs w:val="20"/>
              </w:rPr>
            </w:pPr>
            <w:r w:rsidRPr="00AB4843">
              <w:rPr>
                <w:rFonts w:asciiTheme="minorHAnsi" w:hAnsiTheme="minorHAnsi" w:cstheme="minorHAnsi"/>
                <w:b/>
                <w:sz w:val="20"/>
                <w:szCs w:val="20"/>
              </w:rPr>
              <w:t>T A Č K A</w:t>
            </w:r>
          </w:p>
        </w:tc>
        <w:tc>
          <w:tcPr>
            <w:tcW w:w="2025" w:type="pct"/>
            <w:gridSpan w:val="2"/>
            <w:tcBorders>
              <w:top w:val="thinThickSmallGap" w:sz="12" w:space="0" w:color="auto"/>
              <w:left w:val="double" w:sz="4" w:space="0" w:color="auto"/>
              <w:bottom w:val="double" w:sz="4" w:space="0" w:color="auto"/>
              <w:right w:val="double" w:sz="4" w:space="0" w:color="auto"/>
            </w:tcBorders>
            <w:shd w:val="clear" w:color="auto" w:fill="92D050"/>
            <w:vAlign w:val="center"/>
          </w:tcPr>
          <w:p w:rsidR="00865479" w:rsidRPr="00AB4843" w:rsidRDefault="00865479" w:rsidP="00AF53FF">
            <w:pPr>
              <w:jc w:val="center"/>
              <w:rPr>
                <w:rFonts w:asciiTheme="minorHAnsi" w:hAnsiTheme="minorHAnsi" w:cstheme="minorHAnsi"/>
                <w:b/>
                <w:sz w:val="20"/>
                <w:szCs w:val="20"/>
                <w:lang w:val="de-DE"/>
              </w:rPr>
            </w:pPr>
            <w:r w:rsidRPr="00AB4843">
              <w:rPr>
                <w:rFonts w:asciiTheme="minorHAnsi" w:hAnsiTheme="minorHAnsi" w:cstheme="minorHAnsi"/>
                <w:b/>
                <w:sz w:val="20"/>
                <w:szCs w:val="20"/>
                <w:lang w:val="de-DE"/>
              </w:rPr>
              <w:t>K O O R D I N A T E</w:t>
            </w:r>
          </w:p>
        </w:tc>
        <w:tc>
          <w:tcPr>
            <w:tcW w:w="1126" w:type="pct"/>
            <w:vMerge w:val="restart"/>
            <w:tcBorders>
              <w:top w:val="thinThickSmallGap" w:sz="12" w:space="0" w:color="auto"/>
              <w:left w:val="double" w:sz="4" w:space="0" w:color="auto"/>
              <w:right w:val="double" w:sz="4" w:space="0" w:color="auto"/>
            </w:tcBorders>
            <w:shd w:val="clear" w:color="auto" w:fill="92D050"/>
            <w:vAlign w:val="center"/>
          </w:tcPr>
          <w:p w:rsidR="00865479" w:rsidRPr="00AB4843" w:rsidRDefault="00865479" w:rsidP="00AF53FF">
            <w:pPr>
              <w:jc w:val="center"/>
              <w:rPr>
                <w:rFonts w:asciiTheme="minorHAnsi" w:hAnsiTheme="minorHAnsi" w:cstheme="minorHAnsi"/>
                <w:b/>
                <w:sz w:val="20"/>
                <w:szCs w:val="20"/>
              </w:rPr>
            </w:pPr>
            <w:r w:rsidRPr="00AB4843">
              <w:rPr>
                <w:rFonts w:asciiTheme="minorHAnsi" w:hAnsiTheme="minorHAnsi" w:cstheme="minorHAnsi"/>
                <w:b/>
                <w:sz w:val="20"/>
                <w:szCs w:val="20"/>
              </w:rPr>
              <w:t>DUŽINA STRANA(m)</w:t>
            </w:r>
          </w:p>
        </w:tc>
        <w:tc>
          <w:tcPr>
            <w:tcW w:w="901" w:type="pct"/>
            <w:vMerge w:val="restart"/>
            <w:tcBorders>
              <w:top w:val="thinThickSmallGap" w:sz="12" w:space="0" w:color="auto"/>
              <w:left w:val="double" w:sz="4" w:space="0" w:color="auto"/>
              <w:right w:val="thinThickSmallGap" w:sz="12" w:space="0" w:color="auto"/>
            </w:tcBorders>
            <w:shd w:val="clear" w:color="auto" w:fill="92D050"/>
            <w:vAlign w:val="center"/>
          </w:tcPr>
          <w:p w:rsidR="00865479" w:rsidRPr="00AB4843" w:rsidRDefault="00865479" w:rsidP="00AF53FF">
            <w:pPr>
              <w:jc w:val="center"/>
              <w:rPr>
                <w:rFonts w:asciiTheme="minorHAnsi" w:hAnsiTheme="minorHAnsi" w:cstheme="minorHAnsi"/>
                <w:b/>
                <w:sz w:val="20"/>
                <w:szCs w:val="20"/>
              </w:rPr>
            </w:pPr>
            <w:r w:rsidRPr="00AB4843">
              <w:rPr>
                <w:rFonts w:asciiTheme="minorHAnsi" w:hAnsiTheme="minorHAnsi" w:cstheme="minorHAnsi"/>
                <w:b/>
                <w:sz w:val="20"/>
                <w:szCs w:val="20"/>
              </w:rPr>
              <w:t>P OV R Š I N A</w:t>
            </w:r>
          </w:p>
        </w:tc>
      </w:tr>
      <w:tr w:rsidR="00865479" w:rsidRPr="00AB4843" w:rsidTr="00AF53FF">
        <w:trPr>
          <w:trHeight w:val="277"/>
          <w:jc w:val="center"/>
        </w:trPr>
        <w:tc>
          <w:tcPr>
            <w:tcW w:w="948" w:type="pct"/>
            <w:vMerge/>
            <w:tcBorders>
              <w:left w:val="thinThickSmallGap" w:sz="12" w:space="0" w:color="auto"/>
              <w:bottom w:val="double" w:sz="4" w:space="0" w:color="auto"/>
              <w:right w:val="double" w:sz="4" w:space="0" w:color="auto"/>
            </w:tcBorders>
            <w:vAlign w:val="center"/>
          </w:tcPr>
          <w:p w:rsidR="00865479" w:rsidRPr="00AB4843" w:rsidRDefault="00865479" w:rsidP="00AF53FF">
            <w:pPr>
              <w:jc w:val="center"/>
              <w:rPr>
                <w:rFonts w:asciiTheme="minorHAnsi" w:hAnsiTheme="minorHAnsi" w:cstheme="minorHAnsi"/>
                <w:b/>
                <w:sz w:val="20"/>
                <w:szCs w:val="20"/>
              </w:rPr>
            </w:pPr>
          </w:p>
        </w:tc>
        <w:tc>
          <w:tcPr>
            <w:tcW w:w="1013" w:type="pct"/>
            <w:tcBorders>
              <w:top w:val="double" w:sz="4" w:space="0" w:color="auto"/>
              <w:left w:val="double" w:sz="4" w:space="0" w:color="auto"/>
              <w:bottom w:val="double" w:sz="4" w:space="0" w:color="auto"/>
            </w:tcBorders>
            <w:shd w:val="clear" w:color="auto" w:fill="92D050"/>
            <w:vAlign w:val="center"/>
          </w:tcPr>
          <w:p w:rsidR="00865479" w:rsidRPr="00AB4843" w:rsidRDefault="00865479" w:rsidP="00AF53FF">
            <w:pPr>
              <w:jc w:val="center"/>
              <w:rPr>
                <w:rFonts w:asciiTheme="minorHAnsi" w:hAnsiTheme="minorHAnsi" w:cstheme="minorHAnsi"/>
                <w:b/>
                <w:sz w:val="20"/>
                <w:szCs w:val="20"/>
              </w:rPr>
            </w:pPr>
            <w:r w:rsidRPr="00AB4843">
              <w:rPr>
                <w:rFonts w:asciiTheme="minorHAnsi" w:hAnsiTheme="minorHAnsi" w:cstheme="minorHAnsi"/>
                <w:b/>
                <w:sz w:val="20"/>
                <w:szCs w:val="20"/>
              </w:rPr>
              <w:t>X</w:t>
            </w:r>
          </w:p>
        </w:tc>
        <w:tc>
          <w:tcPr>
            <w:tcW w:w="1013" w:type="pct"/>
            <w:tcBorders>
              <w:top w:val="double" w:sz="4" w:space="0" w:color="auto"/>
              <w:bottom w:val="double" w:sz="4" w:space="0" w:color="auto"/>
              <w:right w:val="double" w:sz="4" w:space="0" w:color="auto"/>
            </w:tcBorders>
            <w:shd w:val="clear" w:color="auto" w:fill="92D050"/>
            <w:vAlign w:val="center"/>
          </w:tcPr>
          <w:p w:rsidR="00865479" w:rsidRPr="00AB4843" w:rsidRDefault="00865479" w:rsidP="00AF53FF">
            <w:pPr>
              <w:jc w:val="center"/>
              <w:rPr>
                <w:rFonts w:asciiTheme="minorHAnsi" w:hAnsiTheme="minorHAnsi" w:cstheme="minorHAnsi"/>
                <w:b/>
                <w:sz w:val="20"/>
                <w:szCs w:val="20"/>
              </w:rPr>
            </w:pPr>
            <w:r w:rsidRPr="00AB4843">
              <w:rPr>
                <w:rFonts w:asciiTheme="minorHAnsi" w:hAnsiTheme="minorHAnsi" w:cstheme="minorHAnsi"/>
                <w:b/>
                <w:sz w:val="20"/>
                <w:szCs w:val="20"/>
              </w:rPr>
              <w:t>Y</w:t>
            </w:r>
          </w:p>
        </w:tc>
        <w:tc>
          <w:tcPr>
            <w:tcW w:w="1126" w:type="pct"/>
            <w:vMerge/>
            <w:tcBorders>
              <w:left w:val="double" w:sz="4" w:space="0" w:color="auto"/>
              <w:bottom w:val="double" w:sz="4" w:space="0" w:color="auto"/>
              <w:right w:val="double" w:sz="4" w:space="0" w:color="auto"/>
            </w:tcBorders>
            <w:vAlign w:val="center"/>
          </w:tcPr>
          <w:p w:rsidR="00865479" w:rsidRPr="00AB4843" w:rsidRDefault="00865479" w:rsidP="00AF53FF">
            <w:pPr>
              <w:jc w:val="center"/>
              <w:rPr>
                <w:rFonts w:asciiTheme="minorHAnsi" w:hAnsiTheme="minorHAnsi" w:cstheme="minorHAnsi"/>
                <w:b/>
                <w:sz w:val="20"/>
                <w:szCs w:val="20"/>
              </w:rPr>
            </w:pPr>
          </w:p>
        </w:tc>
        <w:tc>
          <w:tcPr>
            <w:tcW w:w="901" w:type="pct"/>
            <w:vMerge/>
            <w:tcBorders>
              <w:left w:val="double" w:sz="4" w:space="0" w:color="auto"/>
              <w:bottom w:val="double" w:sz="4" w:space="0" w:color="auto"/>
              <w:right w:val="thinThickSmallGap" w:sz="12" w:space="0" w:color="auto"/>
            </w:tcBorders>
            <w:vAlign w:val="center"/>
          </w:tcPr>
          <w:p w:rsidR="00865479" w:rsidRPr="00AB4843" w:rsidRDefault="00865479" w:rsidP="00AF53FF">
            <w:pPr>
              <w:jc w:val="center"/>
              <w:rPr>
                <w:rFonts w:asciiTheme="minorHAnsi" w:hAnsiTheme="minorHAnsi" w:cstheme="minorHAnsi"/>
                <w:b/>
                <w:sz w:val="20"/>
                <w:szCs w:val="20"/>
              </w:rPr>
            </w:pPr>
          </w:p>
        </w:tc>
      </w:tr>
      <w:tr w:rsidR="00865479" w:rsidRPr="00AB4843" w:rsidTr="00AF53FF">
        <w:trPr>
          <w:jc w:val="center"/>
        </w:trPr>
        <w:tc>
          <w:tcPr>
            <w:tcW w:w="948" w:type="pct"/>
            <w:tcBorders>
              <w:top w:val="double" w:sz="4" w:space="0" w:color="auto"/>
              <w:left w:val="thinThickSmallGap" w:sz="12"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T1</w:t>
            </w:r>
          </w:p>
        </w:tc>
        <w:tc>
          <w:tcPr>
            <w:tcW w:w="1013" w:type="pct"/>
            <w:tcBorders>
              <w:top w:val="double" w:sz="4" w:space="0" w:color="auto"/>
              <w:lef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4 754 325</w:t>
            </w:r>
          </w:p>
        </w:tc>
        <w:tc>
          <w:tcPr>
            <w:tcW w:w="1013" w:type="pct"/>
            <w:tcBorders>
              <w:top w:val="double" w:sz="4"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7 382 820</w:t>
            </w:r>
          </w:p>
        </w:tc>
        <w:tc>
          <w:tcPr>
            <w:tcW w:w="1126" w:type="pct"/>
            <w:tcBorders>
              <w:top w:val="double" w:sz="4" w:space="0" w:color="auto"/>
              <w:left w:val="double" w:sz="4"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T1-T2=89,333</w:t>
            </w:r>
          </w:p>
        </w:tc>
        <w:tc>
          <w:tcPr>
            <w:tcW w:w="901" w:type="pct"/>
            <w:vMerge w:val="restart"/>
            <w:tcBorders>
              <w:top w:val="double" w:sz="4" w:space="0" w:color="auto"/>
              <w:left w:val="double" w:sz="4" w:space="0" w:color="auto"/>
              <w:right w:val="thinThickSmallGap" w:sz="12"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5 ha</w:t>
            </w:r>
          </w:p>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66 ar</w:t>
            </w:r>
          </w:p>
          <w:p w:rsidR="00865479" w:rsidRPr="00AB4843" w:rsidRDefault="00865479" w:rsidP="00AF53FF">
            <w:pPr>
              <w:jc w:val="center"/>
              <w:rPr>
                <w:rFonts w:asciiTheme="minorHAnsi" w:hAnsiTheme="minorHAnsi" w:cstheme="minorHAnsi"/>
                <w:sz w:val="20"/>
                <w:szCs w:val="20"/>
                <w:vertAlign w:val="superscript"/>
              </w:rPr>
            </w:pPr>
            <w:r w:rsidRPr="00AB4843">
              <w:rPr>
                <w:rFonts w:asciiTheme="minorHAnsi" w:hAnsiTheme="minorHAnsi" w:cstheme="minorHAnsi"/>
                <w:sz w:val="20"/>
                <w:szCs w:val="20"/>
              </w:rPr>
              <w:t>48 m</w:t>
            </w:r>
            <w:r w:rsidRPr="00AB4843">
              <w:rPr>
                <w:rFonts w:asciiTheme="minorHAnsi" w:hAnsiTheme="minorHAnsi" w:cstheme="minorHAnsi"/>
                <w:sz w:val="20"/>
                <w:szCs w:val="20"/>
                <w:vertAlign w:val="superscript"/>
              </w:rPr>
              <w:t>2</w:t>
            </w:r>
          </w:p>
        </w:tc>
      </w:tr>
      <w:tr w:rsidR="00865479" w:rsidRPr="00AB4843" w:rsidTr="00AF53FF">
        <w:trPr>
          <w:jc w:val="center"/>
        </w:trPr>
        <w:tc>
          <w:tcPr>
            <w:tcW w:w="948" w:type="pct"/>
            <w:tcBorders>
              <w:left w:val="thinThickSmallGap" w:sz="12"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T2</w:t>
            </w:r>
          </w:p>
        </w:tc>
        <w:tc>
          <w:tcPr>
            <w:tcW w:w="1013" w:type="pct"/>
            <w:tcBorders>
              <w:lef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4 754 414</w:t>
            </w:r>
          </w:p>
        </w:tc>
        <w:tc>
          <w:tcPr>
            <w:tcW w:w="1013" w:type="pct"/>
            <w:tcBorders>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7 382 825</w:t>
            </w:r>
          </w:p>
        </w:tc>
        <w:tc>
          <w:tcPr>
            <w:tcW w:w="1126" w:type="pct"/>
            <w:tcBorders>
              <w:left w:val="double" w:sz="4"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T2-T3=90,646</w:t>
            </w:r>
          </w:p>
        </w:tc>
        <w:tc>
          <w:tcPr>
            <w:tcW w:w="901" w:type="pct"/>
            <w:vMerge/>
            <w:tcBorders>
              <w:left w:val="double" w:sz="4" w:space="0" w:color="auto"/>
              <w:right w:val="thinThickSmallGap" w:sz="12" w:space="0" w:color="auto"/>
            </w:tcBorders>
            <w:vAlign w:val="center"/>
          </w:tcPr>
          <w:p w:rsidR="00865479" w:rsidRPr="00AB4843" w:rsidRDefault="00865479" w:rsidP="00AF53FF">
            <w:pPr>
              <w:jc w:val="center"/>
              <w:rPr>
                <w:rFonts w:asciiTheme="minorHAnsi" w:hAnsiTheme="minorHAnsi" w:cstheme="minorHAnsi"/>
                <w:sz w:val="20"/>
                <w:szCs w:val="20"/>
              </w:rPr>
            </w:pPr>
          </w:p>
        </w:tc>
      </w:tr>
      <w:tr w:rsidR="00865479" w:rsidRPr="00AB4843" w:rsidTr="00AF53FF">
        <w:trPr>
          <w:jc w:val="center"/>
        </w:trPr>
        <w:tc>
          <w:tcPr>
            <w:tcW w:w="948" w:type="pct"/>
            <w:tcBorders>
              <w:left w:val="thinThickSmallGap" w:sz="12"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T3</w:t>
            </w:r>
          </w:p>
        </w:tc>
        <w:tc>
          <w:tcPr>
            <w:tcW w:w="1013" w:type="pct"/>
            <w:tcBorders>
              <w:lef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4 754 486</w:t>
            </w:r>
          </w:p>
        </w:tc>
        <w:tc>
          <w:tcPr>
            <w:tcW w:w="1013" w:type="pct"/>
            <w:tcBorders>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7 382 880</w:t>
            </w:r>
          </w:p>
        </w:tc>
        <w:tc>
          <w:tcPr>
            <w:tcW w:w="1126" w:type="pct"/>
            <w:tcBorders>
              <w:left w:val="double" w:sz="4"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T3-T4=66,5764</w:t>
            </w:r>
          </w:p>
        </w:tc>
        <w:tc>
          <w:tcPr>
            <w:tcW w:w="901" w:type="pct"/>
            <w:vMerge/>
            <w:tcBorders>
              <w:left w:val="double" w:sz="4" w:space="0" w:color="auto"/>
              <w:right w:val="thinThickSmallGap" w:sz="12" w:space="0" w:color="auto"/>
            </w:tcBorders>
            <w:vAlign w:val="center"/>
          </w:tcPr>
          <w:p w:rsidR="00865479" w:rsidRPr="00AB4843" w:rsidRDefault="00865479" w:rsidP="00AF53FF">
            <w:pPr>
              <w:jc w:val="center"/>
              <w:rPr>
                <w:rFonts w:asciiTheme="minorHAnsi" w:hAnsiTheme="minorHAnsi" w:cstheme="minorHAnsi"/>
                <w:sz w:val="20"/>
                <w:szCs w:val="20"/>
              </w:rPr>
            </w:pPr>
          </w:p>
        </w:tc>
      </w:tr>
      <w:tr w:rsidR="00865479" w:rsidRPr="00AB4843" w:rsidTr="00AF53FF">
        <w:trPr>
          <w:jc w:val="center"/>
        </w:trPr>
        <w:tc>
          <w:tcPr>
            <w:tcW w:w="948" w:type="pct"/>
            <w:tcBorders>
              <w:left w:val="thinThickSmallGap" w:sz="12"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T4</w:t>
            </w:r>
          </w:p>
        </w:tc>
        <w:tc>
          <w:tcPr>
            <w:tcW w:w="1013" w:type="pct"/>
            <w:tcBorders>
              <w:lef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4 754 486</w:t>
            </w:r>
          </w:p>
        </w:tc>
        <w:tc>
          <w:tcPr>
            <w:tcW w:w="1013" w:type="pct"/>
            <w:tcBorders>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7 382 946</w:t>
            </w:r>
          </w:p>
        </w:tc>
        <w:tc>
          <w:tcPr>
            <w:tcW w:w="1126" w:type="pct"/>
            <w:tcBorders>
              <w:left w:val="double" w:sz="4"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T4-T5=201,6981</w:t>
            </w:r>
          </w:p>
        </w:tc>
        <w:tc>
          <w:tcPr>
            <w:tcW w:w="901" w:type="pct"/>
            <w:vMerge/>
            <w:tcBorders>
              <w:left w:val="double" w:sz="4" w:space="0" w:color="auto"/>
              <w:right w:val="thinThickSmallGap" w:sz="12" w:space="0" w:color="auto"/>
            </w:tcBorders>
            <w:vAlign w:val="center"/>
          </w:tcPr>
          <w:p w:rsidR="00865479" w:rsidRPr="00AB4843" w:rsidRDefault="00865479" w:rsidP="00AF53FF">
            <w:pPr>
              <w:jc w:val="center"/>
              <w:rPr>
                <w:rFonts w:asciiTheme="minorHAnsi" w:hAnsiTheme="minorHAnsi" w:cstheme="minorHAnsi"/>
                <w:sz w:val="20"/>
                <w:szCs w:val="20"/>
              </w:rPr>
            </w:pPr>
          </w:p>
        </w:tc>
      </w:tr>
      <w:tr w:rsidR="00865479" w:rsidRPr="00AB4843" w:rsidTr="00AF53FF">
        <w:trPr>
          <w:jc w:val="center"/>
        </w:trPr>
        <w:tc>
          <w:tcPr>
            <w:tcW w:w="948" w:type="pct"/>
            <w:tcBorders>
              <w:left w:val="thinThickSmallGap" w:sz="12"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T5</w:t>
            </w:r>
          </w:p>
        </w:tc>
        <w:tc>
          <w:tcPr>
            <w:tcW w:w="1013" w:type="pct"/>
            <w:tcBorders>
              <w:lef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4 754 468</w:t>
            </w:r>
          </w:p>
        </w:tc>
        <w:tc>
          <w:tcPr>
            <w:tcW w:w="1013" w:type="pct"/>
            <w:tcBorders>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7 383 147</w:t>
            </w:r>
          </w:p>
        </w:tc>
        <w:tc>
          <w:tcPr>
            <w:tcW w:w="1126" w:type="pct"/>
            <w:tcBorders>
              <w:left w:val="double" w:sz="4"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T5-T6=85,8</w:t>
            </w:r>
          </w:p>
        </w:tc>
        <w:tc>
          <w:tcPr>
            <w:tcW w:w="901" w:type="pct"/>
            <w:vMerge/>
            <w:tcBorders>
              <w:left w:val="double" w:sz="4" w:space="0" w:color="auto"/>
              <w:right w:val="thinThickSmallGap" w:sz="12" w:space="0" w:color="auto"/>
            </w:tcBorders>
            <w:vAlign w:val="center"/>
          </w:tcPr>
          <w:p w:rsidR="00865479" w:rsidRPr="00AB4843" w:rsidRDefault="00865479" w:rsidP="00AF53FF">
            <w:pPr>
              <w:jc w:val="center"/>
              <w:rPr>
                <w:rFonts w:asciiTheme="minorHAnsi" w:hAnsiTheme="minorHAnsi" w:cstheme="minorHAnsi"/>
                <w:sz w:val="20"/>
                <w:szCs w:val="20"/>
              </w:rPr>
            </w:pPr>
          </w:p>
        </w:tc>
      </w:tr>
      <w:tr w:rsidR="00865479" w:rsidRPr="00AB4843" w:rsidTr="00AF53FF">
        <w:trPr>
          <w:jc w:val="center"/>
        </w:trPr>
        <w:tc>
          <w:tcPr>
            <w:tcW w:w="948" w:type="pct"/>
            <w:tcBorders>
              <w:left w:val="thinThickSmallGap" w:sz="12"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T6</w:t>
            </w:r>
          </w:p>
        </w:tc>
        <w:tc>
          <w:tcPr>
            <w:tcW w:w="1013" w:type="pct"/>
            <w:tcBorders>
              <w:lef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4 754 387</w:t>
            </w:r>
          </w:p>
        </w:tc>
        <w:tc>
          <w:tcPr>
            <w:tcW w:w="1013" w:type="pct"/>
            <w:tcBorders>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7 383 177</w:t>
            </w:r>
          </w:p>
        </w:tc>
        <w:tc>
          <w:tcPr>
            <w:tcW w:w="1126" w:type="pct"/>
            <w:tcBorders>
              <w:left w:val="double" w:sz="4"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T6-T7=104,6337</w:t>
            </w:r>
          </w:p>
        </w:tc>
        <w:tc>
          <w:tcPr>
            <w:tcW w:w="901" w:type="pct"/>
            <w:vMerge/>
            <w:tcBorders>
              <w:left w:val="double" w:sz="4" w:space="0" w:color="auto"/>
              <w:right w:val="thinThickSmallGap" w:sz="12" w:space="0" w:color="auto"/>
            </w:tcBorders>
            <w:vAlign w:val="center"/>
          </w:tcPr>
          <w:p w:rsidR="00865479" w:rsidRPr="00AB4843" w:rsidRDefault="00865479" w:rsidP="00AF53FF">
            <w:pPr>
              <w:jc w:val="center"/>
              <w:rPr>
                <w:rFonts w:asciiTheme="minorHAnsi" w:hAnsiTheme="minorHAnsi" w:cstheme="minorHAnsi"/>
                <w:sz w:val="20"/>
                <w:szCs w:val="20"/>
              </w:rPr>
            </w:pPr>
          </w:p>
        </w:tc>
      </w:tr>
      <w:tr w:rsidR="00865479" w:rsidRPr="00AB4843" w:rsidTr="00AF53FF">
        <w:trPr>
          <w:jc w:val="center"/>
        </w:trPr>
        <w:tc>
          <w:tcPr>
            <w:tcW w:w="948" w:type="pct"/>
            <w:tcBorders>
              <w:left w:val="thinThickSmallGap" w:sz="12"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T7</w:t>
            </w:r>
          </w:p>
        </w:tc>
        <w:tc>
          <w:tcPr>
            <w:tcW w:w="1013" w:type="pct"/>
            <w:tcBorders>
              <w:lef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4 754 313</w:t>
            </w:r>
          </w:p>
        </w:tc>
        <w:tc>
          <w:tcPr>
            <w:tcW w:w="1013" w:type="pct"/>
            <w:tcBorders>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7 383 105</w:t>
            </w:r>
          </w:p>
        </w:tc>
        <w:tc>
          <w:tcPr>
            <w:tcW w:w="1126" w:type="pct"/>
            <w:tcBorders>
              <w:left w:val="double" w:sz="4"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T7-T8=109,4</w:t>
            </w:r>
          </w:p>
        </w:tc>
        <w:tc>
          <w:tcPr>
            <w:tcW w:w="901" w:type="pct"/>
            <w:vMerge/>
            <w:tcBorders>
              <w:left w:val="double" w:sz="4" w:space="0" w:color="auto"/>
              <w:right w:val="thinThickSmallGap" w:sz="12" w:space="0" w:color="auto"/>
            </w:tcBorders>
            <w:vAlign w:val="center"/>
          </w:tcPr>
          <w:p w:rsidR="00865479" w:rsidRPr="00AB4843" w:rsidRDefault="00865479" w:rsidP="00AF53FF">
            <w:pPr>
              <w:jc w:val="center"/>
              <w:rPr>
                <w:rFonts w:asciiTheme="minorHAnsi" w:hAnsiTheme="minorHAnsi" w:cstheme="minorHAnsi"/>
                <w:sz w:val="20"/>
                <w:szCs w:val="20"/>
              </w:rPr>
            </w:pPr>
          </w:p>
        </w:tc>
      </w:tr>
      <w:tr w:rsidR="00865479" w:rsidRPr="00AB4843" w:rsidTr="00AF53FF">
        <w:trPr>
          <w:jc w:val="center"/>
        </w:trPr>
        <w:tc>
          <w:tcPr>
            <w:tcW w:w="948" w:type="pct"/>
            <w:tcBorders>
              <w:left w:val="thinThickSmallGap" w:sz="12" w:space="0" w:color="auto"/>
              <w:bottom w:val="thinThickSmallGap" w:sz="12"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T8</w:t>
            </w:r>
          </w:p>
        </w:tc>
        <w:tc>
          <w:tcPr>
            <w:tcW w:w="1013" w:type="pct"/>
            <w:tcBorders>
              <w:left w:val="double" w:sz="4" w:space="0" w:color="auto"/>
              <w:bottom w:val="thinThickSmallGap" w:sz="12"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4 754 280</w:t>
            </w:r>
          </w:p>
        </w:tc>
        <w:tc>
          <w:tcPr>
            <w:tcW w:w="1013" w:type="pct"/>
            <w:tcBorders>
              <w:bottom w:val="thinThickSmallGap" w:sz="12"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7 383 000</w:t>
            </w:r>
          </w:p>
        </w:tc>
        <w:tc>
          <w:tcPr>
            <w:tcW w:w="1126" w:type="pct"/>
            <w:tcBorders>
              <w:left w:val="double" w:sz="4" w:space="0" w:color="auto"/>
              <w:bottom w:val="thinThickSmallGap" w:sz="12" w:space="0" w:color="auto"/>
              <w:right w:val="double" w:sz="4" w:space="0" w:color="auto"/>
            </w:tcBorders>
            <w:vAlign w:val="center"/>
          </w:tcPr>
          <w:p w:rsidR="00865479" w:rsidRPr="00AB4843" w:rsidRDefault="00865479" w:rsidP="00AF53FF">
            <w:pPr>
              <w:jc w:val="center"/>
              <w:rPr>
                <w:rFonts w:asciiTheme="minorHAnsi" w:hAnsiTheme="minorHAnsi" w:cstheme="minorHAnsi"/>
                <w:sz w:val="20"/>
                <w:szCs w:val="20"/>
              </w:rPr>
            </w:pPr>
            <w:r w:rsidRPr="00AB4843">
              <w:rPr>
                <w:rFonts w:asciiTheme="minorHAnsi" w:hAnsiTheme="minorHAnsi" w:cstheme="minorHAnsi"/>
                <w:sz w:val="20"/>
                <w:szCs w:val="20"/>
              </w:rPr>
              <w:t>T8-T1=184,95</w:t>
            </w:r>
          </w:p>
        </w:tc>
        <w:tc>
          <w:tcPr>
            <w:tcW w:w="901" w:type="pct"/>
            <w:vMerge/>
            <w:tcBorders>
              <w:left w:val="double" w:sz="4" w:space="0" w:color="auto"/>
              <w:bottom w:val="thinThickSmallGap" w:sz="12" w:space="0" w:color="auto"/>
              <w:right w:val="thinThickSmallGap" w:sz="12" w:space="0" w:color="auto"/>
            </w:tcBorders>
            <w:vAlign w:val="center"/>
          </w:tcPr>
          <w:p w:rsidR="00865479" w:rsidRPr="00AB4843" w:rsidRDefault="00865479" w:rsidP="00AF53FF">
            <w:pPr>
              <w:jc w:val="center"/>
              <w:rPr>
                <w:rFonts w:asciiTheme="minorHAnsi" w:hAnsiTheme="minorHAnsi" w:cstheme="minorHAnsi"/>
                <w:sz w:val="20"/>
                <w:szCs w:val="20"/>
              </w:rPr>
            </w:pPr>
          </w:p>
        </w:tc>
      </w:tr>
    </w:tbl>
    <w:p w:rsidR="00E0355F" w:rsidRPr="00AB4843" w:rsidRDefault="00E0355F" w:rsidP="00403695">
      <w:pPr>
        <w:jc w:val="both"/>
        <w:rPr>
          <w:rFonts w:asciiTheme="minorHAnsi" w:hAnsiTheme="minorHAnsi" w:cstheme="minorHAnsi"/>
          <w:sz w:val="20"/>
          <w:szCs w:val="20"/>
          <w:lang w:val="sr-Latn-CS"/>
        </w:rPr>
      </w:pPr>
    </w:p>
    <w:p w:rsidR="00E0355F" w:rsidRPr="00AB4843" w:rsidRDefault="00E035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Ležište „Štitarica - Okruglički krš“ ima dobre komunikacione veze. Nalazi se u neposrednoj blizini magistralnog puta (dionica Mojkovac - Kolašin) i željezničke pruge Beograd – Bar, povezano je sa Mojkovcem Jadranskom magistralom u dolini rijeke Tare i lokalnim asfaltnim putem dužine oko </w:t>
      </w:r>
      <w:smartTag w:uri="urn:schemas-microsoft-com:office:smarttags" w:element="metricconverter">
        <w:smartTagPr>
          <w:attr w:name="ProductID" w:val="1,4 km"/>
        </w:smartTagPr>
        <w:r w:rsidRPr="00AB4843">
          <w:rPr>
            <w:rFonts w:asciiTheme="minorHAnsi" w:hAnsiTheme="minorHAnsi" w:cstheme="minorHAnsi"/>
            <w:sz w:val="20"/>
            <w:szCs w:val="20"/>
            <w:lang w:val="sr-Latn-CS"/>
          </w:rPr>
          <w:t>1,4 km</w:t>
        </w:r>
      </w:smartTag>
      <w:r w:rsidRPr="00AB4843">
        <w:rPr>
          <w:rFonts w:asciiTheme="minorHAnsi" w:hAnsiTheme="minorHAnsi" w:cstheme="minorHAnsi"/>
          <w:sz w:val="20"/>
          <w:szCs w:val="20"/>
          <w:lang w:val="sr-Latn-CS"/>
        </w:rPr>
        <w:t>. To je asfaltni put koji od magistrale ide južnim padinama Malog Preprana i Okrugličkog krša do sela Donja i Gornja Štitarica, a dalje se nastavlja makadamski put do katuna na Sinjavini.</w:t>
      </w:r>
    </w:p>
    <w:p w:rsidR="00E0355F" w:rsidRPr="00AB4843" w:rsidRDefault="00E0355F" w:rsidP="00403695">
      <w:pPr>
        <w:jc w:val="both"/>
        <w:rPr>
          <w:rFonts w:asciiTheme="minorHAnsi" w:hAnsiTheme="minorHAnsi" w:cstheme="minorHAnsi"/>
          <w:sz w:val="20"/>
          <w:szCs w:val="20"/>
          <w:lang w:val="sr-Latn-CS"/>
        </w:rPr>
      </w:pPr>
    </w:p>
    <w:p w:rsidR="00E0355F" w:rsidRPr="00AB4843" w:rsidRDefault="00E035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Ležište „Štitarica - Okruglički krš“, sa drobiličnim i asfaltnim postrojenjima u neposrednoj blizini, ima dobru perspektivu i može dati značajan doprinos savremenom održavanju putnih pravaca u Crnoj Gori. Realizacijom radova na obezbjeđenju i eksploataciji sirovinske baze ovog ležišta daje se doprinos svestranom i racionalnom iskorišćenju prirodnih resursa ovog, slabije razvijenog, područja.</w:t>
      </w:r>
    </w:p>
    <w:p w:rsidR="00E0355F" w:rsidRPr="00AB4843" w:rsidRDefault="00E0355F" w:rsidP="00403695">
      <w:pPr>
        <w:jc w:val="both"/>
        <w:rPr>
          <w:rFonts w:asciiTheme="minorHAnsi" w:hAnsiTheme="minorHAnsi" w:cstheme="minorHAnsi"/>
          <w:sz w:val="20"/>
          <w:szCs w:val="20"/>
          <w:lang w:val="sr-Latn-CS"/>
        </w:rPr>
      </w:pPr>
    </w:p>
    <w:p w:rsidR="00E0355F" w:rsidRPr="00AB4843" w:rsidRDefault="00E035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U ekonomskom pogledu, a imajući u vidu postojeću infrastrukturu, ovo područje je, uglavnom, oslonjeno na Mojkovac. Od privrednih djelatnosti u ovom regionu od posebnog značaja su: rudarstvo, poljoprivreda i drvna industrija. Ranijih godina najveći dio stanovništva Mojkovca i okoline bavio se rudarstvom, međutim, kako je u  poslednje vrijeme rudarstvo u Crnoj Gori zahvatila ozbiljna kriza, brojni rudari iz Mojkovca i okoline su ostali bez stalnog zapošljenja. Ovo je imalo značajnog uticaja na ekonomsko-socijalne prilike u ovom dijelu Crne Gore.</w:t>
      </w:r>
    </w:p>
    <w:p w:rsidR="00E0355F" w:rsidRPr="00AB4843" w:rsidRDefault="00E0355F" w:rsidP="00403695">
      <w:pPr>
        <w:jc w:val="both"/>
        <w:rPr>
          <w:rFonts w:asciiTheme="minorHAnsi" w:hAnsiTheme="minorHAnsi" w:cstheme="minorHAnsi"/>
          <w:sz w:val="20"/>
          <w:szCs w:val="20"/>
          <w:lang w:val="sr-Latn-CS"/>
        </w:rPr>
      </w:pPr>
    </w:p>
    <w:p w:rsidR="00E0355F" w:rsidRPr="00AB4843" w:rsidRDefault="00E035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Međutim, povoljan geografski položaj, razvijen drumski i željeznički saobraćaj i postojeći prirodni resursi, predstavljaju važnu osnovu za razvoj ovog područja.</w:t>
      </w:r>
    </w:p>
    <w:p w:rsidR="00E0355F" w:rsidRPr="00AB4843" w:rsidRDefault="00E0355F" w:rsidP="00403695">
      <w:pPr>
        <w:jc w:val="both"/>
        <w:rPr>
          <w:rFonts w:asciiTheme="minorHAnsi" w:hAnsiTheme="minorHAnsi" w:cstheme="minorHAnsi"/>
          <w:sz w:val="20"/>
          <w:szCs w:val="20"/>
          <w:lang w:val="sr-Latn-CS"/>
        </w:rPr>
      </w:pPr>
    </w:p>
    <w:p w:rsidR="00E0355F" w:rsidRPr="00AB4843" w:rsidRDefault="00E035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Na prostoru opštine Mojkovac danas je razvijeno više privrednih djelatnosti: turizam i ugostiteljstvo, brojne vrste usluga iz različitih djelatnosti, itd.</w:t>
      </w:r>
    </w:p>
    <w:p w:rsidR="00E0355F" w:rsidRPr="00AB4843" w:rsidRDefault="00E0355F" w:rsidP="00403695">
      <w:pPr>
        <w:jc w:val="both"/>
        <w:rPr>
          <w:rFonts w:asciiTheme="minorHAnsi" w:hAnsiTheme="minorHAnsi" w:cstheme="minorHAnsi"/>
          <w:sz w:val="20"/>
          <w:szCs w:val="20"/>
          <w:lang w:val="sr-Latn-CS"/>
        </w:rPr>
      </w:pPr>
    </w:p>
    <w:p w:rsidR="00E0355F" w:rsidRPr="00AB4843" w:rsidRDefault="00E035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Postojanje ležišta tehničko-građevinskog kamena na području Štitarice (”Okruglički krš“ i „Taskavac“), sa drobiličnim i asfaltnim postrojenjima, kao stalnim objektima na ovom prostoru, daju nesumljiv doprinos u ukupnom razvoju i rješavanju socijalno-ekonomskih problema stanovništva u opštini Mojkovac.</w:t>
      </w:r>
    </w:p>
    <w:p w:rsidR="00E0355F" w:rsidRPr="00AB4843" w:rsidRDefault="00E0355F" w:rsidP="00403695">
      <w:pPr>
        <w:jc w:val="both"/>
        <w:rPr>
          <w:rFonts w:asciiTheme="minorHAnsi" w:hAnsiTheme="minorHAnsi" w:cstheme="minorHAnsi"/>
          <w:sz w:val="20"/>
          <w:szCs w:val="20"/>
          <w:lang w:val="sr-Latn-CS"/>
        </w:rPr>
      </w:pPr>
    </w:p>
    <w:p w:rsidR="00E0355F" w:rsidRPr="00AB4843" w:rsidRDefault="00E035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Ležište tehničko-građevinskog kamena „Štitarica - Okruglički krš“ izgrađuju vulkanske stijene srednjetrijaske starosti (anizik – ladinik) i sedimenti kvartara.</w:t>
      </w:r>
    </w:p>
    <w:p w:rsidR="00E0355F" w:rsidRPr="00AB4843" w:rsidRDefault="00E0355F" w:rsidP="00403695">
      <w:pPr>
        <w:jc w:val="both"/>
        <w:rPr>
          <w:rFonts w:asciiTheme="minorHAnsi" w:hAnsiTheme="minorHAnsi" w:cstheme="minorHAnsi"/>
          <w:sz w:val="20"/>
          <w:szCs w:val="20"/>
          <w:lang w:val="sr-Latn-CS"/>
        </w:rPr>
      </w:pPr>
    </w:p>
    <w:p w:rsidR="00E0355F" w:rsidRPr="00AB4843" w:rsidRDefault="00E035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Od vulkanskih stijena u izgradnji ležišta „Štitarica - Okruglički krš“ zastupljeni su kvarckeratofiri, keratofiri i znatno rjeđe keratofirski i kvarckeratofirski tufovi i tufiti. Osim ovih zastupljeni su i prelazni varijeteti između navedenih stijenskih masa.</w:t>
      </w:r>
    </w:p>
    <w:p w:rsidR="00E0355F" w:rsidRPr="00AB4843" w:rsidRDefault="00E0355F" w:rsidP="00403695">
      <w:pPr>
        <w:jc w:val="both"/>
        <w:rPr>
          <w:rFonts w:asciiTheme="minorHAnsi" w:hAnsiTheme="minorHAnsi" w:cstheme="minorHAnsi"/>
          <w:sz w:val="20"/>
          <w:szCs w:val="20"/>
          <w:lang w:val="sr-Latn-CS"/>
        </w:rPr>
      </w:pPr>
    </w:p>
    <w:p w:rsidR="00E0355F" w:rsidRPr="00AB4843" w:rsidRDefault="00E0355F"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U izgradnji ležišta učestvuju tri tipa vulkanskih stijenskih masa, i to: u donjem dijelu ležišta preovlađuju kvarckeratofiri; preko njih nalazi se zona uškriljenih vulkanita i škriljaca i gornji najviši nivo, u isto vrijeme i najveći dio ležišta „Okruglički krš“, izgrađuju keratofiri i kvarckeratofiri sa žicama, muglama i sočivima kvarca. </w:t>
      </w:r>
    </w:p>
    <w:p w:rsidR="008D1591" w:rsidRPr="00AB4843" w:rsidRDefault="008D1591" w:rsidP="00403695">
      <w:pPr>
        <w:jc w:val="both"/>
        <w:rPr>
          <w:rFonts w:asciiTheme="minorHAnsi" w:hAnsiTheme="minorHAnsi" w:cstheme="minorHAnsi"/>
          <w:sz w:val="20"/>
          <w:szCs w:val="20"/>
          <w:lang w:val="sr-Latn-CS"/>
        </w:rPr>
      </w:pPr>
    </w:p>
    <w:p w:rsidR="008D1591" w:rsidRPr="00AB4843" w:rsidRDefault="008D1591"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U Ministarstvu ekonomije se nalaze podaci o geološkim istraživanjima od 1978. godine. Od tada je ležište u više navrata istraživano. Posljedni podaci su iz „Elaborata o klasifikaciji, kategorizaciji i proračunu rezervi </w:t>
      </w:r>
      <w:r w:rsidR="005F0BE9">
        <w:rPr>
          <w:rFonts w:asciiTheme="minorHAnsi" w:hAnsiTheme="minorHAnsi" w:cstheme="minorHAnsi"/>
          <w:sz w:val="20"/>
          <w:szCs w:val="20"/>
          <w:lang w:val="sr-Latn-CS"/>
        </w:rPr>
        <w:t>tehničko-</w:t>
      </w:r>
      <w:r w:rsidRPr="00AB4843">
        <w:rPr>
          <w:rFonts w:asciiTheme="minorHAnsi" w:hAnsiTheme="minorHAnsi" w:cstheme="minorHAnsi"/>
          <w:sz w:val="20"/>
          <w:szCs w:val="20"/>
          <w:lang w:val="sr-Latn-CS"/>
        </w:rPr>
        <w:t>građevinskog kamena ležišta „Štitarica-Okruglički krš“, stanje 31.12. 2012. godine, koji je ovjerilo Ministarstvo ekonomije. Detaljna geološka istraivanja je izvodio dosadašnji Koncesionar AD „Crnagoraput“ – Podgorica, koji je i izradio ovaj Elaborat.</w:t>
      </w:r>
    </w:p>
    <w:p w:rsidR="008D1591" w:rsidRPr="00AB4843" w:rsidRDefault="008D1591" w:rsidP="00403695">
      <w:pPr>
        <w:jc w:val="both"/>
        <w:rPr>
          <w:rFonts w:asciiTheme="minorHAnsi" w:hAnsiTheme="minorHAnsi" w:cstheme="minorHAnsi"/>
          <w:sz w:val="20"/>
          <w:szCs w:val="20"/>
          <w:lang w:val="sr-Latn-CS"/>
        </w:rPr>
      </w:pPr>
    </w:p>
    <w:p w:rsidR="00C61546" w:rsidRDefault="008D1591" w:rsidP="00403695">
      <w:pPr>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U narednoj tabeli je dat pregled </w:t>
      </w:r>
      <w:r w:rsidRPr="00AB4843">
        <w:rPr>
          <w:rFonts w:asciiTheme="minorHAnsi" w:hAnsiTheme="minorHAnsi" w:cstheme="minorHAnsi"/>
          <w:sz w:val="20"/>
          <w:szCs w:val="20"/>
          <w:lang w:val="sl-SI"/>
        </w:rPr>
        <w:t>geoloških, bilansnih i eksploatacionih rezervi tehničko-građevinskog kamena</w:t>
      </w:r>
      <w:r w:rsidRPr="00AB4843">
        <w:rPr>
          <w:rFonts w:asciiTheme="minorHAnsi" w:hAnsiTheme="minorHAnsi" w:cstheme="minorHAnsi"/>
          <w:sz w:val="20"/>
          <w:szCs w:val="20"/>
          <w:lang w:val="sr-Latn-CS"/>
        </w:rPr>
        <w:t xml:space="preserve"> (eruptiva) ležišta „Okruglički krš“ – Štitarica kod Mojkovca,  stanje 31.12.2012. godine, kako slijedi: </w:t>
      </w:r>
    </w:p>
    <w:p w:rsidR="008D1591" w:rsidRPr="00AB4843" w:rsidRDefault="008D1591" w:rsidP="00403695">
      <w:pPr>
        <w:rPr>
          <w:rFonts w:asciiTheme="minorHAnsi" w:hAnsiTheme="minorHAnsi" w:cstheme="minorHAnsi"/>
          <w:sz w:val="20"/>
          <w:szCs w:val="20"/>
          <w:lang w:val="sl-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8"/>
        <w:gridCol w:w="1982"/>
        <w:gridCol w:w="1791"/>
        <w:gridCol w:w="3095"/>
      </w:tblGrid>
      <w:tr w:rsidR="008D1591" w:rsidRPr="003B150E" w:rsidTr="00AF53FF">
        <w:trPr>
          <w:cantSplit/>
          <w:trHeight w:val="380"/>
          <w:jc w:val="center"/>
        </w:trPr>
        <w:tc>
          <w:tcPr>
            <w:tcW w:w="1414" w:type="pct"/>
            <w:vMerge w:val="restart"/>
            <w:tcBorders>
              <w:top w:val="thinThickSmallGap" w:sz="12" w:space="0" w:color="auto"/>
              <w:left w:val="thinThickSmallGap" w:sz="12" w:space="0" w:color="auto"/>
              <w:right w:val="double" w:sz="4" w:space="0" w:color="auto"/>
            </w:tcBorders>
            <w:shd w:val="clear" w:color="auto" w:fill="92D050"/>
            <w:vAlign w:val="center"/>
          </w:tcPr>
          <w:p w:rsidR="008D1591" w:rsidRPr="00AB4843" w:rsidRDefault="008D1591" w:rsidP="00AF53FF">
            <w:pPr>
              <w:jc w:val="center"/>
              <w:rPr>
                <w:rFonts w:asciiTheme="minorHAnsi" w:hAnsiTheme="minorHAnsi" w:cstheme="minorHAnsi"/>
                <w:b/>
                <w:sz w:val="20"/>
                <w:szCs w:val="20"/>
              </w:rPr>
            </w:pPr>
            <w:r w:rsidRPr="00AB4843">
              <w:rPr>
                <w:rFonts w:asciiTheme="minorHAnsi" w:hAnsiTheme="minorHAnsi" w:cstheme="minorHAnsi"/>
                <w:b/>
                <w:sz w:val="20"/>
                <w:szCs w:val="20"/>
              </w:rPr>
              <w:t>Rezerve</w:t>
            </w:r>
          </w:p>
        </w:tc>
        <w:tc>
          <w:tcPr>
            <w:tcW w:w="1970" w:type="pct"/>
            <w:gridSpan w:val="2"/>
            <w:tcBorders>
              <w:top w:val="thinThickSmallGap" w:sz="12" w:space="0" w:color="auto"/>
              <w:left w:val="double" w:sz="4" w:space="0" w:color="auto"/>
              <w:right w:val="double" w:sz="4" w:space="0" w:color="auto"/>
            </w:tcBorders>
            <w:shd w:val="clear" w:color="auto" w:fill="92D050"/>
            <w:vAlign w:val="center"/>
          </w:tcPr>
          <w:p w:rsidR="008D1591" w:rsidRPr="00AB4843" w:rsidRDefault="008D1591" w:rsidP="00AF53FF">
            <w:pPr>
              <w:jc w:val="center"/>
              <w:rPr>
                <w:rFonts w:asciiTheme="minorHAnsi" w:hAnsiTheme="minorHAnsi" w:cstheme="minorHAnsi"/>
                <w:b/>
                <w:sz w:val="20"/>
                <w:szCs w:val="20"/>
                <w:lang w:val="pl-PL"/>
              </w:rPr>
            </w:pPr>
            <w:r w:rsidRPr="00AB4843">
              <w:rPr>
                <w:rFonts w:asciiTheme="minorHAnsi" w:hAnsiTheme="minorHAnsi" w:cstheme="minorHAnsi"/>
                <w:b/>
                <w:sz w:val="20"/>
                <w:szCs w:val="20"/>
              </w:rPr>
              <w:t>Kategorija</w:t>
            </w:r>
          </w:p>
        </w:tc>
        <w:tc>
          <w:tcPr>
            <w:tcW w:w="1616" w:type="pct"/>
            <w:vMerge w:val="restart"/>
            <w:tcBorders>
              <w:top w:val="thinThickSmallGap" w:sz="12" w:space="0" w:color="auto"/>
              <w:left w:val="double" w:sz="4" w:space="0" w:color="auto"/>
              <w:right w:val="thinThickSmallGap" w:sz="12" w:space="0" w:color="auto"/>
            </w:tcBorders>
            <w:shd w:val="clear" w:color="auto" w:fill="92D050"/>
            <w:vAlign w:val="center"/>
          </w:tcPr>
          <w:p w:rsidR="008D1591" w:rsidRPr="00AB4843" w:rsidRDefault="008D1591" w:rsidP="00AF53FF">
            <w:pPr>
              <w:jc w:val="center"/>
              <w:rPr>
                <w:rFonts w:asciiTheme="minorHAnsi" w:hAnsiTheme="minorHAnsi" w:cstheme="minorHAnsi"/>
                <w:b/>
                <w:sz w:val="20"/>
                <w:szCs w:val="20"/>
                <w:lang w:val="pl-PL"/>
              </w:rPr>
            </w:pPr>
            <w:r w:rsidRPr="00AB4843">
              <w:rPr>
                <w:rFonts w:asciiTheme="minorHAnsi" w:hAnsiTheme="minorHAnsi" w:cstheme="minorHAnsi"/>
                <w:b/>
                <w:sz w:val="20"/>
                <w:szCs w:val="20"/>
                <w:lang w:val="pl-PL"/>
              </w:rPr>
              <w:t>Ukupne rezerve tehničko-građevinskog kamena, m</w:t>
            </w:r>
            <w:r w:rsidRPr="00AB4843">
              <w:rPr>
                <w:rFonts w:asciiTheme="minorHAnsi" w:hAnsiTheme="minorHAnsi" w:cstheme="minorHAnsi"/>
                <w:b/>
                <w:sz w:val="20"/>
                <w:szCs w:val="20"/>
                <w:vertAlign w:val="superscript"/>
                <w:lang w:val="pl-PL"/>
              </w:rPr>
              <w:t>3</w:t>
            </w:r>
          </w:p>
        </w:tc>
      </w:tr>
      <w:tr w:rsidR="008D1591" w:rsidRPr="00AB4843" w:rsidTr="00AF53FF">
        <w:trPr>
          <w:cantSplit/>
          <w:trHeight w:val="169"/>
          <w:jc w:val="center"/>
        </w:trPr>
        <w:tc>
          <w:tcPr>
            <w:tcW w:w="1414" w:type="pct"/>
            <w:vMerge/>
            <w:tcBorders>
              <w:left w:val="thinThickSmallGap" w:sz="12" w:space="0" w:color="auto"/>
              <w:bottom w:val="double" w:sz="4" w:space="0" w:color="auto"/>
              <w:right w:val="double" w:sz="4" w:space="0" w:color="auto"/>
            </w:tcBorders>
            <w:shd w:val="clear" w:color="auto" w:fill="92D050"/>
            <w:vAlign w:val="center"/>
          </w:tcPr>
          <w:p w:rsidR="008D1591" w:rsidRPr="00AB4843" w:rsidRDefault="008D1591" w:rsidP="00AF53FF">
            <w:pPr>
              <w:jc w:val="center"/>
              <w:rPr>
                <w:rFonts w:asciiTheme="minorHAnsi" w:hAnsiTheme="minorHAnsi" w:cstheme="minorHAnsi"/>
                <w:b/>
                <w:sz w:val="20"/>
                <w:szCs w:val="20"/>
                <w:lang w:val="pl-PL"/>
              </w:rPr>
            </w:pPr>
          </w:p>
        </w:tc>
        <w:tc>
          <w:tcPr>
            <w:tcW w:w="1035" w:type="pct"/>
            <w:tcBorders>
              <w:top w:val="single" w:sz="8" w:space="0" w:color="auto"/>
              <w:left w:val="double" w:sz="4" w:space="0" w:color="auto"/>
              <w:bottom w:val="double" w:sz="4" w:space="0" w:color="auto"/>
            </w:tcBorders>
            <w:shd w:val="clear" w:color="auto" w:fill="92D050"/>
            <w:vAlign w:val="center"/>
          </w:tcPr>
          <w:p w:rsidR="008D1591" w:rsidRPr="00AB4843" w:rsidRDefault="008D1591" w:rsidP="00AF53FF">
            <w:pPr>
              <w:jc w:val="center"/>
              <w:rPr>
                <w:rFonts w:asciiTheme="minorHAnsi" w:hAnsiTheme="minorHAnsi" w:cstheme="minorHAnsi"/>
                <w:b/>
                <w:sz w:val="20"/>
                <w:szCs w:val="20"/>
              </w:rPr>
            </w:pPr>
            <w:r w:rsidRPr="00AB4843">
              <w:rPr>
                <w:rFonts w:asciiTheme="minorHAnsi" w:hAnsiTheme="minorHAnsi" w:cstheme="minorHAnsi"/>
                <w:b/>
                <w:sz w:val="20"/>
                <w:szCs w:val="20"/>
              </w:rPr>
              <w:t>B</w:t>
            </w:r>
          </w:p>
        </w:tc>
        <w:tc>
          <w:tcPr>
            <w:tcW w:w="934" w:type="pct"/>
            <w:tcBorders>
              <w:top w:val="single" w:sz="8" w:space="0" w:color="auto"/>
              <w:bottom w:val="double" w:sz="4" w:space="0" w:color="auto"/>
              <w:right w:val="double" w:sz="4" w:space="0" w:color="auto"/>
            </w:tcBorders>
            <w:shd w:val="clear" w:color="auto" w:fill="92D050"/>
            <w:vAlign w:val="center"/>
          </w:tcPr>
          <w:p w:rsidR="008D1591" w:rsidRPr="00AB4843" w:rsidRDefault="008D1591" w:rsidP="00AF53FF">
            <w:pPr>
              <w:jc w:val="center"/>
              <w:rPr>
                <w:rFonts w:asciiTheme="minorHAnsi" w:hAnsiTheme="minorHAnsi" w:cstheme="minorHAnsi"/>
                <w:b/>
                <w:sz w:val="20"/>
                <w:szCs w:val="20"/>
              </w:rPr>
            </w:pPr>
            <w:r w:rsidRPr="00AB4843">
              <w:rPr>
                <w:rFonts w:asciiTheme="minorHAnsi" w:hAnsiTheme="minorHAnsi" w:cstheme="minorHAnsi"/>
                <w:b/>
                <w:sz w:val="20"/>
                <w:szCs w:val="20"/>
              </w:rPr>
              <w:t>C</w:t>
            </w:r>
            <w:r w:rsidRPr="00AB4843">
              <w:rPr>
                <w:rFonts w:asciiTheme="minorHAnsi" w:hAnsiTheme="minorHAnsi" w:cstheme="minorHAnsi"/>
                <w:b/>
                <w:sz w:val="20"/>
                <w:szCs w:val="20"/>
                <w:vertAlign w:val="subscript"/>
              </w:rPr>
              <w:t>1</w:t>
            </w:r>
          </w:p>
        </w:tc>
        <w:tc>
          <w:tcPr>
            <w:tcW w:w="1616" w:type="pct"/>
            <w:vMerge/>
            <w:tcBorders>
              <w:left w:val="double" w:sz="4" w:space="0" w:color="auto"/>
              <w:bottom w:val="double" w:sz="4" w:space="0" w:color="auto"/>
              <w:right w:val="thinThickSmallGap" w:sz="12" w:space="0" w:color="auto"/>
            </w:tcBorders>
            <w:shd w:val="clear" w:color="auto" w:fill="92D050"/>
            <w:vAlign w:val="center"/>
          </w:tcPr>
          <w:p w:rsidR="008D1591" w:rsidRPr="00AB4843" w:rsidRDefault="008D1591" w:rsidP="00AF53FF">
            <w:pPr>
              <w:jc w:val="center"/>
              <w:rPr>
                <w:rFonts w:asciiTheme="minorHAnsi" w:hAnsiTheme="minorHAnsi" w:cstheme="minorHAnsi"/>
                <w:b/>
                <w:sz w:val="20"/>
                <w:szCs w:val="20"/>
              </w:rPr>
            </w:pPr>
          </w:p>
        </w:tc>
      </w:tr>
      <w:tr w:rsidR="008D1591" w:rsidRPr="00AB4843" w:rsidTr="00AF53FF">
        <w:trPr>
          <w:cantSplit/>
          <w:trHeight w:val="258"/>
          <w:jc w:val="center"/>
        </w:trPr>
        <w:tc>
          <w:tcPr>
            <w:tcW w:w="1414" w:type="pct"/>
            <w:tcBorders>
              <w:top w:val="double" w:sz="4" w:space="0" w:color="auto"/>
              <w:left w:val="thinThickSmallGap" w:sz="12" w:space="0" w:color="auto"/>
              <w:right w:val="double" w:sz="4" w:space="0" w:color="auto"/>
            </w:tcBorders>
            <w:vAlign w:val="center"/>
          </w:tcPr>
          <w:p w:rsidR="008D1591" w:rsidRPr="00AB4843" w:rsidRDefault="008D1591" w:rsidP="00AF53FF">
            <w:pPr>
              <w:pStyle w:val="Heading1"/>
              <w:jc w:val="center"/>
              <w:rPr>
                <w:rFonts w:asciiTheme="minorHAnsi" w:hAnsiTheme="minorHAnsi" w:cstheme="minorHAnsi"/>
                <w:sz w:val="20"/>
                <w:szCs w:val="20"/>
              </w:rPr>
            </w:pPr>
            <w:r w:rsidRPr="00AB4843">
              <w:rPr>
                <w:rFonts w:asciiTheme="minorHAnsi" w:hAnsiTheme="minorHAnsi" w:cstheme="minorHAnsi"/>
                <w:sz w:val="20"/>
                <w:szCs w:val="20"/>
              </w:rPr>
              <w:t>Geološke</w:t>
            </w:r>
          </w:p>
        </w:tc>
        <w:tc>
          <w:tcPr>
            <w:tcW w:w="1035" w:type="pct"/>
            <w:tcBorders>
              <w:top w:val="double" w:sz="4" w:space="0" w:color="auto"/>
              <w:left w:val="double" w:sz="4" w:space="0" w:color="auto"/>
              <w:right w:val="single" w:sz="4" w:space="0" w:color="auto"/>
            </w:tcBorders>
            <w:vAlign w:val="center"/>
          </w:tcPr>
          <w:p w:rsidR="008D1591" w:rsidRPr="00AB4843" w:rsidRDefault="008D1591" w:rsidP="00AF53FF">
            <w:pPr>
              <w:jc w:val="center"/>
              <w:rPr>
                <w:rFonts w:asciiTheme="minorHAnsi" w:hAnsiTheme="minorHAnsi" w:cstheme="minorHAnsi"/>
                <w:b/>
                <w:bCs/>
                <w:iCs/>
                <w:sz w:val="20"/>
                <w:szCs w:val="20"/>
              </w:rPr>
            </w:pPr>
            <w:r w:rsidRPr="00AB4843">
              <w:rPr>
                <w:rFonts w:asciiTheme="minorHAnsi" w:hAnsiTheme="minorHAnsi" w:cstheme="minorHAnsi"/>
                <w:b/>
                <w:bCs/>
                <w:iCs/>
                <w:sz w:val="20"/>
                <w:szCs w:val="20"/>
              </w:rPr>
              <w:t>1.278.160</w:t>
            </w:r>
          </w:p>
        </w:tc>
        <w:tc>
          <w:tcPr>
            <w:tcW w:w="934" w:type="pct"/>
            <w:tcBorders>
              <w:top w:val="double" w:sz="4" w:space="0" w:color="auto"/>
              <w:left w:val="single" w:sz="4" w:space="0" w:color="auto"/>
              <w:right w:val="double" w:sz="4" w:space="0" w:color="auto"/>
            </w:tcBorders>
            <w:vAlign w:val="center"/>
          </w:tcPr>
          <w:p w:rsidR="008D1591" w:rsidRPr="00AB4843" w:rsidRDefault="008D1591" w:rsidP="00AF53FF">
            <w:pPr>
              <w:jc w:val="center"/>
              <w:rPr>
                <w:rFonts w:asciiTheme="minorHAnsi" w:hAnsiTheme="minorHAnsi" w:cstheme="minorHAnsi"/>
                <w:b/>
                <w:bCs/>
                <w:iCs/>
                <w:sz w:val="20"/>
                <w:szCs w:val="20"/>
              </w:rPr>
            </w:pPr>
            <w:r w:rsidRPr="00AB4843">
              <w:rPr>
                <w:rFonts w:asciiTheme="minorHAnsi" w:hAnsiTheme="minorHAnsi" w:cstheme="minorHAnsi"/>
                <w:b/>
                <w:bCs/>
                <w:iCs/>
                <w:sz w:val="20"/>
                <w:szCs w:val="20"/>
              </w:rPr>
              <w:t>1.676.602</w:t>
            </w:r>
          </w:p>
        </w:tc>
        <w:tc>
          <w:tcPr>
            <w:tcW w:w="1616" w:type="pct"/>
            <w:tcBorders>
              <w:top w:val="double" w:sz="4" w:space="0" w:color="auto"/>
              <w:left w:val="double" w:sz="4" w:space="0" w:color="auto"/>
              <w:right w:val="thinThickSmallGap" w:sz="12" w:space="0" w:color="auto"/>
            </w:tcBorders>
            <w:vAlign w:val="center"/>
          </w:tcPr>
          <w:p w:rsidR="008D1591" w:rsidRPr="00AB4843" w:rsidRDefault="008D1591" w:rsidP="00AF53FF">
            <w:pPr>
              <w:jc w:val="center"/>
              <w:rPr>
                <w:rFonts w:asciiTheme="minorHAnsi" w:hAnsiTheme="minorHAnsi" w:cstheme="minorHAnsi"/>
                <w:b/>
                <w:bCs/>
                <w:iCs/>
                <w:sz w:val="20"/>
                <w:szCs w:val="20"/>
              </w:rPr>
            </w:pPr>
            <w:r w:rsidRPr="00AB4843">
              <w:rPr>
                <w:rFonts w:asciiTheme="minorHAnsi" w:hAnsiTheme="minorHAnsi" w:cstheme="minorHAnsi"/>
                <w:b/>
                <w:bCs/>
                <w:iCs/>
                <w:sz w:val="20"/>
                <w:szCs w:val="20"/>
              </w:rPr>
              <w:t>2.954.762</w:t>
            </w:r>
          </w:p>
        </w:tc>
      </w:tr>
      <w:tr w:rsidR="008D1591" w:rsidRPr="00AB4843" w:rsidTr="00AF53FF">
        <w:trPr>
          <w:cantSplit/>
          <w:trHeight w:val="260"/>
          <w:jc w:val="center"/>
        </w:trPr>
        <w:tc>
          <w:tcPr>
            <w:tcW w:w="1414" w:type="pct"/>
            <w:tcBorders>
              <w:left w:val="thinThickSmallGap" w:sz="12" w:space="0" w:color="auto"/>
              <w:right w:val="double" w:sz="4" w:space="0" w:color="auto"/>
            </w:tcBorders>
            <w:vAlign w:val="center"/>
          </w:tcPr>
          <w:p w:rsidR="008D1591" w:rsidRPr="00AB4843" w:rsidRDefault="008D1591" w:rsidP="00AF53FF">
            <w:pPr>
              <w:jc w:val="center"/>
              <w:rPr>
                <w:rFonts w:asciiTheme="minorHAnsi" w:hAnsiTheme="minorHAnsi" w:cstheme="minorHAnsi"/>
                <w:b/>
                <w:sz w:val="20"/>
                <w:szCs w:val="20"/>
              </w:rPr>
            </w:pPr>
            <w:r w:rsidRPr="00AB4843">
              <w:rPr>
                <w:rFonts w:asciiTheme="minorHAnsi" w:hAnsiTheme="minorHAnsi" w:cstheme="minorHAnsi"/>
                <w:b/>
                <w:sz w:val="20"/>
                <w:szCs w:val="20"/>
              </w:rPr>
              <w:t>Bilansne</w:t>
            </w:r>
          </w:p>
        </w:tc>
        <w:tc>
          <w:tcPr>
            <w:tcW w:w="1035" w:type="pct"/>
            <w:tcBorders>
              <w:left w:val="double" w:sz="4" w:space="0" w:color="auto"/>
              <w:right w:val="single" w:sz="4" w:space="0" w:color="auto"/>
            </w:tcBorders>
            <w:vAlign w:val="center"/>
          </w:tcPr>
          <w:p w:rsidR="008D1591" w:rsidRPr="00AB4843" w:rsidRDefault="008D1591" w:rsidP="00AF53FF">
            <w:pPr>
              <w:jc w:val="center"/>
              <w:rPr>
                <w:rFonts w:asciiTheme="minorHAnsi" w:hAnsiTheme="minorHAnsi" w:cstheme="minorHAnsi"/>
                <w:b/>
                <w:bCs/>
                <w:iCs/>
                <w:sz w:val="20"/>
                <w:szCs w:val="20"/>
              </w:rPr>
            </w:pPr>
            <w:r w:rsidRPr="00AB4843">
              <w:rPr>
                <w:rFonts w:asciiTheme="minorHAnsi" w:hAnsiTheme="minorHAnsi" w:cstheme="minorHAnsi"/>
                <w:b/>
                <w:bCs/>
                <w:iCs/>
                <w:sz w:val="20"/>
                <w:szCs w:val="20"/>
              </w:rPr>
              <w:t>1.278.160</w:t>
            </w:r>
          </w:p>
        </w:tc>
        <w:tc>
          <w:tcPr>
            <w:tcW w:w="934" w:type="pct"/>
            <w:tcBorders>
              <w:left w:val="single" w:sz="4" w:space="0" w:color="auto"/>
              <w:right w:val="double" w:sz="4" w:space="0" w:color="auto"/>
            </w:tcBorders>
            <w:vAlign w:val="center"/>
          </w:tcPr>
          <w:p w:rsidR="008D1591" w:rsidRPr="00AB4843" w:rsidRDefault="008D1591" w:rsidP="00AF53FF">
            <w:pPr>
              <w:jc w:val="center"/>
              <w:rPr>
                <w:rFonts w:asciiTheme="minorHAnsi" w:hAnsiTheme="minorHAnsi" w:cstheme="minorHAnsi"/>
                <w:b/>
                <w:bCs/>
                <w:iCs/>
                <w:sz w:val="20"/>
                <w:szCs w:val="20"/>
              </w:rPr>
            </w:pPr>
            <w:r w:rsidRPr="00AB4843">
              <w:rPr>
                <w:rFonts w:asciiTheme="minorHAnsi" w:hAnsiTheme="minorHAnsi" w:cstheme="minorHAnsi"/>
                <w:b/>
                <w:bCs/>
                <w:iCs/>
                <w:sz w:val="20"/>
                <w:szCs w:val="20"/>
              </w:rPr>
              <w:t>1.676.602</w:t>
            </w:r>
          </w:p>
        </w:tc>
        <w:tc>
          <w:tcPr>
            <w:tcW w:w="1616" w:type="pct"/>
            <w:tcBorders>
              <w:left w:val="double" w:sz="4" w:space="0" w:color="auto"/>
              <w:right w:val="thinThickSmallGap" w:sz="12" w:space="0" w:color="auto"/>
            </w:tcBorders>
            <w:vAlign w:val="center"/>
          </w:tcPr>
          <w:p w:rsidR="008D1591" w:rsidRPr="00AB4843" w:rsidRDefault="008D1591" w:rsidP="00AF53FF">
            <w:pPr>
              <w:jc w:val="center"/>
              <w:rPr>
                <w:rFonts w:asciiTheme="minorHAnsi" w:hAnsiTheme="minorHAnsi" w:cstheme="minorHAnsi"/>
                <w:b/>
                <w:bCs/>
                <w:iCs/>
                <w:sz w:val="20"/>
                <w:szCs w:val="20"/>
              </w:rPr>
            </w:pPr>
            <w:r w:rsidRPr="00AB4843">
              <w:rPr>
                <w:rFonts w:asciiTheme="minorHAnsi" w:hAnsiTheme="minorHAnsi" w:cstheme="minorHAnsi"/>
                <w:b/>
                <w:bCs/>
                <w:iCs/>
                <w:sz w:val="20"/>
                <w:szCs w:val="20"/>
              </w:rPr>
              <w:t>2.954.762</w:t>
            </w:r>
          </w:p>
        </w:tc>
      </w:tr>
      <w:tr w:rsidR="008D1591" w:rsidRPr="00AB4843" w:rsidTr="00AF53FF">
        <w:trPr>
          <w:cantSplit/>
          <w:trHeight w:val="251"/>
          <w:jc w:val="center"/>
        </w:trPr>
        <w:tc>
          <w:tcPr>
            <w:tcW w:w="1414" w:type="pct"/>
            <w:tcBorders>
              <w:left w:val="thinThickSmallGap" w:sz="12" w:space="0" w:color="auto"/>
              <w:bottom w:val="thinThickSmallGap" w:sz="12" w:space="0" w:color="auto"/>
              <w:right w:val="double" w:sz="4" w:space="0" w:color="auto"/>
            </w:tcBorders>
            <w:vAlign w:val="center"/>
          </w:tcPr>
          <w:p w:rsidR="008D1591" w:rsidRPr="00AB4843" w:rsidRDefault="008D1591" w:rsidP="00AF53FF">
            <w:pPr>
              <w:jc w:val="center"/>
              <w:rPr>
                <w:rFonts w:asciiTheme="minorHAnsi" w:hAnsiTheme="minorHAnsi" w:cstheme="minorHAnsi"/>
                <w:b/>
                <w:sz w:val="20"/>
                <w:szCs w:val="20"/>
              </w:rPr>
            </w:pPr>
            <w:r w:rsidRPr="00AB4843">
              <w:rPr>
                <w:rFonts w:asciiTheme="minorHAnsi" w:hAnsiTheme="minorHAnsi" w:cstheme="minorHAnsi"/>
                <w:b/>
                <w:sz w:val="20"/>
                <w:szCs w:val="20"/>
              </w:rPr>
              <w:t>Eksploatacione</w:t>
            </w:r>
          </w:p>
        </w:tc>
        <w:tc>
          <w:tcPr>
            <w:tcW w:w="1035" w:type="pct"/>
            <w:tcBorders>
              <w:left w:val="double" w:sz="4" w:space="0" w:color="auto"/>
              <w:bottom w:val="thinThickSmallGap" w:sz="12" w:space="0" w:color="auto"/>
              <w:right w:val="single" w:sz="4" w:space="0" w:color="auto"/>
            </w:tcBorders>
            <w:vAlign w:val="center"/>
          </w:tcPr>
          <w:p w:rsidR="008D1591" w:rsidRPr="00AB4843" w:rsidRDefault="008D1591" w:rsidP="00AF53FF">
            <w:pPr>
              <w:jc w:val="center"/>
              <w:rPr>
                <w:rFonts w:asciiTheme="minorHAnsi" w:hAnsiTheme="minorHAnsi" w:cstheme="minorHAnsi"/>
                <w:b/>
                <w:bCs/>
                <w:iCs/>
                <w:sz w:val="20"/>
                <w:szCs w:val="20"/>
              </w:rPr>
            </w:pPr>
            <w:r w:rsidRPr="00AB4843">
              <w:rPr>
                <w:rFonts w:asciiTheme="minorHAnsi" w:hAnsiTheme="minorHAnsi" w:cstheme="minorHAnsi"/>
                <w:b/>
                <w:bCs/>
                <w:iCs/>
                <w:sz w:val="20"/>
                <w:szCs w:val="20"/>
              </w:rPr>
              <w:t>1.175.907</w:t>
            </w:r>
          </w:p>
        </w:tc>
        <w:tc>
          <w:tcPr>
            <w:tcW w:w="934" w:type="pct"/>
            <w:tcBorders>
              <w:left w:val="single" w:sz="4" w:space="0" w:color="auto"/>
              <w:bottom w:val="thinThickSmallGap" w:sz="12" w:space="0" w:color="auto"/>
              <w:right w:val="double" w:sz="4" w:space="0" w:color="auto"/>
            </w:tcBorders>
            <w:vAlign w:val="center"/>
          </w:tcPr>
          <w:p w:rsidR="008D1591" w:rsidRPr="00AB4843" w:rsidRDefault="008D1591" w:rsidP="00AF53FF">
            <w:pPr>
              <w:jc w:val="center"/>
              <w:rPr>
                <w:rFonts w:asciiTheme="minorHAnsi" w:hAnsiTheme="minorHAnsi" w:cstheme="minorHAnsi"/>
                <w:b/>
                <w:bCs/>
                <w:iCs/>
                <w:sz w:val="20"/>
                <w:szCs w:val="20"/>
              </w:rPr>
            </w:pPr>
            <w:r w:rsidRPr="00AB4843">
              <w:rPr>
                <w:rFonts w:asciiTheme="minorHAnsi" w:hAnsiTheme="minorHAnsi" w:cstheme="minorHAnsi"/>
                <w:b/>
                <w:bCs/>
                <w:iCs/>
                <w:sz w:val="20"/>
                <w:szCs w:val="20"/>
              </w:rPr>
              <w:t>1.542.474</w:t>
            </w:r>
          </w:p>
        </w:tc>
        <w:tc>
          <w:tcPr>
            <w:tcW w:w="1616" w:type="pct"/>
            <w:tcBorders>
              <w:left w:val="double" w:sz="4" w:space="0" w:color="auto"/>
              <w:bottom w:val="thinThickSmallGap" w:sz="12" w:space="0" w:color="auto"/>
              <w:right w:val="thinThickSmallGap" w:sz="12" w:space="0" w:color="auto"/>
            </w:tcBorders>
            <w:vAlign w:val="center"/>
          </w:tcPr>
          <w:p w:rsidR="008D1591" w:rsidRPr="00AB4843" w:rsidRDefault="008D1591" w:rsidP="00AF53FF">
            <w:pPr>
              <w:jc w:val="center"/>
              <w:rPr>
                <w:rFonts w:asciiTheme="minorHAnsi" w:hAnsiTheme="minorHAnsi" w:cstheme="minorHAnsi"/>
                <w:b/>
                <w:bCs/>
                <w:iCs/>
                <w:sz w:val="20"/>
                <w:szCs w:val="20"/>
              </w:rPr>
            </w:pPr>
            <w:r w:rsidRPr="00AB4843">
              <w:rPr>
                <w:rFonts w:asciiTheme="minorHAnsi" w:hAnsiTheme="minorHAnsi" w:cstheme="minorHAnsi"/>
                <w:b/>
                <w:bCs/>
                <w:iCs/>
                <w:sz w:val="20"/>
                <w:szCs w:val="20"/>
              </w:rPr>
              <w:t>2.718.381</w:t>
            </w:r>
          </w:p>
        </w:tc>
      </w:tr>
    </w:tbl>
    <w:p w:rsidR="00E0355F" w:rsidRPr="00AB4843" w:rsidRDefault="00E0355F" w:rsidP="00403695">
      <w:pPr>
        <w:jc w:val="both"/>
        <w:rPr>
          <w:rFonts w:asciiTheme="minorHAnsi" w:hAnsiTheme="minorHAnsi" w:cstheme="minorHAnsi"/>
          <w:sz w:val="20"/>
          <w:szCs w:val="20"/>
          <w:lang w:val="sr-Latn-CS"/>
        </w:rPr>
      </w:pPr>
    </w:p>
    <w:p w:rsidR="00E0355F" w:rsidRPr="00AB4843" w:rsidRDefault="008D1591" w:rsidP="00403695">
      <w:pPr>
        <w:jc w:val="both"/>
        <w:rPr>
          <w:rFonts w:asciiTheme="minorHAnsi" w:hAnsiTheme="minorHAnsi" w:cstheme="minorHAnsi"/>
          <w:b/>
          <w:sz w:val="20"/>
          <w:szCs w:val="20"/>
          <w:lang w:val="sr-Latn-CS"/>
        </w:rPr>
      </w:pPr>
      <w:r w:rsidRPr="00AB4843">
        <w:rPr>
          <w:rFonts w:asciiTheme="minorHAnsi" w:hAnsiTheme="minorHAnsi" w:cstheme="minorHAnsi"/>
          <w:sz w:val="20"/>
          <w:szCs w:val="20"/>
          <w:lang w:val="hr-HR"/>
        </w:rPr>
        <w:t xml:space="preserve">Za potrebe određivanje kvaliteta mineralne sirovine u </w:t>
      </w:r>
      <w:r w:rsidRPr="00AB4843">
        <w:rPr>
          <w:rFonts w:asciiTheme="minorHAnsi" w:hAnsiTheme="minorHAnsi" w:cstheme="minorHAnsi"/>
          <w:sz w:val="20"/>
          <w:szCs w:val="20"/>
          <w:lang w:val="sr-Latn-CS"/>
        </w:rPr>
        <w:t>le</w:t>
      </w:r>
      <w:r w:rsidRPr="00AB4843">
        <w:rPr>
          <w:rFonts w:asciiTheme="minorHAnsi" w:hAnsiTheme="minorHAnsi" w:cstheme="minorHAnsi"/>
          <w:sz w:val="20"/>
          <w:szCs w:val="20"/>
          <w:lang w:val="hr-HR"/>
        </w:rPr>
        <w:t>ž</w:t>
      </w:r>
      <w:r w:rsidRPr="00AB4843">
        <w:rPr>
          <w:rFonts w:asciiTheme="minorHAnsi" w:hAnsiTheme="minorHAnsi" w:cstheme="minorHAnsi"/>
          <w:sz w:val="20"/>
          <w:szCs w:val="20"/>
          <w:lang w:val="sr-Latn-CS"/>
        </w:rPr>
        <w:t>i</w:t>
      </w:r>
      <w:r w:rsidRPr="00AB4843">
        <w:rPr>
          <w:rFonts w:asciiTheme="minorHAnsi" w:hAnsiTheme="minorHAnsi" w:cstheme="minorHAnsi"/>
          <w:sz w:val="20"/>
          <w:szCs w:val="20"/>
          <w:lang w:val="hr-HR"/>
        </w:rPr>
        <w:t>š</w:t>
      </w:r>
      <w:r w:rsidRPr="00AB4843">
        <w:rPr>
          <w:rFonts w:asciiTheme="minorHAnsi" w:hAnsiTheme="minorHAnsi" w:cstheme="minorHAnsi"/>
          <w:sz w:val="20"/>
          <w:szCs w:val="20"/>
          <w:lang w:val="sr-Latn-CS"/>
        </w:rPr>
        <w:t>tu</w:t>
      </w:r>
      <w:r w:rsidRPr="00AB4843">
        <w:rPr>
          <w:rFonts w:asciiTheme="minorHAnsi" w:hAnsiTheme="minorHAnsi" w:cstheme="minorHAnsi"/>
          <w:sz w:val="20"/>
          <w:szCs w:val="20"/>
          <w:lang w:val="hr-HR"/>
        </w:rPr>
        <w:t xml:space="preserve"> tehničko-građevinskog kamena “Okruglički krš”, kod Mojkovca, korišćeni su rezultati laboratorijskih ispitivanja fizičko-mehaničkih svojstava kamena.</w:t>
      </w:r>
    </w:p>
    <w:p w:rsidR="00125EB1" w:rsidRPr="00AB4843" w:rsidRDefault="00125EB1" w:rsidP="00403695">
      <w:pPr>
        <w:ind w:left="-90"/>
        <w:rPr>
          <w:rFonts w:asciiTheme="minorHAnsi" w:hAnsiTheme="minorHAnsi" w:cstheme="minorHAnsi"/>
          <w:sz w:val="20"/>
          <w:szCs w:val="20"/>
          <w:lang w:val="sr-Latn-CS"/>
        </w:rPr>
      </w:pPr>
    </w:p>
    <w:p w:rsidR="008D1591" w:rsidRPr="00AB4843" w:rsidRDefault="008D1591" w:rsidP="00403695">
      <w:pPr>
        <w:rPr>
          <w:rFonts w:asciiTheme="minorHAnsi" w:hAnsiTheme="minorHAnsi" w:cstheme="minorHAnsi"/>
          <w:sz w:val="20"/>
          <w:szCs w:val="20"/>
          <w:lang w:val="sr-Latn-CS"/>
        </w:rPr>
      </w:pPr>
      <w:r w:rsidRPr="00AB4843">
        <w:rPr>
          <w:rFonts w:asciiTheme="minorHAnsi" w:hAnsiTheme="minorHAnsi" w:cstheme="minorHAnsi"/>
          <w:sz w:val="20"/>
          <w:szCs w:val="20"/>
          <w:lang w:val="sr-Latn-CS"/>
        </w:rPr>
        <w:t>Na osnovu rezultata mineraloško-petrografskih, hemijskih i fizičko-mehaničkih ispitivanja, tehničko-građevinski kamen (vulkanit) iz ležišta „Okruglički krš“ - Štitarica, kao frakcionisani agregat, može se koristiti za:</w:t>
      </w:r>
    </w:p>
    <w:p w:rsidR="008D1591" w:rsidRPr="00AB4843" w:rsidRDefault="008D1591" w:rsidP="00403695">
      <w:pPr>
        <w:rPr>
          <w:rFonts w:asciiTheme="minorHAnsi" w:hAnsiTheme="minorHAnsi" w:cstheme="minorHAnsi"/>
          <w:sz w:val="20"/>
          <w:szCs w:val="20"/>
          <w:lang w:val="sr-Latn-CS"/>
        </w:rPr>
      </w:pPr>
    </w:p>
    <w:p w:rsidR="008D1591" w:rsidRPr="00AB4843" w:rsidRDefault="008D1591" w:rsidP="00403695">
      <w:pPr>
        <w:numPr>
          <w:ilvl w:val="0"/>
          <w:numId w:val="3"/>
        </w:num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izradu habajućih slojeva kolovoznih konstrukcija od asfalt betona po vrućem postupku na putevima svih saobraćajnih opterećenja i autoputevima (SRPS U.E4.014),</w:t>
      </w:r>
    </w:p>
    <w:p w:rsidR="008D1591" w:rsidRPr="00AB4843" w:rsidRDefault="008D1591" w:rsidP="00403695">
      <w:pPr>
        <w:numPr>
          <w:ilvl w:val="0"/>
          <w:numId w:val="3"/>
        </w:num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izradu GBNS - gornjih nosećih slojeva od bitumeniziranog materijala po vrućem postupku - za puteve svih grupa saobraćajnog opterećenja (SRPS U.E9.021),</w:t>
      </w:r>
    </w:p>
    <w:p w:rsidR="008D1591" w:rsidRPr="00AB4843" w:rsidRDefault="008D1591" w:rsidP="00403695">
      <w:pPr>
        <w:numPr>
          <w:ilvl w:val="0"/>
          <w:numId w:val="3"/>
        </w:num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izradu DBNS - donjih nosećih slojeva od bitumeniziranog materijala po vrućem postupku - za puteve i auto puteve I, II i III razreda saobraćajnog opterećenja (SRPS U.E9.028), i</w:t>
      </w:r>
    </w:p>
    <w:p w:rsidR="008D1591" w:rsidRPr="00AB4843" w:rsidRDefault="008D1591" w:rsidP="00403695">
      <w:pPr>
        <w:numPr>
          <w:ilvl w:val="0"/>
          <w:numId w:val="3"/>
        </w:num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izradu zastora željezničkih pruga.</w:t>
      </w:r>
    </w:p>
    <w:p w:rsidR="008D1591" w:rsidRDefault="008D1591" w:rsidP="00403695">
      <w:pPr>
        <w:jc w:val="both"/>
        <w:rPr>
          <w:rFonts w:asciiTheme="minorHAnsi" w:hAnsiTheme="minorHAnsi" w:cstheme="minorHAnsi"/>
          <w:sz w:val="20"/>
          <w:szCs w:val="20"/>
          <w:lang w:val="sr-Latn-CS"/>
        </w:rPr>
      </w:pPr>
    </w:p>
    <w:p w:rsidR="001F3308" w:rsidRPr="001F3308" w:rsidRDefault="001F3308" w:rsidP="00403695">
      <w:pPr>
        <w:jc w:val="both"/>
        <w:rPr>
          <w:rFonts w:asciiTheme="minorHAnsi" w:hAnsiTheme="minorHAnsi" w:cstheme="minorHAnsi"/>
          <w:b/>
          <w:sz w:val="20"/>
          <w:szCs w:val="20"/>
          <w:lang w:val="sr-Latn-CS"/>
        </w:rPr>
      </w:pPr>
      <w:r w:rsidRPr="001F3308">
        <w:rPr>
          <w:rFonts w:asciiTheme="minorHAnsi" w:hAnsiTheme="minorHAnsi" w:cstheme="minorHAnsi"/>
          <w:b/>
          <w:sz w:val="20"/>
          <w:szCs w:val="20"/>
          <w:lang w:val="sr-Latn-CS"/>
        </w:rPr>
        <w:t>Prostorno-planska dokumentacija</w:t>
      </w:r>
    </w:p>
    <w:p w:rsidR="001F3308" w:rsidRPr="00AB4843" w:rsidRDefault="001F3308" w:rsidP="00403695">
      <w:pPr>
        <w:jc w:val="both"/>
        <w:rPr>
          <w:rFonts w:asciiTheme="minorHAnsi" w:hAnsiTheme="minorHAnsi" w:cstheme="minorHAnsi"/>
          <w:sz w:val="20"/>
          <w:szCs w:val="20"/>
          <w:lang w:val="sr-Latn-CS"/>
        </w:rPr>
      </w:pPr>
    </w:p>
    <w:p w:rsidR="008D1591" w:rsidRPr="00AB4843" w:rsidRDefault="008D1591"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Na osnovu akta Sekretarijata </w:t>
      </w:r>
      <w:r w:rsidR="00FB7730" w:rsidRPr="00AB4843">
        <w:rPr>
          <w:rFonts w:asciiTheme="minorHAnsi" w:hAnsiTheme="minorHAnsi" w:cstheme="minorHAnsi"/>
          <w:sz w:val="20"/>
          <w:szCs w:val="20"/>
          <w:lang w:val="sr-Latn-CS"/>
        </w:rPr>
        <w:t xml:space="preserve">za uređenje prostora i održivi razvoj opštine Mojkovac, br.09-2/230-1910 od 10.12.2014. godine, namjena prostora na kojem se nalazi predmetno ležište je „kamenolom“. U priloženom izvodu iz Prostorno-urbanističkog plana opštine </w:t>
      </w:r>
      <w:r w:rsidR="00EA5181" w:rsidRPr="00AB4843">
        <w:rPr>
          <w:rFonts w:asciiTheme="minorHAnsi" w:hAnsiTheme="minorHAnsi" w:cstheme="minorHAnsi"/>
          <w:sz w:val="20"/>
          <w:szCs w:val="20"/>
          <w:lang w:val="sr-Latn-CS"/>
        </w:rPr>
        <w:t>Mojkovac je ucrtan</w:t>
      </w:r>
      <w:r w:rsidR="00FB7730" w:rsidRPr="00AB4843">
        <w:rPr>
          <w:rFonts w:asciiTheme="minorHAnsi" w:hAnsiTheme="minorHAnsi" w:cstheme="minorHAnsi"/>
          <w:sz w:val="20"/>
          <w:szCs w:val="20"/>
          <w:lang w:val="sr-Latn-CS"/>
        </w:rPr>
        <w:t xml:space="preserve"> istražno-eksploatacioni prostor „Štitarica-Okruglički krš“ sa konturnim tačkama.</w:t>
      </w:r>
    </w:p>
    <w:p w:rsidR="005E2AF7" w:rsidRDefault="005E2AF7" w:rsidP="00403695">
      <w:pPr>
        <w:jc w:val="both"/>
        <w:rPr>
          <w:rFonts w:asciiTheme="minorHAnsi" w:hAnsiTheme="minorHAnsi" w:cstheme="minorHAnsi"/>
          <w:sz w:val="20"/>
          <w:szCs w:val="20"/>
          <w:lang w:val="sr-Latn-CS"/>
        </w:rPr>
      </w:pPr>
    </w:p>
    <w:p w:rsidR="001F3308" w:rsidRPr="001F3308" w:rsidRDefault="001F3308" w:rsidP="00403695">
      <w:pPr>
        <w:jc w:val="both"/>
        <w:rPr>
          <w:rFonts w:asciiTheme="minorHAnsi" w:hAnsiTheme="minorHAnsi" w:cstheme="minorHAnsi"/>
          <w:b/>
          <w:sz w:val="20"/>
          <w:szCs w:val="20"/>
          <w:lang w:val="sr-Latn-CS"/>
        </w:rPr>
      </w:pPr>
      <w:r w:rsidRPr="001F3308">
        <w:rPr>
          <w:rFonts w:asciiTheme="minorHAnsi" w:hAnsiTheme="minorHAnsi" w:cstheme="minorHAnsi"/>
          <w:b/>
          <w:sz w:val="20"/>
          <w:szCs w:val="20"/>
          <w:lang w:val="sr-Latn-CS"/>
        </w:rPr>
        <w:t>Imovinsko-pravni odnosi</w:t>
      </w:r>
    </w:p>
    <w:p w:rsidR="001F3308" w:rsidRPr="00AB4843" w:rsidRDefault="001F3308" w:rsidP="00403695">
      <w:pPr>
        <w:jc w:val="both"/>
        <w:rPr>
          <w:rFonts w:asciiTheme="minorHAnsi" w:hAnsiTheme="minorHAnsi" w:cstheme="minorHAnsi"/>
          <w:sz w:val="20"/>
          <w:szCs w:val="20"/>
          <w:lang w:val="sr-Latn-CS"/>
        </w:rPr>
      </w:pPr>
    </w:p>
    <w:p w:rsidR="005E2AF7" w:rsidRDefault="005E2AF7"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U Ministarstvu eknomije se nalazi dokument-dokaz o pravu svojine, odnosno trajnog korišćenja zemljišta od strane AD „Crnagoraput“ - Podgorica na kome će se izvoditi eksploatacioni radovi (Rješenje o prenosu zemljišta, br. 05-22/99 od 04.09.1990. godine, izdato od strane opštine Mojkovac i Ugovor o naknadi za ustupljeno zemljište, br.01-6375 od 10.09.1990. godine).</w:t>
      </w:r>
    </w:p>
    <w:p w:rsidR="00C12553" w:rsidRPr="00AB4843" w:rsidRDefault="00C12553" w:rsidP="00403695">
      <w:pPr>
        <w:jc w:val="both"/>
        <w:rPr>
          <w:rFonts w:asciiTheme="minorHAnsi" w:hAnsiTheme="minorHAnsi" w:cstheme="minorHAnsi"/>
          <w:sz w:val="20"/>
          <w:szCs w:val="20"/>
          <w:lang w:val="sr-Latn-CS"/>
        </w:rPr>
      </w:pPr>
    </w:p>
    <w:p w:rsidR="00C12553" w:rsidRPr="00AB4843" w:rsidRDefault="00C12553" w:rsidP="00403695">
      <w:pPr>
        <w:jc w:val="both"/>
        <w:rPr>
          <w:rFonts w:asciiTheme="minorHAnsi" w:hAnsiTheme="minorHAnsi" w:cstheme="minorHAnsi"/>
          <w:b/>
          <w:sz w:val="20"/>
          <w:szCs w:val="20"/>
          <w:lang w:val="sr-Latn-CS"/>
        </w:rPr>
      </w:pPr>
      <w:r w:rsidRPr="00AB4843">
        <w:rPr>
          <w:rFonts w:asciiTheme="minorHAnsi" w:hAnsiTheme="minorHAnsi" w:cstheme="minorHAnsi"/>
          <w:b/>
          <w:sz w:val="20"/>
          <w:szCs w:val="20"/>
          <w:lang w:val="sr-Latn-CS"/>
        </w:rPr>
        <w:t>3.</w:t>
      </w:r>
      <w:r w:rsidRPr="00AB4843">
        <w:rPr>
          <w:rFonts w:asciiTheme="minorHAnsi" w:hAnsiTheme="minorHAnsi" w:cstheme="minorHAnsi"/>
          <w:sz w:val="20"/>
          <w:szCs w:val="20"/>
          <w:lang w:val="sr-Latn-CS"/>
        </w:rPr>
        <w:t xml:space="preserve"> </w:t>
      </w:r>
      <w:r w:rsidRPr="00AB4843">
        <w:rPr>
          <w:rFonts w:asciiTheme="minorHAnsi" w:hAnsiTheme="minorHAnsi" w:cstheme="minorHAnsi"/>
          <w:b/>
          <w:sz w:val="20"/>
          <w:szCs w:val="20"/>
          <w:lang w:val="sr-Latn-CS"/>
        </w:rPr>
        <w:t xml:space="preserve"> Ležište tehni</w:t>
      </w:r>
      <w:r w:rsidR="0001002F" w:rsidRPr="00AB4843">
        <w:rPr>
          <w:rFonts w:asciiTheme="minorHAnsi" w:hAnsiTheme="minorHAnsi" w:cstheme="minorHAnsi"/>
          <w:b/>
          <w:sz w:val="20"/>
          <w:szCs w:val="20"/>
          <w:lang w:val="sr-Latn-CS"/>
        </w:rPr>
        <w:t>čko-građevinskog kamena (krečnjak) „Štitarica – Taskavac</w:t>
      </w:r>
      <w:r w:rsidR="00EA5181" w:rsidRPr="00AB4843">
        <w:rPr>
          <w:rFonts w:asciiTheme="minorHAnsi" w:hAnsiTheme="minorHAnsi" w:cstheme="minorHAnsi"/>
          <w:b/>
          <w:sz w:val="20"/>
          <w:szCs w:val="20"/>
          <w:lang w:val="sr-Latn-CS"/>
        </w:rPr>
        <w:t>“</w:t>
      </w:r>
      <w:r w:rsidRPr="00AB4843">
        <w:rPr>
          <w:rFonts w:asciiTheme="minorHAnsi" w:hAnsiTheme="minorHAnsi" w:cstheme="minorHAnsi"/>
          <w:b/>
          <w:sz w:val="20"/>
          <w:szCs w:val="20"/>
          <w:lang w:val="sr-Latn-CS"/>
        </w:rPr>
        <w:t>, opština Mojkovac</w:t>
      </w:r>
    </w:p>
    <w:p w:rsidR="00833058" w:rsidRPr="00AB4843" w:rsidRDefault="00833058" w:rsidP="00403695">
      <w:pPr>
        <w:jc w:val="both"/>
        <w:rPr>
          <w:rFonts w:asciiTheme="minorHAnsi" w:hAnsiTheme="minorHAnsi" w:cstheme="minorHAnsi"/>
          <w:sz w:val="20"/>
          <w:szCs w:val="20"/>
          <w:lang w:val="sr-Latn-CS"/>
        </w:rPr>
      </w:pPr>
    </w:p>
    <w:p w:rsidR="00C12911" w:rsidRPr="00AB4843" w:rsidRDefault="00C12911" w:rsidP="00403695">
      <w:pPr>
        <w:jc w:val="both"/>
        <w:rPr>
          <w:rFonts w:asciiTheme="minorHAnsi" w:hAnsiTheme="minorHAnsi"/>
          <w:sz w:val="20"/>
          <w:szCs w:val="20"/>
          <w:lang w:val="sr-Latn-CS"/>
        </w:rPr>
      </w:pPr>
      <w:r w:rsidRPr="00AB4843">
        <w:rPr>
          <w:rFonts w:asciiTheme="minorHAnsi" w:hAnsiTheme="minorHAnsi"/>
          <w:sz w:val="20"/>
          <w:szCs w:val="20"/>
          <w:lang w:val="sr-Latn-CS"/>
        </w:rPr>
        <w:t>Ležište tehničko-građevinskog kamena (krečnjaka) ”Štitarica - Taskavac“ u geografskom smislu pripada središnjem dijelu Crne Gore. Nalazi se u mjestu Štitarica, 4 km vazdušne linije jugozapadno od Mojkovca i 3,7 km sjeverozapadno od Biogradskog jezera, na desnoj obali Štitaričke rijeke, odnosno na sjeveroistočnim padinama planinskog uzvišenja Gradac (1.364 m). Rastojanje između predmetnog ležišta i Biogradskog jezera, mjereno postojećim saobraćajnicama, iznosi oko 6 km.</w:t>
      </w:r>
    </w:p>
    <w:p w:rsidR="00C12911" w:rsidRPr="00AB4843" w:rsidRDefault="00C12911" w:rsidP="00403695">
      <w:pPr>
        <w:jc w:val="both"/>
        <w:rPr>
          <w:rFonts w:asciiTheme="minorHAnsi" w:hAnsiTheme="minorHAnsi"/>
          <w:sz w:val="20"/>
          <w:szCs w:val="20"/>
          <w:lang w:val="sr-Latn-CS"/>
        </w:rPr>
      </w:pPr>
      <w:r w:rsidRPr="00AB4843">
        <w:rPr>
          <w:rFonts w:asciiTheme="minorHAnsi" w:hAnsiTheme="minorHAnsi"/>
          <w:sz w:val="20"/>
          <w:szCs w:val="20"/>
          <w:lang w:val="sr-Latn-CS"/>
        </w:rPr>
        <w:lastRenderedPageBreak/>
        <w:t>Prema administrativnoj podjeli prostor na kome se nalazi ležište ”Štitarica - Taskavac“ pripada opštini Mojkovac.</w:t>
      </w:r>
    </w:p>
    <w:p w:rsidR="00C12911" w:rsidRPr="00AB4843" w:rsidRDefault="00C12911"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Istražno-eksploatacioni prostor i ležište tehničko-građevinskog kamena “Štitarica – Taskavac“ pripada geografskom listu „Ivangrad“, 1:100 000, odnosno sekciji „Mojkovac“, 1:25 000.</w:t>
      </w:r>
    </w:p>
    <w:p w:rsidR="00C12911" w:rsidRPr="00AB4843" w:rsidRDefault="00C12911" w:rsidP="00403695">
      <w:pPr>
        <w:jc w:val="both"/>
        <w:rPr>
          <w:rFonts w:asciiTheme="minorHAnsi" w:hAnsiTheme="minorHAnsi"/>
          <w:sz w:val="20"/>
          <w:szCs w:val="20"/>
          <w:lang w:val="sr-Latn-CS"/>
        </w:rPr>
      </w:pPr>
    </w:p>
    <w:p w:rsidR="00C12911" w:rsidRPr="00AB4843" w:rsidRDefault="00C12911" w:rsidP="00403695">
      <w:pPr>
        <w:jc w:val="both"/>
        <w:rPr>
          <w:rFonts w:asciiTheme="minorHAnsi" w:hAnsiTheme="minorHAnsi"/>
          <w:sz w:val="20"/>
          <w:szCs w:val="20"/>
          <w:lang w:val="sr-Latn-CS"/>
        </w:rPr>
      </w:pPr>
      <w:r w:rsidRPr="00AB4843">
        <w:rPr>
          <w:rFonts w:asciiTheme="minorHAnsi" w:hAnsiTheme="minorHAnsi"/>
          <w:sz w:val="20"/>
          <w:szCs w:val="20"/>
          <w:lang w:val="sr-Latn-CS"/>
        </w:rPr>
        <w:t xml:space="preserve">Ležište </w:t>
      </w:r>
      <w:r w:rsidRPr="00AB4843">
        <w:rPr>
          <w:rFonts w:asciiTheme="minorHAnsi" w:hAnsiTheme="minorHAnsi" w:cs="Arial"/>
          <w:sz w:val="20"/>
          <w:szCs w:val="20"/>
          <w:lang w:val="sr-Latn-CS"/>
        </w:rPr>
        <w:t xml:space="preserve">tehničko-građevinskog kamena “Štitarica - Taskavac” </w:t>
      </w:r>
      <w:r w:rsidRPr="00AB4843">
        <w:rPr>
          <w:rFonts w:asciiTheme="minorHAnsi" w:hAnsiTheme="minorHAnsi"/>
          <w:sz w:val="20"/>
          <w:szCs w:val="20"/>
          <w:lang w:val="sr-Latn-CS"/>
        </w:rPr>
        <w:t>ima veoma dobre komunikacione veze. Nalazi se u neposrednoj blizini Jadranskog magistralnog puta (dionica Kolašin - Mojkovac) i željezničke pruge Beograd - Bar, koji povezuju ovu oblast sa centralnim i primorskim dijelom Crne Gore na jednoj i Bijelim Poljem i unutrašnjom Srbijom, na drugoj strani.</w:t>
      </w:r>
    </w:p>
    <w:p w:rsidR="00C12911" w:rsidRPr="00AB4843" w:rsidRDefault="00C12911" w:rsidP="00403695">
      <w:pPr>
        <w:jc w:val="both"/>
        <w:rPr>
          <w:rFonts w:asciiTheme="minorHAnsi" w:hAnsiTheme="minorHAnsi"/>
          <w:sz w:val="20"/>
          <w:szCs w:val="20"/>
          <w:lang w:val="sr-Latn-CS"/>
        </w:rPr>
      </w:pPr>
    </w:p>
    <w:p w:rsidR="00C12911" w:rsidRPr="00AB4843" w:rsidRDefault="00C12911" w:rsidP="00403695">
      <w:pPr>
        <w:jc w:val="both"/>
        <w:rPr>
          <w:rFonts w:asciiTheme="minorHAnsi" w:hAnsiTheme="minorHAnsi"/>
          <w:sz w:val="20"/>
          <w:szCs w:val="20"/>
          <w:lang w:val="sr-Latn-CS"/>
        </w:rPr>
      </w:pPr>
      <w:r w:rsidRPr="00AB4843">
        <w:rPr>
          <w:rFonts w:asciiTheme="minorHAnsi" w:hAnsiTheme="minorHAnsi"/>
          <w:sz w:val="20"/>
          <w:szCs w:val="20"/>
          <w:lang w:val="sr-Latn-CS"/>
        </w:rPr>
        <w:t xml:space="preserve">Ležište </w:t>
      </w:r>
      <w:r w:rsidRPr="00AB4843">
        <w:rPr>
          <w:rFonts w:asciiTheme="minorHAnsi" w:hAnsiTheme="minorHAnsi" w:cs="Arial"/>
          <w:sz w:val="20"/>
          <w:szCs w:val="20"/>
          <w:lang w:val="sr-Latn-CS"/>
        </w:rPr>
        <w:t xml:space="preserve">tehničko-građevinskog kamena “Štitarica - Taskavac” </w:t>
      </w:r>
      <w:r w:rsidRPr="00AB4843">
        <w:rPr>
          <w:rFonts w:asciiTheme="minorHAnsi" w:hAnsiTheme="minorHAnsi"/>
          <w:sz w:val="20"/>
          <w:szCs w:val="20"/>
          <w:lang w:val="sr-Latn-CS"/>
        </w:rPr>
        <w:t>povezano je sa postojećom magistralom i dolinom rijeke Tare, lokalnim asfaltnim putem dužine 700 m. To je putni pravac koji od magistrale ide južnim padinama Malog Preprana i Okrugličkog krša do sela Donja i Gornja Štitarica. Od Gornje Štitarice ovaj put dalje prelazi u makadamski put koji povezuje planinska naselja na prostoru sjevernih padina Sinjavine.</w:t>
      </w:r>
    </w:p>
    <w:p w:rsidR="00C12911" w:rsidRPr="00AB4843" w:rsidRDefault="00C12911" w:rsidP="00403695">
      <w:pPr>
        <w:jc w:val="both"/>
        <w:rPr>
          <w:rFonts w:asciiTheme="minorHAnsi" w:hAnsiTheme="minorHAnsi"/>
          <w:sz w:val="20"/>
          <w:szCs w:val="20"/>
          <w:lang w:val="sr-Latn-CS"/>
        </w:rPr>
      </w:pPr>
    </w:p>
    <w:p w:rsidR="00C12911" w:rsidRPr="00AB4843" w:rsidRDefault="00C12911" w:rsidP="00403695">
      <w:pPr>
        <w:jc w:val="both"/>
        <w:rPr>
          <w:rFonts w:asciiTheme="minorHAnsi" w:hAnsiTheme="minorHAnsi"/>
          <w:sz w:val="20"/>
          <w:szCs w:val="20"/>
          <w:lang w:val="sr-Latn-CS"/>
        </w:rPr>
      </w:pPr>
      <w:r w:rsidRPr="00AB4843">
        <w:rPr>
          <w:rFonts w:asciiTheme="minorHAnsi" w:hAnsiTheme="minorHAnsi"/>
          <w:sz w:val="20"/>
          <w:szCs w:val="20"/>
          <w:lang w:val="sr-Latn-CS"/>
        </w:rPr>
        <w:t xml:space="preserve">Teren ležišta tehničko-građevinskog kamena </w:t>
      </w:r>
      <w:r w:rsidRPr="00AB4843">
        <w:rPr>
          <w:rFonts w:asciiTheme="minorHAnsi" w:hAnsiTheme="minorHAnsi" w:cs="Arial"/>
          <w:sz w:val="20"/>
          <w:szCs w:val="20"/>
          <w:lang w:val="sr-Latn-CS"/>
        </w:rPr>
        <w:t xml:space="preserve">“Štitarica - Taskavac” </w:t>
      </w:r>
      <w:r w:rsidRPr="00AB4843">
        <w:rPr>
          <w:rFonts w:asciiTheme="minorHAnsi" w:hAnsiTheme="minorHAnsi"/>
          <w:sz w:val="20"/>
          <w:szCs w:val="20"/>
          <w:lang w:val="sr-Latn-CS"/>
        </w:rPr>
        <w:t>graniči se sa juga i istoka uzvišenjem Gradac sa svojim ograncima do rijeke Tare. Sa sjevera i zapada ovo ležište tehničko-građevinskog kamena ograničavaju planinska uzvišenja Mali Prepran i Okrugliči krš, sa Štitaričkom rijekom.</w:t>
      </w:r>
    </w:p>
    <w:p w:rsidR="00C12911" w:rsidRPr="00AB4843" w:rsidRDefault="00C12911"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Ležište tehničko-građevinskog kamena “Štitarica - Taskavac“ se nalazi u mjestu Štitarica i izgrađuju ga sedimenti perma i kvartara i trijaski vulkaniti, koje učestvuju u građi ovog i šireg područja Štitarice, i čine ga perspektivnim prostorom za ovu mineralnu sirovinu.</w:t>
      </w:r>
    </w:p>
    <w:p w:rsidR="00C12911" w:rsidRPr="00AB4843" w:rsidRDefault="00C12911" w:rsidP="00403695">
      <w:pPr>
        <w:jc w:val="both"/>
        <w:rPr>
          <w:rFonts w:asciiTheme="minorHAnsi" w:hAnsiTheme="minorHAnsi" w:cs="Arial"/>
          <w:sz w:val="20"/>
          <w:szCs w:val="20"/>
          <w:lang w:val="sr-Latn-CS"/>
        </w:rPr>
      </w:pPr>
    </w:p>
    <w:p w:rsidR="00C12911" w:rsidRPr="00AB4843" w:rsidRDefault="00C12911" w:rsidP="00403695">
      <w:pPr>
        <w:jc w:val="both"/>
        <w:rPr>
          <w:rFonts w:asciiTheme="minorHAnsi" w:hAnsiTheme="minorHAnsi"/>
          <w:sz w:val="20"/>
          <w:szCs w:val="20"/>
          <w:lang w:val="sr-Latn-CS"/>
        </w:rPr>
      </w:pPr>
      <w:r w:rsidRPr="00AB4843">
        <w:rPr>
          <w:rFonts w:asciiTheme="minorHAnsi" w:hAnsiTheme="minorHAnsi"/>
          <w:sz w:val="20"/>
          <w:szCs w:val="20"/>
          <w:lang w:val="sr-Latn-CS"/>
        </w:rPr>
        <w:t xml:space="preserve">Ležište tehničko-građevinskog kamena </w:t>
      </w:r>
      <w:r w:rsidRPr="00AB4843">
        <w:rPr>
          <w:rFonts w:asciiTheme="minorHAnsi" w:hAnsiTheme="minorHAnsi" w:cs="Arial"/>
          <w:sz w:val="20"/>
          <w:szCs w:val="20"/>
          <w:lang w:val="sr-Latn-CS"/>
        </w:rPr>
        <w:t xml:space="preserve">“Štitarica - Taskavac“ </w:t>
      </w:r>
      <w:r w:rsidRPr="00AB4843">
        <w:rPr>
          <w:rFonts w:asciiTheme="minorHAnsi" w:hAnsiTheme="minorHAnsi"/>
          <w:sz w:val="20"/>
          <w:szCs w:val="20"/>
          <w:lang w:val="sr-Latn-CS"/>
        </w:rPr>
        <w:t>izgrađuju masivni, jedri, mjestimično izmijenjeni, biosparitski i ređe biomikritski krečnjaci. Krečnjaci su, uglavnom, prekristalisali, sive, tamnosive, sivosmeđe i mrke boje. Sadrže brojne vene, žice i mugle kalcita, sivobijele do mliječnobijele boje, koje su nepravilno raspoređene u stijenskoj masi i predstavljaju stalnu pojavu.</w:t>
      </w:r>
    </w:p>
    <w:p w:rsidR="00833058" w:rsidRPr="00AB4843" w:rsidRDefault="00833058" w:rsidP="00403695">
      <w:pPr>
        <w:jc w:val="both"/>
        <w:rPr>
          <w:rFonts w:asciiTheme="minorHAnsi" w:hAnsiTheme="minorHAnsi" w:cstheme="minorHAnsi"/>
          <w:sz w:val="20"/>
          <w:szCs w:val="20"/>
          <w:lang w:val="sr-Latn-CS"/>
        </w:rPr>
      </w:pPr>
    </w:p>
    <w:p w:rsidR="00C12911" w:rsidRPr="00AB4843" w:rsidRDefault="00C12911"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Eksploataciono polje „Štitarica-Taskavac“ ograničeno je tačkama T1, T2, T3, T4, T5, T6, T7 i T8 i pravim linijama između ovih tačaka, a zahvata površinu od oko 7,58 ha. Koordinate graničnih tačaka i dužine strana su:</w:t>
      </w:r>
    </w:p>
    <w:p w:rsidR="00C12911" w:rsidRPr="00AB4843" w:rsidRDefault="00C12911" w:rsidP="00403695">
      <w:pPr>
        <w:ind w:left="1242" w:hanging="1242"/>
        <w:rPr>
          <w:rFonts w:asciiTheme="minorHAnsi" w:hAnsiTheme="minorHAnsi" w:cs="Arial"/>
          <w:i/>
          <w:sz w:val="20"/>
          <w:szCs w:val="20"/>
          <w:lang w:val="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1955"/>
        <w:gridCol w:w="1936"/>
        <w:gridCol w:w="10"/>
        <w:gridCol w:w="2231"/>
        <w:gridCol w:w="1603"/>
      </w:tblGrid>
      <w:tr w:rsidR="00C12911" w:rsidRPr="00AB4843" w:rsidTr="00AF53FF">
        <w:trPr>
          <w:trHeight w:val="270"/>
          <w:jc w:val="center"/>
        </w:trPr>
        <w:tc>
          <w:tcPr>
            <w:tcW w:w="961" w:type="pct"/>
            <w:vMerge w:val="restart"/>
            <w:tcBorders>
              <w:top w:val="thinThickSmallGap" w:sz="18" w:space="0" w:color="auto"/>
              <w:left w:val="thinThickSmallGap" w:sz="18" w:space="0" w:color="auto"/>
              <w:right w:val="double" w:sz="4" w:space="0" w:color="auto"/>
            </w:tcBorders>
            <w:shd w:val="clear" w:color="auto" w:fill="92D050"/>
            <w:vAlign w:val="center"/>
          </w:tcPr>
          <w:p w:rsidR="00C12911" w:rsidRPr="00AB4843" w:rsidRDefault="00C12911" w:rsidP="00AF53FF">
            <w:pPr>
              <w:ind w:left="108"/>
              <w:jc w:val="center"/>
              <w:rPr>
                <w:rFonts w:asciiTheme="minorHAnsi" w:hAnsiTheme="minorHAnsi"/>
                <w:sz w:val="20"/>
                <w:szCs w:val="20"/>
              </w:rPr>
            </w:pPr>
            <w:r w:rsidRPr="00AB4843">
              <w:rPr>
                <w:rFonts w:asciiTheme="minorHAnsi" w:hAnsiTheme="minorHAnsi"/>
                <w:b/>
                <w:sz w:val="20"/>
                <w:szCs w:val="20"/>
              </w:rPr>
              <w:t>Tačka</w:t>
            </w:r>
          </w:p>
        </w:tc>
        <w:tc>
          <w:tcPr>
            <w:tcW w:w="2032" w:type="pct"/>
            <w:gridSpan w:val="2"/>
            <w:tcBorders>
              <w:top w:val="thinThickSmallGap" w:sz="18" w:space="0" w:color="auto"/>
              <w:left w:val="double" w:sz="4" w:space="0" w:color="auto"/>
              <w:right w:val="double" w:sz="4" w:space="0" w:color="auto"/>
            </w:tcBorders>
            <w:shd w:val="clear" w:color="auto" w:fill="92D050"/>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b/>
                <w:sz w:val="20"/>
                <w:szCs w:val="20"/>
              </w:rPr>
              <w:t>Koordinate</w:t>
            </w:r>
          </w:p>
        </w:tc>
        <w:tc>
          <w:tcPr>
            <w:tcW w:w="1169" w:type="pct"/>
            <w:gridSpan w:val="2"/>
            <w:vMerge w:val="restart"/>
            <w:tcBorders>
              <w:top w:val="thinThickSmallGap" w:sz="18" w:space="0" w:color="auto"/>
              <w:left w:val="double" w:sz="4" w:space="0" w:color="auto"/>
              <w:right w:val="double" w:sz="4" w:space="0" w:color="auto"/>
            </w:tcBorders>
            <w:shd w:val="clear" w:color="auto" w:fill="92D050"/>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b/>
                <w:sz w:val="20"/>
                <w:szCs w:val="20"/>
              </w:rPr>
              <w:t>Dužine strana</w:t>
            </w:r>
          </w:p>
          <w:p w:rsidR="00C12911" w:rsidRPr="00AB4843" w:rsidRDefault="002E01AA" w:rsidP="00AF53FF">
            <w:pPr>
              <w:jc w:val="center"/>
              <w:rPr>
                <w:rFonts w:asciiTheme="minorHAnsi" w:hAnsiTheme="minorHAnsi"/>
                <w:b/>
                <w:sz w:val="20"/>
                <w:szCs w:val="20"/>
              </w:rPr>
            </w:pPr>
            <w:r w:rsidRPr="00AB4843">
              <w:rPr>
                <w:rFonts w:asciiTheme="minorHAnsi" w:hAnsiTheme="minorHAnsi"/>
                <w:b/>
                <w:sz w:val="20"/>
                <w:szCs w:val="20"/>
              </w:rPr>
              <w:t>(m)</w:t>
            </w:r>
          </w:p>
        </w:tc>
        <w:tc>
          <w:tcPr>
            <w:tcW w:w="838" w:type="pct"/>
            <w:vMerge w:val="restart"/>
            <w:tcBorders>
              <w:top w:val="thinThickSmallGap" w:sz="18" w:space="0" w:color="auto"/>
              <w:left w:val="double" w:sz="4" w:space="0" w:color="auto"/>
              <w:right w:val="thinThickSmallGap" w:sz="18" w:space="0" w:color="auto"/>
            </w:tcBorders>
            <w:shd w:val="clear" w:color="auto" w:fill="92D050"/>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b/>
                <w:sz w:val="20"/>
                <w:szCs w:val="20"/>
              </w:rPr>
              <w:t>Površina</w:t>
            </w:r>
          </w:p>
        </w:tc>
      </w:tr>
      <w:tr w:rsidR="00C12911" w:rsidRPr="00AB4843" w:rsidTr="00AF53FF">
        <w:trPr>
          <w:trHeight w:val="225"/>
          <w:jc w:val="center"/>
        </w:trPr>
        <w:tc>
          <w:tcPr>
            <w:tcW w:w="961" w:type="pct"/>
            <w:vMerge/>
            <w:tcBorders>
              <w:left w:val="thinThickSmallGap" w:sz="18" w:space="0" w:color="auto"/>
              <w:bottom w:val="double" w:sz="4" w:space="0" w:color="auto"/>
              <w:right w:val="double" w:sz="4" w:space="0" w:color="auto"/>
            </w:tcBorders>
            <w:shd w:val="clear" w:color="auto" w:fill="auto"/>
            <w:vAlign w:val="center"/>
          </w:tcPr>
          <w:p w:rsidR="00C12911" w:rsidRPr="00AB4843" w:rsidRDefault="00C12911" w:rsidP="00AF53FF">
            <w:pPr>
              <w:ind w:left="108"/>
              <w:jc w:val="center"/>
              <w:rPr>
                <w:rFonts w:asciiTheme="minorHAnsi" w:hAnsiTheme="minorHAnsi"/>
                <w:sz w:val="20"/>
                <w:szCs w:val="20"/>
              </w:rPr>
            </w:pPr>
          </w:p>
        </w:tc>
        <w:tc>
          <w:tcPr>
            <w:tcW w:w="1021" w:type="pct"/>
            <w:tcBorders>
              <w:left w:val="double" w:sz="4" w:space="0" w:color="auto"/>
              <w:bottom w:val="double" w:sz="4" w:space="0" w:color="auto"/>
            </w:tcBorders>
            <w:shd w:val="clear" w:color="auto" w:fill="92D050"/>
            <w:vAlign w:val="center"/>
          </w:tcPr>
          <w:p w:rsidR="00C12911" w:rsidRPr="00AB4843" w:rsidRDefault="002E01AA" w:rsidP="00AF53FF">
            <w:pPr>
              <w:jc w:val="center"/>
              <w:rPr>
                <w:rFonts w:asciiTheme="minorHAnsi" w:hAnsiTheme="minorHAnsi"/>
                <w:b/>
                <w:sz w:val="20"/>
                <w:szCs w:val="20"/>
              </w:rPr>
            </w:pPr>
            <w:r w:rsidRPr="00AB4843">
              <w:rPr>
                <w:rFonts w:asciiTheme="minorHAnsi" w:hAnsiTheme="minorHAnsi"/>
                <w:b/>
                <w:sz w:val="20"/>
                <w:szCs w:val="20"/>
              </w:rPr>
              <w:t>X</w:t>
            </w:r>
          </w:p>
        </w:tc>
        <w:tc>
          <w:tcPr>
            <w:tcW w:w="1011" w:type="pct"/>
            <w:tcBorders>
              <w:bottom w:val="double" w:sz="4" w:space="0" w:color="auto"/>
              <w:right w:val="double" w:sz="4" w:space="0" w:color="auto"/>
            </w:tcBorders>
            <w:shd w:val="clear" w:color="auto" w:fill="92D050"/>
            <w:vAlign w:val="center"/>
          </w:tcPr>
          <w:p w:rsidR="00C12911" w:rsidRPr="00AB4843" w:rsidRDefault="002E01AA" w:rsidP="00AF53FF">
            <w:pPr>
              <w:jc w:val="center"/>
              <w:rPr>
                <w:rFonts w:asciiTheme="minorHAnsi" w:hAnsiTheme="minorHAnsi"/>
                <w:b/>
                <w:sz w:val="20"/>
                <w:szCs w:val="20"/>
              </w:rPr>
            </w:pPr>
            <w:r w:rsidRPr="00AB4843">
              <w:rPr>
                <w:rFonts w:asciiTheme="minorHAnsi" w:hAnsiTheme="minorHAnsi"/>
                <w:b/>
                <w:sz w:val="20"/>
                <w:szCs w:val="20"/>
              </w:rPr>
              <w:t>Y</w:t>
            </w:r>
          </w:p>
        </w:tc>
        <w:tc>
          <w:tcPr>
            <w:tcW w:w="1169" w:type="pct"/>
            <w:gridSpan w:val="2"/>
            <w:vMerge/>
            <w:tcBorders>
              <w:left w:val="double" w:sz="4" w:space="0" w:color="auto"/>
              <w:bottom w:val="double" w:sz="4"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p>
        </w:tc>
        <w:tc>
          <w:tcPr>
            <w:tcW w:w="838" w:type="pct"/>
            <w:vMerge/>
            <w:tcBorders>
              <w:left w:val="double" w:sz="4" w:space="0" w:color="auto"/>
              <w:bottom w:val="double" w:sz="4"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sz w:val="20"/>
                <w:szCs w:val="20"/>
              </w:rPr>
            </w:pPr>
          </w:p>
        </w:tc>
      </w:tr>
      <w:tr w:rsidR="00C12911" w:rsidRPr="00AB4843" w:rsidTr="00AF53FF">
        <w:tblPrEx>
          <w:tblLook w:val="01E0" w:firstRow="1" w:lastRow="1" w:firstColumn="1" w:lastColumn="1" w:noHBand="0" w:noVBand="0"/>
        </w:tblPrEx>
        <w:trPr>
          <w:jc w:val="center"/>
        </w:trPr>
        <w:tc>
          <w:tcPr>
            <w:tcW w:w="961" w:type="pct"/>
            <w:tcBorders>
              <w:top w:val="double" w:sz="4" w:space="0" w:color="auto"/>
              <w:left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T1</w:t>
            </w:r>
          </w:p>
        </w:tc>
        <w:tc>
          <w:tcPr>
            <w:tcW w:w="1021" w:type="pct"/>
            <w:tcBorders>
              <w:top w:val="double" w:sz="4" w:space="0" w:color="auto"/>
              <w:lef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4 754 502,76</w:t>
            </w:r>
          </w:p>
        </w:tc>
        <w:tc>
          <w:tcPr>
            <w:tcW w:w="1016" w:type="pct"/>
            <w:gridSpan w:val="2"/>
            <w:tcBorders>
              <w:top w:val="double" w:sz="4"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7 383 264,23</w:t>
            </w:r>
          </w:p>
        </w:tc>
        <w:tc>
          <w:tcPr>
            <w:tcW w:w="1165" w:type="pct"/>
            <w:tcBorders>
              <w:top w:val="double" w:sz="4" w:space="0" w:color="auto"/>
              <w:left w:val="double" w:sz="4"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T1-T2=207,9186</w:t>
            </w:r>
          </w:p>
        </w:tc>
        <w:tc>
          <w:tcPr>
            <w:tcW w:w="838" w:type="pct"/>
            <w:vMerge w:val="restart"/>
            <w:tcBorders>
              <w:top w:val="double" w:sz="4" w:space="0" w:color="auto"/>
              <w:left w:val="double" w:sz="4"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sz w:val="20"/>
                <w:szCs w:val="20"/>
              </w:rPr>
            </w:pPr>
          </w:p>
          <w:p w:rsidR="00C12911" w:rsidRPr="00AB4843" w:rsidRDefault="00C12911" w:rsidP="00AF53FF">
            <w:pPr>
              <w:jc w:val="center"/>
              <w:rPr>
                <w:rFonts w:asciiTheme="minorHAnsi" w:hAnsiTheme="minorHAnsi"/>
                <w:sz w:val="20"/>
                <w:szCs w:val="20"/>
              </w:rPr>
            </w:pPr>
          </w:p>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7 ha</w:t>
            </w:r>
          </w:p>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58 ar</w:t>
            </w:r>
          </w:p>
          <w:p w:rsidR="00C12911" w:rsidRPr="00AB4843" w:rsidRDefault="00C12911" w:rsidP="00AF53FF">
            <w:pPr>
              <w:jc w:val="center"/>
              <w:rPr>
                <w:rFonts w:asciiTheme="minorHAnsi" w:hAnsiTheme="minorHAnsi"/>
                <w:sz w:val="20"/>
                <w:szCs w:val="20"/>
                <w:vertAlign w:val="superscript"/>
              </w:rPr>
            </w:pPr>
            <w:r w:rsidRPr="00AB4843">
              <w:rPr>
                <w:rFonts w:asciiTheme="minorHAnsi" w:hAnsiTheme="minorHAnsi"/>
                <w:sz w:val="20"/>
                <w:szCs w:val="20"/>
              </w:rPr>
              <w:t>19 m</w:t>
            </w:r>
            <w:r w:rsidRPr="00AB4843">
              <w:rPr>
                <w:rFonts w:asciiTheme="minorHAnsi" w:hAnsiTheme="minorHAnsi"/>
                <w:sz w:val="20"/>
                <w:szCs w:val="20"/>
                <w:vertAlign w:val="superscript"/>
              </w:rPr>
              <w:t>2</w:t>
            </w:r>
          </w:p>
        </w:tc>
      </w:tr>
      <w:tr w:rsidR="00C12911" w:rsidRPr="00AB4843" w:rsidTr="00AF53FF">
        <w:tblPrEx>
          <w:tblLook w:val="01E0" w:firstRow="1" w:lastRow="1" w:firstColumn="1" w:lastColumn="1" w:noHBand="0" w:noVBand="0"/>
        </w:tblPrEx>
        <w:trPr>
          <w:jc w:val="center"/>
        </w:trPr>
        <w:tc>
          <w:tcPr>
            <w:tcW w:w="961" w:type="pct"/>
            <w:tcBorders>
              <w:left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T2</w:t>
            </w:r>
          </w:p>
        </w:tc>
        <w:tc>
          <w:tcPr>
            <w:tcW w:w="1021" w:type="pct"/>
            <w:tcBorders>
              <w:lef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4 754 700,00</w:t>
            </w:r>
          </w:p>
        </w:tc>
        <w:tc>
          <w:tcPr>
            <w:tcW w:w="1016" w:type="pct"/>
            <w:gridSpan w:val="2"/>
            <w:tcBorders>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7 383 330,00</w:t>
            </w:r>
          </w:p>
        </w:tc>
        <w:tc>
          <w:tcPr>
            <w:tcW w:w="1165" w:type="pct"/>
            <w:tcBorders>
              <w:left w:val="double" w:sz="4"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T2-T3=88,3685</w:t>
            </w:r>
          </w:p>
        </w:tc>
        <w:tc>
          <w:tcPr>
            <w:tcW w:w="838" w:type="pct"/>
            <w:vMerge/>
            <w:tcBorders>
              <w:left w:val="double" w:sz="4"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sz w:val="20"/>
                <w:szCs w:val="20"/>
              </w:rPr>
            </w:pPr>
          </w:p>
        </w:tc>
      </w:tr>
      <w:tr w:rsidR="00C12911" w:rsidRPr="00AB4843" w:rsidTr="00AF53FF">
        <w:tblPrEx>
          <w:tblLook w:val="01E0" w:firstRow="1" w:lastRow="1" w:firstColumn="1" w:lastColumn="1" w:noHBand="0" w:noVBand="0"/>
        </w:tblPrEx>
        <w:trPr>
          <w:jc w:val="center"/>
        </w:trPr>
        <w:tc>
          <w:tcPr>
            <w:tcW w:w="961" w:type="pct"/>
            <w:tcBorders>
              <w:left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T3</w:t>
            </w:r>
          </w:p>
        </w:tc>
        <w:tc>
          <w:tcPr>
            <w:tcW w:w="1021" w:type="pct"/>
            <w:tcBorders>
              <w:lef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4 754 753,30</w:t>
            </w:r>
          </w:p>
        </w:tc>
        <w:tc>
          <w:tcPr>
            <w:tcW w:w="1016" w:type="pct"/>
            <w:gridSpan w:val="2"/>
            <w:tcBorders>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7 383 400,00</w:t>
            </w:r>
          </w:p>
        </w:tc>
        <w:tc>
          <w:tcPr>
            <w:tcW w:w="1165" w:type="pct"/>
            <w:tcBorders>
              <w:left w:val="double" w:sz="4"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T3-T4=100,3476</w:t>
            </w:r>
          </w:p>
        </w:tc>
        <w:tc>
          <w:tcPr>
            <w:tcW w:w="838" w:type="pct"/>
            <w:vMerge/>
            <w:tcBorders>
              <w:left w:val="double" w:sz="4"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sz w:val="20"/>
                <w:szCs w:val="20"/>
              </w:rPr>
            </w:pPr>
          </w:p>
        </w:tc>
      </w:tr>
      <w:tr w:rsidR="00C12911" w:rsidRPr="00AB4843" w:rsidTr="00AF53FF">
        <w:tblPrEx>
          <w:tblLook w:val="01E0" w:firstRow="1" w:lastRow="1" w:firstColumn="1" w:lastColumn="1" w:noHBand="0" w:noVBand="0"/>
        </w:tblPrEx>
        <w:trPr>
          <w:jc w:val="center"/>
        </w:trPr>
        <w:tc>
          <w:tcPr>
            <w:tcW w:w="961" w:type="pct"/>
            <w:tcBorders>
              <w:left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T4</w:t>
            </w:r>
          </w:p>
        </w:tc>
        <w:tc>
          <w:tcPr>
            <w:tcW w:w="1021" w:type="pct"/>
            <w:tcBorders>
              <w:lef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4 754 782,87</w:t>
            </w:r>
          </w:p>
        </w:tc>
        <w:tc>
          <w:tcPr>
            <w:tcW w:w="1016" w:type="pct"/>
            <w:gridSpan w:val="2"/>
            <w:tcBorders>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7 383 496,38</w:t>
            </w:r>
          </w:p>
        </w:tc>
        <w:tc>
          <w:tcPr>
            <w:tcW w:w="1165" w:type="pct"/>
            <w:tcBorders>
              <w:left w:val="double" w:sz="4"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T4-T5=111,4924</w:t>
            </w:r>
          </w:p>
        </w:tc>
        <w:tc>
          <w:tcPr>
            <w:tcW w:w="838" w:type="pct"/>
            <w:vMerge/>
            <w:tcBorders>
              <w:left w:val="double" w:sz="4"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sz w:val="20"/>
                <w:szCs w:val="20"/>
              </w:rPr>
            </w:pPr>
          </w:p>
        </w:tc>
      </w:tr>
      <w:tr w:rsidR="00C12911" w:rsidRPr="00AB4843" w:rsidTr="00AF53FF">
        <w:tblPrEx>
          <w:tblLook w:val="01E0" w:firstRow="1" w:lastRow="1" w:firstColumn="1" w:lastColumn="1" w:noHBand="0" w:noVBand="0"/>
        </w:tblPrEx>
        <w:trPr>
          <w:jc w:val="center"/>
        </w:trPr>
        <w:tc>
          <w:tcPr>
            <w:tcW w:w="961" w:type="pct"/>
            <w:tcBorders>
              <w:left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T5</w:t>
            </w:r>
          </w:p>
        </w:tc>
        <w:tc>
          <w:tcPr>
            <w:tcW w:w="1021" w:type="pct"/>
            <w:tcBorders>
              <w:lef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4 754 709,26</w:t>
            </w:r>
          </w:p>
        </w:tc>
        <w:tc>
          <w:tcPr>
            <w:tcW w:w="1016" w:type="pct"/>
            <w:gridSpan w:val="2"/>
            <w:tcBorders>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7 383 580,12</w:t>
            </w:r>
          </w:p>
        </w:tc>
        <w:tc>
          <w:tcPr>
            <w:tcW w:w="1165" w:type="pct"/>
            <w:tcBorders>
              <w:left w:val="double" w:sz="4"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T5-T6=149,599</w:t>
            </w:r>
          </w:p>
        </w:tc>
        <w:tc>
          <w:tcPr>
            <w:tcW w:w="838" w:type="pct"/>
            <w:vMerge/>
            <w:tcBorders>
              <w:left w:val="double" w:sz="4"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sz w:val="20"/>
                <w:szCs w:val="20"/>
              </w:rPr>
            </w:pPr>
          </w:p>
        </w:tc>
      </w:tr>
      <w:tr w:rsidR="00C12911" w:rsidRPr="00AB4843" w:rsidTr="00AF53FF">
        <w:tblPrEx>
          <w:tblLook w:val="01E0" w:firstRow="1" w:lastRow="1" w:firstColumn="1" w:lastColumn="1" w:noHBand="0" w:noVBand="0"/>
        </w:tblPrEx>
        <w:trPr>
          <w:jc w:val="center"/>
        </w:trPr>
        <w:tc>
          <w:tcPr>
            <w:tcW w:w="961" w:type="pct"/>
            <w:tcBorders>
              <w:left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T6</w:t>
            </w:r>
          </w:p>
        </w:tc>
        <w:tc>
          <w:tcPr>
            <w:tcW w:w="1021" w:type="pct"/>
            <w:tcBorders>
              <w:lef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4 754 560,00</w:t>
            </w:r>
          </w:p>
        </w:tc>
        <w:tc>
          <w:tcPr>
            <w:tcW w:w="1016" w:type="pct"/>
            <w:gridSpan w:val="2"/>
            <w:tcBorders>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7 383 570,00</w:t>
            </w:r>
          </w:p>
        </w:tc>
        <w:tc>
          <w:tcPr>
            <w:tcW w:w="1165" w:type="pct"/>
            <w:tcBorders>
              <w:left w:val="double" w:sz="4"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T6-T7=162,5813</w:t>
            </w:r>
          </w:p>
        </w:tc>
        <w:tc>
          <w:tcPr>
            <w:tcW w:w="838" w:type="pct"/>
            <w:vMerge/>
            <w:tcBorders>
              <w:left w:val="double" w:sz="4"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sz w:val="20"/>
                <w:szCs w:val="20"/>
              </w:rPr>
            </w:pPr>
          </w:p>
        </w:tc>
      </w:tr>
      <w:tr w:rsidR="00C12911" w:rsidRPr="00AB4843" w:rsidTr="00AF53FF">
        <w:tblPrEx>
          <w:tblLook w:val="01E0" w:firstRow="1" w:lastRow="1" w:firstColumn="1" w:lastColumn="1" w:noHBand="0" w:noVBand="0"/>
        </w:tblPrEx>
        <w:trPr>
          <w:jc w:val="center"/>
        </w:trPr>
        <w:tc>
          <w:tcPr>
            <w:tcW w:w="961" w:type="pct"/>
            <w:tcBorders>
              <w:left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T7</w:t>
            </w:r>
          </w:p>
        </w:tc>
        <w:tc>
          <w:tcPr>
            <w:tcW w:w="1021" w:type="pct"/>
            <w:tcBorders>
              <w:lef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4 754 449,65</w:t>
            </w:r>
          </w:p>
        </w:tc>
        <w:tc>
          <w:tcPr>
            <w:tcW w:w="1016" w:type="pct"/>
            <w:gridSpan w:val="2"/>
            <w:tcBorders>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7 383 450,60</w:t>
            </w:r>
          </w:p>
        </w:tc>
        <w:tc>
          <w:tcPr>
            <w:tcW w:w="1165" w:type="pct"/>
            <w:tcBorders>
              <w:left w:val="double" w:sz="4"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T7-T8=130,9533</w:t>
            </w:r>
          </w:p>
        </w:tc>
        <w:tc>
          <w:tcPr>
            <w:tcW w:w="838" w:type="pct"/>
            <w:vMerge/>
            <w:tcBorders>
              <w:left w:val="double" w:sz="4"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sz w:val="20"/>
                <w:szCs w:val="20"/>
              </w:rPr>
            </w:pPr>
          </w:p>
        </w:tc>
      </w:tr>
      <w:tr w:rsidR="00C12911" w:rsidRPr="00AB4843" w:rsidTr="00AF53FF">
        <w:tblPrEx>
          <w:tblLook w:val="01E0" w:firstRow="1" w:lastRow="1" w:firstColumn="1" w:lastColumn="1" w:noHBand="0" w:noVBand="0"/>
        </w:tblPrEx>
        <w:trPr>
          <w:jc w:val="center"/>
        </w:trPr>
        <w:tc>
          <w:tcPr>
            <w:tcW w:w="961" w:type="pct"/>
            <w:tcBorders>
              <w:left w:val="thinThickSmallGap" w:sz="18" w:space="0" w:color="auto"/>
              <w:bottom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T8</w:t>
            </w:r>
          </w:p>
        </w:tc>
        <w:tc>
          <w:tcPr>
            <w:tcW w:w="1021" w:type="pct"/>
            <w:tcBorders>
              <w:left w:val="double" w:sz="4" w:space="0" w:color="auto"/>
              <w:bottom w:val="thinThickSmallGap" w:sz="18" w:space="0" w:color="auto"/>
              <w:right w:val="sing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4 754 440,00</w:t>
            </w:r>
          </w:p>
        </w:tc>
        <w:tc>
          <w:tcPr>
            <w:tcW w:w="1016" w:type="pct"/>
            <w:gridSpan w:val="2"/>
            <w:tcBorders>
              <w:left w:val="single" w:sz="4" w:space="0" w:color="auto"/>
              <w:bottom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7 383 320,00</w:t>
            </w:r>
          </w:p>
        </w:tc>
        <w:tc>
          <w:tcPr>
            <w:tcW w:w="1165" w:type="pct"/>
            <w:tcBorders>
              <w:left w:val="double" w:sz="4" w:space="0" w:color="auto"/>
              <w:bottom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sz w:val="20"/>
                <w:szCs w:val="20"/>
              </w:rPr>
            </w:pPr>
            <w:r w:rsidRPr="00AB4843">
              <w:rPr>
                <w:rFonts w:asciiTheme="minorHAnsi" w:hAnsiTheme="minorHAnsi"/>
                <w:sz w:val="20"/>
                <w:szCs w:val="20"/>
              </w:rPr>
              <w:t>T8-T1=83,9601</w:t>
            </w:r>
          </w:p>
        </w:tc>
        <w:tc>
          <w:tcPr>
            <w:tcW w:w="838" w:type="pct"/>
            <w:vMerge/>
            <w:tcBorders>
              <w:left w:val="double" w:sz="4" w:space="0" w:color="auto"/>
              <w:bottom w:val="thinThickSmallGap" w:sz="18"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sz w:val="20"/>
                <w:szCs w:val="20"/>
              </w:rPr>
            </w:pPr>
          </w:p>
        </w:tc>
      </w:tr>
    </w:tbl>
    <w:p w:rsidR="00AB4843" w:rsidRDefault="00AB4843" w:rsidP="00403695">
      <w:pPr>
        <w:jc w:val="both"/>
        <w:rPr>
          <w:rFonts w:asciiTheme="minorHAnsi" w:hAnsiTheme="minorHAnsi"/>
          <w:sz w:val="20"/>
          <w:szCs w:val="20"/>
          <w:lang w:val="sr-Latn-CS"/>
        </w:rPr>
      </w:pPr>
    </w:p>
    <w:p w:rsidR="00A36F6F" w:rsidRDefault="00C12911" w:rsidP="00403695">
      <w:pPr>
        <w:jc w:val="both"/>
        <w:rPr>
          <w:rFonts w:asciiTheme="minorHAnsi" w:hAnsiTheme="minorHAnsi"/>
          <w:sz w:val="20"/>
          <w:szCs w:val="20"/>
          <w:lang w:val="sr-Latn-CS"/>
        </w:rPr>
      </w:pPr>
      <w:r w:rsidRPr="00AB4843">
        <w:rPr>
          <w:rFonts w:asciiTheme="minorHAnsi" w:hAnsiTheme="minorHAnsi"/>
          <w:sz w:val="20"/>
          <w:szCs w:val="20"/>
          <w:lang w:val="sr-Latn-CS"/>
        </w:rPr>
        <w:t>JU Zavod za geološka istraživanja – Podgorica je, u toku 2013. godine, izvršila detaljna geološka istraživanja</w:t>
      </w:r>
      <w:r w:rsidRPr="00AB4843">
        <w:rPr>
          <w:rFonts w:asciiTheme="minorHAnsi" w:hAnsiTheme="minorHAnsi" w:cs="Arial"/>
          <w:sz w:val="20"/>
          <w:szCs w:val="20"/>
          <w:lang w:val="sr-Latn-CS"/>
        </w:rPr>
        <w:t xml:space="preserve"> tehničko-građevinskog kamena (krečnjaka) ležišta “</w:t>
      </w:r>
      <w:r w:rsidR="003B150E">
        <w:rPr>
          <w:rFonts w:asciiTheme="minorHAnsi" w:hAnsiTheme="minorHAnsi" w:cs="Arial"/>
          <w:sz w:val="20"/>
          <w:szCs w:val="20"/>
          <w:lang w:val="sr-Latn-CS"/>
        </w:rPr>
        <w:t>Štitarica-</w:t>
      </w:r>
      <w:r w:rsidRPr="00AB4843">
        <w:rPr>
          <w:rFonts w:asciiTheme="minorHAnsi" w:hAnsiTheme="minorHAnsi" w:cs="Arial"/>
          <w:sz w:val="20"/>
          <w:szCs w:val="20"/>
          <w:lang w:val="sr-Latn-CS"/>
        </w:rPr>
        <w:t>Taskavac“</w:t>
      </w:r>
      <w:r w:rsidRPr="00AB4843">
        <w:rPr>
          <w:rFonts w:asciiTheme="minorHAnsi" w:hAnsiTheme="minorHAnsi"/>
          <w:sz w:val="20"/>
          <w:szCs w:val="20"/>
          <w:lang w:val="sr-Latn-CS"/>
        </w:rPr>
        <w:t xml:space="preserve"> i uradila Elaborat o klasifikaciji, kategorizaciji i proračunu rezervi tehničko-građevinskog kamena ležišta “</w:t>
      </w:r>
      <w:r w:rsidR="003B150E">
        <w:rPr>
          <w:rFonts w:asciiTheme="minorHAnsi" w:hAnsiTheme="minorHAnsi"/>
          <w:sz w:val="20"/>
          <w:szCs w:val="20"/>
          <w:lang w:val="sr-Latn-CS"/>
        </w:rPr>
        <w:t xml:space="preserve">Štitarica-Taskavac” </w:t>
      </w:r>
      <w:r w:rsidRPr="00AB4843">
        <w:rPr>
          <w:rFonts w:asciiTheme="minorHAnsi" w:hAnsiTheme="minorHAnsi"/>
          <w:sz w:val="20"/>
          <w:szCs w:val="20"/>
          <w:lang w:val="sr-Latn-CS"/>
        </w:rPr>
        <w:t>kod Mojkovca, stanje 31.12.2012. godine.</w:t>
      </w:r>
    </w:p>
    <w:p w:rsidR="00A36F6F" w:rsidRPr="00AB4843" w:rsidRDefault="00A36F6F" w:rsidP="00403695">
      <w:pPr>
        <w:jc w:val="both"/>
        <w:rPr>
          <w:rFonts w:asciiTheme="minorHAnsi" w:hAnsiTheme="minorHAnsi" w:cs="Arial"/>
          <w:sz w:val="20"/>
          <w:szCs w:val="20"/>
          <w:lang w:val="sr-Latn-CS"/>
        </w:rPr>
      </w:pPr>
    </w:p>
    <w:p w:rsidR="00C12911" w:rsidRPr="009762DA" w:rsidRDefault="00C12911" w:rsidP="00403695">
      <w:pPr>
        <w:jc w:val="both"/>
        <w:rPr>
          <w:rFonts w:asciiTheme="minorHAnsi" w:hAnsiTheme="minorHAnsi"/>
          <w:sz w:val="20"/>
          <w:szCs w:val="20"/>
          <w:lang w:val="sr-Latn-CS"/>
        </w:rPr>
      </w:pPr>
      <w:r w:rsidRPr="00AB4843">
        <w:rPr>
          <w:rFonts w:asciiTheme="minorHAnsi" w:hAnsiTheme="minorHAnsi"/>
          <w:sz w:val="20"/>
          <w:szCs w:val="20"/>
          <w:lang w:val="sr-Latn-CS"/>
        </w:rPr>
        <w:t>Elaborat o klasifikaciji, kategorizaciji i proračunu rezervi tehničko-građe</w:t>
      </w:r>
      <w:r w:rsidR="003B150E">
        <w:rPr>
          <w:rFonts w:asciiTheme="minorHAnsi" w:hAnsiTheme="minorHAnsi"/>
          <w:sz w:val="20"/>
          <w:szCs w:val="20"/>
          <w:lang w:val="sr-Latn-CS"/>
        </w:rPr>
        <w:t>vinskog kamena ležišta „</w:t>
      </w:r>
      <w:r w:rsidRPr="00AB4843">
        <w:rPr>
          <w:rFonts w:asciiTheme="minorHAnsi" w:hAnsiTheme="minorHAnsi"/>
          <w:sz w:val="20"/>
          <w:szCs w:val="20"/>
          <w:lang w:val="sr-Latn-CS"/>
        </w:rPr>
        <w:t>Štitarica</w:t>
      </w:r>
      <w:r w:rsidR="003B150E">
        <w:rPr>
          <w:rFonts w:asciiTheme="minorHAnsi" w:hAnsiTheme="minorHAnsi"/>
          <w:sz w:val="20"/>
          <w:szCs w:val="20"/>
          <w:lang w:val="sr-Latn-CS"/>
        </w:rPr>
        <w:t>-Taskavac“</w:t>
      </w:r>
      <w:r w:rsidRPr="00AB4843">
        <w:rPr>
          <w:rFonts w:asciiTheme="minorHAnsi" w:hAnsiTheme="minorHAnsi"/>
          <w:sz w:val="20"/>
          <w:szCs w:val="20"/>
          <w:lang w:val="sr-Latn-CS"/>
        </w:rPr>
        <w:t xml:space="preserve"> kod Mojkovca,  stanje 31.12.2012. godine, je ovjeren Rješenjem Ministarstva ekonomije, broj: 01-2473/4-2013 od 28.01.2014. godine.</w:t>
      </w:r>
    </w:p>
    <w:p w:rsidR="00C12911" w:rsidRDefault="00C12911" w:rsidP="00403695">
      <w:pPr>
        <w:jc w:val="both"/>
        <w:rPr>
          <w:rFonts w:asciiTheme="minorHAnsi" w:hAnsiTheme="minorHAnsi"/>
          <w:sz w:val="20"/>
          <w:szCs w:val="20"/>
          <w:lang w:val="sr-Latn-CS"/>
        </w:rPr>
      </w:pPr>
      <w:r w:rsidRPr="00AB4843">
        <w:rPr>
          <w:rFonts w:asciiTheme="minorHAnsi" w:hAnsiTheme="minorHAnsi"/>
          <w:sz w:val="20"/>
          <w:szCs w:val="20"/>
          <w:lang w:val="sr-Latn-CS"/>
        </w:rPr>
        <w:t xml:space="preserve">U narednoj tabeli je dat pregled </w:t>
      </w:r>
      <w:r w:rsidRPr="00AB4843">
        <w:rPr>
          <w:rFonts w:asciiTheme="minorHAnsi" w:hAnsiTheme="minorHAnsi"/>
          <w:sz w:val="20"/>
          <w:szCs w:val="20"/>
          <w:lang w:val="sl-SI"/>
        </w:rPr>
        <w:t>geoloških, bilansnih i eksploatacionih rezervi tehničko-građevinskog kamena</w:t>
      </w:r>
      <w:r w:rsidRPr="00AB4843">
        <w:rPr>
          <w:rFonts w:asciiTheme="minorHAnsi" w:hAnsiTheme="minorHAnsi"/>
          <w:sz w:val="20"/>
          <w:szCs w:val="20"/>
          <w:lang w:val="sr-Latn-CS"/>
        </w:rPr>
        <w:t xml:space="preserve"> </w:t>
      </w:r>
      <w:r w:rsidR="008260E3">
        <w:rPr>
          <w:rFonts w:asciiTheme="minorHAnsi" w:hAnsiTheme="minorHAnsi"/>
          <w:sz w:val="20"/>
          <w:szCs w:val="20"/>
          <w:lang w:val="sr-Latn-CS"/>
        </w:rPr>
        <w:t>(krečnjaka) ležišta „</w:t>
      </w:r>
      <w:r w:rsidRPr="00AB4843">
        <w:rPr>
          <w:rFonts w:asciiTheme="minorHAnsi" w:hAnsiTheme="minorHAnsi"/>
          <w:sz w:val="20"/>
          <w:szCs w:val="20"/>
          <w:lang w:val="sr-Latn-CS"/>
        </w:rPr>
        <w:t xml:space="preserve"> Štitarica</w:t>
      </w:r>
      <w:r w:rsidR="008260E3">
        <w:rPr>
          <w:rFonts w:asciiTheme="minorHAnsi" w:hAnsiTheme="minorHAnsi"/>
          <w:sz w:val="20"/>
          <w:szCs w:val="20"/>
          <w:lang w:val="sr-Latn-CS"/>
        </w:rPr>
        <w:t>-taskavac“</w:t>
      </w:r>
      <w:r w:rsidRPr="00AB4843">
        <w:rPr>
          <w:rFonts w:asciiTheme="minorHAnsi" w:hAnsiTheme="minorHAnsi"/>
          <w:sz w:val="20"/>
          <w:szCs w:val="20"/>
          <w:lang w:val="sr-Latn-CS"/>
        </w:rPr>
        <w:t xml:space="preserve"> kod Mojkovca,  stanje 31.12.2012. godine, kako slijedi: </w:t>
      </w:r>
    </w:p>
    <w:p w:rsidR="00C61546" w:rsidRPr="00AB4843" w:rsidRDefault="00C61546" w:rsidP="00403695">
      <w:pPr>
        <w:jc w:val="both"/>
        <w:rPr>
          <w:rFonts w:asciiTheme="minorHAnsi" w:hAnsiTheme="minorHAnsi"/>
          <w:sz w:val="20"/>
          <w:szCs w:val="20"/>
          <w:lang w:val="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072"/>
        <w:gridCol w:w="1906"/>
        <w:gridCol w:w="3294"/>
      </w:tblGrid>
      <w:tr w:rsidR="00C12911" w:rsidRPr="003B150E" w:rsidTr="00AF53FF">
        <w:trPr>
          <w:trHeight w:val="539"/>
          <w:jc w:val="center"/>
        </w:trPr>
        <w:tc>
          <w:tcPr>
            <w:tcW w:w="1203" w:type="pct"/>
            <w:vMerge w:val="restart"/>
            <w:tcBorders>
              <w:top w:val="thinThickSmallGap" w:sz="18" w:space="0" w:color="auto"/>
              <w:left w:val="thinThickSmallGap" w:sz="18" w:space="0" w:color="auto"/>
              <w:right w:val="double" w:sz="4" w:space="0" w:color="auto"/>
            </w:tcBorders>
            <w:shd w:val="clear" w:color="auto" w:fill="92D050"/>
            <w:vAlign w:val="center"/>
          </w:tcPr>
          <w:p w:rsidR="00C12911" w:rsidRPr="00AB4843" w:rsidRDefault="00C12911" w:rsidP="00AF53FF">
            <w:pPr>
              <w:jc w:val="center"/>
              <w:rPr>
                <w:rFonts w:asciiTheme="minorHAnsi" w:hAnsiTheme="minorHAnsi" w:cs="Arial"/>
                <w:sz w:val="20"/>
                <w:szCs w:val="20"/>
                <w:lang w:val="sr-Latn-CS"/>
              </w:rPr>
            </w:pPr>
            <w:r w:rsidRPr="00AB4843">
              <w:rPr>
                <w:rFonts w:asciiTheme="minorHAnsi" w:hAnsiTheme="minorHAnsi" w:cs="Arial"/>
                <w:b/>
                <w:sz w:val="20"/>
                <w:szCs w:val="20"/>
                <w:lang w:val="sr-Latn-CS"/>
              </w:rPr>
              <w:lastRenderedPageBreak/>
              <w:t>Rezerve</w:t>
            </w:r>
          </w:p>
        </w:tc>
        <w:tc>
          <w:tcPr>
            <w:tcW w:w="2077" w:type="pct"/>
            <w:gridSpan w:val="2"/>
            <w:tcBorders>
              <w:top w:val="thinThickSmallGap" w:sz="18" w:space="0" w:color="auto"/>
              <w:left w:val="double" w:sz="4" w:space="0" w:color="auto"/>
              <w:right w:val="double" w:sz="4" w:space="0" w:color="auto"/>
            </w:tcBorders>
            <w:shd w:val="clear" w:color="auto" w:fill="92D050"/>
            <w:vAlign w:val="center"/>
          </w:tcPr>
          <w:p w:rsidR="00C12911" w:rsidRPr="00AB4843" w:rsidRDefault="00C12911" w:rsidP="00AF53FF">
            <w:pPr>
              <w:jc w:val="center"/>
              <w:rPr>
                <w:rFonts w:asciiTheme="minorHAnsi" w:hAnsiTheme="minorHAnsi" w:cs="Arial"/>
                <w:sz w:val="20"/>
                <w:szCs w:val="20"/>
                <w:lang w:val="sr-Latn-CS"/>
              </w:rPr>
            </w:pPr>
            <w:r w:rsidRPr="00AB4843">
              <w:rPr>
                <w:rFonts w:asciiTheme="minorHAnsi" w:hAnsiTheme="minorHAnsi" w:cs="Arial"/>
                <w:b/>
                <w:sz w:val="20"/>
                <w:szCs w:val="20"/>
                <w:lang w:val="sr-Latn-CS"/>
              </w:rPr>
              <w:t>Kategorija</w:t>
            </w:r>
          </w:p>
        </w:tc>
        <w:tc>
          <w:tcPr>
            <w:tcW w:w="1720" w:type="pct"/>
            <w:vMerge w:val="restart"/>
            <w:tcBorders>
              <w:top w:val="thinThickSmallGap" w:sz="18" w:space="0" w:color="auto"/>
              <w:left w:val="double" w:sz="4" w:space="0" w:color="auto"/>
              <w:right w:val="thinThickSmallGap" w:sz="18" w:space="0" w:color="auto"/>
            </w:tcBorders>
            <w:shd w:val="clear" w:color="auto" w:fill="92D050"/>
            <w:vAlign w:val="center"/>
          </w:tcPr>
          <w:p w:rsidR="00C12911" w:rsidRPr="00AB4843" w:rsidRDefault="00C12911" w:rsidP="00AF53FF">
            <w:pPr>
              <w:jc w:val="center"/>
              <w:rPr>
                <w:rFonts w:asciiTheme="minorHAnsi" w:hAnsiTheme="minorHAnsi" w:cs="Arial"/>
                <w:b/>
                <w:sz w:val="20"/>
                <w:szCs w:val="20"/>
                <w:lang w:val="sr-Latn-CS"/>
              </w:rPr>
            </w:pPr>
            <w:r w:rsidRPr="00AB4843">
              <w:rPr>
                <w:rFonts w:asciiTheme="minorHAnsi" w:hAnsiTheme="minorHAnsi" w:cs="Arial"/>
                <w:b/>
                <w:sz w:val="20"/>
                <w:szCs w:val="20"/>
                <w:lang w:val="sr-Latn-CS"/>
              </w:rPr>
              <w:t>Ukupne rezerve tehničko-građevinskog kamena</w:t>
            </w:r>
          </w:p>
        </w:tc>
      </w:tr>
      <w:tr w:rsidR="00C12911" w:rsidRPr="00AB4843" w:rsidTr="00AF53FF">
        <w:trPr>
          <w:jc w:val="center"/>
        </w:trPr>
        <w:tc>
          <w:tcPr>
            <w:tcW w:w="1203" w:type="pct"/>
            <w:vMerge/>
            <w:tcBorders>
              <w:left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cs="Arial"/>
                <w:b/>
                <w:sz w:val="20"/>
                <w:szCs w:val="20"/>
                <w:lang w:val="sr-Latn-CS"/>
              </w:rPr>
            </w:pPr>
          </w:p>
        </w:tc>
        <w:tc>
          <w:tcPr>
            <w:tcW w:w="1082" w:type="pct"/>
            <w:tcBorders>
              <w:left w:val="double" w:sz="4" w:space="0" w:color="auto"/>
            </w:tcBorders>
            <w:shd w:val="clear" w:color="auto" w:fill="92D050"/>
            <w:vAlign w:val="center"/>
          </w:tcPr>
          <w:p w:rsidR="00C12911" w:rsidRPr="00AB4843" w:rsidRDefault="00C12911" w:rsidP="00AF53FF">
            <w:pPr>
              <w:jc w:val="center"/>
              <w:rPr>
                <w:rFonts w:asciiTheme="minorHAnsi" w:hAnsiTheme="minorHAnsi" w:cs="Arial"/>
                <w:b/>
                <w:sz w:val="20"/>
                <w:szCs w:val="20"/>
                <w:lang w:val="sr-Latn-CS"/>
              </w:rPr>
            </w:pPr>
            <w:r w:rsidRPr="00AB4843">
              <w:rPr>
                <w:rFonts w:asciiTheme="minorHAnsi" w:hAnsiTheme="minorHAnsi" w:cs="Arial"/>
                <w:b/>
                <w:sz w:val="20"/>
                <w:szCs w:val="20"/>
                <w:lang w:val="sr-Latn-CS"/>
              </w:rPr>
              <w:t>B</w:t>
            </w:r>
          </w:p>
        </w:tc>
        <w:tc>
          <w:tcPr>
            <w:tcW w:w="995" w:type="pct"/>
            <w:tcBorders>
              <w:right w:val="double" w:sz="4" w:space="0" w:color="auto"/>
            </w:tcBorders>
            <w:shd w:val="clear" w:color="auto" w:fill="92D050"/>
            <w:vAlign w:val="center"/>
          </w:tcPr>
          <w:p w:rsidR="00C12911" w:rsidRPr="00AB4843" w:rsidRDefault="00C12911" w:rsidP="00AF53FF">
            <w:pPr>
              <w:jc w:val="center"/>
              <w:rPr>
                <w:rFonts w:asciiTheme="minorHAnsi" w:hAnsiTheme="minorHAnsi" w:cs="Arial"/>
                <w:b/>
                <w:sz w:val="20"/>
                <w:szCs w:val="20"/>
                <w:vertAlign w:val="subscript"/>
                <w:lang w:val="sr-Latn-CS"/>
              </w:rPr>
            </w:pPr>
            <w:r w:rsidRPr="00AB4843">
              <w:rPr>
                <w:rFonts w:asciiTheme="minorHAnsi" w:hAnsiTheme="minorHAnsi" w:cs="Arial"/>
                <w:b/>
                <w:sz w:val="20"/>
                <w:szCs w:val="20"/>
                <w:lang w:val="sr-Latn-CS"/>
              </w:rPr>
              <w:t>C</w:t>
            </w:r>
            <w:r w:rsidRPr="00AB4843">
              <w:rPr>
                <w:rFonts w:asciiTheme="minorHAnsi" w:hAnsiTheme="minorHAnsi" w:cs="Arial"/>
                <w:b/>
                <w:sz w:val="20"/>
                <w:szCs w:val="20"/>
                <w:vertAlign w:val="subscript"/>
                <w:lang w:val="sr-Latn-CS"/>
              </w:rPr>
              <w:t>1</w:t>
            </w:r>
          </w:p>
        </w:tc>
        <w:tc>
          <w:tcPr>
            <w:tcW w:w="1720" w:type="pct"/>
            <w:vMerge/>
            <w:tcBorders>
              <w:left w:val="double" w:sz="4" w:space="0" w:color="auto"/>
              <w:right w:val="thinThickSmallGap" w:sz="18" w:space="0" w:color="auto"/>
            </w:tcBorders>
            <w:shd w:val="clear" w:color="auto" w:fill="92D050"/>
            <w:vAlign w:val="center"/>
          </w:tcPr>
          <w:p w:rsidR="00C12911" w:rsidRPr="00AB4843" w:rsidRDefault="00C12911" w:rsidP="00AF53FF">
            <w:pPr>
              <w:jc w:val="center"/>
              <w:rPr>
                <w:rFonts w:asciiTheme="minorHAnsi" w:hAnsiTheme="minorHAnsi" w:cs="Arial"/>
                <w:b/>
                <w:sz w:val="20"/>
                <w:szCs w:val="20"/>
                <w:lang w:val="sr-Latn-CS"/>
              </w:rPr>
            </w:pPr>
          </w:p>
        </w:tc>
      </w:tr>
      <w:tr w:rsidR="00C12911" w:rsidRPr="00AB4843" w:rsidTr="00AF53FF">
        <w:trPr>
          <w:jc w:val="center"/>
        </w:trPr>
        <w:tc>
          <w:tcPr>
            <w:tcW w:w="1203" w:type="pct"/>
            <w:tcBorders>
              <w:left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cs="Arial"/>
                <w:b/>
                <w:sz w:val="20"/>
                <w:szCs w:val="20"/>
                <w:lang w:val="sr-Latn-CS"/>
              </w:rPr>
            </w:pPr>
            <w:r w:rsidRPr="00AB4843">
              <w:rPr>
                <w:rFonts w:asciiTheme="minorHAnsi" w:hAnsiTheme="minorHAnsi" w:cs="Arial"/>
                <w:b/>
                <w:sz w:val="20"/>
                <w:szCs w:val="20"/>
                <w:lang w:val="sr-Latn-CS"/>
              </w:rPr>
              <w:t>Geološke</w:t>
            </w:r>
          </w:p>
        </w:tc>
        <w:tc>
          <w:tcPr>
            <w:tcW w:w="1082" w:type="pct"/>
            <w:tcBorders>
              <w:left w:val="double" w:sz="4" w:space="0" w:color="auto"/>
            </w:tcBorders>
            <w:shd w:val="clear" w:color="auto" w:fill="auto"/>
            <w:vAlign w:val="center"/>
          </w:tcPr>
          <w:p w:rsidR="00C12911" w:rsidRPr="00AB4843" w:rsidRDefault="00C12911" w:rsidP="00AF53FF">
            <w:pPr>
              <w:jc w:val="center"/>
              <w:rPr>
                <w:rFonts w:asciiTheme="minorHAnsi" w:hAnsiTheme="minorHAnsi"/>
                <w:b/>
                <w:sz w:val="20"/>
                <w:szCs w:val="20"/>
              </w:rPr>
            </w:pPr>
            <w:r w:rsidRPr="00AB4843">
              <w:rPr>
                <w:rFonts w:asciiTheme="minorHAnsi" w:hAnsiTheme="minorHAnsi"/>
                <w:b/>
                <w:sz w:val="20"/>
                <w:szCs w:val="20"/>
              </w:rPr>
              <w:t>718.982</w:t>
            </w:r>
          </w:p>
        </w:tc>
        <w:tc>
          <w:tcPr>
            <w:tcW w:w="995" w:type="pct"/>
            <w:tcBorders>
              <w:right w:val="double" w:sz="4" w:space="0" w:color="auto"/>
            </w:tcBorders>
            <w:shd w:val="clear" w:color="auto" w:fill="auto"/>
            <w:vAlign w:val="center"/>
          </w:tcPr>
          <w:p w:rsidR="00C12911" w:rsidRPr="00AB4843" w:rsidRDefault="00C12911" w:rsidP="00AF53FF">
            <w:pPr>
              <w:jc w:val="center"/>
              <w:rPr>
                <w:rFonts w:asciiTheme="minorHAnsi" w:hAnsiTheme="minorHAnsi"/>
                <w:b/>
                <w:sz w:val="20"/>
                <w:szCs w:val="20"/>
              </w:rPr>
            </w:pPr>
            <w:r w:rsidRPr="00AB4843">
              <w:rPr>
                <w:rFonts w:asciiTheme="minorHAnsi" w:hAnsiTheme="minorHAnsi" w:cs="Arial"/>
                <w:b/>
                <w:sz w:val="20"/>
                <w:szCs w:val="20"/>
                <w:lang w:val="sr-Latn-CS"/>
              </w:rPr>
              <w:t>449.616</w:t>
            </w:r>
          </w:p>
        </w:tc>
        <w:tc>
          <w:tcPr>
            <w:tcW w:w="1720" w:type="pct"/>
            <w:tcBorders>
              <w:left w:val="double" w:sz="4"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b/>
                <w:sz w:val="20"/>
                <w:szCs w:val="20"/>
              </w:rPr>
            </w:pPr>
            <w:r w:rsidRPr="00AB4843">
              <w:rPr>
                <w:rFonts w:asciiTheme="minorHAnsi" w:hAnsiTheme="minorHAnsi" w:cs="Arial"/>
                <w:b/>
                <w:sz w:val="20"/>
                <w:szCs w:val="20"/>
                <w:lang w:val="sr-Latn-CS"/>
              </w:rPr>
              <w:t>1.168.598</w:t>
            </w:r>
          </w:p>
        </w:tc>
      </w:tr>
      <w:tr w:rsidR="00C12911" w:rsidRPr="00AB4843" w:rsidTr="00AF53FF">
        <w:trPr>
          <w:jc w:val="center"/>
        </w:trPr>
        <w:tc>
          <w:tcPr>
            <w:tcW w:w="1203" w:type="pct"/>
            <w:tcBorders>
              <w:left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cs="Arial"/>
                <w:b/>
                <w:sz w:val="20"/>
                <w:szCs w:val="20"/>
                <w:lang w:val="sr-Latn-CS"/>
              </w:rPr>
            </w:pPr>
            <w:r w:rsidRPr="00AB4843">
              <w:rPr>
                <w:rFonts w:asciiTheme="minorHAnsi" w:hAnsiTheme="minorHAnsi" w:cs="Arial"/>
                <w:b/>
                <w:sz w:val="20"/>
                <w:szCs w:val="20"/>
                <w:lang w:val="sr-Latn-CS"/>
              </w:rPr>
              <w:t>Bilansne</w:t>
            </w:r>
          </w:p>
        </w:tc>
        <w:tc>
          <w:tcPr>
            <w:tcW w:w="1082" w:type="pct"/>
            <w:tcBorders>
              <w:left w:val="double" w:sz="4" w:space="0" w:color="auto"/>
            </w:tcBorders>
            <w:shd w:val="clear" w:color="auto" w:fill="auto"/>
            <w:vAlign w:val="center"/>
          </w:tcPr>
          <w:p w:rsidR="00C12911" w:rsidRPr="00AB4843" w:rsidRDefault="00C12911" w:rsidP="00AF53FF">
            <w:pPr>
              <w:jc w:val="center"/>
              <w:rPr>
                <w:rFonts w:asciiTheme="minorHAnsi" w:hAnsiTheme="minorHAnsi"/>
                <w:b/>
                <w:sz w:val="20"/>
                <w:szCs w:val="20"/>
              </w:rPr>
            </w:pPr>
            <w:r w:rsidRPr="00AB4843">
              <w:rPr>
                <w:rFonts w:asciiTheme="minorHAnsi" w:hAnsiTheme="minorHAnsi"/>
                <w:b/>
                <w:sz w:val="20"/>
                <w:szCs w:val="20"/>
              </w:rPr>
              <w:t>718.982</w:t>
            </w:r>
          </w:p>
        </w:tc>
        <w:tc>
          <w:tcPr>
            <w:tcW w:w="995" w:type="pct"/>
            <w:tcBorders>
              <w:right w:val="double" w:sz="4" w:space="0" w:color="auto"/>
            </w:tcBorders>
            <w:shd w:val="clear" w:color="auto" w:fill="auto"/>
            <w:vAlign w:val="center"/>
          </w:tcPr>
          <w:p w:rsidR="00C12911" w:rsidRPr="00AB4843" w:rsidRDefault="00C12911" w:rsidP="00AF53FF">
            <w:pPr>
              <w:jc w:val="center"/>
              <w:rPr>
                <w:rFonts w:asciiTheme="minorHAnsi" w:hAnsiTheme="minorHAnsi"/>
                <w:b/>
                <w:sz w:val="20"/>
                <w:szCs w:val="20"/>
              </w:rPr>
            </w:pPr>
            <w:r w:rsidRPr="00AB4843">
              <w:rPr>
                <w:rFonts w:asciiTheme="minorHAnsi" w:hAnsiTheme="minorHAnsi" w:cs="Arial"/>
                <w:b/>
                <w:sz w:val="20"/>
                <w:szCs w:val="20"/>
                <w:lang w:val="sr-Latn-CS"/>
              </w:rPr>
              <w:t>449.616</w:t>
            </w:r>
          </w:p>
        </w:tc>
        <w:tc>
          <w:tcPr>
            <w:tcW w:w="1720" w:type="pct"/>
            <w:tcBorders>
              <w:left w:val="double" w:sz="4"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b/>
                <w:sz w:val="20"/>
                <w:szCs w:val="20"/>
              </w:rPr>
            </w:pPr>
            <w:r w:rsidRPr="00AB4843">
              <w:rPr>
                <w:rFonts w:asciiTheme="minorHAnsi" w:hAnsiTheme="minorHAnsi" w:cs="Arial"/>
                <w:b/>
                <w:sz w:val="20"/>
                <w:szCs w:val="20"/>
                <w:lang w:val="sr-Latn-CS"/>
              </w:rPr>
              <w:t>1.168.598</w:t>
            </w:r>
          </w:p>
        </w:tc>
      </w:tr>
      <w:tr w:rsidR="00C12911" w:rsidRPr="00AB4843" w:rsidTr="00AF53FF">
        <w:trPr>
          <w:jc w:val="center"/>
        </w:trPr>
        <w:tc>
          <w:tcPr>
            <w:tcW w:w="1203" w:type="pct"/>
            <w:tcBorders>
              <w:left w:val="thinThickSmallGap" w:sz="18" w:space="0" w:color="auto"/>
              <w:bottom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cs="Arial"/>
                <w:b/>
                <w:sz w:val="20"/>
                <w:szCs w:val="20"/>
                <w:lang w:val="sr-Latn-CS"/>
              </w:rPr>
            </w:pPr>
            <w:r w:rsidRPr="00AB4843">
              <w:rPr>
                <w:rFonts w:asciiTheme="minorHAnsi" w:hAnsiTheme="minorHAnsi" w:cs="Arial"/>
                <w:b/>
                <w:sz w:val="20"/>
                <w:szCs w:val="20"/>
                <w:lang w:val="sr-Latn-CS"/>
              </w:rPr>
              <w:t>Eksploatacione</w:t>
            </w:r>
          </w:p>
        </w:tc>
        <w:tc>
          <w:tcPr>
            <w:tcW w:w="1082" w:type="pct"/>
            <w:tcBorders>
              <w:left w:val="double" w:sz="4" w:space="0" w:color="auto"/>
              <w:bottom w:val="thinThickSmallGap" w:sz="18" w:space="0" w:color="auto"/>
            </w:tcBorders>
            <w:shd w:val="clear" w:color="auto" w:fill="auto"/>
            <w:vAlign w:val="center"/>
          </w:tcPr>
          <w:p w:rsidR="00C12911" w:rsidRPr="00AB4843" w:rsidRDefault="00C12911" w:rsidP="00AF53FF">
            <w:pPr>
              <w:jc w:val="center"/>
              <w:rPr>
                <w:rFonts w:asciiTheme="minorHAnsi" w:hAnsiTheme="minorHAnsi" w:cs="Arial"/>
                <w:b/>
                <w:sz w:val="20"/>
                <w:szCs w:val="20"/>
                <w:lang w:val="sr-Latn-CS"/>
              </w:rPr>
            </w:pPr>
            <w:r w:rsidRPr="00AB4843">
              <w:rPr>
                <w:rFonts w:asciiTheme="minorHAnsi" w:hAnsiTheme="minorHAnsi" w:cs="Arial"/>
                <w:b/>
                <w:sz w:val="20"/>
                <w:szCs w:val="20"/>
                <w:lang w:val="sr-Latn-CS"/>
              </w:rPr>
              <w:t>661.463</w:t>
            </w:r>
          </w:p>
        </w:tc>
        <w:tc>
          <w:tcPr>
            <w:tcW w:w="995" w:type="pct"/>
            <w:tcBorders>
              <w:bottom w:val="thinThickSmallGap" w:sz="18" w:space="0" w:color="auto"/>
              <w:right w:val="double" w:sz="4" w:space="0" w:color="auto"/>
            </w:tcBorders>
            <w:shd w:val="clear" w:color="auto" w:fill="auto"/>
            <w:vAlign w:val="center"/>
          </w:tcPr>
          <w:p w:rsidR="00C12911" w:rsidRPr="00AB4843" w:rsidRDefault="00C12911" w:rsidP="00AF53FF">
            <w:pPr>
              <w:jc w:val="center"/>
              <w:rPr>
                <w:rFonts w:asciiTheme="minorHAnsi" w:hAnsiTheme="minorHAnsi" w:cs="Arial"/>
                <w:b/>
                <w:sz w:val="20"/>
                <w:szCs w:val="20"/>
                <w:lang w:val="sr-Latn-CS"/>
              </w:rPr>
            </w:pPr>
            <w:r w:rsidRPr="00AB4843">
              <w:rPr>
                <w:rFonts w:asciiTheme="minorHAnsi" w:hAnsiTheme="minorHAnsi" w:cs="Arial"/>
                <w:b/>
                <w:sz w:val="20"/>
                <w:szCs w:val="20"/>
                <w:lang w:val="sr-Latn-CS"/>
              </w:rPr>
              <w:t>413.647</w:t>
            </w:r>
          </w:p>
        </w:tc>
        <w:tc>
          <w:tcPr>
            <w:tcW w:w="1720" w:type="pct"/>
            <w:tcBorders>
              <w:left w:val="double" w:sz="4" w:space="0" w:color="auto"/>
              <w:bottom w:val="thinThickSmallGap" w:sz="18" w:space="0" w:color="auto"/>
              <w:right w:val="thinThickSmallGap" w:sz="18" w:space="0" w:color="auto"/>
            </w:tcBorders>
            <w:shd w:val="clear" w:color="auto" w:fill="auto"/>
            <w:vAlign w:val="center"/>
          </w:tcPr>
          <w:p w:rsidR="00C12911" w:rsidRPr="00AB4843" w:rsidRDefault="00C12911" w:rsidP="00AF53FF">
            <w:pPr>
              <w:jc w:val="center"/>
              <w:rPr>
                <w:rFonts w:asciiTheme="minorHAnsi" w:hAnsiTheme="minorHAnsi" w:cs="Arial"/>
                <w:b/>
                <w:sz w:val="20"/>
                <w:szCs w:val="20"/>
                <w:lang w:val="sr-Latn-CS"/>
              </w:rPr>
            </w:pPr>
            <w:r w:rsidRPr="00AB4843">
              <w:rPr>
                <w:rFonts w:asciiTheme="minorHAnsi" w:hAnsiTheme="minorHAnsi" w:cs="Arial"/>
                <w:b/>
                <w:sz w:val="20"/>
                <w:szCs w:val="20"/>
                <w:lang w:val="sr-Latn-CS"/>
              </w:rPr>
              <w:t>1.075.110</w:t>
            </w:r>
          </w:p>
        </w:tc>
      </w:tr>
    </w:tbl>
    <w:p w:rsidR="00F27279" w:rsidRDefault="00F27279" w:rsidP="00403695">
      <w:pPr>
        <w:jc w:val="both"/>
        <w:rPr>
          <w:rFonts w:asciiTheme="minorHAnsi" w:hAnsiTheme="minorHAnsi" w:cs="Arial"/>
          <w:sz w:val="20"/>
          <w:szCs w:val="20"/>
          <w:lang w:val="sr-Latn-CS"/>
        </w:rPr>
      </w:pPr>
    </w:p>
    <w:p w:rsidR="00C12911" w:rsidRPr="00AB4843" w:rsidRDefault="00946BBC" w:rsidP="00403695">
      <w:pPr>
        <w:jc w:val="both"/>
        <w:rPr>
          <w:rFonts w:asciiTheme="minorHAnsi" w:hAnsiTheme="minorHAnsi"/>
          <w:sz w:val="20"/>
          <w:szCs w:val="20"/>
          <w:lang w:val="sr-Latn-CS"/>
        </w:rPr>
      </w:pPr>
      <w:r>
        <w:rPr>
          <w:rFonts w:asciiTheme="minorHAnsi" w:hAnsiTheme="minorHAnsi" w:cs="Arial"/>
          <w:sz w:val="20"/>
          <w:szCs w:val="20"/>
          <w:lang w:val="sr-Latn-CS"/>
        </w:rPr>
        <w:t xml:space="preserve">Na osnovu rezultata </w:t>
      </w:r>
      <w:r w:rsidR="00C12911" w:rsidRPr="00AB4843">
        <w:rPr>
          <w:rFonts w:asciiTheme="minorHAnsi" w:hAnsiTheme="minorHAnsi" w:cs="Arial"/>
          <w:sz w:val="20"/>
          <w:szCs w:val="20"/>
          <w:lang w:val="sr-Latn-CS"/>
        </w:rPr>
        <w:t xml:space="preserve"> ispitivanja dobijena je konačna slika o kvalitetu stijenske mase iz ležišta </w:t>
      </w:r>
      <w:r w:rsidR="00C12911" w:rsidRPr="00AB4843">
        <w:rPr>
          <w:rFonts w:asciiTheme="minorHAnsi" w:hAnsiTheme="minorHAnsi"/>
          <w:sz w:val="20"/>
          <w:szCs w:val="20"/>
          <w:lang w:val="sr-Latn-CS"/>
        </w:rPr>
        <w:t>“Štitarica</w:t>
      </w:r>
      <w:r>
        <w:rPr>
          <w:rFonts w:asciiTheme="minorHAnsi" w:hAnsiTheme="minorHAnsi"/>
          <w:sz w:val="20"/>
          <w:szCs w:val="20"/>
          <w:lang w:val="sr-Latn-CS"/>
        </w:rPr>
        <w:t>-Taskavac“</w:t>
      </w:r>
      <w:r w:rsidR="00C12911" w:rsidRPr="00AB4843">
        <w:rPr>
          <w:rFonts w:asciiTheme="minorHAnsi" w:hAnsiTheme="minorHAnsi" w:cs="Arial"/>
          <w:sz w:val="20"/>
          <w:szCs w:val="20"/>
          <w:lang w:val="sr-Latn-CS"/>
        </w:rPr>
        <w:t xml:space="preserve"> i njenoj upotrebljivosti u tehničko-građevinske svrhe.</w:t>
      </w:r>
    </w:p>
    <w:p w:rsidR="00946BBC" w:rsidRDefault="00946BBC" w:rsidP="00403695">
      <w:pPr>
        <w:jc w:val="both"/>
        <w:rPr>
          <w:rFonts w:asciiTheme="minorHAnsi" w:hAnsiTheme="minorHAnsi"/>
          <w:sz w:val="20"/>
          <w:szCs w:val="20"/>
          <w:lang w:val="sr-Latn-CS"/>
        </w:rPr>
      </w:pPr>
    </w:p>
    <w:p w:rsidR="00C12911" w:rsidRPr="00AB4843" w:rsidRDefault="00946BBC" w:rsidP="00403695">
      <w:pPr>
        <w:jc w:val="both"/>
        <w:rPr>
          <w:rFonts w:asciiTheme="minorHAnsi" w:hAnsiTheme="minorHAnsi" w:cs="Arial"/>
          <w:sz w:val="20"/>
          <w:szCs w:val="20"/>
          <w:lang w:val="sl-SI"/>
        </w:rPr>
      </w:pPr>
      <w:r>
        <w:rPr>
          <w:rFonts w:asciiTheme="minorHAnsi" w:hAnsiTheme="minorHAnsi" w:cs="Arial"/>
          <w:sz w:val="20"/>
          <w:szCs w:val="20"/>
          <w:lang w:val="sr-Latn-CS"/>
        </w:rPr>
        <w:t>K</w:t>
      </w:r>
      <w:r w:rsidR="00C12911" w:rsidRPr="00AB4843">
        <w:rPr>
          <w:rFonts w:asciiTheme="minorHAnsi" w:hAnsiTheme="minorHAnsi" w:cs="Arial"/>
          <w:sz w:val="20"/>
          <w:szCs w:val="20"/>
          <w:lang w:val="hr-HR"/>
        </w:rPr>
        <w:t xml:space="preserve">valitativne osobine mineralne sirovine okarakterisane su kao povoljne, što ovom kamenu omogućava primjenu u građevinarstvu </w:t>
      </w:r>
      <w:r w:rsidR="00C12911" w:rsidRPr="00AB4843">
        <w:rPr>
          <w:rFonts w:asciiTheme="minorHAnsi" w:hAnsiTheme="minorHAnsi" w:cs="Arial"/>
          <w:sz w:val="20"/>
          <w:szCs w:val="20"/>
          <w:lang w:val="sl-SI"/>
        </w:rPr>
        <w:t>u tehničko-građevinske svrhe i to prvenstveno za:</w:t>
      </w:r>
    </w:p>
    <w:p w:rsidR="00C12911" w:rsidRPr="00AB4843" w:rsidRDefault="00C12911" w:rsidP="00403695">
      <w:pPr>
        <w:jc w:val="both"/>
        <w:rPr>
          <w:rFonts w:asciiTheme="minorHAnsi" w:hAnsiTheme="minorHAnsi" w:cs="Arial"/>
          <w:sz w:val="20"/>
          <w:szCs w:val="20"/>
          <w:lang w:val="sl-SI"/>
        </w:rPr>
      </w:pPr>
    </w:p>
    <w:p w:rsidR="00C12911" w:rsidRPr="00AB4843" w:rsidRDefault="00C12911" w:rsidP="00403695">
      <w:pPr>
        <w:pStyle w:val="ListParagraph"/>
        <w:numPr>
          <w:ilvl w:val="0"/>
          <w:numId w:val="10"/>
        </w:numPr>
        <w:jc w:val="both"/>
        <w:rPr>
          <w:rFonts w:asciiTheme="minorHAnsi" w:hAnsiTheme="minorHAnsi" w:cs="Arial"/>
          <w:sz w:val="20"/>
          <w:szCs w:val="20"/>
          <w:lang w:val="sl-SI"/>
        </w:rPr>
      </w:pPr>
      <w:r w:rsidRPr="00AB4843">
        <w:rPr>
          <w:rFonts w:asciiTheme="minorHAnsi" w:hAnsiTheme="minorHAnsi" w:cs="Arial"/>
          <w:sz w:val="20"/>
          <w:szCs w:val="20"/>
          <w:lang w:val="hr-HR"/>
        </w:rPr>
        <w:t>proizvodnju agregata za izradu betona (SRPS B.B2.009),</w:t>
      </w:r>
    </w:p>
    <w:p w:rsidR="00C12911" w:rsidRPr="00AB4843" w:rsidRDefault="00C12911" w:rsidP="00403695">
      <w:pPr>
        <w:numPr>
          <w:ilvl w:val="0"/>
          <w:numId w:val="9"/>
        </w:numPr>
        <w:tabs>
          <w:tab w:val="clear" w:pos="360"/>
          <w:tab w:val="num" w:pos="720"/>
        </w:tabs>
        <w:ind w:left="720"/>
        <w:jc w:val="both"/>
        <w:rPr>
          <w:rFonts w:asciiTheme="minorHAnsi" w:hAnsiTheme="minorHAnsi" w:cs="Arial"/>
          <w:sz w:val="20"/>
          <w:szCs w:val="20"/>
          <w:lang w:val="hr-HR"/>
        </w:rPr>
      </w:pPr>
      <w:r w:rsidRPr="00AB4843">
        <w:rPr>
          <w:rFonts w:asciiTheme="minorHAnsi" w:hAnsiTheme="minorHAnsi" w:cs="Arial"/>
          <w:sz w:val="20"/>
          <w:szCs w:val="20"/>
          <w:lang w:val="hr-HR"/>
        </w:rPr>
        <w:t>proizvodnju agregata za izradu habajućih slojeva od asfaltnih betona po vrućem postupku za puteve sa lakim i vrlo lakim  saobraćajnim opterećenjem (SRPS U.E4.014.),</w:t>
      </w:r>
    </w:p>
    <w:p w:rsidR="00C12911" w:rsidRPr="00AB4843" w:rsidRDefault="00C12911" w:rsidP="00403695">
      <w:pPr>
        <w:numPr>
          <w:ilvl w:val="0"/>
          <w:numId w:val="9"/>
        </w:numPr>
        <w:tabs>
          <w:tab w:val="clear" w:pos="360"/>
          <w:tab w:val="num" w:pos="720"/>
        </w:tabs>
        <w:ind w:left="720"/>
        <w:jc w:val="both"/>
        <w:rPr>
          <w:rFonts w:asciiTheme="minorHAnsi" w:hAnsiTheme="minorHAnsi" w:cs="Arial"/>
          <w:sz w:val="20"/>
          <w:szCs w:val="20"/>
          <w:lang w:val="hr-HR"/>
        </w:rPr>
      </w:pPr>
      <w:r w:rsidRPr="00AB4843">
        <w:rPr>
          <w:rFonts w:asciiTheme="minorHAnsi" w:hAnsiTheme="minorHAnsi" w:cs="Arial"/>
          <w:sz w:val="20"/>
          <w:szCs w:val="20"/>
          <w:lang w:val="hr-HR"/>
        </w:rPr>
        <w:t>proizvodnju agregata za klasične i savremene podloge za puteve (SRPS U.E9.020),</w:t>
      </w:r>
    </w:p>
    <w:p w:rsidR="00C12911" w:rsidRPr="00AB4843" w:rsidRDefault="00C12911" w:rsidP="00403695">
      <w:pPr>
        <w:numPr>
          <w:ilvl w:val="0"/>
          <w:numId w:val="9"/>
        </w:numPr>
        <w:tabs>
          <w:tab w:val="clear" w:pos="360"/>
          <w:tab w:val="num" w:pos="720"/>
        </w:tabs>
        <w:ind w:left="720"/>
        <w:jc w:val="both"/>
        <w:rPr>
          <w:rFonts w:asciiTheme="minorHAnsi" w:hAnsiTheme="minorHAnsi" w:cs="Arial"/>
          <w:sz w:val="20"/>
          <w:szCs w:val="20"/>
          <w:lang w:val="hr-HR"/>
        </w:rPr>
      </w:pPr>
      <w:r w:rsidRPr="00AB4843">
        <w:rPr>
          <w:rFonts w:asciiTheme="minorHAnsi" w:hAnsiTheme="minorHAnsi" w:cs="Arial"/>
          <w:sz w:val="20"/>
          <w:szCs w:val="20"/>
          <w:lang w:val="hr-HR"/>
        </w:rPr>
        <w:t>proizvodnju agregata za donje noseće slojeve od neveznog materijala (tehničke specifikacije Javnog preduzeća “Putevi Srbije“, 2007.),</w:t>
      </w:r>
    </w:p>
    <w:p w:rsidR="00C12911" w:rsidRPr="00AB4843" w:rsidRDefault="00C12911" w:rsidP="00403695">
      <w:pPr>
        <w:numPr>
          <w:ilvl w:val="0"/>
          <w:numId w:val="9"/>
        </w:numPr>
        <w:tabs>
          <w:tab w:val="clear" w:pos="360"/>
          <w:tab w:val="num" w:pos="720"/>
        </w:tabs>
        <w:ind w:left="720"/>
        <w:jc w:val="both"/>
        <w:rPr>
          <w:rFonts w:asciiTheme="minorHAnsi" w:hAnsiTheme="minorHAnsi" w:cs="Arial"/>
          <w:sz w:val="20"/>
          <w:szCs w:val="20"/>
          <w:lang w:val="hr-HR"/>
        </w:rPr>
      </w:pPr>
      <w:r w:rsidRPr="00AB4843">
        <w:rPr>
          <w:rFonts w:asciiTheme="minorHAnsi" w:hAnsiTheme="minorHAnsi" w:cs="Arial"/>
          <w:sz w:val="20"/>
          <w:szCs w:val="20"/>
          <w:lang w:val="hr-HR"/>
        </w:rPr>
        <w:t>proizvodnju agregata za gornje i donje noseće slojeve od bitumeniziranog materijala po vrućem postupku (SRPS U.E9.021 i SRPS U.E9.028),</w:t>
      </w:r>
    </w:p>
    <w:p w:rsidR="00C12911" w:rsidRPr="00AB4843" w:rsidRDefault="00C12911" w:rsidP="00403695">
      <w:pPr>
        <w:numPr>
          <w:ilvl w:val="0"/>
          <w:numId w:val="9"/>
        </w:numPr>
        <w:tabs>
          <w:tab w:val="clear" w:pos="360"/>
          <w:tab w:val="num" w:pos="720"/>
        </w:tabs>
        <w:ind w:left="720"/>
        <w:jc w:val="both"/>
        <w:rPr>
          <w:rFonts w:asciiTheme="minorHAnsi" w:hAnsiTheme="minorHAnsi" w:cs="Arial"/>
          <w:sz w:val="20"/>
          <w:szCs w:val="20"/>
          <w:lang w:val="hr-HR"/>
        </w:rPr>
      </w:pPr>
      <w:r w:rsidRPr="00AB4843">
        <w:rPr>
          <w:rFonts w:asciiTheme="minorHAnsi" w:hAnsiTheme="minorHAnsi" w:cs="Arial"/>
          <w:sz w:val="20"/>
          <w:szCs w:val="20"/>
          <w:lang w:val="hr-HR"/>
        </w:rPr>
        <w:t xml:space="preserve">proizvodnju tucanika kategorije II za zastor željezničkih pruga (Upustvo za prijem i isporuku </w:t>
      </w:r>
      <w:r w:rsidR="00F759F0">
        <w:rPr>
          <w:rFonts w:asciiTheme="minorHAnsi" w:hAnsiTheme="minorHAnsi" w:cs="Arial"/>
          <w:sz w:val="20"/>
          <w:szCs w:val="20"/>
          <w:lang w:val="hr-HR"/>
        </w:rPr>
        <w:t>tucanika za zastor pruga na JŽ)</w:t>
      </w:r>
      <w:r w:rsidRPr="00AB4843">
        <w:rPr>
          <w:rFonts w:asciiTheme="minorHAnsi" w:hAnsiTheme="minorHAnsi" w:cs="Arial"/>
          <w:sz w:val="20"/>
          <w:szCs w:val="20"/>
          <w:lang w:val="hr-HR"/>
        </w:rPr>
        <w:t xml:space="preserve"> i</w:t>
      </w:r>
    </w:p>
    <w:p w:rsidR="00C12911" w:rsidRPr="00AB4843" w:rsidRDefault="00C12911" w:rsidP="00403695">
      <w:pPr>
        <w:numPr>
          <w:ilvl w:val="0"/>
          <w:numId w:val="9"/>
        </w:numPr>
        <w:tabs>
          <w:tab w:val="clear" w:pos="360"/>
          <w:tab w:val="num" w:pos="720"/>
        </w:tabs>
        <w:ind w:left="720"/>
        <w:jc w:val="both"/>
        <w:rPr>
          <w:rFonts w:asciiTheme="minorHAnsi" w:hAnsiTheme="minorHAnsi" w:cs="Arial"/>
          <w:sz w:val="20"/>
          <w:szCs w:val="20"/>
          <w:lang w:val="hr-HR"/>
        </w:rPr>
      </w:pPr>
      <w:r w:rsidRPr="00AB4843">
        <w:rPr>
          <w:rFonts w:asciiTheme="minorHAnsi" w:hAnsiTheme="minorHAnsi" w:cs="Arial"/>
          <w:sz w:val="20"/>
          <w:szCs w:val="20"/>
          <w:lang w:val="hr-HR"/>
        </w:rPr>
        <w:t>proizvodnju lomljenog kamena i tesanika za gruba zidanja u niskogradnji i hidrogradnji.</w:t>
      </w:r>
    </w:p>
    <w:p w:rsidR="00C12911" w:rsidRPr="001F3308" w:rsidRDefault="00C12911" w:rsidP="00403695">
      <w:pPr>
        <w:jc w:val="both"/>
        <w:rPr>
          <w:rFonts w:asciiTheme="minorHAnsi" w:hAnsiTheme="minorHAnsi" w:cs="Arial"/>
          <w:b/>
          <w:sz w:val="20"/>
          <w:szCs w:val="20"/>
          <w:lang w:val="hr-HR"/>
        </w:rPr>
      </w:pPr>
    </w:p>
    <w:p w:rsidR="001F3308" w:rsidRDefault="001F3308" w:rsidP="00403695">
      <w:pPr>
        <w:jc w:val="both"/>
        <w:rPr>
          <w:rFonts w:asciiTheme="minorHAnsi" w:hAnsiTheme="minorHAnsi" w:cs="Arial"/>
          <w:b/>
          <w:sz w:val="20"/>
          <w:szCs w:val="20"/>
          <w:lang w:val="hr-HR"/>
        </w:rPr>
      </w:pPr>
      <w:r w:rsidRPr="001F3308">
        <w:rPr>
          <w:rFonts w:asciiTheme="minorHAnsi" w:hAnsiTheme="minorHAnsi" w:cs="Arial"/>
          <w:b/>
          <w:sz w:val="20"/>
          <w:szCs w:val="20"/>
          <w:lang w:val="hr-HR"/>
        </w:rPr>
        <w:t>Prostorno-planska dokumentacija</w:t>
      </w:r>
    </w:p>
    <w:p w:rsidR="00946BBC" w:rsidRPr="001F3308" w:rsidRDefault="00946BBC" w:rsidP="00403695">
      <w:pPr>
        <w:jc w:val="both"/>
        <w:rPr>
          <w:rFonts w:asciiTheme="minorHAnsi" w:hAnsiTheme="minorHAnsi" w:cs="Arial"/>
          <w:b/>
          <w:sz w:val="20"/>
          <w:szCs w:val="20"/>
          <w:lang w:val="hr-HR"/>
        </w:rPr>
      </w:pPr>
    </w:p>
    <w:p w:rsidR="00C12911" w:rsidRDefault="00EA5181" w:rsidP="00403695">
      <w:pPr>
        <w:rPr>
          <w:rFonts w:asciiTheme="minorHAnsi" w:hAnsiTheme="minorHAnsi" w:cstheme="minorHAnsi"/>
          <w:sz w:val="20"/>
          <w:szCs w:val="20"/>
          <w:lang w:val="sr-Latn-CS"/>
        </w:rPr>
      </w:pPr>
      <w:r w:rsidRPr="00AB4843">
        <w:rPr>
          <w:rFonts w:asciiTheme="minorHAnsi" w:hAnsiTheme="minorHAnsi" w:cstheme="minorHAnsi"/>
          <w:sz w:val="20"/>
          <w:szCs w:val="20"/>
          <w:lang w:val="sr-Latn-CS"/>
        </w:rPr>
        <w:t>Sekretarijat za uređenje prostora i održivi razvoj opštine Mojkovac dostavio je Ministarstvu ekonomije akt, br.09-2/230-1910 od 10.12.2014.</w:t>
      </w:r>
      <w:r w:rsidR="001D26E0">
        <w:rPr>
          <w:rFonts w:asciiTheme="minorHAnsi" w:hAnsiTheme="minorHAnsi" w:cstheme="minorHAnsi"/>
          <w:sz w:val="20"/>
          <w:szCs w:val="20"/>
          <w:lang w:val="sr-Latn-CS"/>
        </w:rPr>
        <w:t xml:space="preserve"> </w:t>
      </w:r>
      <w:r w:rsidRPr="00AB4843">
        <w:rPr>
          <w:rFonts w:asciiTheme="minorHAnsi" w:hAnsiTheme="minorHAnsi" w:cstheme="minorHAnsi"/>
          <w:sz w:val="20"/>
          <w:szCs w:val="20"/>
          <w:lang w:val="sr-Latn-CS"/>
        </w:rPr>
        <w:t xml:space="preserve">godine, sa izvodom iz Prostorno-urbanističkog </w:t>
      </w:r>
      <w:r w:rsidR="008054DC">
        <w:rPr>
          <w:rFonts w:asciiTheme="minorHAnsi" w:hAnsiTheme="minorHAnsi" w:cstheme="minorHAnsi"/>
          <w:sz w:val="20"/>
          <w:szCs w:val="20"/>
          <w:lang w:val="sr-Latn-CS"/>
        </w:rPr>
        <w:t>plana o</w:t>
      </w:r>
      <w:r w:rsidRPr="00AB4843">
        <w:rPr>
          <w:rFonts w:asciiTheme="minorHAnsi" w:hAnsiTheme="minorHAnsi" w:cstheme="minorHAnsi"/>
          <w:sz w:val="20"/>
          <w:szCs w:val="20"/>
          <w:lang w:val="sr-Latn-CS"/>
        </w:rPr>
        <w:t>pštine Mojkovac („Sl.list CG-opštinski propisi“, br.19/11 i 9/14) o namjeni prosrora na lokaciji „Štitarica-Taskavac“. Prostorno-plansko rješenje: namjena površina je kamenolom.</w:t>
      </w:r>
    </w:p>
    <w:p w:rsidR="001F3308" w:rsidRDefault="001F3308" w:rsidP="00403695">
      <w:pPr>
        <w:rPr>
          <w:rFonts w:asciiTheme="minorHAnsi" w:hAnsiTheme="minorHAnsi" w:cstheme="minorHAnsi"/>
          <w:sz w:val="20"/>
          <w:szCs w:val="20"/>
          <w:lang w:val="sr-Latn-CS"/>
        </w:rPr>
      </w:pPr>
    </w:p>
    <w:p w:rsidR="001F3308" w:rsidRPr="001F3308" w:rsidRDefault="001F3308" w:rsidP="00403695">
      <w:pPr>
        <w:rPr>
          <w:rFonts w:asciiTheme="minorHAnsi" w:hAnsiTheme="minorHAnsi" w:cstheme="minorHAnsi"/>
          <w:b/>
          <w:sz w:val="20"/>
          <w:szCs w:val="20"/>
          <w:lang w:val="sr-Latn-CS"/>
        </w:rPr>
      </w:pPr>
      <w:r w:rsidRPr="001F3308">
        <w:rPr>
          <w:rFonts w:asciiTheme="minorHAnsi" w:hAnsiTheme="minorHAnsi" w:cstheme="minorHAnsi"/>
          <w:b/>
          <w:sz w:val="20"/>
          <w:szCs w:val="20"/>
          <w:lang w:val="sr-Latn-CS"/>
        </w:rPr>
        <w:t>Imovinsko-pravni odnosi</w:t>
      </w:r>
    </w:p>
    <w:p w:rsidR="00EA5181" w:rsidRPr="00AB4843" w:rsidRDefault="00EA5181" w:rsidP="00403695">
      <w:pPr>
        <w:ind w:left="-90"/>
        <w:rPr>
          <w:rFonts w:asciiTheme="minorHAnsi" w:hAnsiTheme="minorHAnsi" w:cstheme="minorHAnsi"/>
          <w:sz w:val="20"/>
          <w:szCs w:val="20"/>
          <w:lang w:val="sr-Latn-CS"/>
        </w:rPr>
      </w:pPr>
    </w:p>
    <w:p w:rsidR="00EA5181" w:rsidRPr="00AB4843" w:rsidRDefault="00EA5181"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U Ministarstvu eknomije se nalazi dokument-dokaz o pravu svojine, odnosno trajnog korišćenja zemljišta od strane AD „Crnagoraput“ - Podgorica na kome će se izvoditi eksploatacioni radovi (Rješenje o prenosu zemljišta, br. 05-22/99 od 04.09.1990. godine, izdato od strane opštine Mojkovac i Ugovor o naknadi za ustupljeno zemljište, br.01-6375 od 10.09.1990. godine).</w:t>
      </w:r>
    </w:p>
    <w:p w:rsidR="00C12911" w:rsidRPr="00AB4843" w:rsidRDefault="00C12911" w:rsidP="00403695">
      <w:pPr>
        <w:ind w:left="-90"/>
        <w:rPr>
          <w:rFonts w:asciiTheme="minorHAnsi" w:hAnsiTheme="minorHAnsi" w:cstheme="minorHAnsi"/>
          <w:b/>
          <w:sz w:val="20"/>
          <w:szCs w:val="20"/>
          <w:lang w:val="sr-Latn-CS"/>
        </w:rPr>
      </w:pPr>
    </w:p>
    <w:p w:rsidR="002E01AA" w:rsidRPr="00AB4843" w:rsidRDefault="0060040F" w:rsidP="00403695">
      <w:pPr>
        <w:pStyle w:val="ListParagraph"/>
        <w:ind w:left="0"/>
        <w:rPr>
          <w:rFonts w:asciiTheme="minorHAnsi" w:hAnsiTheme="minorHAnsi"/>
          <w:b/>
          <w:sz w:val="20"/>
          <w:szCs w:val="20"/>
          <w:lang w:val="sr-Latn-CS"/>
        </w:rPr>
      </w:pPr>
      <w:r w:rsidRPr="00AB4843">
        <w:rPr>
          <w:rFonts w:asciiTheme="minorHAnsi" w:hAnsiTheme="minorHAnsi"/>
          <w:b/>
          <w:sz w:val="20"/>
          <w:szCs w:val="20"/>
          <w:lang w:val="sr-Latn-CS"/>
        </w:rPr>
        <w:t>4.</w:t>
      </w:r>
      <w:r w:rsidR="00F27279">
        <w:rPr>
          <w:rFonts w:asciiTheme="minorHAnsi" w:hAnsiTheme="minorHAnsi"/>
          <w:b/>
          <w:sz w:val="20"/>
          <w:szCs w:val="20"/>
          <w:lang w:val="sr-Latn-CS"/>
        </w:rPr>
        <w:t xml:space="preserve"> </w:t>
      </w:r>
      <w:r w:rsidR="00362BAF">
        <w:rPr>
          <w:rFonts w:asciiTheme="minorHAnsi" w:hAnsiTheme="minorHAnsi"/>
          <w:b/>
          <w:sz w:val="20"/>
          <w:szCs w:val="20"/>
          <w:lang w:val="sr-Latn-CS"/>
        </w:rPr>
        <w:t>Ležište tehničko-građevinskog kamena</w:t>
      </w:r>
      <w:r w:rsidR="00AB16D5" w:rsidRPr="00AB4843">
        <w:rPr>
          <w:rFonts w:asciiTheme="minorHAnsi" w:hAnsiTheme="minorHAnsi"/>
          <w:b/>
          <w:sz w:val="20"/>
          <w:szCs w:val="20"/>
          <w:lang w:val="sr-Latn-CS"/>
        </w:rPr>
        <w:t xml:space="preserve"> </w:t>
      </w:r>
      <w:r w:rsidR="00362BAF">
        <w:rPr>
          <w:rFonts w:asciiTheme="minorHAnsi" w:hAnsiTheme="minorHAnsi"/>
          <w:b/>
          <w:sz w:val="20"/>
          <w:szCs w:val="20"/>
          <w:lang w:val="sr-Latn-CS"/>
        </w:rPr>
        <w:t xml:space="preserve"> (TGK) </w:t>
      </w:r>
      <w:r w:rsidR="00AB16D5" w:rsidRPr="00AB4843">
        <w:rPr>
          <w:rFonts w:asciiTheme="minorHAnsi" w:hAnsiTheme="minorHAnsi"/>
          <w:b/>
          <w:sz w:val="20"/>
          <w:szCs w:val="20"/>
          <w:lang w:val="sr-Latn-CS"/>
        </w:rPr>
        <w:t>„Nalježići“, opština Kotor</w:t>
      </w:r>
    </w:p>
    <w:p w:rsidR="0060040F" w:rsidRPr="00AB4843" w:rsidRDefault="0060040F" w:rsidP="00403695">
      <w:pPr>
        <w:pStyle w:val="ListParagraph"/>
        <w:ind w:left="0"/>
        <w:jc w:val="both"/>
        <w:rPr>
          <w:rFonts w:asciiTheme="minorHAnsi" w:hAnsiTheme="minorHAnsi" w:cstheme="minorHAnsi"/>
          <w:b/>
          <w:sz w:val="20"/>
          <w:szCs w:val="20"/>
          <w:lang w:val="sr-Latn-CS"/>
        </w:rPr>
      </w:pPr>
    </w:p>
    <w:p w:rsidR="0060040F" w:rsidRPr="00AB4843" w:rsidRDefault="0060040F"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 xml:space="preserve">Ležište tehničko-građevinskog kamena “Nalježići” u geografskom smislu pripada primorskom regionu. Nalazi se u neposrednoj blizini sela Nalježići, na jugozapadnim padinama Lovćena, </w:t>
      </w:r>
      <w:r w:rsidRPr="00AB4843">
        <w:rPr>
          <w:rFonts w:asciiTheme="minorHAnsi" w:hAnsiTheme="minorHAnsi" w:cs="Arial"/>
          <w:sz w:val="20"/>
          <w:szCs w:val="20"/>
          <w:lang w:val="pl-PL"/>
        </w:rPr>
        <w:t>10 km jugoisto</w:t>
      </w:r>
      <w:r w:rsidRPr="00AB4843">
        <w:rPr>
          <w:rFonts w:asciiTheme="minorHAnsi" w:hAnsiTheme="minorHAnsi" w:cs="Arial"/>
          <w:sz w:val="20"/>
          <w:szCs w:val="20"/>
          <w:lang w:val="sr-Latn-CS"/>
        </w:rPr>
        <w:t xml:space="preserve">čno od Tivta i 6 km južno od </w:t>
      </w:r>
    </w:p>
    <w:p w:rsidR="001F3308" w:rsidRDefault="0060040F"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Kotora, na nadmorskoj visini od 285 do 334 metara.</w:t>
      </w:r>
    </w:p>
    <w:p w:rsidR="001F3308" w:rsidRDefault="0060040F"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 xml:space="preserve"> Prema administrativnoj podjeli prostor na kom</w:t>
      </w:r>
      <w:r w:rsidR="001F3308">
        <w:rPr>
          <w:rFonts w:asciiTheme="minorHAnsi" w:hAnsiTheme="minorHAnsi" w:cs="Arial"/>
          <w:sz w:val="20"/>
          <w:szCs w:val="20"/>
          <w:lang w:val="sr-Latn-CS"/>
        </w:rPr>
        <w:t>e</w:t>
      </w:r>
      <w:r w:rsidRPr="00AB4843">
        <w:rPr>
          <w:rFonts w:asciiTheme="minorHAnsi" w:hAnsiTheme="minorHAnsi" w:cs="Arial"/>
          <w:sz w:val="20"/>
          <w:szCs w:val="20"/>
          <w:lang w:val="sr-Latn-CS"/>
        </w:rPr>
        <w:t xml:space="preserve"> se ležiš</w:t>
      </w:r>
      <w:r w:rsidR="001F3308">
        <w:rPr>
          <w:rFonts w:asciiTheme="minorHAnsi" w:hAnsiTheme="minorHAnsi" w:cs="Arial"/>
          <w:sz w:val="20"/>
          <w:szCs w:val="20"/>
          <w:lang w:val="sr-Latn-CS"/>
        </w:rPr>
        <w:t>te nalazi pripada opštini Kotor.</w:t>
      </w:r>
    </w:p>
    <w:p w:rsidR="001F3308" w:rsidRDefault="001F3308" w:rsidP="00403695">
      <w:pPr>
        <w:jc w:val="both"/>
        <w:rPr>
          <w:rFonts w:asciiTheme="minorHAnsi" w:hAnsiTheme="minorHAnsi" w:cs="Arial"/>
          <w:sz w:val="20"/>
          <w:szCs w:val="20"/>
          <w:lang w:val="sr-Latn-CS"/>
        </w:rPr>
      </w:pPr>
    </w:p>
    <w:p w:rsidR="0060040F" w:rsidRPr="009762DA" w:rsidRDefault="001F3308" w:rsidP="00403695">
      <w:pPr>
        <w:jc w:val="both"/>
        <w:rPr>
          <w:rFonts w:asciiTheme="minorHAnsi" w:hAnsiTheme="minorHAnsi" w:cs="Arial"/>
          <w:sz w:val="20"/>
          <w:szCs w:val="20"/>
          <w:lang w:val="sr-Latn-CS"/>
        </w:rPr>
      </w:pPr>
      <w:r>
        <w:rPr>
          <w:rFonts w:asciiTheme="minorHAnsi" w:hAnsiTheme="minorHAnsi" w:cs="Arial"/>
          <w:sz w:val="20"/>
          <w:szCs w:val="20"/>
          <w:lang w:val="sr-Latn-CS"/>
        </w:rPr>
        <w:t>L</w:t>
      </w:r>
      <w:r w:rsidR="0060040F" w:rsidRPr="00AB4843">
        <w:rPr>
          <w:rFonts w:asciiTheme="minorHAnsi" w:hAnsiTheme="minorHAnsi" w:cs="Arial"/>
          <w:sz w:val="20"/>
          <w:szCs w:val="20"/>
          <w:lang w:val="sr-Latn-CS"/>
        </w:rPr>
        <w:t xml:space="preserve">ežište tehničko-građevinskog kamena “Nalježići” pripada geografskom listu </w:t>
      </w:r>
      <w:r w:rsidR="0060040F" w:rsidRPr="00AB4843">
        <w:rPr>
          <w:rFonts w:asciiTheme="minorHAnsi" w:hAnsiTheme="minorHAnsi"/>
          <w:sz w:val="20"/>
          <w:szCs w:val="20"/>
          <w:lang w:val="sr-Latn-CS"/>
        </w:rPr>
        <w:t>“</w:t>
      </w:r>
      <w:r w:rsidR="0060040F" w:rsidRPr="00AB4843">
        <w:rPr>
          <w:rFonts w:asciiTheme="minorHAnsi" w:hAnsiTheme="minorHAnsi" w:cs="Arial"/>
          <w:sz w:val="20"/>
          <w:szCs w:val="20"/>
          <w:lang w:val="sr-Latn-CS"/>
        </w:rPr>
        <w:t>Cetinje</w:t>
      </w:r>
      <w:r w:rsidR="0060040F" w:rsidRPr="00AB4843">
        <w:rPr>
          <w:rFonts w:asciiTheme="minorHAnsi" w:hAnsiTheme="minorHAnsi"/>
          <w:sz w:val="20"/>
          <w:szCs w:val="20"/>
          <w:lang w:val="sr-Latn-CS"/>
        </w:rPr>
        <w:t>“</w:t>
      </w:r>
      <w:r w:rsidR="0060040F" w:rsidRPr="00AB4843">
        <w:rPr>
          <w:rFonts w:asciiTheme="minorHAnsi" w:hAnsiTheme="minorHAnsi" w:cs="Arial"/>
          <w:sz w:val="20"/>
          <w:szCs w:val="20"/>
          <w:lang w:val="sr-Latn-CS"/>
        </w:rPr>
        <w:t xml:space="preserve">, 1:100 000, odnosno sekciji </w:t>
      </w:r>
      <w:r w:rsidR="0060040F" w:rsidRPr="00AB4843">
        <w:rPr>
          <w:rFonts w:asciiTheme="minorHAnsi" w:hAnsiTheme="minorHAnsi"/>
          <w:sz w:val="20"/>
          <w:szCs w:val="20"/>
          <w:lang w:val="sr-Latn-CS"/>
        </w:rPr>
        <w:t>“</w:t>
      </w:r>
      <w:r w:rsidR="0060040F" w:rsidRPr="00AB4843">
        <w:rPr>
          <w:rFonts w:asciiTheme="minorHAnsi" w:hAnsiTheme="minorHAnsi" w:cs="Arial"/>
          <w:sz w:val="20"/>
          <w:szCs w:val="20"/>
          <w:lang w:val="sr-Latn-CS"/>
        </w:rPr>
        <w:t>Budva</w:t>
      </w:r>
      <w:r w:rsidR="0060040F" w:rsidRPr="00AB4843">
        <w:rPr>
          <w:rFonts w:asciiTheme="minorHAnsi" w:hAnsiTheme="minorHAnsi"/>
          <w:sz w:val="20"/>
          <w:szCs w:val="20"/>
          <w:lang w:val="sr-Latn-CS"/>
        </w:rPr>
        <w:t>“,</w:t>
      </w:r>
      <w:r w:rsidR="0060040F" w:rsidRPr="00AB4843">
        <w:rPr>
          <w:rFonts w:asciiTheme="minorHAnsi" w:hAnsiTheme="minorHAnsi" w:cs="Arial"/>
          <w:sz w:val="20"/>
          <w:szCs w:val="20"/>
          <w:lang w:val="sr-Latn-CS"/>
        </w:rPr>
        <w:t xml:space="preserve"> 1:25 000, i zahvata površinu od 6,7162 ha</w:t>
      </w:r>
      <w:r>
        <w:rPr>
          <w:rFonts w:asciiTheme="minorHAnsi" w:hAnsiTheme="minorHAnsi" w:cs="Arial"/>
          <w:sz w:val="20"/>
          <w:szCs w:val="20"/>
          <w:lang w:val="sr-Latn-CS"/>
        </w:rPr>
        <w:t>.</w:t>
      </w:r>
    </w:p>
    <w:p w:rsidR="0060040F" w:rsidRPr="00AB4843" w:rsidRDefault="0060040F" w:rsidP="00403695">
      <w:pPr>
        <w:jc w:val="both"/>
        <w:rPr>
          <w:rFonts w:asciiTheme="minorHAnsi" w:hAnsiTheme="minorHAnsi"/>
          <w:sz w:val="20"/>
          <w:szCs w:val="20"/>
          <w:lang w:val="sr-Latn-CS"/>
        </w:rPr>
      </w:pPr>
      <w:r w:rsidRPr="00AB4843">
        <w:rPr>
          <w:rFonts w:asciiTheme="minorHAnsi" w:hAnsiTheme="minorHAnsi"/>
          <w:sz w:val="20"/>
          <w:szCs w:val="20"/>
          <w:lang w:val="pl-PL"/>
        </w:rPr>
        <w:t xml:space="preserve">Saobraćajne veze </w:t>
      </w:r>
      <w:r w:rsidRPr="00AB4843">
        <w:rPr>
          <w:rFonts w:asciiTheme="minorHAnsi" w:hAnsiTheme="minorHAnsi"/>
          <w:sz w:val="20"/>
          <w:szCs w:val="20"/>
          <w:lang w:val="sr-Latn-CS"/>
        </w:rPr>
        <w:t>u užem i širem području istražno-</w:t>
      </w:r>
      <w:r w:rsidRPr="00AB4843">
        <w:rPr>
          <w:rFonts w:asciiTheme="minorHAnsi" w:hAnsiTheme="minorHAnsi"/>
          <w:sz w:val="20"/>
          <w:szCs w:val="20"/>
          <w:lang w:val="hr-HR"/>
        </w:rPr>
        <w:t>eksploatacionog prostora</w:t>
      </w:r>
      <w:r w:rsidRPr="00AB4843">
        <w:rPr>
          <w:rFonts w:asciiTheme="minorHAnsi" w:hAnsiTheme="minorHAnsi"/>
          <w:sz w:val="20"/>
          <w:szCs w:val="20"/>
          <w:lang w:val="sr-Latn-CS"/>
        </w:rPr>
        <w:t xml:space="preserve"> </w:t>
      </w:r>
      <w:r w:rsidRPr="00AB4843">
        <w:rPr>
          <w:rFonts w:asciiTheme="minorHAnsi" w:hAnsiTheme="minorHAnsi"/>
          <w:sz w:val="20"/>
          <w:szCs w:val="20"/>
          <w:lang w:val="pl-PL"/>
        </w:rPr>
        <w:t>su veoma dobre,</w:t>
      </w:r>
      <w:r w:rsidRPr="00AB4843">
        <w:rPr>
          <w:rFonts w:asciiTheme="minorHAnsi" w:hAnsiTheme="minorHAnsi"/>
          <w:sz w:val="20"/>
          <w:szCs w:val="20"/>
          <w:lang w:val="sr-Latn-CS"/>
        </w:rPr>
        <w:t xml:space="preserve"> kada se radi o drumskom, pomorskom i avio saobraćaju. </w:t>
      </w:r>
    </w:p>
    <w:p w:rsidR="0060040F" w:rsidRPr="00AB4843" w:rsidRDefault="0060040F" w:rsidP="00403695">
      <w:pPr>
        <w:jc w:val="both"/>
        <w:rPr>
          <w:rFonts w:asciiTheme="minorHAnsi" w:hAnsiTheme="minorHAnsi"/>
          <w:sz w:val="20"/>
          <w:szCs w:val="20"/>
          <w:lang w:val="pl-PL"/>
        </w:rPr>
      </w:pPr>
    </w:p>
    <w:p w:rsidR="0060040F" w:rsidRPr="00AB4843" w:rsidRDefault="0060040F"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lastRenderedPageBreak/>
        <w:t>Do ležišta vodi lokalni asfaltni put, dužine oko 3 km, koji preko naselja Sutvara, spaja ležište sa Jadranskom magistralom. Ležište je povezano sa Kotorom lokalnim asfaltnim putem dužine 7 km koji vodi do crkve Sv. Ilije. Sa Jadranskom magistralom, kao glavnom kopnenom saobraćajnicom, vezuje se više lokalnih puteva koji povezuju ovo područje sa zaleđem.</w:t>
      </w:r>
    </w:p>
    <w:p w:rsidR="0060040F" w:rsidRPr="00AB4843" w:rsidRDefault="0060040F" w:rsidP="00403695">
      <w:pPr>
        <w:jc w:val="both"/>
        <w:rPr>
          <w:rFonts w:asciiTheme="minorHAnsi" w:hAnsiTheme="minorHAnsi"/>
          <w:sz w:val="20"/>
          <w:szCs w:val="20"/>
          <w:lang w:val="pl-PL"/>
        </w:rPr>
      </w:pPr>
    </w:p>
    <w:p w:rsidR="0060040F" w:rsidRPr="00AB4843" w:rsidRDefault="0060040F"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Najbliža željeznička stanica je u Baru, a dostupne su i pomorske luke u Tivtu, Kotoru i Baru. Takođe, u neposrednij blizini ovog lokaliteta nalazi se i aerodrom Tivat.</w:t>
      </w:r>
    </w:p>
    <w:p w:rsidR="0060040F" w:rsidRPr="00AB4843" w:rsidRDefault="0060040F" w:rsidP="00403695">
      <w:pPr>
        <w:jc w:val="both"/>
        <w:rPr>
          <w:rFonts w:asciiTheme="minorHAnsi" w:hAnsiTheme="minorHAnsi" w:cs="Arial"/>
          <w:sz w:val="20"/>
          <w:szCs w:val="20"/>
          <w:lang w:val="sr-Latn-CS"/>
        </w:rPr>
      </w:pPr>
    </w:p>
    <w:p w:rsidR="0060040F" w:rsidRPr="00AB4843" w:rsidRDefault="0060040F"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 xml:space="preserve">U geomorfološkom pogledu područje Nalježića pripada oblasti crnogorskog primorja. Reljef ovog područja je u direktnoj zavisnosti od litološkog sastava i strukturnog sklopa terena. Njegov postojeći izgled, razvijenost i razuđenost, diktirao je dugotrajni uticaj i mnogostruko preplitanje endogenih i egzogenih sila. </w:t>
      </w:r>
    </w:p>
    <w:p w:rsidR="0060040F" w:rsidRPr="00AB4843" w:rsidRDefault="0060040F" w:rsidP="00403695">
      <w:pPr>
        <w:jc w:val="both"/>
        <w:rPr>
          <w:rFonts w:asciiTheme="minorHAnsi" w:hAnsiTheme="minorHAnsi" w:cs="Arial"/>
          <w:sz w:val="20"/>
          <w:szCs w:val="20"/>
          <w:lang w:val="sr-Latn-CS"/>
        </w:rPr>
      </w:pPr>
    </w:p>
    <w:p w:rsidR="0060040F" w:rsidRPr="00AB4843" w:rsidRDefault="0060040F"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Shodno tome, u reljefu ovog područja jasno se izdvaja priobalni pojas izgrađen od flišnih naslaga i zaleđe, izgrađeno od karbonatnih stijena krečnjačko-dolomitskog sastava. Visinske razlike, manje ili više, brzo rastu od obale prema zaleđu.</w:t>
      </w:r>
    </w:p>
    <w:p w:rsidR="0060040F" w:rsidRPr="00AB4843" w:rsidRDefault="0060040F"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Područje ležišta tehničko-građevinskog kamena “Nalježići” pripada padinskom tipu reljefa, tj. padinama Lovćena koje se strmo spuštaju prema Grbaljskom polju. U uvalama ovog područja pretežno su deponovani sedimenti koji su nastali kao siparišne - padinske breče, a danas se eksploatišu kao građevinski materijal.</w:t>
      </w:r>
    </w:p>
    <w:p w:rsidR="0060040F" w:rsidRPr="00AB4843" w:rsidRDefault="0060040F" w:rsidP="00403695">
      <w:pPr>
        <w:jc w:val="both"/>
        <w:rPr>
          <w:rFonts w:asciiTheme="minorHAnsi" w:hAnsiTheme="minorHAnsi" w:cs="Arial"/>
          <w:sz w:val="20"/>
          <w:szCs w:val="20"/>
          <w:lang w:val="sr-Latn-CS"/>
        </w:rPr>
      </w:pPr>
    </w:p>
    <w:p w:rsidR="0060040F" w:rsidRPr="00AB4843" w:rsidRDefault="0060040F"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Ležište tehničko-građevinskog kamena “Nalježići“ nalazi se u ataru sela Nalježići i izgrađuju ga deluvijalne tvorevine, koje učestvuju u građi ovog i šireg područja Nalježića i čine ga perspektivnim prostorom za ovu mineralnu sirovinu.</w:t>
      </w:r>
    </w:p>
    <w:p w:rsidR="0060040F" w:rsidRPr="00AB4843" w:rsidRDefault="0060040F" w:rsidP="00403695">
      <w:pPr>
        <w:jc w:val="both"/>
        <w:rPr>
          <w:rFonts w:asciiTheme="minorHAnsi" w:hAnsiTheme="minorHAnsi" w:cs="Arial"/>
          <w:sz w:val="20"/>
          <w:szCs w:val="20"/>
          <w:lang w:val="sr-Latn-CS"/>
        </w:rPr>
      </w:pPr>
    </w:p>
    <w:p w:rsidR="0060040F" w:rsidRDefault="0060040F"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Ležište tehničko-građevinskog kamena “Nalježići“ izgrađuju kataklastične, deluvijalne odnosno padinske (d) breče, deponovane na jugozapadnim padinama Lovćena. Ove deluvijalne breče, u pogledu petrografskog sastava, pripadaju karbonatnom tipu, obzirom da učešće klasta krečnjačkog sastava premašuje 95% ukupne stijenske mase.</w:t>
      </w:r>
    </w:p>
    <w:p w:rsidR="00362BAF" w:rsidRPr="00AB4843" w:rsidRDefault="00362BAF" w:rsidP="00403695">
      <w:pPr>
        <w:jc w:val="both"/>
        <w:rPr>
          <w:rFonts w:asciiTheme="minorHAnsi" w:hAnsiTheme="minorHAnsi" w:cs="Arial"/>
          <w:sz w:val="20"/>
          <w:szCs w:val="20"/>
          <w:lang w:val="sr-Latn-CS"/>
        </w:rPr>
      </w:pPr>
    </w:p>
    <w:p w:rsidR="00282012" w:rsidRPr="00AB4843" w:rsidRDefault="00362BAF" w:rsidP="00403695">
      <w:pPr>
        <w:rPr>
          <w:rFonts w:asciiTheme="minorHAnsi" w:hAnsiTheme="minorHAnsi" w:cs="Arial"/>
          <w:sz w:val="20"/>
          <w:szCs w:val="20"/>
          <w:lang w:val="sr-Latn-CS"/>
        </w:rPr>
      </w:pPr>
      <w:r>
        <w:rPr>
          <w:rFonts w:asciiTheme="minorHAnsi" w:hAnsiTheme="minorHAnsi" w:cs="Arial"/>
          <w:sz w:val="20"/>
          <w:szCs w:val="20"/>
          <w:lang w:val="sr-Latn-CS"/>
        </w:rPr>
        <w:t>K</w:t>
      </w:r>
      <w:r w:rsidR="00580C03" w:rsidRPr="00AB4843">
        <w:rPr>
          <w:rFonts w:asciiTheme="minorHAnsi" w:hAnsiTheme="minorHAnsi" w:cs="Arial"/>
          <w:sz w:val="20"/>
          <w:szCs w:val="20"/>
          <w:lang w:val="sr-Latn-CS"/>
        </w:rPr>
        <w:t>oordinate graničnih tačaka dijela ležišta na kojem će se vršiti</w:t>
      </w:r>
      <w:r>
        <w:rPr>
          <w:rFonts w:asciiTheme="minorHAnsi" w:hAnsiTheme="minorHAnsi" w:cs="Arial"/>
          <w:sz w:val="20"/>
          <w:szCs w:val="20"/>
          <w:lang w:val="sr-Latn-CS"/>
        </w:rPr>
        <w:t xml:space="preserve"> eksploatacija tehničko-građevinskog kamena</w:t>
      </w:r>
      <w:r w:rsidR="00580C03" w:rsidRPr="00AB4843">
        <w:rPr>
          <w:rFonts w:asciiTheme="minorHAnsi" w:hAnsiTheme="minorHAnsi" w:cs="Arial"/>
          <w:sz w:val="20"/>
          <w:szCs w:val="20"/>
          <w:lang w:val="sr-Latn-CS"/>
        </w:rPr>
        <w:t>:</w:t>
      </w:r>
    </w:p>
    <w:p w:rsidR="00580C03" w:rsidRPr="00AB4843" w:rsidRDefault="00580C03" w:rsidP="00403695">
      <w:pPr>
        <w:rPr>
          <w:rFonts w:asciiTheme="minorHAnsi" w:hAnsiTheme="minorHAnsi" w:cs="Arial"/>
          <w:sz w:val="20"/>
          <w:szCs w:val="20"/>
          <w:lang w:val="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3786"/>
        <w:gridCol w:w="4016"/>
      </w:tblGrid>
      <w:tr w:rsidR="00362BAF" w:rsidRPr="00362BAF" w:rsidTr="00AF53FF">
        <w:trPr>
          <w:trHeight w:val="208"/>
          <w:jc w:val="center"/>
        </w:trPr>
        <w:tc>
          <w:tcPr>
            <w:tcW w:w="926" w:type="pct"/>
            <w:vMerge w:val="restart"/>
            <w:tcBorders>
              <w:top w:val="thinThickSmallGap" w:sz="12" w:space="0" w:color="auto"/>
              <w:left w:val="thinThickSmallGap" w:sz="12" w:space="0" w:color="auto"/>
              <w:right w:val="double" w:sz="4" w:space="0" w:color="auto"/>
            </w:tcBorders>
            <w:shd w:val="clear" w:color="auto" w:fill="92D050"/>
            <w:vAlign w:val="center"/>
          </w:tcPr>
          <w:p w:rsidR="00362BAF" w:rsidRPr="00362BAF" w:rsidRDefault="00362BAF" w:rsidP="00AF53FF">
            <w:pPr>
              <w:jc w:val="center"/>
              <w:rPr>
                <w:rFonts w:asciiTheme="minorHAnsi" w:hAnsiTheme="minorHAnsi"/>
                <w:b/>
                <w:sz w:val="20"/>
                <w:szCs w:val="20"/>
                <w:lang w:val="sr-Latn-CS"/>
              </w:rPr>
            </w:pPr>
            <w:r w:rsidRPr="00362BAF">
              <w:rPr>
                <w:rFonts w:asciiTheme="minorHAnsi" w:hAnsiTheme="minorHAnsi"/>
                <w:b/>
                <w:sz w:val="20"/>
                <w:szCs w:val="20"/>
                <w:lang w:val="sr-Latn-CS"/>
              </w:rPr>
              <w:t>Tačke</w:t>
            </w:r>
          </w:p>
        </w:tc>
        <w:tc>
          <w:tcPr>
            <w:tcW w:w="4074" w:type="pct"/>
            <w:gridSpan w:val="2"/>
            <w:tcBorders>
              <w:top w:val="thinThickSmallGap" w:sz="12" w:space="0" w:color="auto"/>
              <w:left w:val="double" w:sz="4" w:space="0" w:color="auto"/>
              <w:bottom w:val="single" w:sz="4" w:space="0" w:color="auto"/>
              <w:right w:val="thinThickSmallGap" w:sz="12" w:space="0" w:color="auto"/>
            </w:tcBorders>
            <w:shd w:val="clear" w:color="auto" w:fill="92D050"/>
            <w:vAlign w:val="center"/>
          </w:tcPr>
          <w:p w:rsidR="00362BAF" w:rsidRPr="00362BAF" w:rsidRDefault="00362BAF" w:rsidP="00AF53FF">
            <w:pPr>
              <w:jc w:val="center"/>
              <w:rPr>
                <w:rFonts w:asciiTheme="minorHAnsi" w:hAnsiTheme="minorHAnsi"/>
                <w:b/>
                <w:sz w:val="20"/>
                <w:szCs w:val="20"/>
                <w:lang w:val="sr-Latn-CS"/>
              </w:rPr>
            </w:pPr>
            <w:r w:rsidRPr="00362BAF">
              <w:rPr>
                <w:rFonts w:asciiTheme="minorHAnsi" w:hAnsiTheme="minorHAnsi"/>
                <w:b/>
                <w:sz w:val="20"/>
                <w:szCs w:val="20"/>
                <w:lang w:val="sr-Latn-CS"/>
              </w:rPr>
              <w:t>K O O R D I N A T E</w:t>
            </w:r>
          </w:p>
        </w:tc>
      </w:tr>
      <w:tr w:rsidR="00362BAF" w:rsidRPr="00362BAF" w:rsidTr="00AF53FF">
        <w:trPr>
          <w:trHeight w:val="277"/>
          <w:jc w:val="center"/>
        </w:trPr>
        <w:tc>
          <w:tcPr>
            <w:tcW w:w="926" w:type="pct"/>
            <w:vMerge/>
            <w:tcBorders>
              <w:left w:val="thinThickSmallGap" w:sz="12" w:space="0" w:color="auto"/>
              <w:bottom w:val="double" w:sz="4" w:space="0" w:color="auto"/>
              <w:right w:val="double" w:sz="4" w:space="0" w:color="auto"/>
            </w:tcBorders>
            <w:shd w:val="clear" w:color="auto" w:fill="92D050"/>
            <w:vAlign w:val="center"/>
          </w:tcPr>
          <w:p w:rsidR="00362BAF" w:rsidRPr="00362BAF" w:rsidRDefault="00362BAF" w:rsidP="00AF53FF">
            <w:pPr>
              <w:jc w:val="center"/>
              <w:rPr>
                <w:rFonts w:asciiTheme="minorHAnsi" w:hAnsiTheme="minorHAnsi"/>
                <w:b/>
                <w:sz w:val="20"/>
                <w:szCs w:val="20"/>
                <w:lang w:val="sr-Latn-CS"/>
              </w:rPr>
            </w:pPr>
          </w:p>
        </w:tc>
        <w:tc>
          <w:tcPr>
            <w:tcW w:w="1977" w:type="pct"/>
            <w:tcBorders>
              <w:top w:val="single" w:sz="4" w:space="0" w:color="auto"/>
              <w:left w:val="double" w:sz="4" w:space="0" w:color="auto"/>
              <w:bottom w:val="double" w:sz="4" w:space="0" w:color="auto"/>
              <w:right w:val="double" w:sz="4" w:space="0" w:color="auto"/>
            </w:tcBorders>
            <w:shd w:val="clear" w:color="auto" w:fill="92D050"/>
            <w:vAlign w:val="center"/>
          </w:tcPr>
          <w:p w:rsidR="00362BAF" w:rsidRPr="00362BAF" w:rsidRDefault="00362BAF" w:rsidP="00AF53FF">
            <w:pPr>
              <w:jc w:val="center"/>
              <w:rPr>
                <w:rFonts w:asciiTheme="minorHAnsi" w:hAnsiTheme="minorHAnsi"/>
                <w:b/>
                <w:sz w:val="20"/>
                <w:szCs w:val="20"/>
                <w:lang w:val="sr-Latn-CS"/>
              </w:rPr>
            </w:pPr>
            <w:r w:rsidRPr="00362BAF">
              <w:rPr>
                <w:rFonts w:asciiTheme="minorHAnsi" w:hAnsiTheme="minorHAnsi"/>
                <w:b/>
                <w:sz w:val="20"/>
                <w:szCs w:val="20"/>
                <w:lang w:val="sr-Latn-CS"/>
              </w:rPr>
              <w:t>X</w:t>
            </w:r>
          </w:p>
        </w:tc>
        <w:tc>
          <w:tcPr>
            <w:tcW w:w="2096" w:type="pct"/>
            <w:tcBorders>
              <w:top w:val="single" w:sz="4" w:space="0" w:color="auto"/>
              <w:left w:val="double" w:sz="4" w:space="0" w:color="auto"/>
              <w:bottom w:val="double" w:sz="4" w:space="0" w:color="auto"/>
              <w:right w:val="thinThickSmallGap" w:sz="12" w:space="0" w:color="auto"/>
            </w:tcBorders>
            <w:shd w:val="clear" w:color="auto" w:fill="92D050"/>
            <w:vAlign w:val="center"/>
          </w:tcPr>
          <w:p w:rsidR="00362BAF" w:rsidRPr="00362BAF" w:rsidRDefault="00362BAF" w:rsidP="00AF53FF">
            <w:pPr>
              <w:jc w:val="center"/>
              <w:rPr>
                <w:rFonts w:asciiTheme="minorHAnsi" w:hAnsiTheme="minorHAnsi"/>
                <w:b/>
                <w:sz w:val="20"/>
                <w:szCs w:val="20"/>
                <w:lang w:val="sr-Latn-CS"/>
              </w:rPr>
            </w:pPr>
            <w:r w:rsidRPr="00362BAF">
              <w:rPr>
                <w:rFonts w:asciiTheme="minorHAnsi" w:hAnsiTheme="minorHAnsi"/>
                <w:b/>
                <w:sz w:val="20"/>
                <w:szCs w:val="20"/>
                <w:lang w:val="sr-Latn-CS"/>
              </w:rPr>
              <w:t>Y</w:t>
            </w:r>
          </w:p>
        </w:tc>
      </w:tr>
      <w:tr w:rsidR="00362BAF" w:rsidRPr="00362BAF" w:rsidTr="00AF53FF">
        <w:trPr>
          <w:trHeight w:val="212"/>
          <w:jc w:val="center"/>
        </w:trPr>
        <w:tc>
          <w:tcPr>
            <w:tcW w:w="926" w:type="pct"/>
            <w:tcBorders>
              <w:top w:val="double" w:sz="4" w:space="0" w:color="auto"/>
              <w:left w:val="thinThickSmallGap" w:sz="12" w:space="0" w:color="auto"/>
              <w:right w:val="double" w:sz="4" w:space="0" w:color="auto"/>
            </w:tcBorders>
            <w:shd w:val="clear" w:color="auto" w:fill="auto"/>
            <w:vAlign w:val="center"/>
          </w:tcPr>
          <w:p w:rsidR="00362BAF" w:rsidRPr="00362BAF" w:rsidRDefault="00362BAF" w:rsidP="00AF53FF">
            <w:pPr>
              <w:jc w:val="center"/>
              <w:rPr>
                <w:rFonts w:asciiTheme="minorHAnsi" w:hAnsiTheme="minorHAnsi"/>
                <w:sz w:val="20"/>
                <w:szCs w:val="20"/>
                <w:lang w:val="sr-Latn-CS"/>
              </w:rPr>
            </w:pPr>
            <w:r w:rsidRPr="00362BAF">
              <w:rPr>
                <w:rFonts w:asciiTheme="minorHAnsi" w:hAnsiTheme="minorHAnsi"/>
                <w:sz w:val="20"/>
                <w:szCs w:val="20"/>
                <w:lang w:val="sr-Latn-CS"/>
              </w:rPr>
              <w:t>5</w:t>
            </w:r>
          </w:p>
        </w:tc>
        <w:tc>
          <w:tcPr>
            <w:tcW w:w="1977" w:type="pct"/>
            <w:tcBorders>
              <w:top w:val="double" w:sz="4" w:space="0" w:color="auto"/>
              <w:left w:val="double" w:sz="4" w:space="0" w:color="auto"/>
              <w:right w:val="double" w:sz="4" w:space="0" w:color="auto"/>
            </w:tcBorders>
            <w:shd w:val="clear" w:color="auto" w:fill="auto"/>
            <w:vAlign w:val="center"/>
          </w:tcPr>
          <w:p w:rsidR="00362BAF" w:rsidRPr="00362BAF" w:rsidRDefault="00362BAF" w:rsidP="00AF53FF">
            <w:pPr>
              <w:pStyle w:val="BodyText"/>
              <w:ind w:left="241" w:hanging="240"/>
              <w:jc w:val="center"/>
              <w:rPr>
                <w:rFonts w:asciiTheme="minorHAnsi" w:hAnsiTheme="minorHAnsi"/>
                <w:b w:val="0"/>
                <w:sz w:val="20"/>
                <w:szCs w:val="20"/>
              </w:rPr>
            </w:pPr>
            <w:r w:rsidRPr="00362BAF">
              <w:rPr>
                <w:rFonts w:asciiTheme="minorHAnsi" w:hAnsiTheme="minorHAnsi"/>
                <w:sz w:val="20"/>
                <w:szCs w:val="20"/>
              </w:rPr>
              <w:t>4 691 870,59</w:t>
            </w:r>
          </w:p>
        </w:tc>
        <w:tc>
          <w:tcPr>
            <w:tcW w:w="2096" w:type="pct"/>
            <w:tcBorders>
              <w:top w:val="double" w:sz="4" w:space="0" w:color="auto"/>
              <w:left w:val="double" w:sz="4" w:space="0" w:color="auto"/>
              <w:right w:val="thinThickSmallGap" w:sz="12" w:space="0" w:color="auto"/>
            </w:tcBorders>
            <w:shd w:val="clear" w:color="auto" w:fill="auto"/>
            <w:vAlign w:val="center"/>
          </w:tcPr>
          <w:p w:rsidR="00362BAF" w:rsidRPr="00362BAF" w:rsidRDefault="00362BAF" w:rsidP="00AF53FF">
            <w:pPr>
              <w:jc w:val="center"/>
              <w:rPr>
                <w:rFonts w:asciiTheme="minorHAnsi" w:hAnsiTheme="minorHAnsi"/>
                <w:sz w:val="20"/>
                <w:szCs w:val="20"/>
                <w:lang w:val="sr-Latn-CS"/>
              </w:rPr>
            </w:pPr>
            <w:r w:rsidRPr="00362BAF">
              <w:rPr>
                <w:rFonts w:asciiTheme="minorHAnsi" w:hAnsiTheme="minorHAnsi"/>
                <w:sz w:val="20"/>
                <w:szCs w:val="20"/>
                <w:lang w:val="sr-Latn-CS"/>
              </w:rPr>
              <w:t>6 564 535,17</w:t>
            </w:r>
          </w:p>
        </w:tc>
      </w:tr>
      <w:tr w:rsidR="00362BAF" w:rsidRPr="00362BAF" w:rsidTr="00AF53FF">
        <w:trPr>
          <w:trHeight w:val="152"/>
          <w:jc w:val="center"/>
        </w:trPr>
        <w:tc>
          <w:tcPr>
            <w:tcW w:w="926" w:type="pct"/>
            <w:tcBorders>
              <w:left w:val="thinThickSmallGap" w:sz="12" w:space="0" w:color="auto"/>
              <w:right w:val="double" w:sz="4" w:space="0" w:color="auto"/>
            </w:tcBorders>
            <w:shd w:val="clear" w:color="auto" w:fill="auto"/>
            <w:vAlign w:val="center"/>
          </w:tcPr>
          <w:p w:rsidR="00362BAF" w:rsidRPr="00362BAF" w:rsidRDefault="00362BAF" w:rsidP="00AF53FF">
            <w:pPr>
              <w:jc w:val="center"/>
              <w:rPr>
                <w:rFonts w:asciiTheme="minorHAnsi" w:hAnsiTheme="minorHAnsi"/>
                <w:sz w:val="20"/>
                <w:szCs w:val="20"/>
                <w:lang w:val="sr-Latn-CS"/>
              </w:rPr>
            </w:pPr>
            <w:r w:rsidRPr="00362BAF">
              <w:rPr>
                <w:rFonts w:asciiTheme="minorHAnsi" w:hAnsiTheme="minorHAnsi"/>
                <w:sz w:val="20"/>
                <w:szCs w:val="20"/>
                <w:lang w:val="sr-Latn-CS"/>
              </w:rPr>
              <w:t>5a</w:t>
            </w:r>
          </w:p>
        </w:tc>
        <w:tc>
          <w:tcPr>
            <w:tcW w:w="1977" w:type="pct"/>
            <w:tcBorders>
              <w:left w:val="double" w:sz="4" w:space="0" w:color="auto"/>
              <w:right w:val="double" w:sz="4" w:space="0" w:color="auto"/>
            </w:tcBorders>
            <w:shd w:val="clear" w:color="auto" w:fill="auto"/>
            <w:vAlign w:val="center"/>
          </w:tcPr>
          <w:p w:rsidR="00362BAF" w:rsidRPr="00362BAF" w:rsidRDefault="00362BAF" w:rsidP="00AF53FF">
            <w:pPr>
              <w:pStyle w:val="BodyText"/>
              <w:ind w:left="241" w:hanging="240"/>
              <w:jc w:val="center"/>
              <w:rPr>
                <w:rFonts w:asciiTheme="minorHAnsi" w:hAnsiTheme="minorHAnsi"/>
                <w:b w:val="0"/>
                <w:sz w:val="20"/>
                <w:szCs w:val="20"/>
              </w:rPr>
            </w:pPr>
            <w:r w:rsidRPr="00362BAF">
              <w:rPr>
                <w:rFonts w:asciiTheme="minorHAnsi" w:hAnsiTheme="minorHAnsi"/>
                <w:sz w:val="20"/>
                <w:szCs w:val="20"/>
              </w:rPr>
              <w:t>4 691 868,09</w:t>
            </w:r>
          </w:p>
        </w:tc>
        <w:tc>
          <w:tcPr>
            <w:tcW w:w="2096" w:type="pct"/>
            <w:tcBorders>
              <w:left w:val="double" w:sz="4" w:space="0" w:color="auto"/>
              <w:right w:val="thinThickSmallGap" w:sz="12" w:space="0" w:color="auto"/>
            </w:tcBorders>
            <w:shd w:val="clear" w:color="auto" w:fill="auto"/>
            <w:vAlign w:val="center"/>
          </w:tcPr>
          <w:p w:rsidR="00362BAF" w:rsidRPr="00362BAF" w:rsidRDefault="00362BAF" w:rsidP="00AF53FF">
            <w:pPr>
              <w:jc w:val="center"/>
              <w:rPr>
                <w:rFonts w:asciiTheme="minorHAnsi" w:hAnsiTheme="minorHAnsi"/>
                <w:sz w:val="20"/>
                <w:szCs w:val="20"/>
                <w:lang w:val="sr-Latn-CS"/>
              </w:rPr>
            </w:pPr>
            <w:r w:rsidRPr="00362BAF">
              <w:rPr>
                <w:rFonts w:asciiTheme="minorHAnsi" w:hAnsiTheme="minorHAnsi"/>
                <w:sz w:val="20"/>
                <w:szCs w:val="20"/>
                <w:lang w:val="sr-Latn-CS"/>
              </w:rPr>
              <w:t>6 564 543,51</w:t>
            </w:r>
          </w:p>
        </w:tc>
      </w:tr>
      <w:tr w:rsidR="00362BAF" w:rsidRPr="00362BAF" w:rsidTr="00AF53FF">
        <w:trPr>
          <w:trHeight w:val="300"/>
          <w:jc w:val="center"/>
        </w:trPr>
        <w:tc>
          <w:tcPr>
            <w:tcW w:w="926" w:type="pct"/>
            <w:tcBorders>
              <w:left w:val="thinThickSmallGap" w:sz="12" w:space="0" w:color="auto"/>
              <w:right w:val="double" w:sz="4" w:space="0" w:color="auto"/>
            </w:tcBorders>
            <w:shd w:val="clear" w:color="auto" w:fill="auto"/>
            <w:vAlign w:val="center"/>
          </w:tcPr>
          <w:p w:rsidR="00362BAF" w:rsidRPr="00362BAF" w:rsidRDefault="00362BAF" w:rsidP="00AF53FF">
            <w:pPr>
              <w:jc w:val="center"/>
              <w:rPr>
                <w:rFonts w:asciiTheme="minorHAnsi" w:hAnsiTheme="minorHAnsi"/>
                <w:sz w:val="20"/>
                <w:szCs w:val="20"/>
                <w:lang w:val="sr-Latn-CS"/>
              </w:rPr>
            </w:pPr>
            <w:r w:rsidRPr="00362BAF">
              <w:rPr>
                <w:rFonts w:asciiTheme="minorHAnsi" w:hAnsiTheme="minorHAnsi"/>
                <w:sz w:val="20"/>
                <w:szCs w:val="20"/>
                <w:lang w:val="sr-Latn-CS"/>
              </w:rPr>
              <w:t>5b</w:t>
            </w:r>
          </w:p>
        </w:tc>
        <w:tc>
          <w:tcPr>
            <w:tcW w:w="1977" w:type="pct"/>
            <w:tcBorders>
              <w:left w:val="double" w:sz="4" w:space="0" w:color="auto"/>
              <w:right w:val="double" w:sz="4" w:space="0" w:color="auto"/>
            </w:tcBorders>
            <w:shd w:val="clear" w:color="auto" w:fill="auto"/>
            <w:vAlign w:val="center"/>
          </w:tcPr>
          <w:p w:rsidR="00362BAF" w:rsidRPr="00362BAF" w:rsidRDefault="00362BAF" w:rsidP="00AF53FF">
            <w:pPr>
              <w:pStyle w:val="BodyText"/>
              <w:ind w:left="241" w:hanging="240"/>
              <w:jc w:val="center"/>
              <w:rPr>
                <w:rFonts w:asciiTheme="minorHAnsi" w:hAnsiTheme="minorHAnsi"/>
                <w:b w:val="0"/>
                <w:sz w:val="20"/>
                <w:szCs w:val="20"/>
              </w:rPr>
            </w:pPr>
            <w:r w:rsidRPr="00362BAF">
              <w:rPr>
                <w:rFonts w:asciiTheme="minorHAnsi" w:hAnsiTheme="minorHAnsi"/>
                <w:sz w:val="20"/>
                <w:szCs w:val="20"/>
              </w:rPr>
              <w:t>4 691 858,16</w:t>
            </w:r>
          </w:p>
        </w:tc>
        <w:tc>
          <w:tcPr>
            <w:tcW w:w="2096" w:type="pct"/>
            <w:tcBorders>
              <w:left w:val="double" w:sz="4" w:space="0" w:color="auto"/>
              <w:right w:val="thinThickSmallGap" w:sz="12" w:space="0" w:color="auto"/>
            </w:tcBorders>
            <w:shd w:val="clear" w:color="auto" w:fill="auto"/>
            <w:vAlign w:val="center"/>
          </w:tcPr>
          <w:p w:rsidR="00362BAF" w:rsidRPr="00362BAF" w:rsidRDefault="00362BAF" w:rsidP="00AF53FF">
            <w:pPr>
              <w:jc w:val="center"/>
              <w:rPr>
                <w:rFonts w:asciiTheme="minorHAnsi" w:hAnsiTheme="minorHAnsi"/>
                <w:sz w:val="20"/>
                <w:szCs w:val="20"/>
                <w:lang w:val="sr-Latn-CS"/>
              </w:rPr>
            </w:pPr>
            <w:r w:rsidRPr="00362BAF">
              <w:rPr>
                <w:rFonts w:asciiTheme="minorHAnsi" w:hAnsiTheme="minorHAnsi"/>
                <w:sz w:val="20"/>
                <w:szCs w:val="20"/>
                <w:lang w:val="sr-Latn-CS"/>
              </w:rPr>
              <w:t>6 564 591,25</w:t>
            </w:r>
          </w:p>
        </w:tc>
      </w:tr>
      <w:tr w:rsidR="00362BAF" w:rsidRPr="00362BAF" w:rsidTr="00AF53FF">
        <w:trPr>
          <w:trHeight w:val="360"/>
          <w:jc w:val="center"/>
        </w:trPr>
        <w:tc>
          <w:tcPr>
            <w:tcW w:w="5000" w:type="pct"/>
            <w:gridSpan w:val="3"/>
            <w:tcBorders>
              <w:left w:val="thinThickSmallGap" w:sz="12" w:space="0" w:color="auto"/>
              <w:bottom w:val="thinThickSmallGap" w:sz="12" w:space="0" w:color="auto"/>
              <w:right w:val="thinThickSmallGap" w:sz="12" w:space="0" w:color="auto"/>
            </w:tcBorders>
            <w:shd w:val="clear" w:color="auto" w:fill="auto"/>
            <w:vAlign w:val="center"/>
          </w:tcPr>
          <w:p w:rsidR="00362BAF" w:rsidRPr="00362BAF" w:rsidRDefault="00362BAF" w:rsidP="00AF53FF">
            <w:pPr>
              <w:jc w:val="center"/>
              <w:rPr>
                <w:rFonts w:asciiTheme="minorHAnsi" w:hAnsiTheme="minorHAnsi"/>
                <w:b/>
                <w:sz w:val="20"/>
                <w:szCs w:val="20"/>
                <w:lang w:val="sr-Latn-CS"/>
              </w:rPr>
            </w:pPr>
            <w:r w:rsidRPr="00362BAF">
              <w:rPr>
                <w:rFonts w:asciiTheme="minorHAnsi" w:hAnsiTheme="minorHAnsi"/>
                <w:b/>
                <w:sz w:val="20"/>
                <w:szCs w:val="20"/>
                <w:lang w:val="sr-Latn-CS"/>
              </w:rPr>
              <w:t>Površina: 6,1757 ha</w:t>
            </w:r>
          </w:p>
        </w:tc>
      </w:tr>
    </w:tbl>
    <w:p w:rsidR="001F3308" w:rsidRDefault="001F3308" w:rsidP="00403695">
      <w:pPr>
        <w:rPr>
          <w:rFonts w:asciiTheme="minorHAnsi" w:hAnsiTheme="minorHAnsi"/>
          <w:sz w:val="20"/>
          <w:szCs w:val="20"/>
          <w:lang w:val="sr-Latn-CS"/>
        </w:rPr>
      </w:pPr>
    </w:p>
    <w:p w:rsidR="00282012" w:rsidRPr="001F3308" w:rsidRDefault="001F3308" w:rsidP="00403695">
      <w:pPr>
        <w:rPr>
          <w:rFonts w:asciiTheme="minorHAnsi" w:hAnsiTheme="minorHAnsi"/>
          <w:b/>
          <w:sz w:val="20"/>
          <w:szCs w:val="20"/>
          <w:lang w:val="sr-Latn-CS"/>
        </w:rPr>
      </w:pPr>
      <w:r w:rsidRPr="001F3308">
        <w:rPr>
          <w:rFonts w:asciiTheme="minorHAnsi" w:hAnsiTheme="minorHAnsi"/>
          <w:b/>
          <w:sz w:val="20"/>
          <w:szCs w:val="20"/>
          <w:lang w:val="sr-Latn-CS"/>
        </w:rPr>
        <w:t>Prostorno-planska dokumentacija</w:t>
      </w:r>
    </w:p>
    <w:p w:rsidR="001F3308" w:rsidRPr="00AB4843" w:rsidRDefault="001F3308" w:rsidP="00403695">
      <w:pPr>
        <w:rPr>
          <w:rFonts w:asciiTheme="minorHAnsi" w:hAnsiTheme="minorHAnsi"/>
          <w:sz w:val="20"/>
          <w:szCs w:val="20"/>
          <w:lang w:val="sr-Latn-CS"/>
        </w:rPr>
      </w:pPr>
    </w:p>
    <w:p w:rsidR="001257C3" w:rsidRDefault="00FF4A0F" w:rsidP="00403695">
      <w:pPr>
        <w:jc w:val="both"/>
        <w:rPr>
          <w:rFonts w:asciiTheme="minorHAnsi" w:hAnsiTheme="minorHAnsi"/>
          <w:sz w:val="20"/>
          <w:szCs w:val="20"/>
          <w:lang w:val="sr-Latn-CS"/>
        </w:rPr>
      </w:pPr>
      <w:r>
        <w:rPr>
          <w:rFonts w:asciiTheme="minorHAnsi" w:hAnsiTheme="minorHAnsi"/>
          <w:sz w:val="20"/>
          <w:szCs w:val="20"/>
          <w:lang w:val="sr-Latn-CS"/>
        </w:rPr>
        <w:t>Na osnovu dostavljenog izvoda, br.0303-17536/14 od 10.12.2014. godine, Sekretarijata za urbanizam, građevinarstvo i prostorno planiranje opštine Kotor, iz Izmjena i dopuna Prostornog plana opštine Kotor („Sl.list RCG“</w:t>
      </w:r>
      <w:r w:rsidR="001E7C54">
        <w:rPr>
          <w:rFonts w:asciiTheme="minorHAnsi" w:hAnsiTheme="minorHAnsi"/>
          <w:sz w:val="20"/>
          <w:szCs w:val="20"/>
          <w:lang w:val="sr-Latn-CS"/>
        </w:rPr>
        <w:t>-opštinski propisi, br.26/95) za katastarske parcele 135, 136 i 139, KO Nalježići i Pelinovo, namjena istih su komunalne površine.</w:t>
      </w:r>
    </w:p>
    <w:p w:rsidR="001F3308" w:rsidRDefault="001F3308" w:rsidP="00403695">
      <w:pPr>
        <w:jc w:val="both"/>
        <w:rPr>
          <w:rFonts w:asciiTheme="minorHAnsi" w:hAnsiTheme="minorHAnsi"/>
          <w:sz w:val="20"/>
          <w:szCs w:val="20"/>
          <w:lang w:val="sr-Latn-CS"/>
        </w:rPr>
      </w:pPr>
    </w:p>
    <w:p w:rsidR="009762DA" w:rsidRDefault="001F3308" w:rsidP="00403695">
      <w:pPr>
        <w:jc w:val="both"/>
        <w:rPr>
          <w:rFonts w:asciiTheme="minorHAnsi" w:hAnsiTheme="minorHAnsi"/>
          <w:b/>
          <w:sz w:val="20"/>
          <w:szCs w:val="20"/>
          <w:lang w:val="sr-Latn-CS"/>
        </w:rPr>
      </w:pPr>
      <w:r w:rsidRPr="001F3308">
        <w:rPr>
          <w:rFonts w:asciiTheme="minorHAnsi" w:hAnsiTheme="minorHAnsi"/>
          <w:b/>
          <w:sz w:val="20"/>
          <w:szCs w:val="20"/>
          <w:lang w:val="sr-Latn-CS"/>
        </w:rPr>
        <w:t>Imovinsko-pravni odnosi</w:t>
      </w:r>
    </w:p>
    <w:p w:rsidR="009762DA" w:rsidRPr="001F3308" w:rsidRDefault="009762DA" w:rsidP="00403695">
      <w:pPr>
        <w:jc w:val="both"/>
        <w:rPr>
          <w:rFonts w:asciiTheme="minorHAnsi" w:hAnsiTheme="minorHAnsi"/>
          <w:b/>
          <w:sz w:val="20"/>
          <w:szCs w:val="20"/>
          <w:lang w:val="sr-Latn-CS"/>
        </w:rPr>
      </w:pPr>
    </w:p>
    <w:p w:rsidR="009762DA" w:rsidRDefault="001E7C54" w:rsidP="00403695">
      <w:pPr>
        <w:jc w:val="both"/>
        <w:rPr>
          <w:rFonts w:asciiTheme="minorHAnsi" w:hAnsiTheme="minorHAnsi"/>
          <w:sz w:val="20"/>
          <w:szCs w:val="20"/>
          <w:lang w:val="sr-Latn-CS"/>
        </w:rPr>
      </w:pPr>
      <w:r>
        <w:rPr>
          <w:rFonts w:asciiTheme="minorHAnsi" w:hAnsiTheme="minorHAnsi"/>
          <w:sz w:val="20"/>
          <w:szCs w:val="20"/>
          <w:lang w:val="sr-Latn-CS"/>
        </w:rPr>
        <w:t>Inicijator za dodjelu predmetne koncesije DOO „Komunalno Kotor“ – Kotor je dostavio je, br.568 od 20.02.2015. godine,  listove nepokretnosti br.234, KO Nal</w:t>
      </w:r>
      <w:r w:rsidR="00C61546">
        <w:rPr>
          <w:rFonts w:asciiTheme="minorHAnsi" w:hAnsiTheme="minorHAnsi"/>
          <w:sz w:val="20"/>
          <w:szCs w:val="20"/>
          <w:lang w:val="sr-Latn-CS"/>
        </w:rPr>
        <w:t xml:space="preserve">ježići i br.345 i 450, KO Kavač. Zemljište je u državnom vlasništvu, koje </w:t>
      </w:r>
    </w:p>
    <w:p w:rsidR="00282012" w:rsidRDefault="00C61546" w:rsidP="00403695">
      <w:pPr>
        <w:jc w:val="both"/>
        <w:rPr>
          <w:rFonts w:asciiTheme="minorHAnsi" w:hAnsiTheme="minorHAnsi"/>
          <w:sz w:val="20"/>
          <w:szCs w:val="20"/>
          <w:lang w:val="sr-Latn-CS"/>
        </w:rPr>
      </w:pPr>
      <w:r>
        <w:rPr>
          <w:rFonts w:asciiTheme="minorHAnsi" w:hAnsiTheme="minorHAnsi"/>
          <w:sz w:val="20"/>
          <w:szCs w:val="20"/>
          <w:lang w:val="sr-Latn-CS"/>
        </w:rPr>
        <w:t>je Odlukom državnog organa dato na korišćenje JKP „Kotor“ – Kotor, sada DOO „Komunalno Kotor“ – Kotor.</w:t>
      </w:r>
    </w:p>
    <w:p w:rsidR="00C61546" w:rsidRDefault="00C61546" w:rsidP="00403695">
      <w:pPr>
        <w:jc w:val="both"/>
        <w:rPr>
          <w:rFonts w:asciiTheme="minorHAnsi" w:hAnsiTheme="minorHAnsi"/>
          <w:sz w:val="20"/>
          <w:szCs w:val="20"/>
          <w:lang w:val="sr-Latn-CS"/>
        </w:rPr>
      </w:pPr>
      <w:r>
        <w:rPr>
          <w:rFonts w:asciiTheme="minorHAnsi" w:hAnsiTheme="minorHAnsi"/>
          <w:sz w:val="20"/>
          <w:szCs w:val="20"/>
          <w:lang w:val="sr-Latn-CS"/>
        </w:rPr>
        <w:t>Napomena: Na svakoj katastarskoj parceli je upisan teret zbog upisa privremene mjere u sudskom postupku koji još nije pravosnažno okončan.</w:t>
      </w:r>
    </w:p>
    <w:p w:rsidR="001E7C54" w:rsidRPr="00AB4843" w:rsidRDefault="001E7C54" w:rsidP="00403695">
      <w:pPr>
        <w:jc w:val="both"/>
        <w:rPr>
          <w:rFonts w:asciiTheme="minorHAnsi" w:hAnsiTheme="minorHAnsi"/>
          <w:sz w:val="20"/>
          <w:szCs w:val="20"/>
          <w:lang w:val="sr-Latn-CS"/>
        </w:rPr>
      </w:pPr>
    </w:p>
    <w:p w:rsidR="00FF3F88" w:rsidRPr="00AB4843" w:rsidRDefault="00FF3F88" w:rsidP="00403695">
      <w:pPr>
        <w:jc w:val="both"/>
        <w:rPr>
          <w:rFonts w:asciiTheme="minorHAnsi" w:hAnsiTheme="minorHAnsi" w:cs="Arial"/>
          <w:sz w:val="20"/>
          <w:szCs w:val="20"/>
          <w:lang w:val="sr-Latn-CS"/>
        </w:rPr>
      </w:pPr>
      <w:r w:rsidRPr="00AB4843">
        <w:rPr>
          <w:rFonts w:asciiTheme="minorHAnsi" w:hAnsiTheme="minorHAnsi"/>
          <w:sz w:val="20"/>
          <w:szCs w:val="20"/>
          <w:lang w:val="sr-Latn-CS"/>
        </w:rPr>
        <w:lastRenderedPageBreak/>
        <w:t>U toku 2011. godine, na</w:t>
      </w:r>
      <w:r w:rsidRPr="00AB4843">
        <w:rPr>
          <w:rFonts w:asciiTheme="minorHAnsi" w:hAnsiTheme="minorHAnsi" w:cs="Arial"/>
          <w:sz w:val="20"/>
          <w:szCs w:val="20"/>
          <w:lang w:val="sr-Latn-CS"/>
        </w:rPr>
        <w:t xml:space="preserve"> ležištu tehničko-građevinskog kamena „Nalježići“, takođe su izvedena detaljna geološka istraživanja i urađen Elaborat</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o</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klasifikaciji</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kategorizaciji</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i</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prora</w:t>
      </w:r>
      <w:r w:rsidRPr="00AB4843">
        <w:rPr>
          <w:rFonts w:asciiTheme="minorHAnsi" w:hAnsiTheme="minorHAnsi" w:cs="Arial"/>
          <w:sz w:val="20"/>
          <w:szCs w:val="20"/>
          <w:lang w:val="hr-HR"/>
        </w:rPr>
        <w:t>č</w:t>
      </w:r>
      <w:r w:rsidRPr="00AB4843">
        <w:rPr>
          <w:rFonts w:asciiTheme="minorHAnsi" w:hAnsiTheme="minorHAnsi" w:cs="Arial"/>
          <w:sz w:val="20"/>
          <w:szCs w:val="20"/>
          <w:lang w:val="sr-Latn-CS"/>
        </w:rPr>
        <w:t>unu</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rezervi</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tehni</w:t>
      </w:r>
      <w:r w:rsidRPr="00AB4843">
        <w:rPr>
          <w:rFonts w:asciiTheme="minorHAnsi" w:hAnsiTheme="minorHAnsi" w:cs="Arial"/>
          <w:sz w:val="20"/>
          <w:szCs w:val="20"/>
          <w:lang w:val="hr-HR"/>
        </w:rPr>
        <w:t>č</w:t>
      </w:r>
      <w:r w:rsidRPr="00AB4843">
        <w:rPr>
          <w:rFonts w:asciiTheme="minorHAnsi" w:hAnsiTheme="minorHAnsi" w:cs="Arial"/>
          <w:sz w:val="20"/>
          <w:szCs w:val="20"/>
          <w:lang w:val="sr-Latn-CS"/>
        </w:rPr>
        <w:t>ko</w:t>
      </w:r>
      <w:r w:rsidRPr="00AB4843">
        <w:rPr>
          <w:rFonts w:asciiTheme="minorHAnsi" w:hAnsiTheme="minorHAnsi" w:cs="Arial"/>
          <w:sz w:val="20"/>
          <w:szCs w:val="20"/>
          <w:lang w:val="hr-HR"/>
        </w:rPr>
        <w:t>-</w:t>
      </w:r>
      <w:r w:rsidRPr="00AB4843">
        <w:rPr>
          <w:rFonts w:asciiTheme="minorHAnsi" w:hAnsiTheme="minorHAnsi" w:cs="Arial"/>
          <w:sz w:val="20"/>
          <w:szCs w:val="20"/>
          <w:lang w:val="sr-Latn-CS"/>
        </w:rPr>
        <w:t>gra</w:t>
      </w:r>
      <w:r w:rsidRPr="00AB4843">
        <w:rPr>
          <w:rFonts w:asciiTheme="minorHAnsi" w:hAnsiTheme="minorHAnsi" w:cs="Arial"/>
          <w:sz w:val="20"/>
          <w:szCs w:val="20"/>
          <w:lang w:val="hr-HR"/>
        </w:rPr>
        <w:t>đ</w:t>
      </w:r>
      <w:r w:rsidRPr="00AB4843">
        <w:rPr>
          <w:rFonts w:asciiTheme="minorHAnsi" w:hAnsiTheme="minorHAnsi" w:cs="Arial"/>
          <w:sz w:val="20"/>
          <w:szCs w:val="20"/>
          <w:lang w:val="sr-Latn-CS"/>
        </w:rPr>
        <w:t>evinskog</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kamena</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le</w:t>
      </w:r>
      <w:r w:rsidRPr="00AB4843">
        <w:rPr>
          <w:rFonts w:asciiTheme="minorHAnsi" w:hAnsiTheme="minorHAnsi" w:cs="Arial"/>
          <w:sz w:val="20"/>
          <w:szCs w:val="20"/>
          <w:lang w:val="hr-HR"/>
        </w:rPr>
        <w:t>ž</w:t>
      </w:r>
      <w:r w:rsidRPr="00AB4843">
        <w:rPr>
          <w:rFonts w:asciiTheme="minorHAnsi" w:hAnsiTheme="minorHAnsi" w:cs="Arial"/>
          <w:sz w:val="20"/>
          <w:szCs w:val="20"/>
          <w:lang w:val="sr-Latn-CS"/>
        </w:rPr>
        <w:t>i</w:t>
      </w:r>
      <w:r w:rsidRPr="00AB4843">
        <w:rPr>
          <w:rFonts w:asciiTheme="minorHAnsi" w:hAnsiTheme="minorHAnsi" w:cs="Arial"/>
          <w:sz w:val="20"/>
          <w:szCs w:val="20"/>
          <w:lang w:val="hr-HR"/>
        </w:rPr>
        <w:t>š</w:t>
      </w:r>
      <w:r w:rsidRPr="00AB4843">
        <w:rPr>
          <w:rFonts w:asciiTheme="minorHAnsi" w:hAnsiTheme="minorHAnsi" w:cs="Arial"/>
          <w:sz w:val="20"/>
          <w:szCs w:val="20"/>
          <w:lang w:val="sr-Latn-CS"/>
        </w:rPr>
        <w:t>ta</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Nalje</w:t>
      </w:r>
      <w:r w:rsidRPr="00AB4843">
        <w:rPr>
          <w:rFonts w:asciiTheme="minorHAnsi" w:hAnsiTheme="minorHAnsi" w:cs="Arial"/>
          <w:sz w:val="20"/>
          <w:szCs w:val="20"/>
          <w:lang w:val="hr-HR"/>
        </w:rPr>
        <w:t>ž</w:t>
      </w:r>
      <w:r w:rsidRPr="00AB4843">
        <w:rPr>
          <w:rFonts w:asciiTheme="minorHAnsi" w:hAnsiTheme="minorHAnsi" w:cs="Arial"/>
          <w:sz w:val="20"/>
          <w:szCs w:val="20"/>
          <w:lang w:val="sr-Latn-CS"/>
        </w:rPr>
        <w:t>i</w:t>
      </w:r>
      <w:r w:rsidRPr="00AB4843">
        <w:rPr>
          <w:rFonts w:asciiTheme="minorHAnsi" w:hAnsiTheme="minorHAnsi" w:cs="Arial"/>
          <w:sz w:val="20"/>
          <w:szCs w:val="20"/>
          <w:lang w:val="hr-HR"/>
        </w:rPr>
        <w:t>ć</w:t>
      </w:r>
      <w:r w:rsidRPr="00AB4843">
        <w:rPr>
          <w:rFonts w:asciiTheme="minorHAnsi" w:hAnsiTheme="minorHAnsi" w:cs="Arial"/>
          <w:sz w:val="20"/>
          <w:szCs w:val="20"/>
          <w:lang w:val="sr-Latn-CS"/>
        </w:rPr>
        <w:t>i</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kod</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Kotora</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sa</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stanjem</w:t>
      </w:r>
      <w:r w:rsidRPr="00AB4843">
        <w:rPr>
          <w:rFonts w:asciiTheme="minorHAnsi" w:hAnsiTheme="minorHAnsi" w:cs="Arial"/>
          <w:sz w:val="20"/>
          <w:szCs w:val="20"/>
          <w:lang w:val="hr-HR"/>
        </w:rPr>
        <w:t xml:space="preserve"> 31.12.2010. </w:t>
      </w:r>
      <w:r w:rsidRPr="00AB4843">
        <w:rPr>
          <w:rFonts w:asciiTheme="minorHAnsi" w:hAnsiTheme="minorHAnsi" w:cs="Arial"/>
          <w:sz w:val="20"/>
          <w:szCs w:val="20"/>
          <w:lang w:val="sr-Latn-CS"/>
        </w:rPr>
        <w:t>godine</w:t>
      </w:r>
      <w:r w:rsidRPr="00AB4843">
        <w:rPr>
          <w:rFonts w:asciiTheme="minorHAnsi" w:hAnsiTheme="minorHAnsi" w:cs="Arial"/>
          <w:sz w:val="20"/>
          <w:szCs w:val="20"/>
          <w:lang w:val="hr-HR"/>
        </w:rPr>
        <w:t xml:space="preserve">. </w:t>
      </w:r>
      <w:r w:rsidRPr="00AB4843">
        <w:rPr>
          <w:rFonts w:asciiTheme="minorHAnsi" w:hAnsiTheme="minorHAnsi" w:cs="Arial"/>
          <w:sz w:val="20"/>
          <w:szCs w:val="20"/>
          <w:lang w:val="sr-Latn-CS"/>
        </w:rPr>
        <w:t>Predmetni Elaborat je za potrebe Javnog komunalnog preduzeća „Kotor“ - Kotor, uradila JU Republički zavod za geološka istraživanja – Podgorica, a isti je</w:t>
      </w:r>
      <w:r w:rsidRPr="00AB4843">
        <w:rPr>
          <w:rFonts w:asciiTheme="minorHAnsi" w:hAnsiTheme="minorHAnsi"/>
          <w:sz w:val="20"/>
          <w:szCs w:val="20"/>
          <w:lang w:val="hr-HR"/>
        </w:rPr>
        <w:t xml:space="preserve"> </w:t>
      </w:r>
      <w:r w:rsidRPr="00AB4843">
        <w:rPr>
          <w:rFonts w:asciiTheme="minorHAnsi" w:hAnsiTheme="minorHAnsi"/>
          <w:sz w:val="20"/>
          <w:szCs w:val="20"/>
        </w:rPr>
        <w:t>ovjeren</w:t>
      </w:r>
      <w:r w:rsidRPr="00AB4843">
        <w:rPr>
          <w:rFonts w:asciiTheme="minorHAnsi" w:hAnsiTheme="minorHAnsi"/>
          <w:sz w:val="20"/>
          <w:szCs w:val="20"/>
          <w:lang w:val="hr-HR"/>
        </w:rPr>
        <w:t xml:space="preserve"> </w:t>
      </w:r>
      <w:r w:rsidRPr="00AB4843">
        <w:rPr>
          <w:rFonts w:asciiTheme="minorHAnsi" w:hAnsiTheme="minorHAnsi"/>
          <w:sz w:val="20"/>
          <w:szCs w:val="20"/>
        </w:rPr>
        <w:t>Rje</w:t>
      </w:r>
      <w:r w:rsidRPr="00AB4843">
        <w:rPr>
          <w:rFonts w:asciiTheme="minorHAnsi" w:hAnsiTheme="minorHAnsi"/>
          <w:sz w:val="20"/>
          <w:szCs w:val="20"/>
          <w:lang w:val="hr-HR"/>
        </w:rPr>
        <w:t>š</w:t>
      </w:r>
      <w:r w:rsidRPr="00AB4843">
        <w:rPr>
          <w:rFonts w:asciiTheme="minorHAnsi" w:hAnsiTheme="minorHAnsi"/>
          <w:sz w:val="20"/>
          <w:szCs w:val="20"/>
        </w:rPr>
        <w:t>enjem</w:t>
      </w:r>
      <w:r w:rsidRPr="00AB4843">
        <w:rPr>
          <w:rFonts w:asciiTheme="minorHAnsi" w:hAnsiTheme="minorHAnsi"/>
          <w:sz w:val="20"/>
          <w:szCs w:val="20"/>
          <w:lang w:val="hr-HR"/>
        </w:rPr>
        <w:t xml:space="preserve"> </w:t>
      </w:r>
      <w:r w:rsidRPr="00AB4843">
        <w:rPr>
          <w:rFonts w:asciiTheme="minorHAnsi" w:hAnsiTheme="minorHAnsi"/>
          <w:sz w:val="20"/>
          <w:szCs w:val="20"/>
        </w:rPr>
        <w:t>Ministarstva</w:t>
      </w:r>
      <w:r w:rsidRPr="00AB4843">
        <w:rPr>
          <w:rFonts w:asciiTheme="minorHAnsi" w:hAnsiTheme="minorHAnsi"/>
          <w:sz w:val="20"/>
          <w:szCs w:val="20"/>
          <w:lang w:val="hr-HR"/>
        </w:rPr>
        <w:t xml:space="preserve"> </w:t>
      </w:r>
      <w:r w:rsidRPr="00AB4843">
        <w:rPr>
          <w:rFonts w:asciiTheme="minorHAnsi" w:hAnsiTheme="minorHAnsi"/>
          <w:sz w:val="20"/>
          <w:szCs w:val="20"/>
        </w:rPr>
        <w:t>ekonomije</w:t>
      </w:r>
      <w:r w:rsidRPr="00AB4843">
        <w:rPr>
          <w:rFonts w:asciiTheme="minorHAnsi" w:hAnsiTheme="minorHAnsi"/>
          <w:sz w:val="20"/>
          <w:szCs w:val="20"/>
          <w:lang w:val="hr-HR"/>
        </w:rPr>
        <w:t xml:space="preserve">, </w:t>
      </w:r>
      <w:r w:rsidRPr="00AB4843">
        <w:rPr>
          <w:rFonts w:asciiTheme="minorHAnsi" w:hAnsiTheme="minorHAnsi"/>
          <w:sz w:val="20"/>
          <w:szCs w:val="20"/>
        </w:rPr>
        <w:t>broj</w:t>
      </w:r>
      <w:r w:rsidRPr="00AB4843">
        <w:rPr>
          <w:rFonts w:asciiTheme="minorHAnsi" w:hAnsiTheme="minorHAnsi"/>
          <w:sz w:val="20"/>
          <w:szCs w:val="20"/>
          <w:lang w:val="hr-HR"/>
        </w:rPr>
        <w:t xml:space="preserve">: 01-1956/3 </w:t>
      </w:r>
      <w:r w:rsidRPr="00AB4843">
        <w:rPr>
          <w:rFonts w:asciiTheme="minorHAnsi" w:hAnsiTheme="minorHAnsi"/>
          <w:sz w:val="20"/>
          <w:szCs w:val="20"/>
        </w:rPr>
        <w:t>od</w:t>
      </w:r>
      <w:r w:rsidRPr="00AB4843">
        <w:rPr>
          <w:rFonts w:asciiTheme="minorHAnsi" w:hAnsiTheme="minorHAnsi"/>
          <w:sz w:val="20"/>
          <w:szCs w:val="20"/>
          <w:lang w:val="hr-HR"/>
        </w:rPr>
        <w:t xml:space="preserve"> 06.07.2011. </w:t>
      </w:r>
      <w:r w:rsidRPr="00AB4843">
        <w:rPr>
          <w:rFonts w:asciiTheme="minorHAnsi" w:hAnsiTheme="minorHAnsi"/>
          <w:sz w:val="20"/>
          <w:szCs w:val="20"/>
        </w:rPr>
        <w:t>godine</w:t>
      </w:r>
      <w:r w:rsidRPr="00AB4843">
        <w:rPr>
          <w:rFonts w:asciiTheme="minorHAnsi" w:hAnsiTheme="minorHAnsi" w:cs="Arial"/>
          <w:sz w:val="20"/>
          <w:szCs w:val="20"/>
          <w:lang w:val="sr-Latn-CS"/>
        </w:rPr>
        <w:t>.</w:t>
      </w:r>
    </w:p>
    <w:p w:rsidR="00FF3F88" w:rsidRPr="00AB4843" w:rsidRDefault="00FF3F88" w:rsidP="00403695">
      <w:pPr>
        <w:rPr>
          <w:rFonts w:asciiTheme="minorHAnsi" w:hAnsiTheme="minorHAnsi"/>
          <w:sz w:val="20"/>
          <w:szCs w:val="20"/>
          <w:lang w:val="hr-HR"/>
        </w:rPr>
      </w:pPr>
    </w:p>
    <w:p w:rsidR="00F27279" w:rsidRPr="00AB4843" w:rsidRDefault="00FF3F88" w:rsidP="00403695">
      <w:pPr>
        <w:rPr>
          <w:rFonts w:asciiTheme="minorHAnsi" w:hAnsiTheme="minorHAnsi" w:cs="Arial"/>
          <w:sz w:val="20"/>
          <w:szCs w:val="20"/>
          <w:lang w:val="sr-Latn-CS"/>
        </w:rPr>
      </w:pPr>
      <w:r w:rsidRPr="00AB4843">
        <w:rPr>
          <w:rFonts w:asciiTheme="minorHAnsi" w:hAnsiTheme="minorHAnsi" w:cs="Arial"/>
          <w:sz w:val="20"/>
          <w:szCs w:val="20"/>
          <w:lang w:val="sr-Latn-CS"/>
        </w:rPr>
        <w:t>Struktura rezervi tehničko-građevinskog kamena u ležištu “Nalježići“, sa stanjem rezervi 31.12.2010. godine, prikazana je u narednoj tabeli.</w:t>
      </w:r>
    </w:p>
    <w:p w:rsidR="00FF3F88" w:rsidRPr="00AB4843" w:rsidRDefault="00FF3F88" w:rsidP="00403695">
      <w:pPr>
        <w:rPr>
          <w:rFonts w:asciiTheme="minorHAnsi" w:hAnsiTheme="minorHAnsi" w:cs="Arial"/>
          <w:sz w:val="20"/>
          <w:szCs w:val="20"/>
          <w:lang w:val="sr-Latn-CS"/>
        </w:rPr>
      </w:pPr>
    </w:p>
    <w:p w:rsidR="00FF3F88" w:rsidRPr="00AB4843" w:rsidRDefault="00FF3F88" w:rsidP="00403695">
      <w:pPr>
        <w:jc w:val="center"/>
        <w:rPr>
          <w:rFonts w:asciiTheme="minorHAnsi" w:hAnsiTheme="minorHAnsi" w:cs="Arial"/>
          <w:i/>
          <w:sz w:val="20"/>
          <w:szCs w:val="20"/>
          <w:lang w:val="sr-Latn-CS"/>
        </w:rPr>
      </w:pPr>
      <w:r w:rsidRPr="00AB4843">
        <w:rPr>
          <w:rFonts w:asciiTheme="minorHAnsi" w:hAnsiTheme="minorHAnsi" w:cs="Arial"/>
          <w:i/>
          <w:sz w:val="20"/>
          <w:szCs w:val="20"/>
          <w:lang w:val="sr-Latn-CS"/>
        </w:rPr>
        <w:t>Pregled geoloških i eksploatacionih rezervi tehničko-građevinskog kamena u ležištu „Nalježići“ (stanje 31.12.2010. godine)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5"/>
        <w:gridCol w:w="2227"/>
        <w:gridCol w:w="2019"/>
        <w:gridCol w:w="2335"/>
      </w:tblGrid>
      <w:tr w:rsidR="00FF3F88" w:rsidRPr="003B150E" w:rsidTr="00AF53FF">
        <w:trPr>
          <w:cantSplit/>
          <w:trHeight w:val="334"/>
          <w:jc w:val="center"/>
        </w:trPr>
        <w:tc>
          <w:tcPr>
            <w:tcW w:w="1564" w:type="pct"/>
            <w:vMerge w:val="restart"/>
            <w:tcBorders>
              <w:top w:val="thinThickSmallGap" w:sz="12" w:space="0" w:color="auto"/>
              <w:left w:val="thinThickSmallGap" w:sz="12" w:space="0" w:color="auto"/>
              <w:right w:val="double" w:sz="4" w:space="0" w:color="auto"/>
            </w:tcBorders>
            <w:shd w:val="clear" w:color="auto" w:fill="92D050"/>
            <w:vAlign w:val="center"/>
          </w:tcPr>
          <w:p w:rsidR="00FF3F88" w:rsidRPr="00AB4843" w:rsidRDefault="00FF3F88" w:rsidP="00AF53FF">
            <w:pPr>
              <w:jc w:val="center"/>
              <w:rPr>
                <w:rFonts w:asciiTheme="minorHAnsi" w:hAnsiTheme="minorHAnsi"/>
                <w:b/>
                <w:sz w:val="20"/>
                <w:szCs w:val="20"/>
              </w:rPr>
            </w:pPr>
            <w:r w:rsidRPr="00AB4843">
              <w:rPr>
                <w:rFonts w:asciiTheme="minorHAnsi" w:hAnsiTheme="minorHAnsi"/>
                <w:b/>
                <w:sz w:val="20"/>
                <w:szCs w:val="20"/>
              </w:rPr>
              <w:t>Rezerve</w:t>
            </w:r>
          </w:p>
        </w:tc>
        <w:tc>
          <w:tcPr>
            <w:tcW w:w="2217" w:type="pct"/>
            <w:gridSpan w:val="2"/>
            <w:tcBorders>
              <w:top w:val="thinThickSmallGap" w:sz="12" w:space="0" w:color="auto"/>
              <w:left w:val="double" w:sz="4" w:space="0" w:color="auto"/>
              <w:bottom w:val="double" w:sz="4" w:space="0" w:color="auto"/>
              <w:right w:val="double" w:sz="4" w:space="0" w:color="auto"/>
            </w:tcBorders>
            <w:shd w:val="clear" w:color="auto" w:fill="92D050"/>
            <w:vAlign w:val="center"/>
          </w:tcPr>
          <w:p w:rsidR="00FF3F88" w:rsidRPr="00AB4843" w:rsidRDefault="00FF3F88" w:rsidP="00AF53FF">
            <w:pPr>
              <w:jc w:val="center"/>
              <w:rPr>
                <w:rFonts w:asciiTheme="minorHAnsi" w:hAnsiTheme="minorHAnsi"/>
                <w:b/>
                <w:sz w:val="20"/>
                <w:szCs w:val="20"/>
                <w:lang w:val="pl-PL"/>
              </w:rPr>
            </w:pPr>
            <w:r w:rsidRPr="00AB4843">
              <w:rPr>
                <w:rFonts w:asciiTheme="minorHAnsi" w:hAnsiTheme="minorHAnsi"/>
                <w:b/>
                <w:sz w:val="20"/>
                <w:szCs w:val="20"/>
              </w:rPr>
              <w:t>Kategorija</w:t>
            </w:r>
          </w:p>
        </w:tc>
        <w:tc>
          <w:tcPr>
            <w:tcW w:w="1219" w:type="pct"/>
            <w:vMerge w:val="restart"/>
            <w:tcBorders>
              <w:top w:val="thinThickSmallGap" w:sz="12" w:space="0" w:color="auto"/>
              <w:left w:val="double" w:sz="4" w:space="0" w:color="auto"/>
              <w:right w:val="thickThinSmallGap" w:sz="12" w:space="0" w:color="auto"/>
            </w:tcBorders>
            <w:shd w:val="clear" w:color="auto" w:fill="92D050"/>
            <w:vAlign w:val="center"/>
          </w:tcPr>
          <w:p w:rsidR="00FF3F88" w:rsidRPr="00AB4843" w:rsidRDefault="00FF3F88" w:rsidP="00AF53FF">
            <w:pPr>
              <w:jc w:val="center"/>
              <w:rPr>
                <w:rFonts w:asciiTheme="minorHAnsi" w:hAnsiTheme="minorHAnsi"/>
                <w:b/>
                <w:sz w:val="20"/>
                <w:szCs w:val="20"/>
                <w:lang w:val="pl-PL"/>
              </w:rPr>
            </w:pPr>
            <w:r w:rsidRPr="00AB4843">
              <w:rPr>
                <w:rFonts w:asciiTheme="minorHAnsi" w:hAnsiTheme="minorHAnsi"/>
                <w:b/>
                <w:sz w:val="20"/>
                <w:szCs w:val="20"/>
                <w:lang w:val="pl-PL"/>
              </w:rPr>
              <w:t>Ukupne rezerve t-g kamena, m</w:t>
            </w:r>
            <w:r w:rsidRPr="00AB4843">
              <w:rPr>
                <w:rFonts w:asciiTheme="minorHAnsi" w:hAnsiTheme="minorHAnsi"/>
                <w:b/>
                <w:sz w:val="20"/>
                <w:szCs w:val="20"/>
                <w:vertAlign w:val="superscript"/>
                <w:lang w:val="pl-PL"/>
              </w:rPr>
              <w:t>3</w:t>
            </w:r>
          </w:p>
        </w:tc>
      </w:tr>
      <w:tr w:rsidR="00FF3F88" w:rsidRPr="00AB4843" w:rsidTr="00AF53FF">
        <w:trPr>
          <w:cantSplit/>
          <w:trHeight w:val="315"/>
          <w:jc w:val="center"/>
        </w:trPr>
        <w:tc>
          <w:tcPr>
            <w:tcW w:w="1564" w:type="pct"/>
            <w:vMerge/>
            <w:tcBorders>
              <w:left w:val="thinThickSmallGap" w:sz="12" w:space="0" w:color="auto"/>
              <w:bottom w:val="double" w:sz="4"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b/>
                <w:sz w:val="20"/>
                <w:szCs w:val="20"/>
                <w:lang w:val="pl-PL"/>
              </w:rPr>
            </w:pPr>
          </w:p>
        </w:tc>
        <w:tc>
          <w:tcPr>
            <w:tcW w:w="1163" w:type="pct"/>
            <w:tcBorders>
              <w:top w:val="double" w:sz="4" w:space="0" w:color="auto"/>
              <w:left w:val="double" w:sz="4" w:space="0" w:color="auto"/>
              <w:bottom w:val="double" w:sz="4" w:space="0" w:color="auto"/>
              <w:right w:val="double" w:sz="4" w:space="0" w:color="auto"/>
            </w:tcBorders>
            <w:shd w:val="clear" w:color="auto" w:fill="92D050"/>
            <w:vAlign w:val="center"/>
          </w:tcPr>
          <w:p w:rsidR="00FF3F88" w:rsidRPr="00AB4843" w:rsidRDefault="00FF3F88" w:rsidP="00AF53FF">
            <w:pPr>
              <w:jc w:val="center"/>
              <w:rPr>
                <w:rFonts w:asciiTheme="minorHAnsi" w:hAnsiTheme="minorHAnsi"/>
                <w:b/>
                <w:sz w:val="20"/>
                <w:szCs w:val="20"/>
              </w:rPr>
            </w:pPr>
            <w:r w:rsidRPr="00AB4843">
              <w:rPr>
                <w:rFonts w:asciiTheme="minorHAnsi" w:hAnsiTheme="minorHAnsi"/>
                <w:b/>
                <w:sz w:val="20"/>
                <w:szCs w:val="20"/>
              </w:rPr>
              <w:t>B</w:t>
            </w:r>
          </w:p>
        </w:tc>
        <w:tc>
          <w:tcPr>
            <w:tcW w:w="1054" w:type="pct"/>
            <w:tcBorders>
              <w:top w:val="double" w:sz="4" w:space="0" w:color="auto"/>
              <w:left w:val="double" w:sz="4" w:space="0" w:color="auto"/>
              <w:bottom w:val="double" w:sz="4" w:space="0" w:color="auto"/>
              <w:right w:val="double" w:sz="4" w:space="0" w:color="auto"/>
            </w:tcBorders>
            <w:shd w:val="clear" w:color="auto" w:fill="92D050"/>
            <w:vAlign w:val="center"/>
          </w:tcPr>
          <w:p w:rsidR="00FF3F88" w:rsidRPr="00AB4843" w:rsidRDefault="00FF3F88" w:rsidP="00AF53FF">
            <w:pPr>
              <w:jc w:val="center"/>
              <w:rPr>
                <w:rFonts w:asciiTheme="minorHAnsi" w:hAnsiTheme="minorHAnsi"/>
                <w:b/>
                <w:sz w:val="20"/>
                <w:szCs w:val="20"/>
              </w:rPr>
            </w:pPr>
            <w:r w:rsidRPr="00AB4843">
              <w:rPr>
                <w:rFonts w:asciiTheme="minorHAnsi" w:hAnsiTheme="minorHAnsi"/>
                <w:b/>
                <w:sz w:val="20"/>
                <w:szCs w:val="20"/>
              </w:rPr>
              <w:t>C</w:t>
            </w:r>
            <w:r w:rsidRPr="00AB4843">
              <w:rPr>
                <w:rFonts w:asciiTheme="minorHAnsi" w:hAnsiTheme="minorHAnsi"/>
                <w:b/>
                <w:sz w:val="20"/>
                <w:szCs w:val="20"/>
                <w:vertAlign w:val="subscript"/>
              </w:rPr>
              <w:t>1</w:t>
            </w:r>
          </w:p>
        </w:tc>
        <w:tc>
          <w:tcPr>
            <w:tcW w:w="1219" w:type="pct"/>
            <w:vMerge/>
            <w:tcBorders>
              <w:left w:val="double" w:sz="4" w:space="0" w:color="auto"/>
              <w:bottom w:val="double" w:sz="4" w:space="0" w:color="auto"/>
              <w:right w:val="thickThinSmallGap" w:sz="12" w:space="0" w:color="auto"/>
            </w:tcBorders>
            <w:shd w:val="clear" w:color="auto" w:fill="92D050"/>
            <w:vAlign w:val="center"/>
          </w:tcPr>
          <w:p w:rsidR="00FF3F88" w:rsidRPr="00AB4843" w:rsidRDefault="00FF3F88" w:rsidP="00AF53FF">
            <w:pPr>
              <w:jc w:val="center"/>
              <w:rPr>
                <w:rFonts w:asciiTheme="minorHAnsi" w:hAnsiTheme="minorHAnsi"/>
                <w:b/>
                <w:sz w:val="20"/>
                <w:szCs w:val="20"/>
              </w:rPr>
            </w:pPr>
          </w:p>
        </w:tc>
      </w:tr>
      <w:tr w:rsidR="00FF3F88" w:rsidRPr="00AB4843" w:rsidTr="00AF53FF">
        <w:trPr>
          <w:cantSplit/>
          <w:trHeight w:val="284"/>
          <w:jc w:val="center"/>
        </w:trPr>
        <w:tc>
          <w:tcPr>
            <w:tcW w:w="1564" w:type="pct"/>
            <w:tcBorders>
              <w:top w:val="double" w:sz="4" w:space="0" w:color="auto"/>
              <w:left w:val="thinThickSmallGap" w:sz="12" w:space="0" w:color="auto"/>
              <w:right w:val="double" w:sz="4" w:space="0" w:color="auto"/>
            </w:tcBorders>
            <w:shd w:val="clear" w:color="auto" w:fill="auto"/>
            <w:vAlign w:val="center"/>
          </w:tcPr>
          <w:p w:rsidR="00FF3F88" w:rsidRPr="00AB4843" w:rsidRDefault="00FF3F88" w:rsidP="00AF53FF">
            <w:pPr>
              <w:pStyle w:val="Heading1"/>
              <w:jc w:val="center"/>
              <w:rPr>
                <w:rFonts w:asciiTheme="minorHAnsi" w:hAnsiTheme="minorHAnsi"/>
                <w:b w:val="0"/>
                <w:sz w:val="20"/>
                <w:szCs w:val="20"/>
              </w:rPr>
            </w:pPr>
            <w:r w:rsidRPr="00AB4843">
              <w:rPr>
                <w:rFonts w:asciiTheme="minorHAnsi" w:hAnsiTheme="minorHAnsi"/>
                <w:sz w:val="20"/>
                <w:szCs w:val="20"/>
              </w:rPr>
              <w:t>Geološke</w:t>
            </w:r>
          </w:p>
        </w:tc>
        <w:tc>
          <w:tcPr>
            <w:tcW w:w="1163" w:type="pct"/>
            <w:tcBorders>
              <w:top w:val="double" w:sz="4" w:space="0" w:color="auto"/>
              <w:left w:val="double" w:sz="4"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cs="Arial"/>
                <w:bCs/>
                <w:iCs/>
                <w:sz w:val="20"/>
                <w:szCs w:val="20"/>
              </w:rPr>
            </w:pPr>
            <w:r w:rsidRPr="00AB4843">
              <w:rPr>
                <w:rFonts w:asciiTheme="minorHAnsi" w:hAnsiTheme="minorHAnsi" w:cs="Arial"/>
                <w:sz w:val="20"/>
                <w:szCs w:val="20"/>
                <w:lang w:val="sr-Latn-CS"/>
              </w:rPr>
              <w:t>1.206.400</w:t>
            </w:r>
          </w:p>
        </w:tc>
        <w:tc>
          <w:tcPr>
            <w:tcW w:w="1054" w:type="pct"/>
            <w:tcBorders>
              <w:top w:val="double" w:sz="4" w:space="0" w:color="auto"/>
              <w:left w:val="double" w:sz="4"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cs="Arial"/>
                <w:bCs/>
                <w:iCs/>
                <w:sz w:val="20"/>
                <w:szCs w:val="20"/>
              </w:rPr>
            </w:pPr>
            <w:r w:rsidRPr="00AB4843">
              <w:rPr>
                <w:rFonts w:asciiTheme="minorHAnsi" w:hAnsiTheme="minorHAnsi" w:cs="Arial"/>
                <w:sz w:val="20"/>
                <w:szCs w:val="20"/>
                <w:lang w:val="sr-Latn-CS"/>
              </w:rPr>
              <w:t>269.200</w:t>
            </w:r>
          </w:p>
        </w:tc>
        <w:tc>
          <w:tcPr>
            <w:tcW w:w="1219" w:type="pct"/>
            <w:tcBorders>
              <w:top w:val="double" w:sz="4" w:space="0" w:color="auto"/>
              <w:left w:val="double" w:sz="4" w:space="0" w:color="auto"/>
              <w:right w:val="thickThinSmallGap" w:sz="12" w:space="0" w:color="auto"/>
            </w:tcBorders>
            <w:shd w:val="clear" w:color="auto" w:fill="auto"/>
            <w:vAlign w:val="center"/>
          </w:tcPr>
          <w:p w:rsidR="00FF3F88" w:rsidRPr="00AB4843" w:rsidRDefault="00FF3F88" w:rsidP="00AF53FF">
            <w:pPr>
              <w:jc w:val="center"/>
              <w:rPr>
                <w:rFonts w:asciiTheme="minorHAnsi" w:hAnsiTheme="minorHAnsi" w:cs="Arial"/>
                <w:b/>
                <w:bCs/>
                <w:iCs/>
                <w:sz w:val="20"/>
                <w:szCs w:val="20"/>
              </w:rPr>
            </w:pPr>
            <w:r w:rsidRPr="00AB4843">
              <w:rPr>
                <w:rFonts w:asciiTheme="minorHAnsi" w:hAnsiTheme="minorHAnsi" w:cs="Arial"/>
                <w:b/>
                <w:sz w:val="20"/>
                <w:szCs w:val="20"/>
                <w:lang w:val="sr-Latn-CS"/>
              </w:rPr>
              <w:t>1.475.600</w:t>
            </w:r>
          </w:p>
        </w:tc>
      </w:tr>
      <w:tr w:rsidR="00FF3F88" w:rsidRPr="00AB4843" w:rsidTr="00AF53FF">
        <w:trPr>
          <w:cantSplit/>
          <w:trHeight w:val="284"/>
          <w:jc w:val="center"/>
        </w:trPr>
        <w:tc>
          <w:tcPr>
            <w:tcW w:w="1564" w:type="pct"/>
            <w:tcBorders>
              <w:left w:val="thinThickSmallGap" w:sz="12"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b/>
                <w:sz w:val="20"/>
                <w:szCs w:val="20"/>
              </w:rPr>
            </w:pPr>
            <w:r w:rsidRPr="00AB4843">
              <w:rPr>
                <w:rFonts w:asciiTheme="minorHAnsi" w:hAnsiTheme="minorHAnsi"/>
                <w:b/>
                <w:sz w:val="20"/>
                <w:szCs w:val="20"/>
              </w:rPr>
              <w:t>Bilansne</w:t>
            </w:r>
          </w:p>
        </w:tc>
        <w:tc>
          <w:tcPr>
            <w:tcW w:w="1163" w:type="pct"/>
            <w:tcBorders>
              <w:left w:val="double" w:sz="4"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cs="Arial"/>
                <w:bCs/>
                <w:iCs/>
                <w:sz w:val="20"/>
                <w:szCs w:val="20"/>
              </w:rPr>
            </w:pPr>
            <w:r w:rsidRPr="00AB4843">
              <w:rPr>
                <w:rFonts w:asciiTheme="minorHAnsi" w:hAnsiTheme="minorHAnsi" w:cs="Arial"/>
                <w:sz w:val="20"/>
                <w:szCs w:val="20"/>
                <w:lang w:val="sr-Latn-CS"/>
              </w:rPr>
              <w:t>1.191.700</w:t>
            </w:r>
          </w:p>
        </w:tc>
        <w:tc>
          <w:tcPr>
            <w:tcW w:w="1054" w:type="pct"/>
            <w:tcBorders>
              <w:left w:val="double" w:sz="4"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cs="Arial"/>
                <w:bCs/>
                <w:iCs/>
                <w:sz w:val="20"/>
                <w:szCs w:val="20"/>
              </w:rPr>
            </w:pPr>
            <w:r w:rsidRPr="00AB4843">
              <w:rPr>
                <w:rFonts w:asciiTheme="minorHAnsi" w:hAnsiTheme="minorHAnsi" w:cs="Arial"/>
                <w:sz w:val="20"/>
                <w:szCs w:val="20"/>
                <w:lang w:val="sr-Latn-CS"/>
              </w:rPr>
              <w:t>269.200</w:t>
            </w:r>
          </w:p>
        </w:tc>
        <w:tc>
          <w:tcPr>
            <w:tcW w:w="1219" w:type="pct"/>
            <w:tcBorders>
              <w:left w:val="double" w:sz="4" w:space="0" w:color="auto"/>
              <w:right w:val="thickThinSmallGap" w:sz="12" w:space="0" w:color="auto"/>
            </w:tcBorders>
            <w:shd w:val="clear" w:color="auto" w:fill="auto"/>
            <w:vAlign w:val="center"/>
          </w:tcPr>
          <w:p w:rsidR="00FF3F88" w:rsidRPr="00AB4843" w:rsidRDefault="00FF3F88" w:rsidP="00AF53FF">
            <w:pPr>
              <w:jc w:val="center"/>
              <w:rPr>
                <w:rFonts w:asciiTheme="minorHAnsi" w:hAnsiTheme="minorHAnsi" w:cs="Arial"/>
                <w:b/>
                <w:bCs/>
                <w:iCs/>
                <w:sz w:val="20"/>
                <w:szCs w:val="20"/>
              </w:rPr>
            </w:pPr>
            <w:r w:rsidRPr="00AB4843">
              <w:rPr>
                <w:rFonts w:asciiTheme="minorHAnsi" w:hAnsiTheme="minorHAnsi" w:cs="Arial"/>
                <w:b/>
                <w:sz w:val="20"/>
                <w:szCs w:val="20"/>
                <w:lang w:val="sr-Latn-CS"/>
              </w:rPr>
              <w:t>1.460.900</w:t>
            </w:r>
          </w:p>
        </w:tc>
      </w:tr>
      <w:tr w:rsidR="00FF3F88" w:rsidRPr="00AB4843" w:rsidTr="00AF53FF">
        <w:trPr>
          <w:cantSplit/>
          <w:trHeight w:val="284"/>
          <w:jc w:val="center"/>
        </w:trPr>
        <w:tc>
          <w:tcPr>
            <w:tcW w:w="1564" w:type="pct"/>
            <w:tcBorders>
              <w:left w:val="thinThickSmallGap" w:sz="12"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b/>
                <w:sz w:val="20"/>
                <w:szCs w:val="20"/>
              </w:rPr>
            </w:pPr>
            <w:r w:rsidRPr="00AB4843">
              <w:rPr>
                <w:rFonts w:asciiTheme="minorHAnsi" w:hAnsiTheme="minorHAnsi"/>
                <w:b/>
                <w:sz w:val="20"/>
                <w:szCs w:val="20"/>
              </w:rPr>
              <w:t>Vanbilansne</w:t>
            </w:r>
          </w:p>
        </w:tc>
        <w:tc>
          <w:tcPr>
            <w:tcW w:w="1163" w:type="pct"/>
            <w:tcBorders>
              <w:left w:val="double" w:sz="4"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cs="Arial"/>
                <w:sz w:val="20"/>
                <w:szCs w:val="20"/>
                <w:lang w:val="sr-Latn-CS"/>
              </w:rPr>
            </w:pPr>
            <w:r w:rsidRPr="00AB4843">
              <w:rPr>
                <w:rFonts w:asciiTheme="minorHAnsi" w:hAnsiTheme="minorHAnsi" w:cs="Arial"/>
                <w:sz w:val="20"/>
                <w:szCs w:val="20"/>
                <w:lang w:val="sr-Latn-CS"/>
              </w:rPr>
              <w:t>14.700</w:t>
            </w:r>
          </w:p>
        </w:tc>
        <w:tc>
          <w:tcPr>
            <w:tcW w:w="1054" w:type="pct"/>
            <w:tcBorders>
              <w:left w:val="double" w:sz="4"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sz w:val="20"/>
                <w:szCs w:val="20"/>
              </w:rPr>
            </w:pPr>
            <w:r w:rsidRPr="00AB4843">
              <w:rPr>
                <w:rFonts w:asciiTheme="minorHAnsi" w:hAnsiTheme="minorHAnsi"/>
                <w:sz w:val="20"/>
                <w:szCs w:val="20"/>
              </w:rPr>
              <w:t>-</w:t>
            </w:r>
          </w:p>
        </w:tc>
        <w:tc>
          <w:tcPr>
            <w:tcW w:w="1219" w:type="pct"/>
            <w:tcBorders>
              <w:left w:val="double" w:sz="4" w:space="0" w:color="auto"/>
              <w:right w:val="thickThinSmallGap" w:sz="12" w:space="0" w:color="auto"/>
            </w:tcBorders>
            <w:shd w:val="clear" w:color="auto" w:fill="auto"/>
            <w:vAlign w:val="center"/>
          </w:tcPr>
          <w:p w:rsidR="00FF3F88" w:rsidRPr="00AB4843" w:rsidRDefault="00FF3F88" w:rsidP="00AF53FF">
            <w:pPr>
              <w:jc w:val="center"/>
              <w:rPr>
                <w:rFonts w:asciiTheme="minorHAnsi" w:hAnsiTheme="minorHAnsi" w:cs="Arial"/>
                <w:b/>
                <w:bCs/>
                <w:iCs/>
                <w:sz w:val="20"/>
                <w:szCs w:val="20"/>
              </w:rPr>
            </w:pPr>
            <w:r w:rsidRPr="00AB4843">
              <w:rPr>
                <w:rFonts w:asciiTheme="minorHAnsi" w:hAnsiTheme="minorHAnsi" w:cs="Arial"/>
                <w:b/>
                <w:sz w:val="20"/>
                <w:szCs w:val="20"/>
                <w:lang w:val="sr-Latn-CS"/>
              </w:rPr>
              <w:t>14.700</w:t>
            </w:r>
          </w:p>
        </w:tc>
      </w:tr>
      <w:tr w:rsidR="00FF3F88" w:rsidRPr="00AB4843" w:rsidTr="00AF53FF">
        <w:trPr>
          <w:cantSplit/>
          <w:trHeight w:val="284"/>
          <w:jc w:val="center"/>
        </w:trPr>
        <w:tc>
          <w:tcPr>
            <w:tcW w:w="1564" w:type="pct"/>
            <w:tcBorders>
              <w:left w:val="thinThickSmallGap" w:sz="12"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b/>
                <w:sz w:val="20"/>
                <w:szCs w:val="20"/>
              </w:rPr>
            </w:pPr>
            <w:r w:rsidRPr="00AB4843">
              <w:rPr>
                <w:rFonts w:asciiTheme="minorHAnsi" w:hAnsiTheme="minorHAnsi"/>
                <w:b/>
                <w:sz w:val="20"/>
                <w:szCs w:val="20"/>
              </w:rPr>
              <w:t>Eksploatacione</w:t>
            </w:r>
          </w:p>
        </w:tc>
        <w:tc>
          <w:tcPr>
            <w:tcW w:w="1163" w:type="pct"/>
            <w:tcBorders>
              <w:left w:val="double" w:sz="4" w:space="0" w:color="auto"/>
              <w:bottom w:val="single" w:sz="4"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cs="Arial"/>
                <w:bCs/>
                <w:iCs/>
                <w:sz w:val="20"/>
                <w:szCs w:val="20"/>
              </w:rPr>
            </w:pPr>
            <w:r w:rsidRPr="00AB4843">
              <w:rPr>
                <w:rFonts w:asciiTheme="minorHAnsi" w:hAnsiTheme="minorHAnsi" w:cs="Arial"/>
                <w:bCs/>
                <w:iCs/>
                <w:sz w:val="20"/>
                <w:szCs w:val="20"/>
              </w:rPr>
              <w:t>1.132.115</w:t>
            </w:r>
          </w:p>
        </w:tc>
        <w:tc>
          <w:tcPr>
            <w:tcW w:w="1054" w:type="pct"/>
            <w:tcBorders>
              <w:left w:val="double" w:sz="4" w:space="0" w:color="auto"/>
              <w:bottom w:val="single" w:sz="4"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cs="Arial"/>
                <w:bCs/>
                <w:iCs/>
                <w:sz w:val="20"/>
                <w:szCs w:val="20"/>
              </w:rPr>
            </w:pPr>
            <w:r w:rsidRPr="00AB4843">
              <w:rPr>
                <w:rFonts w:asciiTheme="minorHAnsi" w:hAnsiTheme="minorHAnsi" w:cs="Arial"/>
                <w:bCs/>
                <w:iCs/>
                <w:sz w:val="20"/>
                <w:szCs w:val="20"/>
              </w:rPr>
              <w:t>255.740</w:t>
            </w:r>
          </w:p>
        </w:tc>
        <w:tc>
          <w:tcPr>
            <w:tcW w:w="1219" w:type="pct"/>
            <w:tcBorders>
              <w:left w:val="double" w:sz="4" w:space="0" w:color="auto"/>
              <w:right w:val="thickThinSmallGap" w:sz="12" w:space="0" w:color="auto"/>
            </w:tcBorders>
            <w:shd w:val="clear" w:color="auto" w:fill="auto"/>
            <w:vAlign w:val="center"/>
          </w:tcPr>
          <w:p w:rsidR="00FF3F88" w:rsidRPr="00AB4843" w:rsidRDefault="00FF3F88" w:rsidP="00AF53FF">
            <w:pPr>
              <w:jc w:val="center"/>
              <w:rPr>
                <w:rFonts w:asciiTheme="minorHAnsi" w:hAnsiTheme="minorHAnsi" w:cs="Arial"/>
                <w:b/>
                <w:bCs/>
                <w:iCs/>
                <w:sz w:val="20"/>
                <w:szCs w:val="20"/>
              </w:rPr>
            </w:pPr>
            <w:r w:rsidRPr="00AB4843">
              <w:rPr>
                <w:rFonts w:asciiTheme="minorHAnsi" w:hAnsiTheme="minorHAnsi" w:cs="Arial"/>
                <w:b/>
                <w:sz w:val="20"/>
                <w:szCs w:val="20"/>
                <w:lang w:val="sr-Latn-CS"/>
              </w:rPr>
              <w:t>1.387.855</w:t>
            </w:r>
          </w:p>
        </w:tc>
      </w:tr>
      <w:tr w:rsidR="00FF3F88" w:rsidRPr="00AB4843" w:rsidTr="00AF53FF">
        <w:trPr>
          <w:cantSplit/>
          <w:trHeight w:val="284"/>
          <w:jc w:val="center"/>
        </w:trPr>
        <w:tc>
          <w:tcPr>
            <w:tcW w:w="1564" w:type="pct"/>
            <w:tcBorders>
              <w:left w:val="thinThickSmallGap" w:sz="12" w:space="0" w:color="auto"/>
              <w:bottom w:val="thickThinSmallGap" w:sz="12"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b/>
                <w:sz w:val="20"/>
                <w:szCs w:val="20"/>
              </w:rPr>
            </w:pPr>
            <w:r w:rsidRPr="00AB4843">
              <w:rPr>
                <w:rFonts w:asciiTheme="minorHAnsi" w:hAnsiTheme="minorHAnsi"/>
                <w:b/>
                <w:sz w:val="20"/>
                <w:szCs w:val="20"/>
              </w:rPr>
              <w:t>Eksploatacione</w:t>
            </w:r>
          </w:p>
        </w:tc>
        <w:tc>
          <w:tcPr>
            <w:tcW w:w="2217" w:type="pct"/>
            <w:gridSpan w:val="2"/>
            <w:tcBorders>
              <w:left w:val="double" w:sz="4" w:space="0" w:color="auto"/>
              <w:bottom w:val="thickThinSmallGap" w:sz="12" w:space="0" w:color="auto"/>
              <w:right w:val="double" w:sz="4" w:space="0" w:color="auto"/>
            </w:tcBorders>
            <w:shd w:val="clear" w:color="auto" w:fill="auto"/>
            <w:vAlign w:val="center"/>
          </w:tcPr>
          <w:p w:rsidR="00FF3F88" w:rsidRPr="00AB4843" w:rsidRDefault="00FF3F88" w:rsidP="00AF53FF">
            <w:pPr>
              <w:jc w:val="center"/>
              <w:rPr>
                <w:rFonts w:asciiTheme="minorHAnsi" w:hAnsiTheme="minorHAnsi" w:cs="Arial"/>
                <w:b/>
                <w:bCs/>
                <w:i/>
                <w:iCs/>
                <w:sz w:val="20"/>
                <w:szCs w:val="20"/>
              </w:rPr>
            </w:pPr>
            <w:r w:rsidRPr="00AB4843">
              <w:rPr>
                <w:rFonts w:asciiTheme="minorHAnsi" w:hAnsiTheme="minorHAnsi" w:cs="Arial"/>
                <w:b/>
                <w:bCs/>
                <w:i/>
                <w:iCs/>
                <w:sz w:val="20"/>
                <w:szCs w:val="20"/>
              </w:rPr>
              <w:t>zaokruženo</w:t>
            </w:r>
          </w:p>
        </w:tc>
        <w:tc>
          <w:tcPr>
            <w:tcW w:w="1219" w:type="pct"/>
            <w:tcBorders>
              <w:left w:val="double" w:sz="4" w:space="0" w:color="auto"/>
              <w:bottom w:val="thickThinSmallGap" w:sz="12" w:space="0" w:color="auto"/>
              <w:right w:val="thickThinSmallGap" w:sz="12" w:space="0" w:color="auto"/>
            </w:tcBorders>
            <w:shd w:val="clear" w:color="auto" w:fill="auto"/>
            <w:vAlign w:val="center"/>
          </w:tcPr>
          <w:p w:rsidR="00FF3F88" w:rsidRPr="00AB4843" w:rsidRDefault="00FF3F88" w:rsidP="00AF53FF">
            <w:pPr>
              <w:jc w:val="center"/>
              <w:rPr>
                <w:rFonts w:asciiTheme="minorHAnsi" w:hAnsiTheme="minorHAnsi" w:cs="Arial"/>
                <w:b/>
                <w:sz w:val="20"/>
                <w:szCs w:val="20"/>
                <w:lang w:val="sr-Latn-CS"/>
              </w:rPr>
            </w:pPr>
            <w:r w:rsidRPr="00AB4843">
              <w:rPr>
                <w:rFonts w:asciiTheme="minorHAnsi" w:hAnsiTheme="minorHAnsi" w:cs="Arial"/>
                <w:b/>
                <w:sz w:val="20"/>
                <w:szCs w:val="20"/>
                <w:lang w:val="sr-Latn-CS"/>
              </w:rPr>
              <w:t>≈ 1.387.900</w:t>
            </w:r>
          </w:p>
        </w:tc>
      </w:tr>
    </w:tbl>
    <w:p w:rsidR="00FF3F88" w:rsidRPr="00AB4843" w:rsidRDefault="00FF3F88" w:rsidP="00403695">
      <w:pPr>
        <w:rPr>
          <w:rFonts w:asciiTheme="minorHAnsi" w:hAnsiTheme="minorHAnsi" w:cs="Arial"/>
          <w:sz w:val="20"/>
          <w:szCs w:val="20"/>
          <w:lang w:val="hr-HR"/>
        </w:rPr>
      </w:pPr>
    </w:p>
    <w:p w:rsidR="00FF3F88" w:rsidRPr="00AB4843" w:rsidRDefault="00FF3F88" w:rsidP="00403695">
      <w:pPr>
        <w:rPr>
          <w:rFonts w:asciiTheme="minorHAnsi" w:hAnsiTheme="minorHAnsi"/>
          <w:sz w:val="20"/>
          <w:szCs w:val="20"/>
          <w:lang w:val="hr-HR"/>
        </w:rPr>
      </w:pPr>
      <w:r w:rsidRPr="00AB4843">
        <w:rPr>
          <w:rFonts w:asciiTheme="minorHAnsi" w:hAnsiTheme="minorHAnsi" w:cs="Arial"/>
          <w:sz w:val="20"/>
          <w:szCs w:val="20"/>
          <w:lang w:val="hr-HR"/>
        </w:rPr>
        <w:t>Prema rezultatima laboratorijskih ispitivanja, koja se odnose na mineraloško-petrografski i hemijski sastav i fizičko-mehaničke osobine stijenske mase, proizilazi da kvalitet karbonatnih sedimenata ležišta “Nalježići” kod Kotora zadovoljava sve kriterijume važećih domaćih standarda (JUS) u pogledu primjene u tehničko-građevinske svrhe.</w:t>
      </w:r>
    </w:p>
    <w:p w:rsidR="00FF3F88" w:rsidRPr="00AB4843" w:rsidRDefault="00FF3F88" w:rsidP="00403695">
      <w:pPr>
        <w:rPr>
          <w:rFonts w:asciiTheme="minorHAnsi" w:hAnsiTheme="minorHAnsi" w:cs="Arial"/>
          <w:sz w:val="20"/>
          <w:szCs w:val="20"/>
          <w:lang w:val="hr-HR"/>
        </w:rPr>
      </w:pPr>
    </w:p>
    <w:p w:rsidR="00FF3F88" w:rsidRPr="00AB4843" w:rsidRDefault="00FF3F88" w:rsidP="00403695">
      <w:pPr>
        <w:rPr>
          <w:rFonts w:asciiTheme="minorHAnsi" w:hAnsiTheme="minorHAnsi" w:cs="Arial"/>
          <w:sz w:val="20"/>
          <w:szCs w:val="20"/>
          <w:lang w:val="sl-SI"/>
        </w:rPr>
      </w:pPr>
      <w:r w:rsidRPr="00AB4843">
        <w:rPr>
          <w:rFonts w:asciiTheme="minorHAnsi" w:hAnsiTheme="minorHAnsi" w:cs="Arial"/>
          <w:sz w:val="20"/>
          <w:szCs w:val="20"/>
          <w:lang w:val="hr-HR"/>
        </w:rPr>
        <w:t xml:space="preserve">Na osnovu rezultata laboratorijskih ispitivanja tehničko-građevinski kamen ležišta „Nalježići“ može se koristiti u građevinarstvu </w:t>
      </w:r>
      <w:r w:rsidRPr="00AB4843">
        <w:rPr>
          <w:rFonts w:asciiTheme="minorHAnsi" w:hAnsiTheme="minorHAnsi" w:cs="Arial"/>
          <w:sz w:val="20"/>
          <w:szCs w:val="20"/>
          <w:lang w:val="sl-SI"/>
        </w:rPr>
        <w:t>u tehničko-građevinske svrhe, i to prvenstveno za:</w:t>
      </w:r>
    </w:p>
    <w:p w:rsidR="00FF3F88" w:rsidRPr="00AB4843" w:rsidRDefault="00FF3F88" w:rsidP="00403695">
      <w:pPr>
        <w:rPr>
          <w:rFonts w:asciiTheme="minorHAnsi" w:hAnsiTheme="minorHAnsi" w:cs="Arial"/>
          <w:sz w:val="20"/>
          <w:szCs w:val="20"/>
          <w:lang w:val="hr-HR"/>
        </w:rPr>
      </w:pPr>
    </w:p>
    <w:p w:rsidR="00FF3F88" w:rsidRPr="00AB4843" w:rsidRDefault="00FF3F88" w:rsidP="00403695">
      <w:pPr>
        <w:numPr>
          <w:ilvl w:val="0"/>
          <w:numId w:val="9"/>
        </w:numPr>
        <w:tabs>
          <w:tab w:val="clear" w:pos="360"/>
          <w:tab w:val="num" w:pos="720"/>
          <w:tab w:val="num" w:pos="3120"/>
        </w:tabs>
        <w:ind w:left="720"/>
        <w:jc w:val="both"/>
        <w:rPr>
          <w:rFonts w:asciiTheme="minorHAnsi" w:hAnsiTheme="minorHAnsi" w:cs="Arial"/>
          <w:sz w:val="20"/>
          <w:szCs w:val="20"/>
          <w:lang w:val="hr-HR"/>
        </w:rPr>
      </w:pPr>
      <w:r w:rsidRPr="00AB4843">
        <w:rPr>
          <w:rFonts w:asciiTheme="minorHAnsi" w:hAnsiTheme="minorHAnsi" w:cs="Arial"/>
          <w:sz w:val="20"/>
          <w:szCs w:val="20"/>
          <w:lang w:val="hr-HR"/>
        </w:rPr>
        <w:t>proizvodnju agregata za izradu betona (po JUS-u B.B2.009),</w:t>
      </w:r>
    </w:p>
    <w:p w:rsidR="00FF3F88" w:rsidRPr="00AB4843" w:rsidRDefault="00FF3F88" w:rsidP="00403695">
      <w:pPr>
        <w:numPr>
          <w:ilvl w:val="0"/>
          <w:numId w:val="9"/>
        </w:numPr>
        <w:tabs>
          <w:tab w:val="clear" w:pos="360"/>
          <w:tab w:val="num" w:pos="720"/>
          <w:tab w:val="num" w:pos="3120"/>
        </w:tabs>
        <w:ind w:left="720"/>
        <w:jc w:val="both"/>
        <w:rPr>
          <w:rFonts w:asciiTheme="minorHAnsi" w:hAnsiTheme="minorHAnsi" w:cs="Arial"/>
          <w:sz w:val="20"/>
          <w:szCs w:val="20"/>
          <w:lang w:val="hr-HR"/>
        </w:rPr>
      </w:pPr>
      <w:r w:rsidRPr="00AB4843">
        <w:rPr>
          <w:rFonts w:asciiTheme="minorHAnsi" w:hAnsiTheme="minorHAnsi" w:cs="Arial"/>
          <w:sz w:val="20"/>
          <w:szCs w:val="20"/>
          <w:lang w:val="hr-HR"/>
        </w:rPr>
        <w:t>proizvodnju agregata za izradu habajućih slojeva od asfaltnih betona po vrućem postupku za puteve sa srednjim, lakim i vrlo lakim saobraćajnim opterećenjem (po JUS-u U.E4.014),</w:t>
      </w:r>
    </w:p>
    <w:p w:rsidR="00FF3F88" w:rsidRPr="00AB4843" w:rsidRDefault="00FF3F88" w:rsidP="00403695">
      <w:pPr>
        <w:numPr>
          <w:ilvl w:val="0"/>
          <w:numId w:val="9"/>
        </w:numPr>
        <w:tabs>
          <w:tab w:val="clear" w:pos="360"/>
          <w:tab w:val="num" w:pos="720"/>
          <w:tab w:val="num" w:pos="3120"/>
        </w:tabs>
        <w:ind w:left="720"/>
        <w:jc w:val="both"/>
        <w:rPr>
          <w:rFonts w:asciiTheme="minorHAnsi" w:hAnsiTheme="minorHAnsi" w:cs="Arial"/>
          <w:sz w:val="20"/>
          <w:szCs w:val="20"/>
          <w:lang w:val="hr-HR"/>
        </w:rPr>
      </w:pPr>
      <w:r w:rsidRPr="00AB4843">
        <w:rPr>
          <w:rFonts w:asciiTheme="minorHAnsi" w:hAnsiTheme="minorHAnsi" w:cs="Arial"/>
          <w:sz w:val="20"/>
          <w:szCs w:val="20"/>
          <w:lang w:val="hr-HR"/>
        </w:rPr>
        <w:t>proizvodnju agregata za klasične i savremene podloge za puteve (po JUS-u U.E9.020),</w:t>
      </w:r>
    </w:p>
    <w:p w:rsidR="00FF3F88" w:rsidRPr="00AB4843" w:rsidRDefault="00FF3F88" w:rsidP="00403695">
      <w:pPr>
        <w:numPr>
          <w:ilvl w:val="0"/>
          <w:numId w:val="9"/>
        </w:numPr>
        <w:tabs>
          <w:tab w:val="clear" w:pos="360"/>
          <w:tab w:val="num" w:pos="720"/>
          <w:tab w:val="num" w:pos="3120"/>
        </w:tabs>
        <w:ind w:left="720"/>
        <w:jc w:val="both"/>
        <w:rPr>
          <w:rFonts w:asciiTheme="minorHAnsi" w:hAnsiTheme="minorHAnsi" w:cs="Arial"/>
          <w:sz w:val="20"/>
          <w:szCs w:val="20"/>
          <w:lang w:val="hr-HR"/>
        </w:rPr>
      </w:pPr>
      <w:r w:rsidRPr="00AB4843">
        <w:rPr>
          <w:rFonts w:asciiTheme="minorHAnsi" w:hAnsiTheme="minorHAnsi" w:cs="Arial"/>
          <w:sz w:val="20"/>
          <w:szCs w:val="20"/>
          <w:lang w:val="hr-HR"/>
        </w:rPr>
        <w:t>proizvodnju agregata za donje i gornje noseće slojeve od bituminiziranog materijala po vrućem postupku (po JUS-u U.E9.021 i JUS-u U.E9.028),</w:t>
      </w:r>
    </w:p>
    <w:p w:rsidR="00FF3F88" w:rsidRPr="00AB4843" w:rsidRDefault="00FF3F88" w:rsidP="00403695">
      <w:pPr>
        <w:numPr>
          <w:ilvl w:val="0"/>
          <w:numId w:val="9"/>
        </w:numPr>
        <w:tabs>
          <w:tab w:val="clear" w:pos="360"/>
          <w:tab w:val="num" w:pos="720"/>
          <w:tab w:val="num" w:pos="3120"/>
        </w:tabs>
        <w:ind w:left="720"/>
        <w:jc w:val="both"/>
        <w:rPr>
          <w:rFonts w:asciiTheme="minorHAnsi" w:hAnsiTheme="minorHAnsi" w:cs="Arial"/>
          <w:sz w:val="20"/>
          <w:szCs w:val="20"/>
          <w:lang w:val="hr-HR"/>
        </w:rPr>
      </w:pPr>
      <w:r w:rsidRPr="00AB4843">
        <w:rPr>
          <w:rFonts w:asciiTheme="minorHAnsi" w:hAnsiTheme="minorHAnsi" w:cs="Arial"/>
          <w:sz w:val="20"/>
          <w:szCs w:val="20"/>
          <w:lang w:val="hr-HR"/>
        </w:rPr>
        <w:t>proizvodnju tucanika kategorije II za zastor željezničkih pruga (po Uputstvu za prijem i isporuku tucanika za zastor pruga na JŽ), kao i za</w:t>
      </w:r>
    </w:p>
    <w:p w:rsidR="00FF3F88" w:rsidRPr="001F3308" w:rsidRDefault="00FF3F88" w:rsidP="00403695">
      <w:pPr>
        <w:numPr>
          <w:ilvl w:val="0"/>
          <w:numId w:val="11"/>
        </w:numPr>
        <w:tabs>
          <w:tab w:val="clear" w:pos="360"/>
          <w:tab w:val="num" w:pos="720"/>
        </w:tabs>
        <w:ind w:left="720"/>
        <w:jc w:val="both"/>
        <w:rPr>
          <w:rFonts w:asciiTheme="minorHAnsi" w:hAnsiTheme="minorHAnsi" w:cs="Arial"/>
          <w:sz w:val="20"/>
          <w:szCs w:val="20"/>
          <w:lang w:val="pl-PL"/>
        </w:rPr>
      </w:pPr>
      <w:r w:rsidRPr="00AB4843">
        <w:rPr>
          <w:rFonts w:asciiTheme="minorHAnsi" w:hAnsiTheme="minorHAnsi" w:cs="Arial"/>
          <w:sz w:val="20"/>
          <w:szCs w:val="20"/>
          <w:lang w:val="hr-HR"/>
        </w:rPr>
        <w:t>proizvodnju lomljenog kamena i tesanika za gruba zidanja u niskogradnji i hidrogradnji.</w:t>
      </w:r>
    </w:p>
    <w:p w:rsidR="00AB16D5" w:rsidRPr="00AB4843" w:rsidRDefault="00AB16D5" w:rsidP="00403695">
      <w:pPr>
        <w:rPr>
          <w:rFonts w:asciiTheme="minorHAnsi" w:hAnsiTheme="minorHAnsi" w:cstheme="minorHAnsi"/>
          <w:b/>
          <w:sz w:val="20"/>
          <w:szCs w:val="20"/>
          <w:lang w:val="sr-Latn-CS"/>
        </w:rPr>
      </w:pPr>
    </w:p>
    <w:p w:rsidR="00AB16D5" w:rsidRPr="00AB4843" w:rsidRDefault="00AB16D5" w:rsidP="00403695">
      <w:pPr>
        <w:ind w:left="-90"/>
        <w:rPr>
          <w:rFonts w:asciiTheme="minorHAnsi" w:hAnsiTheme="minorHAnsi" w:cstheme="minorHAnsi"/>
          <w:b/>
          <w:sz w:val="20"/>
          <w:szCs w:val="20"/>
          <w:lang w:val="sr-Latn-CS"/>
        </w:rPr>
      </w:pPr>
      <w:r w:rsidRPr="00AB4843">
        <w:rPr>
          <w:rFonts w:asciiTheme="minorHAnsi" w:hAnsiTheme="minorHAnsi" w:cstheme="minorHAnsi"/>
          <w:b/>
          <w:sz w:val="20"/>
          <w:szCs w:val="20"/>
          <w:lang w:val="sr-Latn-CS"/>
        </w:rPr>
        <w:t xml:space="preserve">  5. Ležište tehničko-građevinskog kamena (TGK) „Velji Zabio“, opština Bar</w:t>
      </w:r>
    </w:p>
    <w:p w:rsidR="00AB16D5" w:rsidRPr="00AB4843" w:rsidRDefault="00AB16D5" w:rsidP="00403695">
      <w:pPr>
        <w:ind w:left="-90"/>
        <w:rPr>
          <w:rFonts w:asciiTheme="minorHAnsi" w:hAnsiTheme="minorHAnsi" w:cstheme="minorHAnsi"/>
          <w:b/>
          <w:sz w:val="20"/>
          <w:szCs w:val="20"/>
          <w:lang w:val="sr-Latn-CS"/>
        </w:rPr>
      </w:pPr>
    </w:p>
    <w:p w:rsidR="00282012" w:rsidRPr="00AB4843" w:rsidRDefault="00282012" w:rsidP="00403695">
      <w:pPr>
        <w:jc w:val="both"/>
        <w:rPr>
          <w:rFonts w:asciiTheme="minorHAnsi" w:hAnsiTheme="minorHAnsi" w:cs="Calibri"/>
          <w:sz w:val="20"/>
          <w:szCs w:val="20"/>
          <w:lang w:val="sr-Latn-CS"/>
        </w:rPr>
      </w:pPr>
      <w:r w:rsidRPr="00AB4843">
        <w:rPr>
          <w:rFonts w:asciiTheme="minorHAnsi" w:hAnsiTheme="minorHAnsi" w:cs="Calibri"/>
          <w:sz w:val="20"/>
          <w:szCs w:val="20"/>
          <w:lang w:val="sr-Latn-CS"/>
        </w:rPr>
        <w:t>Ležište tehničko-građevinskog kamena “Velji Zabio”, u geografskom smislu pripada primorskom regionu. Nalazi se na sjeveroistočnim padinama brda Volujica, oko 4 km jugoistočno od Bara.</w:t>
      </w:r>
    </w:p>
    <w:p w:rsidR="00282012" w:rsidRPr="00AB4843" w:rsidRDefault="00282012" w:rsidP="00403695">
      <w:pPr>
        <w:jc w:val="both"/>
        <w:rPr>
          <w:rFonts w:asciiTheme="minorHAnsi" w:hAnsiTheme="minorHAnsi" w:cs="Calibri"/>
          <w:sz w:val="20"/>
          <w:szCs w:val="20"/>
          <w:lang w:val="sr-Latn-CS"/>
        </w:rPr>
      </w:pPr>
    </w:p>
    <w:p w:rsidR="00282012" w:rsidRPr="00AB4843"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Prema administrativnoj podjeli, prostor na kojem se nalazi ležište, pripada opštini Bar.</w:t>
      </w:r>
    </w:p>
    <w:p w:rsidR="00282012" w:rsidRPr="00AB4843"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Istražno-eksploatacioni prostor i ležište tehničko-građevinskog kamena “Velji Zabio” pripada geografskom listu Bar, 1:100 000, odnosno, sekciji Bar, 1:25 000 i zahvata površinu od 28,68 ha.</w:t>
      </w:r>
    </w:p>
    <w:p w:rsidR="00282012" w:rsidRPr="00AB4843"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Saobraćajne veze u užem i širem području istražno-eksploatacionog prostora su veoma dobre, kada se radi o drumskom, željezničkom i pomorskom saobraćaju.</w:t>
      </w:r>
    </w:p>
    <w:p w:rsidR="00282012" w:rsidRPr="00AB4843"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Samo ležište je lokalnim putem povezano sa Jadranskom magistralom, tj. sa magistralnim putem Bar-Ulcinj, a sa njim i sa željezničkom stanicom i lukom Bar.</w:t>
      </w:r>
    </w:p>
    <w:p w:rsidR="00282012" w:rsidRPr="00AB4843"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Najbliža željeznička stanica i pomorska luka je u Baru.</w:t>
      </w:r>
    </w:p>
    <w:p w:rsidR="00282012" w:rsidRPr="00AB4843" w:rsidRDefault="00282012" w:rsidP="00403695">
      <w:pPr>
        <w:jc w:val="both"/>
        <w:rPr>
          <w:rFonts w:asciiTheme="minorHAnsi" w:hAnsiTheme="minorHAnsi" w:cs="Calibri"/>
          <w:sz w:val="20"/>
          <w:szCs w:val="20"/>
          <w:lang w:val="sv-SE"/>
        </w:rPr>
      </w:pPr>
    </w:p>
    <w:p w:rsidR="00282012" w:rsidRPr="00AB4843"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lastRenderedPageBreak/>
        <w:t>U geomorfološkom pogledu područje ležišta “Velji Zabio” pripada oblasti Crnogorskog primorja. Reljef ovog područja je u direktnoj zavisnosti od litološkog sastava i strukturnog sklopa terena, tako da se jasno izdvaja priobalni pojas od flišnih naslaga i zaleđe od karbonatnih stijena krečnjačko-dolomitskog sastava.</w:t>
      </w:r>
    </w:p>
    <w:p w:rsidR="00282012" w:rsidRPr="00AB4843" w:rsidRDefault="00282012" w:rsidP="00403695">
      <w:pPr>
        <w:jc w:val="both"/>
        <w:rPr>
          <w:rFonts w:asciiTheme="minorHAnsi" w:hAnsiTheme="minorHAnsi" w:cs="Calibri"/>
          <w:sz w:val="20"/>
          <w:szCs w:val="20"/>
          <w:lang w:val="sv-SE"/>
        </w:rPr>
      </w:pPr>
    </w:p>
    <w:p w:rsidR="00282012"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Brdo Volujica, u morfološkom smislu, predstavlja poluostrvo, sa najvisočijom kotom od 256 m.n.m. i završava se istoimenim rtom. Brdo se pruža pravcem SZ-JI, čija sjeverna padina strmo pada prema ravni Barskog polja.</w:t>
      </w:r>
    </w:p>
    <w:p w:rsidR="00F27279" w:rsidRPr="00AB4843" w:rsidRDefault="00F27279" w:rsidP="00403695">
      <w:pPr>
        <w:jc w:val="both"/>
        <w:rPr>
          <w:rFonts w:asciiTheme="minorHAnsi" w:hAnsiTheme="minorHAnsi" w:cs="Calibri"/>
          <w:sz w:val="20"/>
          <w:szCs w:val="20"/>
          <w:lang w:val="sv-SE"/>
        </w:rPr>
      </w:pPr>
    </w:p>
    <w:p w:rsidR="00F27279"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 xml:space="preserve">Sa hidrogeološkog aspekta, odlike područja u kome se nalazi ležište tehničko-građevinskog kamena “Velji Zabio” </w:t>
      </w:r>
    </w:p>
    <w:p w:rsidR="00282012" w:rsidRPr="00AB4843"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su, relativno, jednostavne, sa slabo razvijenom hidrografskom mrežom. Javljaju se povremeni tokovi u rječicama Orahovštici i Željeznici. U širem dijelu terena kaptirani su izvori sa malom izdanošću, koji se koriste za vodosnabdijevanje okolnih naselja.</w:t>
      </w:r>
    </w:p>
    <w:p w:rsidR="00282012" w:rsidRPr="00AB4843" w:rsidRDefault="00282012" w:rsidP="00403695">
      <w:pPr>
        <w:jc w:val="both"/>
        <w:rPr>
          <w:rFonts w:asciiTheme="minorHAnsi" w:hAnsiTheme="minorHAnsi" w:cs="Calibri"/>
          <w:sz w:val="20"/>
          <w:szCs w:val="20"/>
          <w:lang w:val="sv-SE"/>
        </w:rPr>
      </w:pPr>
    </w:p>
    <w:p w:rsidR="00282012" w:rsidRPr="00AB4843"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 xml:space="preserve">U granicama ležišta nema naselja, a zemljište je obraslo niskom šumom i kamenito je, zbog čega je teško prohodno. </w:t>
      </w:r>
    </w:p>
    <w:p w:rsidR="00294DE2" w:rsidRPr="00AB4843" w:rsidRDefault="00294DE2" w:rsidP="00403695">
      <w:pPr>
        <w:jc w:val="both"/>
        <w:rPr>
          <w:rFonts w:asciiTheme="minorHAnsi" w:hAnsiTheme="minorHAnsi" w:cs="Calibri"/>
          <w:sz w:val="20"/>
          <w:szCs w:val="20"/>
          <w:lang w:val="sv-SE"/>
        </w:rPr>
      </w:pPr>
    </w:p>
    <w:p w:rsidR="00282012" w:rsidRPr="00AB4843"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Ležište tehničko-građevinskog kamena “Velji Zabio” se nalazi na sjeveroistočnomkrilu antiklinale Volujica-Šasko brdo, koje izgrađuju sedimenti gornje krede, tj.santon-kampana (K</w:t>
      </w:r>
      <w:r w:rsidRPr="00AB4843">
        <w:rPr>
          <w:rFonts w:asciiTheme="minorHAnsi" w:hAnsiTheme="minorHAnsi" w:cs="Calibri"/>
          <w:sz w:val="20"/>
          <w:szCs w:val="20"/>
          <w:vertAlign w:val="subscript"/>
          <w:lang w:val="sv-SE"/>
        </w:rPr>
        <w:t>2</w:t>
      </w:r>
      <w:r w:rsidRPr="00AB4843">
        <w:rPr>
          <w:rFonts w:asciiTheme="minorHAnsi" w:hAnsiTheme="minorHAnsi" w:cs="Calibri"/>
          <w:sz w:val="20"/>
          <w:szCs w:val="20"/>
          <w:vertAlign w:val="superscript"/>
          <w:lang w:val="sv-SE"/>
        </w:rPr>
        <w:t>4,5</w:t>
      </w:r>
      <w:r w:rsidRPr="00AB4843">
        <w:rPr>
          <w:rFonts w:asciiTheme="minorHAnsi" w:hAnsiTheme="minorHAnsi" w:cs="Calibri"/>
          <w:sz w:val="20"/>
          <w:szCs w:val="20"/>
          <w:lang w:val="sv-SE"/>
        </w:rPr>
        <w:t>). Pored sedimenata gornje krede, na sjeveroistočnom obodu ležišta, zastupljeni su i sedimenit kvartara (Q).</w:t>
      </w:r>
    </w:p>
    <w:p w:rsidR="00282012" w:rsidRPr="00AB4843" w:rsidRDefault="00282012" w:rsidP="00403695">
      <w:pPr>
        <w:jc w:val="both"/>
        <w:rPr>
          <w:rFonts w:asciiTheme="minorHAnsi" w:hAnsiTheme="minorHAnsi" w:cs="Calibri"/>
          <w:b/>
          <w:sz w:val="20"/>
          <w:szCs w:val="20"/>
          <w:lang w:val="sv-SE"/>
        </w:rPr>
      </w:pPr>
    </w:p>
    <w:p w:rsidR="00282012" w:rsidRPr="00AB4843"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U prethodnom periodu vršeni su geološki istražni radovi za potrebe AD “Zavoda za izgradnju Bara” – Bar, koji je do 2014. godine imao koncesiono pravo na eksploataciju  ležišta “Velji Zabio” (u 2014. godini je nakon stečajnog postupka bankrotirao).</w:t>
      </w:r>
    </w:p>
    <w:p w:rsidR="00282012" w:rsidRPr="00AB4843" w:rsidRDefault="00282012" w:rsidP="00403695">
      <w:pPr>
        <w:jc w:val="both"/>
        <w:rPr>
          <w:rFonts w:asciiTheme="minorHAnsi" w:hAnsiTheme="minorHAnsi" w:cs="Calibri"/>
          <w:sz w:val="20"/>
          <w:szCs w:val="20"/>
          <w:lang w:val="sv-SE"/>
        </w:rPr>
      </w:pPr>
    </w:p>
    <w:p w:rsidR="00282012" w:rsidRPr="00AB4843" w:rsidRDefault="00282012" w:rsidP="00403695">
      <w:pPr>
        <w:jc w:val="both"/>
        <w:rPr>
          <w:rFonts w:asciiTheme="minorHAnsi" w:hAnsiTheme="minorHAnsi" w:cs="Calibri"/>
          <w:sz w:val="20"/>
          <w:szCs w:val="20"/>
          <w:lang w:val="sv-SE"/>
        </w:rPr>
      </w:pPr>
      <w:r w:rsidRPr="00AB4843">
        <w:rPr>
          <w:rFonts w:asciiTheme="minorHAnsi" w:hAnsiTheme="minorHAnsi" w:cs="Calibri"/>
          <w:sz w:val="20"/>
          <w:szCs w:val="20"/>
          <w:lang w:val="sv-SE"/>
        </w:rPr>
        <w:t>Geološka istraživanja izvedena</w:t>
      </w:r>
      <w:r w:rsidR="00294DE2" w:rsidRPr="00AB4843">
        <w:rPr>
          <w:rFonts w:asciiTheme="minorHAnsi" w:hAnsiTheme="minorHAnsi" w:cs="Calibri"/>
          <w:sz w:val="20"/>
          <w:szCs w:val="20"/>
          <w:lang w:val="sv-SE"/>
        </w:rPr>
        <w:t>, iz dokumentacije Ministarstva ekonomije, izvodila su se u perodu 1983 – 2011. godine.</w:t>
      </w:r>
    </w:p>
    <w:p w:rsidR="00282012" w:rsidRPr="00AB4843" w:rsidRDefault="00282012" w:rsidP="00403695">
      <w:pPr>
        <w:pStyle w:val="ListParagraph"/>
        <w:tabs>
          <w:tab w:val="left" w:pos="0"/>
        </w:tabs>
        <w:ind w:left="0"/>
        <w:jc w:val="both"/>
        <w:rPr>
          <w:rFonts w:asciiTheme="minorHAnsi" w:hAnsiTheme="minorHAnsi" w:cs="Calibri"/>
          <w:sz w:val="20"/>
          <w:szCs w:val="20"/>
          <w:lang w:val="sv-SE"/>
        </w:rPr>
      </w:pPr>
      <w:r w:rsidRPr="00AB4843">
        <w:rPr>
          <w:rFonts w:asciiTheme="minorHAnsi" w:hAnsiTheme="minorHAnsi" w:cs="Calibri"/>
          <w:sz w:val="20"/>
          <w:szCs w:val="20"/>
          <w:lang w:val="sv-SE"/>
        </w:rPr>
        <w:t>U toku 2011. godine izvedena su detaljna geološka istraž</w:t>
      </w:r>
      <w:r w:rsidR="00294DE2" w:rsidRPr="00AB4843">
        <w:rPr>
          <w:rFonts w:asciiTheme="minorHAnsi" w:hAnsiTheme="minorHAnsi" w:cs="Calibri"/>
          <w:sz w:val="20"/>
          <w:szCs w:val="20"/>
          <w:lang w:val="sv-SE"/>
        </w:rPr>
        <w:t>ivanja na prostoru površine 28,384 ha</w:t>
      </w:r>
      <w:r w:rsidRPr="00AB4843">
        <w:rPr>
          <w:rFonts w:asciiTheme="minorHAnsi" w:hAnsiTheme="minorHAnsi" w:cs="Calibri"/>
          <w:sz w:val="20"/>
          <w:szCs w:val="20"/>
          <w:lang w:val="sv-SE"/>
        </w:rPr>
        <w:t xml:space="preserve"> u odnosu na prethodna istraživanja i urađen je je  “Elaborat o  klasifikaciji, kategorizaciji I proračunu rezervi tehničko-građevinskog kamena ležišta “Velji Zabio”, stanje 31.12.2010. godine”.</w:t>
      </w:r>
    </w:p>
    <w:p w:rsidR="00294DE2" w:rsidRPr="00AB4843" w:rsidRDefault="00294DE2" w:rsidP="00403695">
      <w:pPr>
        <w:jc w:val="both"/>
        <w:rPr>
          <w:rFonts w:asciiTheme="minorHAnsi" w:hAnsiTheme="minorHAnsi" w:cs="Calibri"/>
          <w:sz w:val="20"/>
          <w:szCs w:val="20"/>
          <w:lang w:val="sv-SE"/>
        </w:rPr>
      </w:pPr>
    </w:p>
    <w:p w:rsidR="00294DE2" w:rsidRPr="001F3308" w:rsidRDefault="00282012" w:rsidP="00403695">
      <w:pPr>
        <w:jc w:val="both"/>
        <w:rPr>
          <w:rFonts w:asciiTheme="minorHAnsi" w:hAnsiTheme="minorHAnsi" w:cs="Calibri"/>
          <w:sz w:val="20"/>
          <w:szCs w:val="20"/>
          <w:lang w:val="sr-Latn-CS"/>
        </w:rPr>
      </w:pPr>
      <w:r w:rsidRPr="00AB4843">
        <w:rPr>
          <w:rFonts w:asciiTheme="minorHAnsi" w:hAnsiTheme="minorHAnsi" w:cs="Calibri"/>
          <w:sz w:val="20"/>
          <w:szCs w:val="20"/>
          <w:lang w:val="sv-SE"/>
        </w:rPr>
        <w:t xml:space="preserve">Navedeni Elaborat je  ovjeren od strane nadležno ministarstva </w:t>
      </w:r>
      <w:r w:rsidRPr="00AB4843">
        <w:rPr>
          <w:rFonts w:asciiTheme="minorHAnsi" w:hAnsiTheme="minorHAnsi" w:cs="Calibri"/>
          <w:sz w:val="20"/>
          <w:szCs w:val="20"/>
          <w:lang w:val="sr-Latn-CS"/>
        </w:rPr>
        <w:t>sa sljedećim količinama i kvalitetom rezervi:</w:t>
      </w:r>
    </w:p>
    <w:tbl>
      <w:tblPr>
        <w:tblW w:w="5000" w:type="pct"/>
        <w:tblLook w:val="01E0" w:firstRow="1" w:lastRow="1" w:firstColumn="1" w:lastColumn="1" w:noHBand="0" w:noVBand="0"/>
      </w:tblPr>
      <w:tblGrid>
        <w:gridCol w:w="2133"/>
        <w:gridCol w:w="2030"/>
        <w:gridCol w:w="2082"/>
        <w:gridCol w:w="3331"/>
      </w:tblGrid>
      <w:tr w:rsidR="00282012" w:rsidRPr="003B150E" w:rsidTr="00AF53FF">
        <w:trPr>
          <w:trHeight w:val="330"/>
        </w:trPr>
        <w:tc>
          <w:tcPr>
            <w:tcW w:w="1114" w:type="pct"/>
            <w:vMerge w:val="restart"/>
            <w:tcBorders>
              <w:top w:val="thinThickSmallGap" w:sz="18" w:space="0" w:color="auto"/>
              <w:left w:val="thinThickSmallGap" w:sz="18" w:space="0" w:color="auto"/>
              <w:right w:val="double" w:sz="4" w:space="0" w:color="auto"/>
            </w:tcBorders>
            <w:shd w:val="clear" w:color="auto" w:fill="92D050"/>
            <w:vAlign w:val="center"/>
          </w:tcPr>
          <w:p w:rsidR="00282012" w:rsidRPr="00AB4843" w:rsidRDefault="00282012" w:rsidP="00AF53FF">
            <w:pPr>
              <w:jc w:val="center"/>
              <w:rPr>
                <w:rFonts w:asciiTheme="minorHAnsi" w:hAnsiTheme="minorHAnsi" w:cs="Calibri"/>
                <w:b/>
                <w:sz w:val="20"/>
                <w:szCs w:val="20"/>
                <w:lang w:val="sr-Latn-CS"/>
              </w:rPr>
            </w:pPr>
          </w:p>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Rezerve</w:t>
            </w:r>
          </w:p>
        </w:tc>
        <w:tc>
          <w:tcPr>
            <w:tcW w:w="2147" w:type="pct"/>
            <w:gridSpan w:val="2"/>
            <w:tcBorders>
              <w:top w:val="thinThickSmallGap" w:sz="18" w:space="0" w:color="auto"/>
              <w:left w:val="double" w:sz="4" w:space="0" w:color="auto"/>
              <w:right w:val="double" w:sz="4" w:space="0" w:color="auto"/>
            </w:tcBorders>
            <w:shd w:val="clear" w:color="auto" w:fill="92D050"/>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Kategorija</w:t>
            </w:r>
          </w:p>
        </w:tc>
        <w:tc>
          <w:tcPr>
            <w:tcW w:w="1739" w:type="pct"/>
            <w:vMerge w:val="restart"/>
            <w:tcBorders>
              <w:top w:val="thinThickSmallGap" w:sz="18" w:space="0" w:color="auto"/>
              <w:left w:val="double" w:sz="4" w:space="0" w:color="auto"/>
              <w:right w:val="thinThickSmallGap" w:sz="18" w:space="0" w:color="auto"/>
            </w:tcBorders>
            <w:shd w:val="clear" w:color="auto" w:fill="92D050"/>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Ukupne rezerve tehničko-građevinskog kamena (m</w:t>
            </w:r>
            <w:r w:rsidRPr="00AB4843">
              <w:rPr>
                <w:rFonts w:asciiTheme="minorHAnsi" w:hAnsiTheme="minorHAnsi" w:cs="Calibri"/>
                <w:b/>
                <w:sz w:val="20"/>
                <w:szCs w:val="20"/>
                <w:vertAlign w:val="superscript"/>
                <w:lang w:val="sr-Latn-CS"/>
              </w:rPr>
              <w:t>3</w:t>
            </w:r>
            <w:r w:rsidRPr="00AB4843">
              <w:rPr>
                <w:rFonts w:asciiTheme="minorHAnsi" w:hAnsiTheme="minorHAnsi" w:cs="Calibri"/>
                <w:b/>
                <w:sz w:val="20"/>
                <w:szCs w:val="20"/>
                <w:lang w:val="sr-Latn-CS"/>
              </w:rPr>
              <w:t>)</w:t>
            </w:r>
          </w:p>
        </w:tc>
      </w:tr>
      <w:tr w:rsidR="00282012" w:rsidRPr="00AB4843" w:rsidTr="00AF53FF">
        <w:trPr>
          <w:trHeight w:val="132"/>
        </w:trPr>
        <w:tc>
          <w:tcPr>
            <w:tcW w:w="1114" w:type="pct"/>
            <w:vMerge/>
            <w:tcBorders>
              <w:left w:val="thinThickSmallGap" w:sz="18" w:space="0" w:color="auto"/>
              <w:right w:val="double" w:sz="4" w:space="0" w:color="auto"/>
            </w:tcBorders>
            <w:vAlign w:val="center"/>
          </w:tcPr>
          <w:p w:rsidR="00282012" w:rsidRPr="00AB4843" w:rsidRDefault="00282012" w:rsidP="00AF53FF">
            <w:pPr>
              <w:jc w:val="center"/>
              <w:rPr>
                <w:rFonts w:asciiTheme="minorHAnsi" w:hAnsiTheme="minorHAnsi" w:cs="Calibri"/>
                <w:b/>
                <w:sz w:val="20"/>
                <w:szCs w:val="20"/>
                <w:lang w:val="sr-Latn-CS"/>
              </w:rPr>
            </w:pPr>
          </w:p>
        </w:tc>
        <w:tc>
          <w:tcPr>
            <w:tcW w:w="1060" w:type="pct"/>
            <w:tcBorders>
              <w:left w:val="double" w:sz="4" w:space="0" w:color="auto"/>
            </w:tcBorders>
            <w:shd w:val="clear" w:color="auto" w:fill="92D050"/>
            <w:vAlign w:val="center"/>
          </w:tcPr>
          <w:p w:rsidR="00282012" w:rsidRPr="00AB4843" w:rsidRDefault="00282012" w:rsidP="00AF53FF">
            <w:pPr>
              <w:jc w:val="center"/>
              <w:rPr>
                <w:rFonts w:asciiTheme="minorHAnsi" w:hAnsiTheme="minorHAnsi" w:cs="Calibri"/>
                <w:b/>
                <w:sz w:val="20"/>
                <w:szCs w:val="20"/>
                <w:lang w:val="sr-Latn-CS"/>
              </w:rPr>
            </w:pPr>
          </w:p>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B</w:t>
            </w:r>
          </w:p>
        </w:tc>
        <w:tc>
          <w:tcPr>
            <w:tcW w:w="1087" w:type="pct"/>
            <w:tcBorders>
              <w:right w:val="double" w:sz="4" w:space="0" w:color="auto"/>
            </w:tcBorders>
            <w:shd w:val="clear" w:color="auto" w:fill="92D050"/>
            <w:vAlign w:val="center"/>
          </w:tcPr>
          <w:p w:rsidR="00282012" w:rsidRPr="00AB4843" w:rsidRDefault="00282012" w:rsidP="00AF53FF">
            <w:pPr>
              <w:jc w:val="center"/>
              <w:rPr>
                <w:rFonts w:asciiTheme="minorHAnsi" w:hAnsiTheme="minorHAnsi" w:cs="Calibri"/>
                <w:b/>
                <w:sz w:val="20"/>
                <w:szCs w:val="20"/>
                <w:lang w:val="sr-Latn-CS"/>
              </w:rPr>
            </w:pPr>
          </w:p>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C</w:t>
            </w:r>
            <w:r w:rsidRPr="00AB4843">
              <w:rPr>
                <w:rFonts w:asciiTheme="minorHAnsi" w:hAnsiTheme="minorHAnsi" w:cs="Calibri"/>
                <w:b/>
                <w:sz w:val="20"/>
                <w:szCs w:val="20"/>
                <w:vertAlign w:val="subscript"/>
                <w:lang w:val="sr-Latn-CS"/>
              </w:rPr>
              <w:t>1</w:t>
            </w:r>
          </w:p>
        </w:tc>
        <w:tc>
          <w:tcPr>
            <w:tcW w:w="1739" w:type="pct"/>
            <w:vMerge/>
            <w:tcBorders>
              <w:left w:val="double" w:sz="4" w:space="0" w:color="auto"/>
              <w:right w:val="thinThickSmallGap" w:sz="18" w:space="0" w:color="auto"/>
            </w:tcBorders>
            <w:shd w:val="clear" w:color="auto" w:fill="92D050"/>
            <w:vAlign w:val="center"/>
          </w:tcPr>
          <w:p w:rsidR="00282012" w:rsidRPr="00AB4843" w:rsidRDefault="00282012" w:rsidP="00AF53FF">
            <w:pPr>
              <w:jc w:val="center"/>
              <w:rPr>
                <w:rFonts w:asciiTheme="minorHAnsi" w:hAnsiTheme="minorHAnsi" w:cs="Calibri"/>
                <w:b/>
                <w:sz w:val="20"/>
                <w:szCs w:val="20"/>
                <w:lang w:val="sr-Latn-CS"/>
              </w:rPr>
            </w:pPr>
          </w:p>
        </w:tc>
      </w:tr>
      <w:tr w:rsidR="00282012" w:rsidRPr="00AB4843" w:rsidTr="00AF53FF">
        <w:tc>
          <w:tcPr>
            <w:tcW w:w="1114" w:type="pct"/>
            <w:tcBorders>
              <w:left w:val="thinThickSmallGap" w:sz="18" w:space="0" w:color="auto"/>
              <w:right w:val="double" w:sz="4"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Geološke</w:t>
            </w:r>
          </w:p>
        </w:tc>
        <w:tc>
          <w:tcPr>
            <w:tcW w:w="1060" w:type="pct"/>
            <w:tcBorders>
              <w:left w:val="double" w:sz="4"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4.718.100</w:t>
            </w:r>
          </w:p>
        </w:tc>
        <w:tc>
          <w:tcPr>
            <w:tcW w:w="1087" w:type="pct"/>
            <w:tcBorders>
              <w:right w:val="double" w:sz="4"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2.697.400</w:t>
            </w:r>
          </w:p>
        </w:tc>
        <w:tc>
          <w:tcPr>
            <w:tcW w:w="1739" w:type="pct"/>
            <w:tcBorders>
              <w:left w:val="double" w:sz="4" w:space="0" w:color="auto"/>
              <w:right w:val="thinThickSmallGap" w:sz="18"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7.415.500</w:t>
            </w:r>
          </w:p>
        </w:tc>
      </w:tr>
      <w:tr w:rsidR="00282012" w:rsidRPr="00AB4843" w:rsidTr="00AF53FF">
        <w:tc>
          <w:tcPr>
            <w:tcW w:w="1114" w:type="pct"/>
            <w:tcBorders>
              <w:left w:val="thinThickSmallGap" w:sz="18" w:space="0" w:color="auto"/>
              <w:right w:val="double" w:sz="4"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Bilansne</w:t>
            </w:r>
          </w:p>
        </w:tc>
        <w:tc>
          <w:tcPr>
            <w:tcW w:w="1060" w:type="pct"/>
            <w:tcBorders>
              <w:left w:val="double" w:sz="4"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4.718.100</w:t>
            </w:r>
          </w:p>
        </w:tc>
        <w:tc>
          <w:tcPr>
            <w:tcW w:w="1087" w:type="pct"/>
            <w:tcBorders>
              <w:right w:val="double" w:sz="4"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2.697.400</w:t>
            </w:r>
          </w:p>
        </w:tc>
        <w:tc>
          <w:tcPr>
            <w:tcW w:w="1739" w:type="pct"/>
            <w:tcBorders>
              <w:left w:val="double" w:sz="4" w:space="0" w:color="auto"/>
              <w:right w:val="thinThickSmallGap" w:sz="18"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7.415.500</w:t>
            </w:r>
          </w:p>
        </w:tc>
      </w:tr>
      <w:tr w:rsidR="00282012" w:rsidRPr="00AB4843" w:rsidTr="00AF53FF">
        <w:tc>
          <w:tcPr>
            <w:tcW w:w="1114" w:type="pct"/>
            <w:tcBorders>
              <w:left w:val="thinThickSmallGap" w:sz="18" w:space="0" w:color="auto"/>
              <w:bottom w:val="thinThickSmallGap" w:sz="18" w:space="0" w:color="auto"/>
              <w:right w:val="double" w:sz="4"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Eksploatacione</w:t>
            </w:r>
          </w:p>
        </w:tc>
        <w:tc>
          <w:tcPr>
            <w:tcW w:w="1060" w:type="pct"/>
            <w:tcBorders>
              <w:left w:val="double" w:sz="4" w:space="0" w:color="auto"/>
              <w:bottom w:val="thinThickSmallGap" w:sz="18"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4.246.290</w:t>
            </w:r>
          </w:p>
        </w:tc>
        <w:tc>
          <w:tcPr>
            <w:tcW w:w="1087" w:type="pct"/>
            <w:tcBorders>
              <w:bottom w:val="thinThickSmallGap" w:sz="18" w:space="0" w:color="auto"/>
              <w:right w:val="double" w:sz="4"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2.427.660</w:t>
            </w:r>
          </w:p>
        </w:tc>
        <w:tc>
          <w:tcPr>
            <w:tcW w:w="1739" w:type="pct"/>
            <w:tcBorders>
              <w:left w:val="double" w:sz="4" w:space="0" w:color="auto"/>
              <w:bottom w:val="single" w:sz="4" w:space="0" w:color="auto"/>
              <w:right w:val="thinThickSmallGap" w:sz="18"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6.673.950</w:t>
            </w:r>
          </w:p>
        </w:tc>
      </w:tr>
      <w:tr w:rsidR="00282012" w:rsidRPr="00AB4843" w:rsidTr="00AF53FF">
        <w:trPr>
          <w:gridBefore w:val="3"/>
          <w:wBefore w:w="3261" w:type="pct"/>
          <w:trHeight w:val="330"/>
        </w:trPr>
        <w:tc>
          <w:tcPr>
            <w:tcW w:w="1739" w:type="pct"/>
            <w:tcBorders>
              <w:top w:val="single" w:sz="4" w:space="0" w:color="auto"/>
              <w:left w:val="thinThickSmallGap" w:sz="18" w:space="0" w:color="auto"/>
              <w:bottom w:val="thinThickSmallGap" w:sz="18" w:space="0" w:color="auto"/>
              <w:right w:val="thinThickSmallGap" w:sz="18" w:space="0" w:color="auto"/>
            </w:tcBorders>
            <w:vAlign w:val="center"/>
          </w:tcPr>
          <w:p w:rsidR="00282012" w:rsidRPr="00AB4843" w:rsidRDefault="00282012" w:rsidP="00AF53FF">
            <w:pPr>
              <w:jc w:val="center"/>
              <w:rPr>
                <w:rFonts w:asciiTheme="minorHAnsi" w:hAnsiTheme="minorHAnsi" w:cs="Calibri"/>
                <w:b/>
                <w:sz w:val="20"/>
                <w:szCs w:val="20"/>
                <w:lang w:val="sr-Latn-CS"/>
              </w:rPr>
            </w:pPr>
            <w:r w:rsidRPr="00AB4843">
              <w:rPr>
                <w:rFonts w:asciiTheme="minorHAnsi" w:hAnsiTheme="minorHAnsi" w:cs="Calibri"/>
                <w:b/>
                <w:sz w:val="20"/>
                <w:szCs w:val="20"/>
                <w:lang w:val="sr-Latn-CS"/>
              </w:rPr>
              <w:t>≈  6.674.000</w:t>
            </w:r>
          </w:p>
        </w:tc>
      </w:tr>
    </w:tbl>
    <w:p w:rsidR="00F27279" w:rsidRDefault="00F27279" w:rsidP="00403695">
      <w:pPr>
        <w:jc w:val="both"/>
        <w:rPr>
          <w:rFonts w:asciiTheme="minorHAnsi" w:hAnsiTheme="minorHAnsi" w:cstheme="minorHAnsi"/>
          <w:sz w:val="20"/>
          <w:szCs w:val="20"/>
          <w:lang w:val="sr-Latn-CS"/>
        </w:rPr>
      </w:pPr>
    </w:p>
    <w:p w:rsidR="00282012" w:rsidRDefault="00282012" w:rsidP="00403695">
      <w:p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 xml:space="preserve">Na osnovu srednjih vrijednosti rezultata kompletnih analiza fizičko-mehaničkih ispitivanja </w:t>
      </w:r>
      <w:r w:rsidRPr="00AB4843">
        <w:rPr>
          <w:rFonts w:asciiTheme="minorHAnsi" w:hAnsiTheme="minorHAnsi" w:cstheme="minorHAnsi"/>
          <w:sz w:val="20"/>
          <w:szCs w:val="20"/>
          <w:lang w:val="sl-SI"/>
        </w:rPr>
        <w:t>tehničko-građevinskog</w:t>
      </w:r>
      <w:r w:rsidRPr="00AB4843">
        <w:rPr>
          <w:rFonts w:asciiTheme="minorHAnsi" w:hAnsiTheme="minorHAnsi" w:cstheme="minorHAnsi"/>
          <w:sz w:val="20"/>
          <w:szCs w:val="20"/>
          <w:lang w:val="sr-Latn-CS"/>
        </w:rPr>
        <w:t xml:space="preserve"> kamena </w:t>
      </w:r>
      <w:r w:rsidRPr="00AB4843">
        <w:rPr>
          <w:rFonts w:asciiTheme="minorHAnsi" w:hAnsiTheme="minorHAnsi" w:cstheme="minorHAnsi"/>
          <w:sz w:val="20"/>
          <w:szCs w:val="20"/>
          <w:lang w:val="sl-SI"/>
        </w:rPr>
        <w:t>ležišta „Velji Zabio“, kod Bara (1996. – 2006. godine)</w:t>
      </w:r>
      <w:r w:rsidRPr="00AB4843">
        <w:rPr>
          <w:rFonts w:asciiTheme="minorHAnsi" w:hAnsiTheme="minorHAnsi" w:cstheme="minorHAnsi"/>
          <w:sz w:val="20"/>
          <w:szCs w:val="20"/>
          <w:lang w:val="sr-Latn-CS"/>
        </w:rPr>
        <w:t>, a saglasno utvrđenim svojstvima i odredbama odgovarajućih standarda, t</w:t>
      </w:r>
      <w:r w:rsidRPr="00AB4843">
        <w:rPr>
          <w:rFonts w:asciiTheme="minorHAnsi" w:hAnsiTheme="minorHAnsi" w:cstheme="minorHAnsi"/>
          <w:sz w:val="20"/>
          <w:szCs w:val="20"/>
          <w:lang w:val="sl-SI"/>
        </w:rPr>
        <w:t>ehničko-građevinski</w:t>
      </w:r>
      <w:r w:rsidRPr="00AB4843">
        <w:rPr>
          <w:rFonts w:asciiTheme="minorHAnsi" w:hAnsiTheme="minorHAnsi" w:cstheme="minorHAnsi"/>
          <w:sz w:val="20"/>
          <w:szCs w:val="20"/>
          <w:lang w:val="sr-Latn-CS"/>
        </w:rPr>
        <w:t xml:space="preserve"> kamen ležišta “Velji Zabio”</w:t>
      </w:r>
      <w:r w:rsidRPr="00AB4843">
        <w:rPr>
          <w:rFonts w:asciiTheme="minorHAnsi" w:hAnsiTheme="minorHAnsi" w:cstheme="minorHAnsi"/>
          <w:sz w:val="20"/>
          <w:szCs w:val="20"/>
          <w:lang w:val="sl-SI"/>
        </w:rPr>
        <w:t xml:space="preserve"> se</w:t>
      </w:r>
      <w:r w:rsidRPr="00AB4843">
        <w:rPr>
          <w:rFonts w:asciiTheme="minorHAnsi" w:hAnsiTheme="minorHAnsi" w:cstheme="minorHAnsi"/>
          <w:sz w:val="20"/>
          <w:szCs w:val="20"/>
          <w:lang w:val="sr-Latn-CS"/>
        </w:rPr>
        <w:t xml:space="preserve"> može upotrijebiti kao tehničko-građevinski kamen za:</w:t>
      </w:r>
    </w:p>
    <w:p w:rsidR="00F27279" w:rsidRPr="00AB4843" w:rsidRDefault="00F27279" w:rsidP="00403695">
      <w:pPr>
        <w:jc w:val="both"/>
        <w:rPr>
          <w:rFonts w:asciiTheme="minorHAnsi" w:hAnsiTheme="minorHAnsi" w:cstheme="minorHAnsi"/>
          <w:sz w:val="20"/>
          <w:szCs w:val="20"/>
          <w:lang w:val="sr-Latn-CS"/>
        </w:rPr>
      </w:pPr>
    </w:p>
    <w:p w:rsidR="00282012" w:rsidRPr="00AB4843" w:rsidRDefault="00282012" w:rsidP="00403695">
      <w:pPr>
        <w:numPr>
          <w:ilvl w:val="0"/>
          <w:numId w:val="12"/>
        </w:num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proizvodnju agregata za izradu betona (JUS B.B2.009),</w:t>
      </w:r>
    </w:p>
    <w:p w:rsidR="00282012" w:rsidRPr="00AB4843" w:rsidRDefault="00282012" w:rsidP="00403695">
      <w:pPr>
        <w:numPr>
          <w:ilvl w:val="0"/>
          <w:numId w:val="12"/>
        </w:num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proizvodnju agregata za izradu habajućih slojeva od asfaltnih betona po vrućem postupku za puteve sa lakim i vrlo lakim saobraćajnim opterećenjem  (JUS U.E4.014),</w:t>
      </w:r>
    </w:p>
    <w:p w:rsidR="00282012" w:rsidRPr="00AB4843" w:rsidRDefault="00282012" w:rsidP="00403695">
      <w:pPr>
        <w:numPr>
          <w:ilvl w:val="0"/>
          <w:numId w:val="12"/>
        </w:num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proizvodnju agregata za klasične i savremene podloge za puteve (JUS U.E9.020),</w:t>
      </w:r>
    </w:p>
    <w:p w:rsidR="00282012" w:rsidRPr="00AB4843" w:rsidRDefault="00282012" w:rsidP="00403695">
      <w:pPr>
        <w:numPr>
          <w:ilvl w:val="0"/>
          <w:numId w:val="12"/>
        </w:num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proizvodnju agregata za gornje i donje noseće slojeve od bituminiziranog materijala po vrućem postupku (JUS U.E9.021 i JUS U.E9.028),</w:t>
      </w:r>
    </w:p>
    <w:p w:rsidR="00282012" w:rsidRPr="00AB4843" w:rsidRDefault="00282012" w:rsidP="00403695">
      <w:pPr>
        <w:numPr>
          <w:ilvl w:val="0"/>
          <w:numId w:val="12"/>
        </w:num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proizvodnju tucanika kategorije II za zastor željezničkih pruga (Uputstvo za prijem i isporuku tucanika za zastor pruga na JŽ), i</w:t>
      </w:r>
    </w:p>
    <w:p w:rsidR="00282012" w:rsidRPr="00AB4843" w:rsidRDefault="00282012" w:rsidP="00403695">
      <w:pPr>
        <w:numPr>
          <w:ilvl w:val="0"/>
          <w:numId w:val="12"/>
        </w:numPr>
        <w:jc w:val="both"/>
        <w:rPr>
          <w:rFonts w:asciiTheme="minorHAnsi" w:hAnsiTheme="minorHAnsi" w:cstheme="minorHAnsi"/>
          <w:sz w:val="20"/>
          <w:szCs w:val="20"/>
          <w:lang w:val="sr-Latn-CS"/>
        </w:rPr>
      </w:pPr>
      <w:r w:rsidRPr="00AB4843">
        <w:rPr>
          <w:rFonts w:asciiTheme="minorHAnsi" w:hAnsiTheme="minorHAnsi" w:cstheme="minorHAnsi"/>
          <w:sz w:val="20"/>
          <w:szCs w:val="20"/>
          <w:lang w:val="sr-Latn-CS"/>
        </w:rPr>
        <w:t>proizvodnju lomljenog kamena i tesanika za gruba zidanja u niskogradnji i hidrogradnji.</w:t>
      </w:r>
    </w:p>
    <w:p w:rsidR="00362BAF" w:rsidRDefault="00282012" w:rsidP="00403695">
      <w:pPr>
        <w:jc w:val="both"/>
        <w:rPr>
          <w:rFonts w:asciiTheme="minorHAnsi" w:hAnsiTheme="minorHAnsi" w:cstheme="minorHAnsi"/>
          <w:color w:val="000000"/>
          <w:sz w:val="20"/>
          <w:szCs w:val="20"/>
          <w:lang w:val="pl-PL"/>
        </w:rPr>
      </w:pPr>
      <w:r w:rsidRPr="00AB4843">
        <w:rPr>
          <w:rFonts w:asciiTheme="minorHAnsi" w:hAnsiTheme="minorHAnsi" w:cstheme="minorHAnsi"/>
          <w:color w:val="000000"/>
          <w:sz w:val="20"/>
          <w:szCs w:val="20"/>
          <w:lang w:val="pl-PL"/>
        </w:rPr>
        <w:lastRenderedPageBreak/>
        <w:t xml:space="preserve">Prostor predviđen za davanje koncesije  je ograničen pravim linijama koje prolaze kroz konturne tačke, sa sljedećim koordinatama: </w:t>
      </w:r>
    </w:p>
    <w:tbl>
      <w:tblPr>
        <w:tblW w:w="5329" w:type="pct"/>
        <w:tblInd w:w="-441" w:type="dxa"/>
        <w:tblLayout w:type="fixed"/>
        <w:tblLook w:val="04A0" w:firstRow="1" w:lastRow="0" w:firstColumn="1" w:lastColumn="0" w:noHBand="0" w:noVBand="1"/>
      </w:tblPr>
      <w:tblGrid>
        <w:gridCol w:w="544"/>
        <w:gridCol w:w="1304"/>
        <w:gridCol w:w="1415"/>
        <w:gridCol w:w="563"/>
        <w:gridCol w:w="1423"/>
        <w:gridCol w:w="1415"/>
        <w:gridCol w:w="572"/>
        <w:gridCol w:w="1415"/>
        <w:gridCol w:w="1555"/>
      </w:tblGrid>
      <w:tr w:rsidR="00CE0BFE" w:rsidRPr="003B150E" w:rsidTr="00CE0BFE">
        <w:trPr>
          <w:trHeight w:val="216"/>
        </w:trPr>
        <w:tc>
          <w:tcPr>
            <w:tcW w:w="5000" w:type="pct"/>
            <w:gridSpan w:val="9"/>
            <w:tcBorders>
              <w:top w:val="thinThickSmallGap" w:sz="18" w:space="0" w:color="auto"/>
              <w:left w:val="thinThickSmallGap" w:sz="18" w:space="0" w:color="auto"/>
              <w:bottom w:val="double" w:sz="4" w:space="0" w:color="auto"/>
              <w:right w:val="thinThickSmallGap" w:sz="18" w:space="0" w:color="auto"/>
            </w:tcBorders>
            <w:shd w:val="clear" w:color="auto" w:fill="92D050"/>
            <w:vAlign w:val="center"/>
          </w:tcPr>
          <w:p w:rsidR="00282012" w:rsidRPr="00AB4843" w:rsidRDefault="00282012" w:rsidP="00AF53FF">
            <w:pPr>
              <w:jc w:val="center"/>
              <w:rPr>
                <w:rFonts w:asciiTheme="minorHAnsi" w:hAnsiTheme="minorHAnsi" w:cstheme="minorHAnsi"/>
                <w:sz w:val="20"/>
                <w:szCs w:val="20"/>
                <w:lang w:val="sv-SE"/>
              </w:rPr>
            </w:pPr>
            <w:r w:rsidRPr="00AB4843">
              <w:rPr>
                <w:rFonts w:asciiTheme="minorHAnsi" w:hAnsiTheme="minorHAnsi" w:cstheme="minorHAnsi"/>
                <w:b/>
                <w:bCs/>
                <w:i/>
                <w:color w:val="0D0D0D"/>
                <w:sz w:val="20"/>
                <w:szCs w:val="20"/>
                <w:lang w:val="sv-SE"/>
              </w:rPr>
              <w:t>KOORDINATE GRANIČNIH TAČAKA</w:t>
            </w:r>
            <w:r w:rsidRPr="00AB4843">
              <w:rPr>
                <w:rFonts w:asciiTheme="minorHAnsi" w:hAnsiTheme="minorHAnsi" w:cstheme="minorHAnsi"/>
                <w:b/>
                <w:bCs/>
                <w:i/>
                <w:color w:val="0070C0"/>
                <w:sz w:val="20"/>
                <w:szCs w:val="20"/>
                <w:lang w:val="sv-SE"/>
              </w:rPr>
              <w:t xml:space="preserve"> </w:t>
            </w:r>
            <w:r w:rsidRPr="00AB4843">
              <w:rPr>
                <w:rFonts w:asciiTheme="minorHAnsi" w:hAnsiTheme="minorHAnsi" w:cstheme="minorHAnsi"/>
                <w:b/>
                <w:bCs/>
                <w:i/>
                <w:sz w:val="20"/>
                <w:szCs w:val="20"/>
                <w:lang w:val="sv-SE"/>
              </w:rPr>
              <w:t>KATASTARSKE PARCELE BR. 1913/2 KO ZALJEVO (P=28,68 ha)</w:t>
            </w:r>
          </w:p>
        </w:tc>
      </w:tr>
      <w:tr w:rsidR="00CE0BFE" w:rsidRPr="00AB4843" w:rsidTr="00CE0BFE">
        <w:trPr>
          <w:trHeight w:val="447"/>
        </w:trPr>
        <w:tc>
          <w:tcPr>
            <w:tcW w:w="267" w:type="pct"/>
            <w:tcBorders>
              <w:top w:val="double" w:sz="4" w:space="0" w:color="auto"/>
              <w:left w:val="thinThickSmallGap" w:sz="18" w:space="0" w:color="auto"/>
              <w:right w:val="double" w:sz="4" w:space="0" w:color="auto"/>
            </w:tcBorders>
            <w:shd w:val="clear" w:color="auto" w:fill="92D050"/>
            <w:vAlign w:val="center"/>
          </w:tcPr>
          <w:p w:rsidR="00282012" w:rsidRPr="00AB4843" w:rsidRDefault="00282012" w:rsidP="00AF53FF">
            <w:pPr>
              <w:jc w:val="center"/>
              <w:rPr>
                <w:rFonts w:asciiTheme="minorHAnsi" w:hAnsiTheme="minorHAnsi" w:cstheme="minorHAnsi"/>
                <w:b/>
                <w:sz w:val="20"/>
                <w:szCs w:val="20"/>
              </w:rPr>
            </w:pPr>
            <w:r w:rsidRPr="00AB4843">
              <w:rPr>
                <w:rFonts w:asciiTheme="minorHAnsi" w:hAnsiTheme="minorHAnsi" w:cstheme="minorHAnsi"/>
                <w:b/>
                <w:sz w:val="20"/>
                <w:szCs w:val="20"/>
              </w:rPr>
              <w:t>Br. tačke</w:t>
            </w:r>
          </w:p>
        </w:tc>
        <w:tc>
          <w:tcPr>
            <w:tcW w:w="639" w:type="pct"/>
            <w:tcBorders>
              <w:top w:val="double" w:sz="4" w:space="0" w:color="auto"/>
              <w:left w:val="double" w:sz="4" w:space="0" w:color="auto"/>
              <w:bottom w:val="double" w:sz="4" w:space="0" w:color="auto"/>
            </w:tcBorders>
            <w:shd w:val="clear" w:color="auto" w:fill="92D050"/>
            <w:vAlign w:val="center"/>
          </w:tcPr>
          <w:p w:rsidR="00282012" w:rsidRPr="00AB4843" w:rsidRDefault="00282012" w:rsidP="00AF53FF">
            <w:pPr>
              <w:jc w:val="center"/>
              <w:rPr>
                <w:rFonts w:asciiTheme="minorHAnsi" w:hAnsiTheme="minorHAnsi" w:cstheme="minorHAnsi"/>
                <w:b/>
                <w:sz w:val="20"/>
                <w:szCs w:val="20"/>
              </w:rPr>
            </w:pPr>
            <w:r w:rsidRPr="00AB4843">
              <w:rPr>
                <w:rFonts w:asciiTheme="minorHAnsi" w:hAnsiTheme="minorHAnsi" w:cstheme="minorHAnsi"/>
                <w:b/>
                <w:sz w:val="20"/>
                <w:szCs w:val="20"/>
              </w:rPr>
              <w:t>Y</w:t>
            </w:r>
          </w:p>
        </w:tc>
        <w:tc>
          <w:tcPr>
            <w:tcW w:w="693" w:type="pct"/>
            <w:tcBorders>
              <w:top w:val="double" w:sz="4" w:space="0" w:color="auto"/>
              <w:bottom w:val="double" w:sz="4" w:space="0" w:color="auto"/>
            </w:tcBorders>
            <w:shd w:val="clear" w:color="auto" w:fill="92D050"/>
            <w:vAlign w:val="center"/>
          </w:tcPr>
          <w:p w:rsidR="00282012" w:rsidRPr="00AB4843" w:rsidRDefault="00282012" w:rsidP="00AF53FF">
            <w:pPr>
              <w:jc w:val="center"/>
              <w:rPr>
                <w:rFonts w:asciiTheme="minorHAnsi" w:hAnsiTheme="minorHAnsi" w:cstheme="minorHAnsi"/>
                <w:b/>
                <w:sz w:val="20"/>
                <w:szCs w:val="20"/>
              </w:rPr>
            </w:pPr>
            <w:r w:rsidRPr="00AB4843">
              <w:rPr>
                <w:rFonts w:asciiTheme="minorHAnsi" w:hAnsiTheme="minorHAnsi" w:cstheme="minorHAnsi"/>
                <w:b/>
                <w:sz w:val="20"/>
                <w:szCs w:val="20"/>
              </w:rPr>
              <w:t>X</w:t>
            </w:r>
          </w:p>
        </w:tc>
        <w:tc>
          <w:tcPr>
            <w:tcW w:w="276" w:type="pct"/>
            <w:tcBorders>
              <w:top w:val="double" w:sz="4" w:space="0" w:color="auto"/>
              <w:bottom w:val="double" w:sz="4" w:space="0" w:color="auto"/>
            </w:tcBorders>
            <w:shd w:val="clear" w:color="auto" w:fill="92D050"/>
            <w:vAlign w:val="center"/>
          </w:tcPr>
          <w:p w:rsidR="00282012" w:rsidRPr="00AB4843" w:rsidRDefault="00282012" w:rsidP="00AF53FF">
            <w:pPr>
              <w:jc w:val="center"/>
              <w:rPr>
                <w:rFonts w:asciiTheme="minorHAnsi" w:hAnsiTheme="minorHAnsi" w:cstheme="minorHAnsi"/>
                <w:b/>
                <w:sz w:val="20"/>
                <w:szCs w:val="20"/>
              </w:rPr>
            </w:pPr>
            <w:r w:rsidRPr="00AB4843">
              <w:rPr>
                <w:rFonts w:asciiTheme="minorHAnsi" w:hAnsiTheme="minorHAnsi" w:cstheme="minorHAnsi"/>
                <w:b/>
                <w:sz w:val="20"/>
                <w:szCs w:val="20"/>
              </w:rPr>
              <w:t>Br. tačke</w:t>
            </w:r>
          </w:p>
        </w:tc>
        <w:tc>
          <w:tcPr>
            <w:tcW w:w="697" w:type="pct"/>
            <w:tcBorders>
              <w:top w:val="double" w:sz="4" w:space="0" w:color="auto"/>
              <w:bottom w:val="double" w:sz="4" w:space="0" w:color="auto"/>
            </w:tcBorders>
            <w:shd w:val="clear" w:color="auto" w:fill="92D050"/>
            <w:vAlign w:val="center"/>
          </w:tcPr>
          <w:p w:rsidR="00282012" w:rsidRPr="00AB4843" w:rsidRDefault="00282012" w:rsidP="00AF53FF">
            <w:pPr>
              <w:jc w:val="center"/>
              <w:rPr>
                <w:rFonts w:asciiTheme="minorHAnsi" w:hAnsiTheme="minorHAnsi" w:cstheme="minorHAnsi"/>
                <w:b/>
                <w:sz w:val="20"/>
                <w:szCs w:val="20"/>
              </w:rPr>
            </w:pPr>
            <w:r w:rsidRPr="00AB4843">
              <w:rPr>
                <w:rFonts w:asciiTheme="minorHAnsi" w:hAnsiTheme="minorHAnsi" w:cstheme="minorHAnsi"/>
                <w:b/>
                <w:sz w:val="20"/>
                <w:szCs w:val="20"/>
              </w:rPr>
              <w:t>Y</w:t>
            </w:r>
          </w:p>
        </w:tc>
        <w:tc>
          <w:tcPr>
            <w:tcW w:w="693" w:type="pct"/>
            <w:tcBorders>
              <w:top w:val="double" w:sz="4" w:space="0" w:color="auto"/>
              <w:bottom w:val="double" w:sz="4" w:space="0" w:color="auto"/>
            </w:tcBorders>
            <w:shd w:val="clear" w:color="auto" w:fill="92D050"/>
            <w:vAlign w:val="center"/>
          </w:tcPr>
          <w:p w:rsidR="00282012" w:rsidRPr="00AB4843" w:rsidRDefault="00282012" w:rsidP="00AF53FF">
            <w:pPr>
              <w:jc w:val="center"/>
              <w:rPr>
                <w:rFonts w:asciiTheme="minorHAnsi" w:hAnsiTheme="minorHAnsi" w:cstheme="minorHAnsi"/>
                <w:b/>
                <w:sz w:val="20"/>
                <w:szCs w:val="20"/>
              </w:rPr>
            </w:pPr>
            <w:r w:rsidRPr="00AB4843">
              <w:rPr>
                <w:rFonts w:asciiTheme="minorHAnsi" w:hAnsiTheme="minorHAnsi" w:cstheme="minorHAnsi"/>
                <w:b/>
                <w:sz w:val="20"/>
                <w:szCs w:val="20"/>
              </w:rPr>
              <w:t>X</w:t>
            </w:r>
          </w:p>
        </w:tc>
        <w:tc>
          <w:tcPr>
            <w:tcW w:w="280" w:type="pct"/>
            <w:tcBorders>
              <w:top w:val="double" w:sz="4" w:space="0" w:color="auto"/>
              <w:bottom w:val="double" w:sz="4" w:space="0" w:color="auto"/>
            </w:tcBorders>
            <w:shd w:val="clear" w:color="auto" w:fill="92D050"/>
            <w:vAlign w:val="center"/>
          </w:tcPr>
          <w:p w:rsidR="00282012" w:rsidRPr="00AB4843" w:rsidRDefault="00282012" w:rsidP="00AF53FF">
            <w:pPr>
              <w:jc w:val="center"/>
              <w:rPr>
                <w:rFonts w:asciiTheme="minorHAnsi" w:hAnsiTheme="minorHAnsi" w:cstheme="minorHAnsi"/>
                <w:b/>
                <w:sz w:val="20"/>
                <w:szCs w:val="20"/>
              </w:rPr>
            </w:pPr>
            <w:r w:rsidRPr="00AB4843">
              <w:rPr>
                <w:rFonts w:asciiTheme="minorHAnsi" w:hAnsiTheme="minorHAnsi" w:cstheme="minorHAnsi"/>
                <w:b/>
                <w:sz w:val="20"/>
                <w:szCs w:val="20"/>
              </w:rPr>
              <w:t>Br.tačke</w:t>
            </w:r>
          </w:p>
        </w:tc>
        <w:tc>
          <w:tcPr>
            <w:tcW w:w="693" w:type="pct"/>
            <w:tcBorders>
              <w:top w:val="double" w:sz="4" w:space="0" w:color="auto"/>
              <w:bottom w:val="double" w:sz="4" w:space="0" w:color="auto"/>
            </w:tcBorders>
            <w:shd w:val="clear" w:color="auto" w:fill="92D050"/>
            <w:vAlign w:val="center"/>
          </w:tcPr>
          <w:p w:rsidR="00282012" w:rsidRPr="00AB4843" w:rsidRDefault="00282012" w:rsidP="00AF53FF">
            <w:pPr>
              <w:jc w:val="center"/>
              <w:rPr>
                <w:rFonts w:asciiTheme="minorHAnsi" w:hAnsiTheme="minorHAnsi" w:cstheme="minorHAnsi"/>
                <w:b/>
                <w:sz w:val="20"/>
                <w:szCs w:val="20"/>
              </w:rPr>
            </w:pPr>
            <w:r w:rsidRPr="00AB4843">
              <w:rPr>
                <w:rFonts w:asciiTheme="minorHAnsi" w:hAnsiTheme="minorHAnsi" w:cstheme="minorHAnsi"/>
                <w:b/>
                <w:sz w:val="20"/>
                <w:szCs w:val="20"/>
              </w:rPr>
              <w:t>Y</w:t>
            </w:r>
          </w:p>
        </w:tc>
        <w:tc>
          <w:tcPr>
            <w:tcW w:w="762" w:type="pct"/>
            <w:tcBorders>
              <w:top w:val="double" w:sz="4" w:space="0" w:color="auto"/>
              <w:bottom w:val="double" w:sz="4" w:space="0" w:color="auto"/>
              <w:right w:val="thinThickSmallGap" w:sz="18" w:space="0" w:color="auto"/>
            </w:tcBorders>
            <w:shd w:val="clear" w:color="auto" w:fill="92D050"/>
            <w:vAlign w:val="center"/>
          </w:tcPr>
          <w:p w:rsidR="00282012" w:rsidRPr="00AB4843" w:rsidRDefault="00282012" w:rsidP="00AF53FF">
            <w:pPr>
              <w:jc w:val="center"/>
              <w:rPr>
                <w:rFonts w:asciiTheme="minorHAnsi" w:hAnsiTheme="minorHAnsi" w:cstheme="minorHAnsi"/>
                <w:b/>
                <w:sz w:val="20"/>
                <w:szCs w:val="20"/>
              </w:rPr>
            </w:pPr>
            <w:r w:rsidRPr="00AB4843">
              <w:rPr>
                <w:rFonts w:asciiTheme="minorHAnsi" w:hAnsiTheme="minorHAnsi" w:cstheme="minorHAnsi"/>
                <w:b/>
                <w:sz w:val="20"/>
                <w:szCs w:val="20"/>
              </w:rPr>
              <w:t>X</w:t>
            </w:r>
          </w:p>
        </w:tc>
      </w:tr>
      <w:tr w:rsidR="00CE0BFE" w:rsidRPr="00AB4843" w:rsidTr="00CE0BFE">
        <w:trPr>
          <w:trHeight w:val="258"/>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1</w:t>
            </w:r>
          </w:p>
        </w:tc>
        <w:tc>
          <w:tcPr>
            <w:tcW w:w="639" w:type="pct"/>
            <w:tcBorders>
              <w:top w:val="double" w:sz="4" w:space="0" w:color="auto"/>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6 592 531,26</w:t>
            </w:r>
          </w:p>
        </w:tc>
        <w:tc>
          <w:tcPr>
            <w:tcW w:w="693" w:type="pct"/>
            <w:tcBorders>
              <w:top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4 658 577,15</w:t>
            </w:r>
          </w:p>
        </w:tc>
        <w:tc>
          <w:tcPr>
            <w:tcW w:w="276" w:type="pct"/>
            <w:tcBorders>
              <w:top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39</w:t>
            </w:r>
          </w:p>
        </w:tc>
        <w:tc>
          <w:tcPr>
            <w:tcW w:w="697" w:type="pct"/>
            <w:tcBorders>
              <w:top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6 592 847,25</w:t>
            </w:r>
          </w:p>
        </w:tc>
        <w:tc>
          <w:tcPr>
            <w:tcW w:w="693" w:type="pct"/>
            <w:tcBorders>
              <w:top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4 658 454,51</w:t>
            </w:r>
          </w:p>
        </w:tc>
        <w:tc>
          <w:tcPr>
            <w:tcW w:w="280" w:type="pct"/>
            <w:tcBorders>
              <w:top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77</w:t>
            </w:r>
          </w:p>
        </w:tc>
        <w:tc>
          <w:tcPr>
            <w:tcW w:w="693" w:type="pct"/>
            <w:tcBorders>
              <w:top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6 593 255,33</w:t>
            </w:r>
          </w:p>
        </w:tc>
        <w:tc>
          <w:tcPr>
            <w:tcW w:w="762" w:type="pct"/>
            <w:tcBorders>
              <w:top w:val="double" w:sz="4" w:space="0" w:color="auto"/>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4 658 211,59</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2</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6 592 534,41</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4 658 580,07</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40</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6 592 875,08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4 658 440,76</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78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6 593 250,20</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4 658 204,46</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3</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6 592 540,99</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4 658 579,93</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41</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6 592 884,70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4 658 435,63</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79</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6 593 245,75</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4 658 198,23</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4</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6 592 543,81</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4 658 585,94</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42</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6 592 887,18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4 658 440,01</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80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6 593 241,99</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4 658 196,71</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5</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6 592 551,80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4 658 595,73</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43</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6 592 903,80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4 658 435,18</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81</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6 593 238,78</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4 658 192,93</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6</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6 592 556,82</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4 658 602,59</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44</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6 592 915,34</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4 658 430,66</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82</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6 593 239,64</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4 658 186,84</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7</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6 592 557,12</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4 658 606,92</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45</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6 592 917,62</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4 658 428,17</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83</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6 593 244,26</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4 658 181,05</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8</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6 592 570,17</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4 658 623,86</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46</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6 592 931,44</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4 658 419,13</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84</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6 593 236,84</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4 658 171,67</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9</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6 592 571.53</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4 658 626,17</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47</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6 592 938,96</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4 658 417,10</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85</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6 593 236,67</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4 658 165,12</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10</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6 592 580,94</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4 658 626,87</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48</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6 592 955,71</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4 658 408,86</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86</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6 593 232,40</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4 658 159,94</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11</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6 592 590,58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4 658 623,43</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49</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6 592 963,64</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4 658 399,68</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87</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6 593 228,99</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4 658 148,37</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12</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6 592 597,79</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sz w:val="20"/>
                <w:szCs w:val="20"/>
              </w:rPr>
            </w:pPr>
            <w:r w:rsidRPr="00AB4843">
              <w:rPr>
                <w:rFonts w:asciiTheme="minorHAnsi" w:hAnsiTheme="minorHAnsi" w:cstheme="minorHAnsi"/>
                <w:sz w:val="20"/>
                <w:szCs w:val="20"/>
              </w:rPr>
              <w:t>4 658 619,67</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50</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6 592 978,54</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4 658 392,89</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88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6 593 229,69</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4 658 140,02</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13</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6 592 603,43</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sz w:val="20"/>
                <w:szCs w:val="20"/>
              </w:rPr>
            </w:pPr>
            <w:r w:rsidRPr="00AB4843">
              <w:rPr>
                <w:rFonts w:asciiTheme="minorHAnsi" w:hAnsiTheme="minorHAnsi" w:cstheme="minorHAnsi"/>
                <w:sz w:val="20"/>
                <w:szCs w:val="20"/>
              </w:rPr>
              <w:t>4 658 621,90</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51</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6 592 994,78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4 658 388,38</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89</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6 593 219,77</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4 658 117,51</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14</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6 592 618,47</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sz w:val="20"/>
                <w:szCs w:val="20"/>
              </w:rPr>
            </w:pPr>
            <w:r w:rsidRPr="00AB4843">
              <w:rPr>
                <w:rFonts w:asciiTheme="minorHAnsi" w:hAnsiTheme="minorHAnsi" w:cstheme="minorHAnsi"/>
                <w:sz w:val="20"/>
                <w:szCs w:val="20"/>
              </w:rPr>
              <w:t>4 658 615,06</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52</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6 593 003,68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4 658 382,01</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90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6 593 217,03</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4 658 101,67</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15</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6 592 618,31</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sz w:val="20"/>
                <w:szCs w:val="20"/>
              </w:rPr>
            </w:pPr>
            <w:r w:rsidRPr="00AB4843">
              <w:rPr>
                <w:rFonts w:asciiTheme="minorHAnsi" w:hAnsiTheme="minorHAnsi" w:cstheme="minorHAnsi"/>
                <w:sz w:val="20"/>
                <w:szCs w:val="20"/>
              </w:rPr>
              <w:t>4 658 609,55</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53</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6 593 011,78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4 658 377,56</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91</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6 593 215,66</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4 658 084,17</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16</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6 592 618,87</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sz w:val="20"/>
                <w:szCs w:val="20"/>
              </w:rPr>
            </w:pPr>
            <w:r w:rsidRPr="00AB4843">
              <w:rPr>
                <w:rFonts w:asciiTheme="minorHAnsi" w:hAnsiTheme="minorHAnsi" w:cstheme="minorHAnsi"/>
                <w:sz w:val="20"/>
                <w:szCs w:val="20"/>
              </w:rPr>
              <w:t>4 658 599,79</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54</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6 593 019,65</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4 658 370,72</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92</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6 593 216,46</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4 658 056,89</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17</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6 592 628,30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sz w:val="20"/>
                <w:szCs w:val="20"/>
              </w:rPr>
            </w:pPr>
            <w:r w:rsidRPr="00AB4843">
              <w:rPr>
                <w:rFonts w:asciiTheme="minorHAnsi" w:hAnsiTheme="minorHAnsi" w:cstheme="minorHAnsi"/>
                <w:sz w:val="20"/>
                <w:szCs w:val="20"/>
              </w:rPr>
              <w:t>4 658 594,80</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55</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6 593 025,08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4 658 363,57</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93</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6 593 192,55</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4 658 043,55</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18</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6 592 629,87</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sz w:val="20"/>
                <w:szCs w:val="20"/>
              </w:rPr>
            </w:pPr>
            <w:r w:rsidRPr="00AB4843">
              <w:rPr>
                <w:rFonts w:asciiTheme="minorHAnsi" w:hAnsiTheme="minorHAnsi" w:cstheme="minorHAnsi"/>
                <w:sz w:val="20"/>
                <w:szCs w:val="20"/>
              </w:rPr>
              <w:t>4 658 593,71</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56</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6 593 030,00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4 658 355,57</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94</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6 593 184,35</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4 658 035,94</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19</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6 592 647,16</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sz w:val="20"/>
                <w:szCs w:val="20"/>
              </w:rPr>
            </w:pPr>
            <w:r w:rsidRPr="00AB4843">
              <w:rPr>
                <w:rFonts w:asciiTheme="minorHAnsi" w:hAnsiTheme="minorHAnsi" w:cstheme="minorHAnsi"/>
                <w:sz w:val="20"/>
                <w:szCs w:val="20"/>
              </w:rPr>
              <w:t>4 658 582,03</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57</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6 593 035,76</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4 658 351,40</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95</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6 593 170,18</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4 658 030,31</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20</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6 592 666,10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sz w:val="20"/>
                <w:szCs w:val="20"/>
              </w:rPr>
            </w:pPr>
            <w:r w:rsidRPr="00AB4843">
              <w:rPr>
                <w:rFonts w:asciiTheme="minorHAnsi" w:hAnsiTheme="minorHAnsi" w:cstheme="minorHAnsi"/>
                <w:sz w:val="20"/>
                <w:szCs w:val="20"/>
              </w:rPr>
              <w:t>4 658 571,77</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58</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6 593 050,35</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4 658 350,09</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96</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6 593 154,13</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4 658 024,67</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21</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6 592 673,62</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sz w:val="20"/>
                <w:szCs w:val="20"/>
              </w:rPr>
            </w:pPr>
            <w:r w:rsidRPr="00AB4843">
              <w:rPr>
                <w:rFonts w:asciiTheme="minorHAnsi" w:hAnsiTheme="minorHAnsi" w:cstheme="minorHAnsi"/>
                <w:sz w:val="20"/>
                <w:szCs w:val="20"/>
              </w:rPr>
              <w:t>4 658 569,27</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59</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6 593 083,75</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4 658 350,18</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97</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6 593 155,06</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4 658 006,03</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22</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6 592 687,31</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sz w:val="20"/>
                <w:szCs w:val="20"/>
              </w:rPr>
            </w:pPr>
            <w:r w:rsidRPr="00AB4843">
              <w:rPr>
                <w:rFonts w:asciiTheme="minorHAnsi" w:hAnsiTheme="minorHAnsi" w:cstheme="minorHAnsi"/>
                <w:sz w:val="20"/>
                <w:szCs w:val="20"/>
              </w:rPr>
              <w:t>4 658 559,38</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60</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6 593 097,60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4 658 348,20</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98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6 593 161,38</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4 657 995,83</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23</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6 592 697,40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4 658 552,09</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61</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6 593 134,79</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4 658 341,96</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99</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6 593 149,21</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4 657 981,64</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24</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6 592 704,12</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4 658 546,26</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62</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6 593 157,33</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4 658 337,39</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100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6 593 150,40</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4 657 972,38</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25</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6 592 726,30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4 658 529,94</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63</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6 593 186,47</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4 658 338,23</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101</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6 593 157,92</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4 657 956,28</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26</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6 592 741,37</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4 658 510,55</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64</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6 593 215,08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4 658 337,28</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102</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6 593 159,23</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4 657 943,32</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27</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6 592 749,23</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4 658 506,03</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65</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6 593 217,98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4 658 332,43</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103</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6 593 136,57</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4 657 913,36</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28</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6 592 754,47</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4 658 501,67</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66</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6 593 218,83</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4 658 330,57</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104</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6 593 096,14</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4 657 891,54</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29</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6 592 761,63</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4 658 497,46</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67</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6 593 230,29</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4 658 318,72</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105</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6 593 072,86</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4 657 872,16</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30</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6 592 768,22</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4 658 491,84</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68</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6 593 240,04</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4 658 317,81</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106</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6 593 041,18</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4 657 884,43</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31</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6 592 769,31</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4 658 490,91</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69</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6 593 252,67</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4 658 306,96</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107</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6 592 946,44</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4 657 924,06</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32</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6 592 773,33</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4 658 487,49</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70</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6 593 267,19</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4 658 293,41</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108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6 592 786,80</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4 658 055,27</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33</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6 592 780,73</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4 658 483,61</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71</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6 593 276,92</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4 658 289,15</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109</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6 592 712,74</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4 658 116,14</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34</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6 592 790,35</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4 658 476,29</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72</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6 593 289,46</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4 658 281,63</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110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6 592 682,03</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4 658 141,38</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35</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6 592 798,40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4 658 472,39</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73</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6 593 283,20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4 658 272,33</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111</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6 592 656,25</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4 658 162,56</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36</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6 592 813,26</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4 658 466,47</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74</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6 593 278,76</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4 658 263,97</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112</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6 592 588,50</w:t>
            </w: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4 658 218,25</w:t>
            </w:r>
          </w:p>
        </w:tc>
      </w:tr>
      <w:tr w:rsidR="00CE0BFE" w:rsidRPr="00AB4843" w:rsidTr="00CE0BFE">
        <w:trPr>
          <w:trHeight w:val="216"/>
        </w:trPr>
        <w:tc>
          <w:tcPr>
            <w:tcW w:w="267" w:type="pct"/>
            <w:tcBorders>
              <w:left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37</w:t>
            </w:r>
          </w:p>
        </w:tc>
        <w:tc>
          <w:tcPr>
            <w:tcW w:w="639" w:type="pct"/>
            <w:tcBorders>
              <w:lef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6 592 821,40</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4 658 463,37</w:t>
            </w:r>
          </w:p>
        </w:tc>
        <w:tc>
          <w:tcPr>
            <w:tcW w:w="276"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r w:rsidRPr="00AB4843">
              <w:rPr>
                <w:rFonts w:asciiTheme="minorHAnsi" w:hAnsiTheme="minorHAnsi" w:cstheme="minorHAnsi"/>
                <w:b/>
                <w:color w:val="000000"/>
                <w:sz w:val="20"/>
                <w:szCs w:val="20"/>
              </w:rPr>
              <w:t>75</w:t>
            </w:r>
          </w:p>
        </w:tc>
        <w:tc>
          <w:tcPr>
            <w:tcW w:w="697"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6 593 274,58</w:t>
            </w: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4 658 250,29</w:t>
            </w:r>
          </w:p>
        </w:tc>
        <w:tc>
          <w:tcPr>
            <w:tcW w:w="280" w:type="pct"/>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p>
        </w:tc>
        <w:tc>
          <w:tcPr>
            <w:tcW w:w="693" w:type="pct"/>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p>
        </w:tc>
        <w:tc>
          <w:tcPr>
            <w:tcW w:w="762" w:type="pct"/>
            <w:tcBorders>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p>
        </w:tc>
      </w:tr>
      <w:tr w:rsidR="00CE0BFE" w:rsidRPr="00AB4843" w:rsidTr="00CE0BFE">
        <w:trPr>
          <w:trHeight w:val="332"/>
        </w:trPr>
        <w:tc>
          <w:tcPr>
            <w:tcW w:w="267" w:type="pct"/>
            <w:tcBorders>
              <w:left w:val="thinThickSmallGap" w:sz="18" w:space="0" w:color="auto"/>
              <w:bottom w:val="thinThickSmallGap" w:sz="18" w:space="0" w:color="auto"/>
              <w:right w:val="double" w:sz="4"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i/>
                <w:color w:val="0D0D0D"/>
                <w:sz w:val="20"/>
                <w:szCs w:val="20"/>
              </w:rPr>
            </w:pPr>
            <w:r w:rsidRPr="00AB4843">
              <w:rPr>
                <w:rFonts w:asciiTheme="minorHAnsi" w:hAnsiTheme="minorHAnsi" w:cstheme="minorHAnsi"/>
                <w:b/>
                <w:i/>
                <w:color w:val="0D0D0D"/>
                <w:sz w:val="20"/>
                <w:szCs w:val="20"/>
              </w:rPr>
              <w:t>38</w:t>
            </w:r>
          </w:p>
        </w:tc>
        <w:tc>
          <w:tcPr>
            <w:tcW w:w="639" w:type="pct"/>
            <w:tcBorders>
              <w:left w:val="double" w:sz="4" w:space="0" w:color="auto"/>
              <w:bottom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6 592 834,67</w:t>
            </w:r>
          </w:p>
        </w:tc>
        <w:tc>
          <w:tcPr>
            <w:tcW w:w="693" w:type="pct"/>
            <w:tcBorders>
              <w:bottom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4 658 458,24</w:t>
            </w:r>
          </w:p>
        </w:tc>
        <w:tc>
          <w:tcPr>
            <w:tcW w:w="276" w:type="pct"/>
            <w:tcBorders>
              <w:bottom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sz w:val="20"/>
                <w:szCs w:val="20"/>
              </w:rPr>
            </w:pPr>
            <w:r w:rsidRPr="00AB4843">
              <w:rPr>
                <w:rFonts w:asciiTheme="minorHAnsi" w:hAnsiTheme="minorHAnsi" w:cstheme="minorHAnsi"/>
                <w:b/>
                <w:sz w:val="20"/>
                <w:szCs w:val="20"/>
              </w:rPr>
              <w:t>76</w:t>
            </w:r>
          </w:p>
        </w:tc>
        <w:tc>
          <w:tcPr>
            <w:tcW w:w="697" w:type="pct"/>
            <w:tcBorders>
              <w:bottom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6 593 266,72</w:t>
            </w:r>
          </w:p>
        </w:tc>
        <w:tc>
          <w:tcPr>
            <w:tcW w:w="693" w:type="pct"/>
            <w:tcBorders>
              <w:bottom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r w:rsidRPr="00AB4843">
              <w:rPr>
                <w:rFonts w:asciiTheme="minorHAnsi" w:hAnsiTheme="minorHAnsi" w:cstheme="minorHAnsi"/>
                <w:color w:val="000000"/>
                <w:sz w:val="20"/>
                <w:szCs w:val="20"/>
              </w:rPr>
              <w:t>4 658 238,11</w:t>
            </w:r>
          </w:p>
        </w:tc>
        <w:tc>
          <w:tcPr>
            <w:tcW w:w="280" w:type="pct"/>
            <w:tcBorders>
              <w:bottom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b/>
                <w:color w:val="000000"/>
                <w:sz w:val="20"/>
                <w:szCs w:val="20"/>
              </w:rPr>
            </w:pPr>
          </w:p>
        </w:tc>
        <w:tc>
          <w:tcPr>
            <w:tcW w:w="693" w:type="pct"/>
            <w:tcBorders>
              <w:bottom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p>
        </w:tc>
        <w:tc>
          <w:tcPr>
            <w:tcW w:w="762" w:type="pct"/>
            <w:tcBorders>
              <w:bottom w:val="thinThickSmallGap" w:sz="18" w:space="0" w:color="auto"/>
              <w:right w:val="thinThickSmallGap" w:sz="18" w:space="0" w:color="auto"/>
            </w:tcBorders>
            <w:vAlign w:val="center"/>
          </w:tcPr>
          <w:p w:rsidR="00282012" w:rsidRPr="00AB4843" w:rsidRDefault="00282012" w:rsidP="00AF53FF">
            <w:pPr>
              <w:autoSpaceDE w:val="0"/>
              <w:autoSpaceDN w:val="0"/>
              <w:adjustRightInd w:val="0"/>
              <w:jc w:val="center"/>
              <w:rPr>
                <w:rFonts w:asciiTheme="minorHAnsi" w:hAnsiTheme="minorHAnsi" w:cstheme="minorHAnsi"/>
                <w:color w:val="000000"/>
                <w:sz w:val="20"/>
                <w:szCs w:val="20"/>
              </w:rPr>
            </w:pPr>
          </w:p>
        </w:tc>
      </w:tr>
    </w:tbl>
    <w:p w:rsidR="00C61546" w:rsidRDefault="00C61546" w:rsidP="00403695">
      <w:pPr>
        <w:jc w:val="both"/>
        <w:rPr>
          <w:rFonts w:asciiTheme="minorHAnsi" w:hAnsiTheme="minorHAnsi" w:cstheme="minorHAnsi"/>
          <w:b/>
          <w:sz w:val="20"/>
          <w:szCs w:val="20"/>
          <w:lang w:val="pl-PL"/>
        </w:rPr>
      </w:pPr>
    </w:p>
    <w:p w:rsidR="001F3308" w:rsidRDefault="001F3308" w:rsidP="00403695">
      <w:pPr>
        <w:jc w:val="both"/>
        <w:rPr>
          <w:rFonts w:asciiTheme="minorHAnsi" w:hAnsiTheme="minorHAnsi" w:cstheme="minorHAnsi"/>
          <w:b/>
          <w:sz w:val="20"/>
          <w:szCs w:val="20"/>
          <w:lang w:val="pl-PL"/>
        </w:rPr>
      </w:pPr>
      <w:r w:rsidRPr="001F3308">
        <w:rPr>
          <w:rFonts w:asciiTheme="minorHAnsi" w:hAnsiTheme="minorHAnsi" w:cstheme="minorHAnsi"/>
          <w:b/>
          <w:sz w:val="20"/>
          <w:szCs w:val="20"/>
          <w:lang w:val="pl-PL"/>
        </w:rPr>
        <w:t>Imovinsko-pravni odnosi</w:t>
      </w:r>
    </w:p>
    <w:p w:rsidR="001F3308" w:rsidRPr="001F3308" w:rsidRDefault="001F3308" w:rsidP="00403695">
      <w:pPr>
        <w:jc w:val="both"/>
        <w:rPr>
          <w:rFonts w:asciiTheme="minorHAnsi" w:hAnsiTheme="minorHAnsi" w:cstheme="minorHAnsi"/>
          <w:b/>
          <w:sz w:val="20"/>
          <w:szCs w:val="20"/>
          <w:lang w:val="pl-PL"/>
        </w:rPr>
      </w:pPr>
    </w:p>
    <w:p w:rsidR="00362BAF" w:rsidRPr="00AB4843" w:rsidRDefault="00282012" w:rsidP="00403695">
      <w:pPr>
        <w:jc w:val="both"/>
        <w:rPr>
          <w:rFonts w:asciiTheme="minorHAnsi" w:hAnsiTheme="minorHAnsi" w:cstheme="minorHAnsi"/>
          <w:sz w:val="20"/>
          <w:szCs w:val="20"/>
          <w:lang w:val="pl-PL"/>
        </w:rPr>
      </w:pPr>
      <w:r w:rsidRPr="00AB4843">
        <w:rPr>
          <w:rFonts w:asciiTheme="minorHAnsi" w:hAnsiTheme="minorHAnsi" w:cstheme="minorHAnsi"/>
          <w:sz w:val="20"/>
          <w:szCs w:val="20"/>
          <w:lang w:val="pl-PL"/>
        </w:rPr>
        <w:t xml:space="preserve">Istražno-eksploatacioni prostor „Velji Zabio” nalazi se na katastarskoj parceli br.1913/2, KO Zaljevo,  LN 293. Svojina je podnosioca Inicijative </w:t>
      </w:r>
      <w:r w:rsidR="00294DE2" w:rsidRPr="00AB4843">
        <w:rPr>
          <w:rFonts w:asciiTheme="minorHAnsi" w:hAnsiTheme="minorHAnsi" w:cstheme="minorHAnsi"/>
          <w:sz w:val="20"/>
          <w:szCs w:val="20"/>
          <w:lang w:val="pl-PL"/>
        </w:rPr>
        <w:t>za dodjelu koncesije DOO</w:t>
      </w:r>
      <w:r w:rsidRPr="00AB4843">
        <w:rPr>
          <w:rFonts w:asciiTheme="minorHAnsi" w:hAnsiTheme="minorHAnsi" w:cstheme="minorHAnsi"/>
          <w:sz w:val="20"/>
          <w:szCs w:val="20"/>
          <w:lang w:val="pl-PL"/>
        </w:rPr>
        <w:t xml:space="preserve">  „Euromix Beton” - Bar.</w:t>
      </w:r>
    </w:p>
    <w:p w:rsidR="00294DE2" w:rsidRDefault="00294DE2" w:rsidP="00403695">
      <w:pPr>
        <w:jc w:val="both"/>
        <w:rPr>
          <w:rFonts w:asciiTheme="minorHAnsi" w:hAnsiTheme="minorHAnsi" w:cstheme="minorHAnsi"/>
          <w:sz w:val="20"/>
          <w:szCs w:val="20"/>
          <w:lang w:val="pl-PL"/>
        </w:rPr>
      </w:pPr>
    </w:p>
    <w:p w:rsidR="00CE0BFE" w:rsidRDefault="00CE0BFE" w:rsidP="00403695">
      <w:pPr>
        <w:jc w:val="both"/>
        <w:rPr>
          <w:rFonts w:asciiTheme="minorHAnsi" w:hAnsiTheme="minorHAnsi" w:cstheme="minorHAnsi"/>
          <w:sz w:val="20"/>
          <w:szCs w:val="20"/>
          <w:lang w:val="pl-PL"/>
        </w:rPr>
      </w:pPr>
    </w:p>
    <w:p w:rsidR="001F3308" w:rsidRPr="001F3308" w:rsidRDefault="001F3308" w:rsidP="00403695">
      <w:pPr>
        <w:jc w:val="both"/>
        <w:rPr>
          <w:rFonts w:asciiTheme="minorHAnsi" w:hAnsiTheme="minorHAnsi" w:cstheme="minorHAnsi"/>
          <w:b/>
          <w:sz w:val="20"/>
          <w:szCs w:val="20"/>
          <w:lang w:val="pl-PL"/>
        </w:rPr>
      </w:pPr>
      <w:r w:rsidRPr="001F3308">
        <w:rPr>
          <w:rFonts w:asciiTheme="minorHAnsi" w:hAnsiTheme="minorHAnsi" w:cstheme="minorHAnsi"/>
          <w:b/>
          <w:sz w:val="20"/>
          <w:szCs w:val="20"/>
          <w:lang w:val="pl-PL"/>
        </w:rPr>
        <w:lastRenderedPageBreak/>
        <w:t>Prostorno-planska dokumentacija</w:t>
      </w:r>
    </w:p>
    <w:p w:rsidR="001F3308" w:rsidRPr="00AB4843" w:rsidRDefault="001F3308" w:rsidP="00403695">
      <w:pPr>
        <w:jc w:val="both"/>
        <w:rPr>
          <w:rFonts w:asciiTheme="minorHAnsi" w:hAnsiTheme="minorHAnsi" w:cstheme="minorHAnsi"/>
          <w:sz w:val="20"/>
          <w:szCs w:val="20"/>
          <w:lang w:val="pl-PL"/>
        </w:rPr>
      </w:pPr>
    </w:p>
    <w:p w:rsidR="00282012" w:rsidRPr="00AB4843" w:rsidRDefault="00282012" w:rsidP="00403695">
      <w:pPr>
        <w:jc w:val="both"/>
        <w:rPr>
          <w:rFonts w:asciiTheme="minorHAnsi" w:hAnsiTheme="minorHAnsi" w:cstheme="minorHAnsi"/>
          <w:sz w:val="20"/>
          <w:szCs w:val="20"/>
          <w:lang w:val="pl-PL"/>
        </w:rPr>
      </w:pPr>
      <w:r w:rsidRPr="00AB4843">
        <w:rPr>
          <w:rFonts w:asciiTheme="minorHAnsi" w:hAnsiTheme="minorHAnsi" w:cstheme="minorHAnsi"/>
          <w:sz w:val="20"/>
          <w:szCs w:val="20"/>
          <w:lang w:val="pl-PL"/>
        </w:rPr>
        <w:t>U aktu Sekretarijata za uređenje prostora, komunalno-stambene poslove i zaštitu životne sredine opštine Bar, br.032-07-351/14-uv-155 od 26.12.2014. godine, navedeno je da opština Bar nema usvojen Prostorno-urbanistički plan i da je isti u postupku izrade. U prilogu ovog akta dostavljen je izvod iz Generalnog urbanističkog plana Bara za katastarsku parcelu br.1913/2, KO Zaljevo, na kojoj se nalazi predmetno ležište, shodno kopijama plana dobijenim od Uprave za nekretnine, PJ Bar, a to je stjenovito područje obraslo makijom, šibljacima, garigom.</w:t>
      </w:r>
    </w:p>
    <w:p w:rsidR="00282012" w:rsidRPr="00D75E2A" w:rsidRDefault="00282012" w:rsidP="00403695">
      <w:pPr>
        <w:jc w:val="both"/>
        <w:rPr>
          <w:rFonts w:asciiTheme="minorHAnsi" w:hAnsiTheme="minorHAnsi" w:cstheme="minorHAnsi"/>
          <w:b/>
          <w:sz w:val="20"/>
          <w:szCs w:val="20"/>
          <w:lang w:val="pl-PL"/>
        </w:rPr>
      </w:pPr>
      <w:r w:rsidRPr="00D75E2A">
        <w:rPr>
          <w:rFonts w:asciiTheme="minorHAnsi" w:hAnsiTheme="minorHAnsi" w:cstheme="minorHAnsi"/>
          <w:b/>
          <w:sz w:val="20"/>
          <w:szCs w:val="20"/>
          <w:lang w:val="pl-PL"/>
        </w:rPr>
        <w:t>U Prostornom planu Crne Gore do 2020. godine, odjeljak 3.2.2. Mineralne sirovine definisano je ležište tehničko-građevinskog kamena „Velji Zabio” kao aktivni kamenolom.</w:t>
      </w:r>
    </w:p>
    <w:p w:rsidR="00282012" w:rsidRPr="00AB4843" w:rsidRDefault="00282012" w:rsidP="00403695">
      <w:pPr>
        <w:ind w:left="-90"/>
        <w:rPr>
          <w:rFonts w:asciiTheme="minorHAnsi" w:hAnsiTheme="minorHAnsi" w:cstheme="minorHAnsi"/>
          <w:b/>
          <w:sz w:val="20"/>
          <w:szCs w:val="20"/>
          <w:lang w:val="pl-PL"/>
        </w:rPr>
      </w:pPr>
    </w:p>
    <w:p w:rsidR="00AB16D5" w:rsidRPr="00AB4843" w:rsidRDefault="00AB16D5" w:rsidP="00403695">
      <w:pPr>
        <w:jc w:val="both"/>
        <w:rPr>
          <w:rFonts w:asciiTheme="minorHAnsi" w:hAnsiTheme="minorHAnsi"/>
          <w:b/>
          <w:sz w:val="20"/>
          <w:szCs w:val="20"/>
          <w:lang w:val="sr-Latn-CS"/>
        </w:rPr>
      </w:pPr>
      <w:r w:rsidRPr="00AB4843">
        <w:rPr>
          <w:rFonts w:asciiTheme="minorHAnsi" w:hAnsiTheme="minorHAnsi" w:cstheme="minorHAnsi"/>
          <w:b/>
          <w:sz w:val="20"/>
          <w:szCs w:val="20"/>
          <w:lang w:val="sr-Latn-CS"/>
        </w:rPr>
        <w:t xml:space="preserve">6. </w:t>
      </w:r>
      <w:r w:rsidRPr="00AB4843">
        <w:rPr>
          <w:rFonts w:asciiTheme="minorHAnsi" w:hAnsiTheme="minorHAnsi"/>
          <w:b/>
          <w:sz w:val="20"/>
          <w:szCs w:val="20"/>
          <w:lang w:val="sr-Latn-CS"/>
        </w:rPr>
        <w:t>Ležište tehničko-građevinskog i arhitektonko-građevinskog (ukrasnog) kamena „Visočica“, opština Danilovgrad (TGK I AGK)</w:t>
      </w:r>
    </w:p>
    <w:p w:rsidR="00AB16D5" w:rsidRPr="00AB4843" w:rsidRDefault="00AB16D5" w:rsidP="00403695">
      <w:pPr>
        <w:jc w:val="both"/>
        <w:rPr>
          <w:rFonts w:asciiTheme="minorHAnsi" w:hAnsiTheme="minorHAnsi"/>
          <w:b/>
          <w:sz w:val="20"/>
          <w:szCs w:val="20"/>
          <w:lang w:val="sr-Latn-CS"/>
        </w:rPr>
      </w:pPr>
    </w:p>
    <w:p w:rsidR="00AB16D5" w:rsidRPr="00AB4843" w:rsidRDefault="00AB16D5" w:rsidP="00403695">
      <w:pPr>
        <w:jc w:val="both"/>
        <w:rPr>
          <w:rFonts w:asciiTheme="minorHAnsi" w:hAnsiTheme="minorHAnsi"/>
          <w:sz w:val="20"/>
          <w:szCs w:val="20"/>
          <w:lang w:val="sr-Latn-CS"/>
        </w:rPr>
      </w:pPr>
      <w:r w:rsidRPr="00AB4843">
        <w:rPr>
          <w:rFonts w:asciiTheme="minorHAnsi" w:hAnsiTheme="minorHAnsi"/>
          <w:sz w:val="20"/>
          <w:szCs w:val="20"/>
          <w:lang w:val="sr-Latn-CS"/>
        </w:rPr>
        <w:t>Brdo Visočica je udaljeno oko 1 km od Spuža i nalazi se na lijevoj obali rijeke Zete. Administrativno pripada opštini Danilovgrad i nalazi se na topografskom listu ”Danilovgrad”, 1:100 000, odnosno sekciji ”Spuž”, 1:25 000.</w:t>
      </w:r>
    </w:p>
    <w:p w:rsidR="00AB16D5" w:rsidRPr="00AB4843" w:rsidRDefault="00AB16D5" w:rsidP="00403695">
      <w:pPr>
        <w:jc w:val="both"/>
        <w:rPr>
          <w:rFonts w:asciiTheme="minorHAnsi" w:hAnsiTheme="minorHAnsi"/>
          <w:b/>
          <w:sz w:val="20"/>
          <w:szCs w:val="20"/>
          <w:lang w:val="sr-Latn-CS"/>
        </w:rPr>
      </w:pPr>
    </w:p>
    <w:p w:rsidR="00AB16D5" w:rsidRPr="00AB4843" w:rsidRDefault="00AB16D5" w:rsidP="00403695">
      <w:pPr>
        <w:jc w:val="both"/>
        <w:rPr>
          <w:rFonts w:asciiTheme="minorHAnsi" w:hAnsiTheme="minorHAnsi"/>
          <w:sz w:val="20"/>
          <w:szCs w:val="20"/>
          <w:lang w:val="sr-Latn-CS"/>
        </w:rPr>
      </w:pPr>
      <w:r w:rsidRPr="00AB4843">
        <w:rPr>
          <w:rFonts w:asciiTheme="minorHAnsi" w:hAnsiTheme="minorHAnsi"/>
          <w:sz w:val="20"/>
          <w:szCs w:val="20"/>
          <w:lang w:val="sr-Latn-CS"/>
        </w:rPr>
        <w:t>Prostor predviđen za eksploataciju arhitektonsko-građevinskog (ukrasnog) kamena nalazi se na istočnoj strani brda, dok se na zapadnoj i sjevernoj strani nalazi dio brda koji se koristi za eksploataciju tehničko-građevinskog kamena.</w:t>
      </w:r>
    </w:p>
    <w:p w:rsidR="00AB16D5" w:rsidRPr="00AB4843" w:rsidRDefault="00AB16D5" w:rsidP="00403695">
      <w:pPr>
        <w:jc w:val="both"/>
        <w:rPr>
          <w:rFonts w:asciiTheme="minorHAnsi" w:hAnsiTheme="minorHAnsi"/>
          <w:sz w:val="20"/>
          <w:szCs w:val="20"/>
          <w:lang w:val="sr-Latn-CS"/>
        </w:rPr>
      </w:pPr>
    </w:p>
    <w:p w:rsidR="00AB16D5" w:rsidRPr="00AB4843" w:rsidRDefault="00AB16D5" w:rsidP="00403695">
      <w:pPr>
        <w:jc w:val="both"/>
        <w:rPr>
          <w:rFonts w:asciiTheme="minorHAnsi" w:hAnsiTheme="minorHAnsi"/>
          <w:sz w:val="20"/>
          <w:szCs w:val="20"/>
          <w:lang w:val="sr-Latn-CS"/>
        </w:rPr>
      </w:pPr>
      <w:r w:rsidRPr="00AB4843">
        <w:rPr>
          <w:rFonts w:asciiTheme="minorHAnsi" w:hAnsiTheme="minorHAnsi"/>
          <w:sz w:val="20"/>
          <w:szCs w:val="20"/>
          <w:lang w:val="sr-Latn-CS"/>
        </w:rPr>
        <w:t>Područje Visočice je asfaltnim putem, dužine oko 1 km, povezano sa varošicom Spuž, kao i sa željezničkom stanicom. Ovaj prostor je preko Spuža dalje povezan sa Podgoricom, a sa asfaltnim putem preko Martinića sa Danilovgradom.</w:t>
      </w:r>
    </w:p>
    <w:p w:rsidR="00AB16D5" w:rsidRPr="00AB4843" w:rsidRDefault="00AB16D5" w:rsidP="00403695">
      <w:pPr>
        <w:jc w:val="both"/>
        <w:rPr>
          <w:rFonts w:asciiTheme="minorHAnsi" w:hAnsiTheme="minorHAnsi"/>
          <w:sz w:val="20"/>
          <w:szCs w:val="20"/>
          <w:lang w:val="sr-Latn-CS"/>
        </w:rPr>
      </w:pPr>
    </w:p>
    <w:p w:rsidR="00AB16D5" w:rsidRPr="00AB4843" w:rsidRDefault="00AB16D5" w:rsidP="00403695">
      <w:pPr>
        <w:jc w:val="both"/>
        <w:rPr>
          <w:rFonts w:asciiTheme="minorHAnsi" w:hAnsiTheme="minorHAnsi"/>
          <w:sz w:val="20"/>
          <w:szCs w:val="20"/>
          <w:lang w:val="sr-Latn-CS"/>
        </w:rPr>
      </w:pPr>
      <w:r w:rsidRPr="00AB4843">
        <w:rPr>
          <w:rFonts w:asciiTheme="minorHAnsi" w:hAnsiTheme="minorHAnsi"/>
          <w:sz w:val="20"/>
          <w:szCs w:val="20"/>
          <w:lang w:val="sr-Latn-CS"/>
        </w:rPr>
        <w:t>Od stalnih vodotoka, u blizini Visočice protiču rijeka Zeta sa zapadne i južne strane i potok Rimanić sa istočne strane (na udaljenosti od oko 500 m), koji se uliva u Zetu u blizini Spuža.</w:t>
      </w:r>
    </w:p>
    <w:p w:rsidR="00AB16D5" w:rsidRPr="00AB4843" w:rsidRDefault="00AB16D5" w:rsidP="00403695">
      <w:pPr>
        <w:jc w:val="both"/>
        <w:rPr>
          <w:rFonts w:asciiTheme="minorHAnsi" w:hAnsiTheme="minorHAnsi"/>
          <w:sz w:val="20"/>
          <w:szCs w:val="20"/>
          <w:lang w:val="sr-Latn-CS"/>
        </w:rPr>
      </w:pPr>
    </w:p>
    <w:p w:rsidR="00AB16D5" w:rsidRPr="00AB4843" w:rsidRDefault="00AB16D5" w:rsidP="00403695">
      <w:pPr>
        <w:jc w:val="both"/>
        <w:rPr>
          <w:rFonts w:asciiTheme="minorHAnsi" w:hAnsiTheme="minorHAnsi"/>
          <w:sz w:val="20"/>
          <w:szCs w:val="20"/>
          <w:lang w:val="sr-Latn-CS"/>
        </w:rPr>
      </w:pPr>
      <w:r w:rsidRPr="00AB4843">
        <w:rPr>
          <w:rFonts w:asciiTheme="minorHAnsi" w:hAnsiTheme="minorHAnsi"/>
          <w:sz w:val="20"/>
          <w:szCs w:val="20"/>
          <w:lang w:val="sr-Latn-CS"/>
        </w:rPr>
        <w:t>Geološku građu ležišta arhitektonsko-građevinskog i tehničko-građevinskog kamena „Visočica“, sačinjavaju karbonatni sedimenti gornje krede, paleocena, eocena i kvartara. Gornjokredni krečnjaci (K</w:t>
      </w:r>
      <w:r w:rsidRPr="00AB4843">
        <w:rPr>
          <w:rFonts w:asciiTheme="minorHAnsi" w:hAnsiTheme="minorHAnsi"/>
          <w:sz w:val="20"/>
          <w:szCs w:val="20"/>
          <w:vertAlign w:val="subscript"/>
          <w:lang w:val="sr-Latn-CS"/>
        </w:rPr>
        <w:t>2</w:t>
      </w:r>
      <w:r w:rsidRPr="00AB4843">
        <w:rPr>
          <w:rFonts w:asciiTheme="minorHAnsi" w:hAnsiTheme="minorHAnsi"/>
          <w:sz w:val="20"/>
          <w:szCs w:val="20"/>
          <w:lang w:val="sr-Latn-CS"/>
        </w:rPr>
        <w:t>),</w:t>
      </w:r>
      <w:r w:rsidRPr="00AB4843">
        <w:rPr>
          <w:rFonts w:asciiTheme="minorHAnsi" w:hAnsiTheme="minorHAnsi"/>
          <w:b/>
          <w:sz w:val="20"/>
          <w:szCs w:val="20"/>
          <w:lang w:val="sr-Latn-CS"/>
        </w:rPr>
        <w:t xml:space="preserve"> </w:t>
      </w:r>
      <w:r w:rsidRPr="00AB4843">
        <w:rPr>
          <w:rFonts w:asciiTheme="minorHAnsi" w:hAnsiTheme="minorHAnsi"/>
          <w:sz w:val="20"/>
          <w:szCs w:val="20"/>
          <w:lang w:val="sr-Latn-CS"/>
        </w:rPr>
        <w:t>izgrađuju najveći dio brda Visočice i predstavljaju paleoreljef mlađim sedimentima.</w:t>
      </w:r>
    </w:p>
    <w:p w:rsidR="00AB16D5" w:rsidRPr="00AB4843" w:rsidRDefault="00AB16D5" w:rsidP="00403695">
      <w:pPr>
        <w:jc w:val="both"/>
        <w:rPr>
          <w:rFonts w:asciiTheme="minorHAnsi" w:hAnsiTheme="minorHAnsi" w:cs="Arial"/>
          <w:sz w:val="20"/>
          <w:szCs w:val="20"/>
          <w:lang w:val="sr-Latn-CS"/>
        </w:rPr>
      </w:pPr>
    </w:p>
    <w:p w:rsidR="00D75E2A" w:rsidRPr="00AB4843" w:rsidRDefault="00AB16D5" w:rsidP="00403695">
      <w:pPr>
        <w:jc w:val="both"/>
        <w:rPr>
          <w:rFonts w:asciiTheme="minorHAnsi" w:hAnsiTheme="minorHAnsi" w:cs="Arial"/>
          <w:sz w:val="20"/>
          <w:szCs w:val="20"/>
          <w:lang w:val="sr-Latn-CS"/>
        </w:rPr>
      </w:pPr>
      <w:r w:rsidRPr="00AB4843">
        <w:rPr>
          <w:rFonts w:asciiTheme="minorHAnsi" w:hAnsiTheme="minorHAnsi" w:cs="Arial"/>
          <w:sz w:val="20"/>
          <w:szCs w:val="20"/>
          <w:lang w:val="sr-Latn-CS"/>
        </w:rPr>
        <w:t>Koordinate graničnih tačaka, dužine strana i površina prostora na kome će se vršiti detaljna geološka istraživanja i eksploatacija su:</w:t>
      </w:r>
    </w:p>
    <w:p w:rsidR="00AB16D5" w:rsidRPr="00AB4843" w:rsidRDefault="00AB16D5" w:rsidP="00403695">
      <w:pPr>
        <w:jc w:val="both"/>
        <w:rPr>
          <w:rFonts w:asciiTheme="minorHAnsi" w:hAnsiTheme="minorHAnsi"/>
          <w:b/>
          <w:i/>
          <w:sz w:val="20"/>
          <w:szCs w:val="20"/>
          <w:lang w:val="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915"/>
        <w:gridCol w:w="1915"/>
        <w:gridCol w:w="1915"/>
        <w:gridCol w:w="1915"/>
      </w:tblGrid>
      <w:tr w:rsidR="00AB16D5" w:rsidRPr="00AB4843" w:rsidTr="00AF53FF">
        <w:trPr>
          <w:jc w:val="center"/>
        </w:trPr>
        <w:tc>
          <w:tcPr>
            <w:tcW w:w="1000" w:type="pct"/>
            <w:vMerge w:val="restart"/>
            <w:tcBorders>
              <w:top w:val="thinThickSmallGap" w:sz="18" w:space="0" w:color="auto"/>
              <w:left w:val="thinThickSmallGap" w:sz="18"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rPr>
              <w:t>Tačka</w:t>
            </w:r>
          </w:p>
        </w:tc>
        <w:tc>
          <w:tcPr>
            <w:tcW w:w="2000" w:type="pct"/>
            <w:gridSpan w:val="2"/>
            <w:tcBorders>
              <w:top w:val="thinThickSmallGap" w:sz="18" w:space="0" w:color="auto"/>
              <w:left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Koordinate</w:t>
            </w:r>
          </w:p>
        </w:tc>
        <w:tc>
          <w:tcPr>
            <w:tcW w:w="1000" w:type="pct"/>
            <w:vMerge w:val="restart"/>
            <w:tcBorders>
              <w:top w:val="thinThickSmallGap" w:sz="18" w:space="0" w:color="auto"/>
              <w:left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Dužina (m)</w:t>
            </w:r>
          </w:p>
        </w:tc>
        <w:tc>
          <w:tcPr>
            <w:tcW w:w="1000" w:type="pct"/>
            <w:vMerge w:val="restart"/>
            <w:tcBorders>
              <w:top w:val="thinThickSmallGap" w:sz="18" w:space="0" w:color="auto"/>
              <w:left w:val="double" w:sz="4" w:space="0" w:color="auto"/>
              <w:right w:val="thinThickSmallGap" w:sz="18" w:space="0" w:color="auto"/>
            </w:tcBorders>
            <w:shd w:val="clear" w:color="auto" w:fill="92D050"/>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Površina (ha)</w:t>
            </w:r>
          </w:p>
        </w:tc>
      </w:tr>
      <w:tr w:rsidR="00AB16D5" w:rsidRPr="00AB4843" w:rsidTr="00AF53FF">
        <w:trPr>
          <w:jc w:val="center"/>
        </w:trPr>
        <w:tc>
          <w:tcPr>
            <w:tcW w:w="1000" w:type="pct"/>
            <w:vMerge/>
            <w:tcBorders>
              <w:left w:val="thinThickSmallGap" w:sz="18" w:space="0" w:color="auto"/>
              <w:bottom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b/>
                <w:sz w:val="20"/>
                <w:szCs w:val="20"/>
              </w:rPr>
            </w:pPr>
          </w:p>
        </w:tc>
        <w:tc>
          <w:tcPr>
            <w:tcW w:w="1000" w:type="pct"/>
            <w:tcBorders>
              <w:left w:val="double" w:sz="4" w:space="0" w:color="auto"/>
              <w:bottom w:val="double" w:sz="4" w:space="0" w:color="auto"/>
            </w:tcBorders>
            <w:shd w:val="clear" w:color="auto" w:fill="92D050"/>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X</w:t>
            </w:r>
          </w:p>
        </w:tc>
        <w:tc>
          <w:tcPr>
            <w:tcW w:w="1000" w:type="pct"/>
            <w:tcBorders>
              <w:bottom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Y</w:t>
            </w:r>
          </w:p>
        </w:tc>
        <w:tc>
          <w:tcPr>
            <w:tcW w:w="1000" w:type="pct"/>
            <w:vMerge/>
            <w:tcBorders>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p>
        </w:tc>
        <w:tc>
          <w:tcPr>
            <w:tcW w:w="1000" w:type="pct"/>
            <w:vMerge/>
            <w:tcBorders>
              <w:left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b/>
                <w:sz w:val="20"/>
                <w:szCs w:val="20"/>
              </w:rPr>
            </w:pPr>
          </w:p>
        </w:tc>
      </w:tr>
      <w:tr w:rsidR="00AB16D5" w:rsidRPr="00AB4843" w:rsidTr="00AF53FF">
        <w:trPr>
          <w:jc w:val="center"/>
        </w:trPr>
        <w:tc>
          <w:tcPr>
            <w:tcW w:w="1000" w:type="pct"/>
            <w:tcBorders>
              <w:top w:val="double" w:sz="4" w:space="0" w:color="auto"/>
              <w:left w:val="thinThickSmallGap" w:sz="18"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I</w:t>
            </w:r>
          </w:p>
        </w:tc>
        <w:tc>
          <w:tcPr>
            <w:tcW w:w="1000" w:type="pct"/>
            <w:tcBorders>
              <w:top w:val="double" w:sz="4" w:space="0" w:color="auto"/>
              <w:lef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4 709 652</w:t>
            </w:r>
          </w:p>
        </w:tc>
        <w:tc>
          <w:tcPr>
            <w:tcW w:w="1000" w:type="pct"/>
            <w:tcBorders>
              <w:top w:val="double" w:sz="4"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6 597 774</w:t>
            </w:r>
          </w:p>
        </w:tc>
        <w:tc>
          <w:tcPr>
            <w:tcW w:w="1000" w:type="pct"/>
            <w:tcBorders>
              <w:top w:val="double" w:sz="4" w:space="0" w:color="auto"/>
              <w:left w:val="double" w:sz="4"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I-II=282</w:t>
            </w:r>
          </w:p>
        </w:tc>
        <w:tc>
          <w:tcPr>
            <w:tcW w:w="1000" w:type="pct"/>
            <w:vMerge w:val="restart"/>
            <w:tcBorders>
              <w:top w:val="double" w:sz="4" w:space="0" w:color="auto"/>
              <w:left w:val="double" w:sz="4" w:space="0" w:color="auto"/>
              <w:right w:val="thinThickSmallGap" w:sz="18"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8,82</w:t>
            </w:r>
          </w:p>
        </w:tc>
      </w:tr>
      <w:tr w:rsidR="00AB16D5" w:rsidRPr="00AB4843" w:rsidTr="00AF53FF">
        <w:trPr>
          <w:jc w:val="center"/>
        </w:trPr>
        <w:tc>
          <w:tcPr>
            <w:tcW w:w="1000" w:type="pct"/>
            <w:tcBorders>
              <w:left w:val="thinThickSmallGap" w:sz="18"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II</w:t>
            </w:r>
          </w:p>
        </w:tc>
        <w:tc>
          <w:tcPr>
            <w:tcW w:w="1000" w:type="pct"/>
            <w:tcBorders>
              <w:lef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4 709 720</w:t>
            </w:r>
          </w:p>
        </w:tc>
        <w:tc>
          <w:tcPr>
            <w:tcW w:w="1000" w:type="pct"/>
            <w:tcBorders>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6 597 497</w:t>
            </w:r>
          </w:p>
        </w:tc>
        <w:tc>
          <w:tcPr>
            <w:tcW w:w="1000" w:type="pct"/>
            <w:tcBorders>
              <w:left w:val="double" w:sz="4"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II-III=220</w:t>
            </w:r>
          </w:p>
        </w:tc>
        <w:tc>
          <w:tcPr>
            <w:tcW w:w="1000" w:type="pct"/>
            <w:vMerge/>
            <w:tcBorders>
              <w:left w:val="double" w:sz="4" w:space="0" w:color="auto"/>
              <w:right w:val="thinThickSmallGap" w:sz="18" w:space="0" w:color="auto"/>
            </w:tcBorders>
            <w:vAlign w:val="center"/>
          </w:tcPr>
          <w:p w:rsidR="00AB16D5" w:rsidRPr="00AB4843" w:rsidRDefault="00AB16D5" w:rsidP="00AF53FF">
            <w:pPr>
              <w:jc w:val="center"/>
              <w:rPr>
                <w:rFonts w:asciiTheme="minorHAnsi" w:hAnsiTheme="minorHAnsi"/>
                <w:b/>
                <w:sz w:val="20"/>
                <w:szCs w:val="20"/>
              </w:rPr>
            </w:pPr>
          </w:p>
        </w:tc>
      </w:tr>
      <w:tr w:rsidR="00AB16D5" w:rsidRPr="00AB4843" w:rsidTr="00AF53FF">
        <w:trPr>
          <w:jc w:val="center"/>
        </w:trPr>
        <w:tc>
          <w:tcPr>
            <w:tcW w:w="1000" w:type="pct"/>
            <w:tcBorders>
              <w:left w:val="thinThickSmallGap" w:sz="18"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III</w:t>
            </w:r>
          </w:p>
        </w:tc>
        <w:tc>
          <w:tcPr>
            <w:tcW w:w="1000" w:type="pct"/>
            <w:tcBorders>
              <w:lef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4 709 920</w:t>
            </w:r>
          </w:p>
        </w:tc>
        <w:tc>
          <w:tcPr>
            <w:tcW w:w="1000" w:type="pct"/>
            <w:tcBorders>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6 597 379</w:t>
            </w:r>
          </w:p>
        </w:tc>
        <w:tc>
          <w:tcPr>
            <w:tcW w:w="1000" w:type="pct"/>
            <w:tcBorders>
              <w:left w:val="double" w:sz="4"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III-IV=382</w:t>
            </w:r>
          </w:p>
        </w:tc>
        <w:tc>
          <w:tcPr>
            <w:tcW w:w="1000" w:type="pct"/>
            <w:vMerge/>
            <w:tcBorders>
              <w:left w:val="double" w:sz="4" w:space="0" w:color="auto"/>
              <w:right w:val="thinThickSmallGap" w:sz="18" w:space="0" w:color="auto"/>
            </w:tcBorders>
            <w:vAlign w:val="center"/>
          </w:tcPr>
          <w:p w:rsidR="00AB16D5" w:rsidRPr="00AB4843" w:rsidRDefault="00AB16D5" w:rsidP="00AF53FF">
            <w:pPr>
              <w:jc w:val="center"/>
              <w:rPr>
                <w:rFonts w:asciiTheme="minorHAnsi" w:hAnsiTheme="minorHAnsi"/>
                <w:b/>
                <w:sz w:val="20"/>
                <w:szCs w:val="20"/>
              </w:rPr>
            </w:pPr>
          </w:p>
        </w:tc>
      </w:tr>
      <w:tr w:rsidR="00AB16D5" w:rsidRPr="00AB4843" w:rsidTr="00AF53FF">
        <w:trPr>
          <w:jc w:val="center"/>
        </w:trPr>
        <w:tc>
          <w:tcPr>
            <w:tcW w:w="1000" w:type="pct"/>
            <w:tcBorders>
              <w:left w:val="thinThickSmallGap" w:sz="18"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IV</w:t>
            </w:r>
          </w:p>
        </w:tc>
        <w:tc>
          <w:tcPr>
            <w:tcW w:w="1000" w:type="pct"/>
            <w:tcBorders>
              <w:lef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4 709 995</w:t>
            </w:r>
          </w:p>
        </w:tc>
        <w:tc>
          <w:tcPr>
            <w:tcW w:w="1000" w:type="pct"/>
            <w:tcBorders>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6 597 770</w:t>
            </w:r>
          </w:p>
        </w:tc>
        <w:tc>
          <w:tcPr>
            <w:tcW w:w="1000" w:type="pct"/>
            <w:tcBorders>
              <w:left w:val="double" w:sz="4"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IV-V=162</w:t>
            </w:r>
          </w:p>
        </w:tc>
        <w:tc>
          <w:tcPr>
            <w:tcW w:w="1000" w:type="pct"/>
            <w:vMerge/>
            <w:tcBorders>
              <w:left w:val="double" w:sz="4" w:space="0" w:color="auto"/>
              <w:right w:val="thinThickSmallGap" w:sz="18" w:space="0" w:color="auto"/>
            </w:tcBorders>
            <w:vAlign w:val="center"/>
          </w:tcPr>
          <w:p w:rsidR="00AB16D5" w:rsidRPr="00AB4843" w:rsidRDefault="00AB16D5" w:rsidP="00AF53FF">
            <w:pPr>
              <w:jc w:val="center"/>
              <w:rPr>
                <w:rFonts w:asciiTheme="minorHAnsi" w:hAnsiTheme="minorHAnsi"/>
                <w:b/>
                <w:sz w:val="20"/>
                <w:szCs w:val="20"/>
              </w:rPr>
            </w:pPr>
          </w:p>
        </w:tc>
      </w:tr>
      <w:tr w:rsidR="00AB16D5" w:rsidRPr="00AB4843" w:rsidTr="00AF53FF">
        <w:trPr>
          <w:jc w:val="center"/>
        </w:trPr>
        <w:tc>
          <w:tcPr>
            <w:tcW w:w="1000" w:type="pct"/>
            <w:tcBorders>
              <w:left w:val="thinThickSmallGap" w:sz="18" w:space="0" w:color="auto"/>
              <w:bottom w:val="thinThickSmallGap" w:sz="18"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V (C)</w:t>
            </w:r>
          </w:p>
        </w:tc>
        <w:tc>
          <w:tcPr>
            <w:tcW w:w="1000" w:type="pct"/>
            <w:tcBorders>
              <w:left w:val="double" w:sz="4" w:space="0" w:color="auto"/>
              <w:bottom w:val="thinThickSmallGap" w:sz="18"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4 709 804</w:t>
            </w:r>
          </w:p>
        </w:tc>
        <w:tc>
          <w:tcPr>
            <w:tcW w:w="1000" w:type="pct"/>
            <w:tcBorders>
              <w:bottom w:val="thinThickSmallGap" w:sz="18"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6 597 864</w:t>
            </w:r>
          </w:p>
        </w:tc>
        <w:tc>
          <w:tcPr>
            <w:tcW w:w="1000" w:type="pct"/>
            <w:tcBorders>
              <w:left w:val="double" w:sz="4" w:space="0" w:color="auto"/>
              <w:bottom w:val="thinThickSmallGap" w:sz="18" w:space="0" w:color="auto"/>
              <w:right w:val="double" w:sz="4" w:space="0" w:color="auto"/>
            </w:tcBorders>
            <w:vAlign w:val="center"/>
          </w:tcPr>
          <w:p w:rsidR="00AB16D5" w:rsidRPr="00AB4843" w:rsidRDefault="00AB16D5" w:rsidP="00AF53FF">
            <w:pPr>
              <w:jc w:val="center"/>
              <w:rPr>
                <w:rFonts w:asciiTheme="minorHAnsi" w:hAnsiTheme="minorHAnsi"/>
                <w:b/>
                <w:sz w:val="20"/>
                <w:szCs w:val="20"/>
              </w:rPr>
            </w:pPr>
            <w:r w:rsidRPr="00AB4843">
              <w:rPr>
                <w:rFonts w:asciiTheme="minorHAnsi" w:hAnsiTheme="minorHAnsi"/>
                <w:b/>
                <w:sz w:val="20"/>
                <w:szCs w:val="20"/>
              </w:rPr>
              <w:t>V-I=177</w:t>
            </w:r>
          </w:p>
        </w:tc>
        <w:tc>
          <w:tcPr>
            <w:tcW w:w="1000" w:type="pct"/>
            <w:vMerge/>
            <w:tcBorders>
              <w:left w:val="double" w:sz="4" w:space="0" w:color="auto"/>
              <w:bottom w:val="thinThickSmallGap" w:sz="18" w:space="0" w:color="auto"/>
              <w:right w:val="thinThickSmallGap" w:sz="18" w:space="0" w:color="auto"/>
            </w:tcBorders>
            <w:vAlign w:val="center"/>
          </w:tcPr>
          <w:p w:rsidR="00AB16D5" w:rsidRPr="00AB4843" w:rsidRDefault="00AB16D5" w:rsidP="00AF53FF">
            <w:pPr>
              <w:jc w:val="center"/>
              <w:rPr>
                <w:rFonts w:asciiTheme="minorHAnsi" w:hAnsiTheme="minorHAnsi"/>
                <w:b/>
                <w:sz w:val="20"/>
                <w:szCs w:val="20"/>
              </w:rPr>
            </w:pPr>
          </w:p>
        </w:tc>
      </w:tr>
    </w:tbl>
    <w:p w:rsidR="00AB16D5" w:rsidRPr="00AB4843" w:rsidRDefault="00AB16D5" w:rsidP="00403695">
      <w:pPr>
        <w:jc w:val="both"/>
        <w:rPr>
          <w:rFonts w:asciiTheme="minorHAnsi" w:hAnsiTheme="minorHAnsi" w:cs="Calibri"/>
          <w:sz w:val="20"/>
          <w:szCs w:val="20"/>
          <w:lang w:val="sr-Latn-CS"/>
        </w:rPr>
      </w:pPr>
    </w:p>
    <w:p w:rsidR="00AB16D5" w:rsidRPr="00AB4843" w:rsidRDefault="00AB16D5" w:rsidP="00403695">
      <w:pPr>
        <w:jc w:val="both"/>
        <w:rPr>
          <w:rFonts w:asciiTheme="minorHAnsi" w:hAnsiTheme="minorHAnsi" w:cs="Calibri"/>
          <w:sz w:val="20"/>
          <w:szCs w:val="20"/>
          <w:lang w:val="sr-Latn-CS"/>
        </w:rPr>
      </w:pPr>
    </w:p>
    <w:p w:rsidR="009762DA" w:rsidRDefault="00AB16D5" w:rsidP="00403695">
      <w:pPr>
        <w:jc w:val="both"/>
        <w:rPr>
          <w:rFonts w:asciiTheme="minorHAnsi" w:hAnsiTheme="minorHAnsi" w:cs="Calibri"/>
          <w:b/>
          <w:sz w:val="20"/>
          <w:szCs w:val="20"/>
          <w:lang w:val="sr-Latn-CS"/>
        </w:rPr>
      </w:pPr>
      <w:r w:rsidRPr="00AB4843">
        <w:rPr>
          <w:rFonts w:asciiTheme="minorHAnsi" w:hAnsiTheme="minorHAnsi" w:cs="Calibri"/>
          <w:b/>
          <w:sz w:val="20"/>
          <w:szCs w:val="20"/>
          <w:lang w:val="sr-Latn-CS"/>
        </w:rPr>
        <w:t>Imovinsko-pravni odnosi</w:t>
      </w:r>
    </w:p>
    <w:p w:rsidR="009762DA" w:rsidRPr="005F0BE9" w:rsidRDefault="009762DA" w:rsidP="00403695">
      <w:pPr>
        <w:jc w:val="both"/>
        <w:rPr>
          <w:rFonts w:asciiTheme="minorHAnsi" w:hAnsiTheme="minorHAnsi" w:cs="Calibri"/>
          <w:b/>
          <w:sz w:val="20"/>
          <w:szCs w:val="20"/>
          <w:lang w:val="sr-Latn-CS"/>
        </w:rPr>
      </w:pPr>
    </w:p>
    <w:p w:rsidR="009762DA" w:rsidRDefault="00E956B2" w:rsidP="00403695">
      <w:pPr>
        <w:jc w:val="both"/>
        <w:rPr>
          <w:rFonts w:asciiTheme="minorHAnsi" w:hAnsiTheme="minorHAnsi" w:cs="Calibri"/>
          <w:sz w:val="20"/>
          <w:szCs w:val="20"/>
          <w:lang w:val="sr-Latn-CS"/>
        </w:rPr>
      </w:pPr>
      <w:r w:rsidRPr="00E956B2">
        <w:rPr>
          <w:rFonts w:asciiTheme="minorHAnsi" w:hAnsiTheme="minorHAnsi" w:cs="Calibri"/>
          <w:sz w:val="20"/>
          <w:szCs w:val="20"/>
          <w:lang w:val="sr-Latn-CS"/>
        </w:rPr>
        <w:t>Na osnovu izdatog Lista nepokretnosti 27, KO Podglavice</w:t>
      </w:r>
      <w:r>
        <w:rPr>
          <w:rFonts w:asciiTheme="minorHAnsi" w:hAnsiTheme="minorHAnsi" w:cs="Calibri"/>
          <w:sz w:val="20"/>
          <w:szCs w:val="20"/>
          <w:lang w:val="sr-Latn-CS"/>
        </w:rPr>
        <w:t xml:space="preserve">, od strane Uprave za nekretnine, Područna jedinica </w:t>
      </w:r>
    </w:p>
    <w:p w:rsidR="005F0BE9" w:rsidRDefault="00E956B2" w:rsidP="00403695">
      <w:pPr>
        <w:jc w:val="both"/>
        <w:rPr>
          <w:rFonts w:asciiTheme="minorHAnsi" w:hAnsiTheme="minorHAnsi" w:cstheme="minorHAnsi"/>
          <w:sz w:val="20"/>
          <w:szCs w:val="20"/>
          <w:lang w:val="sr-Latn-CS"/>
        </w:rPr>
      </w:pPr>
      <w:r>
        <w:rPr>
          <w:rFonts w:asciiTheme="minorHAnsi" w:hAnsiTheme="minorHAnsi" w:cs="Calibri"/>
          <w:sz w:val="20"/>
          <w:szCs w:val="20"/>
          <w:lang w:val="sr-Latn-CS"/>
        </w:rPr>
        <w:t xml:space="preserve">Danilovgrad, </w:t>
      </w:r>
      <w:r w:rsidR="00D75E2A" w:rsidRPr="00D75E2A">
        <w:rPr>
          <w:rFonts w:asciiTheme="minorHAnsi" w:hAnsiTheme="minorHAnsi" w:cstheme="minorHAnsi"/>
          <w:sz w:val="20"/>
          <w:szCs w:val="20"/>
          <w:lang w:val="sr-Latn-CS"/>
        </w:rPr>
        <w:t>katastarske p</w:t>
      </w:r>
      <w:r>
        <w:rPr>
          <w:rFonts w:asciiTheme="minorHAnsi" w:hAnsiTheme="minorHAnsi" w:cstheme="minorHAnsi"/>
          <w:sz w:val="20"/>
          <w:szCs w:val="20"/>
          <w:lang w:val="sr-Latn-CS"/>
        </w:rPr>
        <w:t>arcele br. od 195 do 215, na kojima se nalazi ležište „Visočica“ je u vlasništvu DOO</w:t>
      </w:r>
    </w:p>
    <w:p w:rsidR="00D75E2A" w:rsidRDefault="00E956B2" w:rsidP="00403695">
      <w:pPr>
        <w:jc w:val="both"/>
        <w:rPr>
          <w:rFonts w:asciiTheme="minorHAnsi" w:hAnsiTheme="minorHAnsi" w:cstheme="minorHAnsi"/>
          <w:sz w:val="20"/>
          <w:szCs w:val="20"/>
          <w:lang w:val="sr-Latn-CS"/>
        </w:rPr>
      </w:pPr>
      <w:r>
        <w:rPr>
          <w:rFonts w:asciiTheme="minorHAnsi" w:hAnsiTheme="minorHAnsi" w:cstheme="minorHAnsi"/>
          <w:sz w:val="20"/>
          <w:szCs w:val="20"/>
          <w:lang w:val="sr-Latn-CS"/>
        </w:rPr>
        <w:t xml:space="preserve"> „Šišković“ – Danilovgrad, podnosioca Inicijative za dodjelu predmetne koncesije.</w:t>
      </w:r>
    </w:p>
    <w:p w:rsidR="00D75E2A" w:rsidRPr="00D75E2A" w:rsidRDefault="00D75E2A" w:rsidP="00403695">
      <w:pPr>
        <w:jc w:val="both"/>
        <w:rPr>
          <w:rFonts w:asciiTheme="minorHAnsi" w:hAnsiTheme="minorHAnsi" w:cs="Calibri"/>
          <w:sz w:val="20"/>
          <w:szCs w:val="20"/>
          <w:lang w:val="sr-Latn-CS"/>
        </w:rPr>
      </w:pPr>
    </w:p>
    <w:p w:rsidR="00294DE2" w:rsidRDefault="00294DE2" w:rsidP="00403695">
      <w:pPr>
        <w:jc w:val="both"/>
        <w:rPr>
          <w:rFonts w:asciiTheme="minorHAnsi" w:hAnsiTheme="minorHAnsi" w:cs="Calibri"/>
          <w:b/>
          <w:sz w:val="20"/>
          <w:szCs w:val="20"/>
          <w:lang w:val="sr-Latn-CS"/>
        </w:rPr>
      </w:pPr>
      <w:r w:rsidRPr="00AB4843">
        <w:rPr>
          <w:rFonts w:asciiTheme="minorHAnsi" w:hAnsiTheme="minorHAnsi" w:cs="Calibri"/>
          <w:b/>
          <w:sz w:val="20"/>
          <w:szCs w:val="20"/>
          <w:lang w:val="sr-Latn-CS"/>
        </w:rPr>
        <w:t>Prostorno-planska dokumentacija</w:t>
      </w:r>
    </w:p>
    <w:p w:rsidR="00E956B2" w:rsidRDefault="00E956B2" w:rsidP="00403695">
      <w:pPr>
        <w:jc w:val="both"/>
        <w:rPr>
          <w:rFonts w:asciiTheme="minorHAnsi" w:hAnsiTheme="minorHAnsi" w:cs="Calibri"/>
          <w:b/>
          <w:sz w:val="20"/>
          <w:szCs w:val="20"/>
          <w:lang w:val="sr-Latn-CS"/>
        </w:rPr>
      </w:pPr>
    </w:p>
    <w:p w:rsidR="00E956B2" w:rsidRPr="00E956B2" w:rsidRDefault="00E956B2" w:rsidP="00403695">
      <w:pPr>
        <w:jc w:val="both"/>
        <w:rPr>
          <w:rFonts w:asciiTheme="minorHAnsi" w:hAnsiTheme="minorHAnsi" w:cs="Calibri"/>
          <w:sz w:val="20"/>
          <w:szCs w:val="20"/>
          <w:lang w:val="sr-Latn-CS"/>
        </w:rPr>
      </w:pPr>
      <w:r w:rsidRPr="00E956B2">
        <w:rPr>
          <w:rFonts w:asciiTheme="minorHAnsi" w:hAnsiTheme="minorHAnsi" w:cs="Calibri"/>
          <w:sz w:val="20"/>
          <w:szCs w:val="20"/>
          <w:lang w:val="sr-Latn-CS"/>
        </w:rPr>
        <w:lastRenderedPageBreak/>
        <w:t>Se</w:t>
      </w:r>
      <w:r>
        <w:rPr>
          <w:rFonts w:asciiTheme="minorHAnsi" w:hAnsiTheme="minorHAnsi" w:cs="Calibri"/>
          <w:sz w:val="20"/>
          <w:szCs w:val="20"/>
          <w:lang w:val="sr-Latn-CS"/>
        </w:rPr>
        <w:t>kretarijat za urbanizam, komunalno-stambene poslove i zaštitu životne sredine opštine Danilovgrad dostavio je Ministarstvu ekonomije izvod iz Prostorno-urbanističkog plana opštine Danilovgrad, br.03-032-5-921/2 od 08.12.2014. godine,  o namjeni prostora na kojem se nalazi ležište „Visočica“</w:t>
      </w:r>
      <w:r w:rsidR="005E7619">
        <w:rPr>
          <w:rFonts w:asciiTheme="minorHAnsi" w:hAnsiTheme="minorHAnsi" w:cs="Calibri"/>
          <w:sz w:val="20"/>
          <w:szCs w:val="20"/>
          <w:lang w:val="sr-Latn-CS"/>
        </w:rPr>
        <w:t xml:space="preserve"> – eksploatacija mineralne sirovine.</w:t>
      </w:r>
      <w:r>
        <w:rPr>
          <w:rFonts w:asciiTheme="minorHAnsi" w:hAnsiTheme="minorHAnsi" w:cs="Calibri"/>
          <w:sz w:val="20"/>
          <w:szCs w:val="20"/>
          <w:lang w:val="sr-Latn-CS"/>
        </w:rPr>
        <w:t xml:space="preserve"> </w:t>
      </w:r>
    </w:p>
    <w:p w:rsidR="00AB16D5" w:rsidRPr="00AB4843" w:rsidRDefault="00AB16D5" w:rsidP="00403695">
      <w:pPr>
        <w:jc w:val="both"/>
        <w:rPr>
          <w:rFonts w:asciiTheme="minorHAnsi" w:hAnsiTheme="minorHAnsi" w:cs="Calibri"/>
          <w:sz w:val="20"/>
          <w:szCs w:val="20"/>
          <w:lang w:val="sr-Latn-CS"/>
        </w:rPr>
      </w:pPr>
    </w:p>
    <w:p w:rsidR="00AB16D5" w:rsidRPr="00AB4843" w:rsidRDefault="00AB16D5" w:rsidP="00403695">
      <w:pPr>
        <w:jc w:val="both"/>
        <w:rPr>
          <w:rFonts w:asciiTheme="minorHAnsi" w:hAnsiTheme="minorHAnsi"/>
          <w:sz w:val="20"/>
          <w:szCs w:val="20"/>
          <w:lang w:val="sr-Latn-CS"/>
        </w:rPr>
      </w:pPr>
      <w:r w:rsidRPr="00AB4843">
        <w:rPr>
          <w:rFonts w:asciiTheme="minorHAnsi" w:hAnsiTheme="minorHAnsi" w:cs="Calibri"/>
          <w:bCs/>
          <w:sz w:val="20"/>
          <w:szCs w:val="20"/>
          <w:lang w:val="sl-SI"/>
        </w:rPr>
        <w:t xml:space="preserve">U </w:t>
      </w:r>
      <w:r w:rsidRPr="00AB4843">
        <w:rPr>
          <w:rFonts w:asciiTheme="minorHAnsi" w:hAnsiTheme="minorHAnsi"/>
          <w:bCs/>
          <w:sz w:val="20"/>
          <w:szCs w:val="20"/>
          <w:lang w:val="sl-SI"/>
        </w:rPr>
        <w:t xml:space="preserve">Elaboratu </w:t>
      </w:r>
      <w:r w:rsidRPr="00AB4843">
        <w:rPr>
          <w:rFonts w:asciiTheme="minorHAnsi" w:hAnsiTheme="minorHAnsi" w:cs="Calibri"/>
          <w:sz w:val="20"/>
          <w:szCs w:val="20"/>
          <w:lang w:val="sr-Latn-CS"/>
        </w:rPr>
        <w:t>o</w:t>
      </w:r>
      <w:r w:rsidRPr="00AB4843">
        <w:rPr>
          <w:rFonts w:asciiTheme="minorHAnsi" w:hAnsiTheme="minorHAnsi" w:cs="Calibri"/>
          <w:sz w:val="20"/>
          <w:szCs w:val="20"/>
          <w:lang w:val="hr-HR"/>
        </w:rPr>
        <w:t xml:space="preserve"> </w:t>
      </w:r>
      <w:r w:rsidRPr="00AB4843">
        <w:rPr>
          <w:rFonts w:asciiTheme="minorHAnsi" w:hAnsiTheme="minorHAnsi" w:cs="Calibri"/>
          <w:sz w:val="20"/>
          <w:szCs w:val="20"/>
          <w:lang w:val="sr-Latn-CS"/>
        </w:rPr>
        <w:t>klasifikaciji</w:t>
      </w:r>
      <w:r w:rsidRPr="00AB4843">
        <w:rPr>
          <w:rFonts w:asciiTheme="minorHAnsi" w:hAnsiTheme="minorHAnsi" w:cs="Calibri"/>
          <w:sz w:val="20"/>
          <w:szCs w:val="20"/>
          <w:lang w:val="hr-HR"/>
        </w:rPr>
        <w:t xml:space="preserve">, </w:t>
      </w:r>
      <w:r w:rsidRPr="00AB4843">
        <w:rPr>
          <w:rFonts w:asciiTheme="minorHAnsi" w:hAnsiTheme="minorHAnsi" w:cs="Calibri"/>
          <w:sz w:val="20"/>
          <w:szCs w:val="20"/>
          <w:lang w:val="sr-Latn-CS"/>
        </w:rPr>
        <w:t>kategorizaciji</w:t>
      </w:r>
      <w:r w:rsidRPr="00AB4843">
        <w:rPr>
          <w:rFonts w:asciiTheme="minorHAnsi" w:hAnsiTheme="minorHAnsi" w:cs="Calibri"/>
          <w:sz w:val="20"/>
          <w:szCs w:val="20"/>
          <w:lang w:val="hr-HR"/>
        </w:rPr>
        <w:t xml:space="preserve"> </w:t>
      </w:r>
      <w:r w:rsidRPr="00AB4843">
        <w:rPr>
          <w:rFonts w:asciiTheme="minorHAnsi" w:hAnsiTheme="minorHAnsi" w:cs="Calibri"/>
          <w:sz w:val="20"/>
          <w:szCs w:val="20"/>
          <w:lang w:val="sr-Latn-CS"/>
        </w:rPr>
        <w:t>i</w:t>
      </w:r>
      <w:r w:rsidRPr="00AB4843">
        <w:rPr>
          <w:rFonts w:asciiTheme="minorHAnsi" w:hAnsiTheme="minorHAnsi" w:cs="Calibri"/>
          <w:sz w:val="20"/>
          <w:szCs w:val="20"/>
          <w:lang w:val="hr-HR"/>
        </w:rPr>
        <w:t xml:space="preserve"> </w:t>
      </w:r>
      <w:r w:rsidRPr="00AB4843">
        <w:rPr>
          <w:rFonts w:asciiTheme="minorHAnsi" w:hAnsiTheme="minorHAnsi" w:cs="Calibri"/>
          <w:sz w:val="20"/>
          <w:szCs w:val="20"/>
          <w:lang w:val="sr-Latn-CS"/>
        </w:rPr>
        <w:t>prora</w:t>
      </w:r>
      <w:r w:rsidRPr="00AB4843">
        <w:rPr>
          <w:rFonts w:asciiTheme="minorHAnsi" w:hAnsiTheme="minorHAnsi" w:cs="Calibri"/>
          <w:sz w:val="20"/>
          <w:szCs w:val="20"/>
          <w:lang w:val="hr-HR"/>
        </w:rPr>
        <w:t>č</w:t>
      </w:r>
      <w:r w:rsidRPr="00AB4843">
        <w:rPr>
          <w:rFonts w:asciiTheme="minorHAnsi" w:hAnsiTheme="minorHAnsi" w:cs="Calibri"/>
          <w:sz w:val="20"/>
          <w:szCs w:val="20"/>
          <w:lang w:val="sr-Latn-CS"/>
        </w:rPr>
        <w:t>unu</w:t>
      </w:r>
      <w:r w:rsidRPr="00AB4843">
        <w:rPr>
          <w:rFonts w:asciiTheme="minorHAnsi" w:hAnsiTheme="minorHAnsi" w:cs="Calibri"/>
          <w:sz w:val="20"/>
          <w:szCs w:val="20"/>
          <w:lang w:val="hr-HR"/>
        </w:rPr>
        <w:t xml:space="preserve"> </w:t>
      </w:r>
      <w:r w:rsidRPr="00AB4843">
        <w:rPr>
          <w:rFonts w:asciiTheme="minorHAnsi" w:hAnsiTheme="minorHAnsi" w:cs="Calibri"/>
          <w:sz w:val="20"/>
          <w:szCs w:val="20"/>
          <w:lang w:val="sr-Latn-CS"/>
        </w:rPr>
        <w:t>rezervi</w:t>
      </w:r>
      <w:r w:rsidRPr="00AB4843">
        <w:rPr>
          <w:rFonts w:asciiTheme="minorHAnsi" w:hAnsiTheme="minorHAnsi" w:cs="Calibri"/>
          <w:sz w:val="20"/>
          <w:szCs w:val="20"/>
          <w:lang w:val="hr-HR"/>
        </w:rPr>
        <w:t xml:space="preserve"> </w:t>
      </w:r>
      <w:r w:rsidRPr="00AB4843">
        <w:rPr>
          <w:rFonts w:asciiTheme="minorHAnsi" w:hAnsiTheme="minorHAnsi"/>
          <w:bCs/>
          <w:sz w:val="20"/>
          <w:szCs w:val="20"/>
          <w:lang w:val="sl-SI"/>
        </w:rPr>
        <w:t>arhitektonsko-građevinskog i tehničko-građevinskog kamena ležišta “Visočica</w:t>
      </w:r>
      <w:r w:rsidRPr="00AB4843">
        <w:rPr>
          <w:rFonts w:asciiTheme="minorHAnsi" w:hAnsiTheme="minorHAnsi" w:cs="Calibri"/>
          <w:bCs/>
          <w:sz w:val="20"/>
          <w:szCs w:val="20"/>
          <w:lang w:val="sl-SI"/>
        </w:rPr>
        <w:t>” kod Spuža,</w:t>
      </w:r>
      <w:r w:rsidRPr="00AB4843">
        <w:rPr>
          <w:rFonts w:asciiTheme="minorHAnsi" w:hAnsiTheme="minorHAnsi"/>
          <w:bCs/>
          <w:sz w:val="20"/>
          <w:szCs w:val="20"/>
          <w:lang w:val="sl-SI"/>
        </w:rPr>
        <w:t xml:space="preserve"> stanje 31.12.2012. godine, </w:t>
      </w:r>
      <w:r w:rsidRPr="00AB4843">
        <w:rPr>
          <w:rFonts w:asciiTheme="minorHAnsi" w:hAnsiTheme="minorHAnsi" w:cs="Arial"/>
          <w:sz w:val="20"/>
          <w:szCs w:val="20"/>
          <w:lang w:val="sr-Latn-CS"/>
        </w:rPr>
        <w:t xml:space="preserve">dat je pregled ukupnih </w:t>
      </w:r>
      <w:r w:rsidRPr="00AB4843">
        <w:rPr>
          <w:rFonts w:asciiTheme="minorHAnsi" w:hAnsiTheme="minorHAnsi"/>
          <w:sz w:val="20"/>
          <w:szCs w:val="20"/>
          <w:lang w:val="sr-Latn-CS"/>
        </w:rPr>
        <w:t>geoloških i ekonomskih rezervi čvrste stijenske mase i blok mase arhitektonsko-građevinskog kamena u ležištu „Visočica“, kako slijedi:</w:t>
      </w:r>
    </w:p>
    <w:p w:rsidR="00AB16D5" w:rsidRPr="00AB4843" w:rsidRDefault="00AB16D5" w:rsidP="00403695">
      <w:pPr>
        <w:jc w:val="both"/>
        <w:rPr>
          <w:rFonts w:asciiTheme="minorHAnsi" w:hAnsiTheme="minorHAnsi" w:cs="Arial"/>
          <w:sz w:val="20"/>
          <w:szCs w:val="20"/>
          <w:lang w:val="sr-Latn-CS"/>
        </w:rPr>
      </w:pPr>
    </w:p>
    <w:p w:rsidR="00AB16D5" w:rsidRPr="00AB4843" w:rsidRDefault="00AB16D5" w:rsidP="00403695">
      <w:pPr>
        <w:ind w:firstLine="720"/>
        <w:jc w:val="both"/>
        <w:rPr>
          <w:rFonts w:asciiTheme="minorHAnsi" w:hAnsiTheme="minorHAnsi"/>
          <w:sz w:val="20"/>
          <w:szCs w:val="20"/>
          <w:lang w:val="sr-Latn-CS"/>
        </w:rPr>
      </w:pPr>
      <w:r w:rsidRPr="00AB4843">
        <w:rPr>
          <w:rFonts w:asciiTheme="minorHAnsi" w:hAnsiTheme="minorHAnsi"/>
          <w:b/>
          <w:sz w:val="20"/>
          <w:szCs w:val="20"/>
          <w:lang w:val="sr-Latn-CS"/>
        </w:rPr>
        <w:t>Tabela:</w:t>
      </w:r>
      <w:r w:rsidRPr="00AB4843">
        <w:rPr>
          <w:rFonts w:asciiTheme="minorHAnsi" w:hAnsiTheme="minorHAnsi"/>
          <w:sz w:val="20"/>
          <w:szCs w:val="20"/>
          <w:lang w:val="sr-Latn-CS"/>
        </w:rPr>
        <w:t xml:space="preserve"> Pregled geoloških i ekonomskih rezervi arhitektonsko-građevinskog kamena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1636"/>
        <w:gridCol w:w="1750"/>
        <w:gridCol w:w="1593"/>
        <w:gridCol w:w="1670"/>
      </w:tblGrid>
      <w:tr w:rsidR="00AB16D5" w:rsidRPr="00AB4843" w:rsidTr="00AF53FF">
        <w:tc>
          <w:tcPr>
            <w:tcW w:w="1528" w:type="pct"/>
            <w:tcBorders>
              <w:top w:val="thinThickSmallGap" w:sz="18" w:space="0" w:color="auto"/>
              <w:left w:val="thinThickSmallGap" w:sz="18" w:space="0" w:color="auto"/>
              <w:bottom w:val="double" w:sz="6"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Rezerve</w:t>
            </w:r>
          </w:p>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(m</w:t>
            </w:r>
            <w:r w:rsidRPr="00AB4843">
              <w:rPr>
                <w:rFonts w:asciiTheme="minorHAnsi" w:hAnsiTheme="minorHAnsi"/>
                <w:b/>
                <w:sz w:val="20"/>
                <w:szCs w:val="20"/>
                <w:vertAlign w:val="superscript"/>
                <w:lang w:val="sr-Latn-CS"/>
              </w:rPr>
              <w:t>3</w:t>
            </w:r>
            <w:r w:rsidRPr="00AB4843">
              <w:rPr>
                <w:rFonts w:asciiTheme="minorHAnsi" w:hAnsiTheme="minorHAnsi"/>
                <w:b/>
                <w:sz w:val="20"/>
                <w:szCs w:val="20"/>
                <w:lang w:val="sr-Latn-CS"/>
              </w:rPr>
              <w:t>)</w:t>
            </w:r>
          </w:p>
        </w:tc>
        <w:tc>
          <w:tcPr>
            <w:tcW w:w="1768" w:type="pct"/>
            <w:gridSpan w:val="2"/>
            <w:tcBorders>
              <w:top w:val="thinThickSmallGap" w:sz="18" w:space="0" w:color="auto"/>
              <w:left w:val="double" w:sz="4" w:space="0" w:color="auto"/>
              <w:bottom w:val="double" w:sz="6"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Izdašnost stijenske mase</w:t>
            </w:r>
          </w:p>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w:t>
            </w:r>
          </w:p>
        </w:tc>
        <w:tc>
          <w:tcPr>
            <w:tcW w:w="1704" w:type="pct"/>
            <w:gridSpan w:val="2"/>
            <w:tcBorders>
              <w:top w:val="thinThickSmallGap" w:sz="18" w:space="0" w:color="auto"/>
              <w:left w:val="double" w:sz="4" w:space="0" w:color="auto"/>
              <w:bottom w:val="double" w:sz="6" w:space="0" w:color="auto"/>
              <w:right w:val="thinThickSmallGap" w:sz="18" w:space="0" w:color="auto"/>
            </w:tcBorders>
            <w:shd w:val="clear" w:color="auto" w:fill="92D050"/>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Rezerve stijenske mase</w:t>
            </w:r>
          </w:p>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(m</w:t>
            </w:r>
            <w:r w:rsidRPr="00AB4843">
              <w:rPr>
                <w:rFonts w:asciiTheme="minorHAnsi" w:hAnsiTheme="minorHAnsi"/>
                <w:b/>
                <w:sz w:val="20"/>
                <w:szCs w:val="20"/>
                <w:vertAlign w:val="superscript"/>
                <w:lang w:val="sr-Latn-CS"/>
              </w:rPr>
              <w:t>3</w:t>
            </w:r>
            <w:r w:rsidRPr="00AB4843">
              <w:rPr>
                <w:rFonts w:asciiTheme="minorHAnsi" w:hAnsiTheme="minorHAnsi"/>
                <w:b/>
                <w:sz w:val="20"/>
                <w:szCs w:val="20"/>
                <w:lang w:val="sr-Latn-CS"/>
              </w:rPr>
              <w:t>)</w:t>
            </w:r>
          </w:p>
        </w:tc>
      </w:tr>
      <w:tr w:rsidR="00AB16D5" w:rsidRPr="00AB4843" w:rsidTr="00AF53FF">
        <w:tc>
          <w:tcPr>
            <w:tcW w:w="1528" w:type="pct"/>
            <w:tcBorders>
              <w:top w:val="double" w:sz="6" w:space="0" w:color="auto"/>
              <w:left w:val="thinThickSmallGap" w:sz="18" w:space="0" w:color="auto"/>
              <w:bottom w:val="double" w:sz="4" w:space="0" w:color="auto"/>
              <w:right w:val="double" w:sz="4" w:space="0" w:color="auto"/>
            </w:tcBorders>
            <w:vAlign w:val="center"/>
          </w:tcPr>
          <w:p w:rsidR="00D85C1E"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Metoda vertikalnih</w:t>
            </w:r>
          </w:p>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paralelnih profila</w:t>
            </w:r>
          </w:p>
        </w:tc>
        <w:tc>
          <w:tcPr>
            <w:tcW w:w="854" w:type="pct"/>
            <w:vMerge w:val="restart"/>
            <w:tcBorders>
              <w:top w:val="double" w:sz="6" w:space="0" w:color="auto"/>
              <w:left w:val="double" w:sz="4" w:space="0" w:color="auto"/>
              <w:right w:val="double" w:sz="4" w:space="0" w:color="auto"/>
            </w:tcBorders>
            <w:vAlign w:val="center"/>
          </w:tcPr>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Blok</w:t>
            </w:r>
          </w:p>
        </w:tc>
        <w:tc>
          <w:tcPr>
            <w:tcW w:w="914" w:type="pct"/>
            <w:vMerge w:val="restart"/>
            <w:tcBorders>
              <w:top w:val="double" w:sz="6" w:space="0" w:color="auto"/>
              <w:left w:val="double" w:sz="4" w:space="0" w:color="auto"/>
              <w:right w:val="double" w:sz="4" w:space="0" w:color="auto"/>
            </w:tcBorders>
            <w:vAlign w:val="center"/>
          </w:tcPr>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Ostatak stijenske mase</w:t>
            </w:r>
          </w:p>
        </w:tc>
        <w:tc>
          <w:tcPr>
            <w:tcW w:w="832" w:type="pct"/>
            <w:vMerge w:val="restart"/>
            <w:tcBorders>
              <w:top w:val="double" w:sz="6" w:space="0" w:color="auto"/>
              <w:left w:val="double" w:sz="4" w:space="0" w:color="auto"/>
              <w:right w:val="double" w:sz="4" w:space="0" w:color="auto"/>
            </w:tcBorders>
            <w:vAlign w:val="center"/>
          </w:tcPr>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Blok</w:t>
            </w:r>
          </w:p>
        </w:tc>
        <w:tc>
          <w:tcPr>
            <w:tcW w:w="872" w:type="pct"/>
            <w:vMerge w:val="restart"/>
            <w:tcBorders>
              <w:top w:val="double" w:sz="6" w:space="0" w:color="auto"/>
              <w:left w:val="double" w:sz="4" w:space="0" w:color="auto"/>
              <w:right w:val="thinThickSmallGap" w:sz="18" w:space="0" w:color="auto"/>
            </w:tcBorders>
            <w:vAlign w:val="center"/>
          </w:tcPr>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Ostatak stijenske mase</w:t>
            </w:r>
          </w:p>
        </w:tc>
      </w:tr>
      <w:tr w:rsidR="00AB16D5" w:rsidRPr="00AB4843" w:rsidTr="00AF53FF">
        <w:tc>
          <w:tcPr>
            <w:tcW w:w="1528" w:type="pct"/>
            <w:tcBorders>
              <w:top w:val="double" w:sz="4" w:space="0" w:color="auto"/>
              <w:left w:val="thinThickSmallGap" w:sz="18"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B kategorija</w:t>
            </w:r>
          </w:p>
        </w:tc>
        <w:tc>
          <w:tcPr>
            <w:tcW w:w="854" w:type="pct"/>
            <w:vMerge/>
            <w:tcBorders>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sz w:val="20"/>
                <w:szCs w:val="20"/>
                <w:lang w:val="sr-Latn-CS"/>
              </w:rPr>
            </w:pPr>
          </w:p>
        </w:tc>
        <w:tc>
          <w:tcPr>
            <w:tcW w:w="914" w:type="pct"/>
            <w:vMerge/>
            <w:tcBorders>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sz w:val="20"/>
                <w:szCs w:val="20"/>
                <w:lang w:val="sr-Latn-CS"/>
              </w:rPr>
            </w:pPr>
          </w:p>
        </w:tc>
        <w:tc>
          <w:tcPr>
            <w:tcW w:w="832" w:type="pct"/>
            <w:vMerge/>
            <w:tcBorders>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sz w:val="20"/>
                <w:szCs w:val="20"/>
                <w:lang w:val="sr-Latn-CS"/>
              </w:rPr>
            </w:pPr>
          </w:p>
        </w:tc>
        <w:tc>
          <w:tcPr>
            <w:tcW w:w="872" w:type="pct"/>
            <w:vMerge/>
            <w:tcBorders>
              <w:left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sz w:val="20"/>
                <w:szCs w:val="20"/>
                <w:lang w:val="sr-Latn-CS"/>
              </w:rPr>
            </w:pPr>
          </w:p>
        </w:tc>
      </w:tr>
      <w:tr w:rsidR="00AB16D5" w:rsidRPr="00AB4843" w:rsidTr="00AF53FF">
        <w:tc>
          <w:tcPr>
            <w:tcW w:w="1528" w:type="pct"/>
            <w:tcBorders>
              <w:top w:val="double" w:sz="4" w:space="0" w:color="auto"/>
              <w:left w:val="thinThickSmallGap" w:sz="18" w:space="0" w:color="auto"/>
              <w:bottom w:val="thinThickSmallGap" w:sz="18" w:space="0" w:color="auto"/>
              <w:right w:val="double" w:sz="4" w:space="0" w:color="auto"/>
            </w:tcBorders>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1.012.856,66</w:t>
            </w:r>
          </w:p>
        </w:tc>
        <w:tc>
          <w:tcPr>
            <w:tcW w:w="854" w:type="pct"/>
            <w:tcBorders>
              <w:top w:val="double" w:sz="4" w:space="0" w:color="auto"/>
              <w:left w:val="double" w:sz="4" w:space="0" w:color="auto"/>
              <w:bottom w:val="thinThickSmallGap" w:sz="18" w:space="0" w:color="auto"/>
              <w:right w:val="double" w:sz="4" w:space="0" w:color="auto"/>
            </w:tcBorders>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22</w:t>
            </w:r>
          </w:p>
        </w:tc>
        <w:tc>
          <w:tcPr>
            <w:tcW w:w="914" w:type="pct"/>
            <w:tcBorders>
              <w:top w:val="double" w:sz="4" w:space="0" w:color="auto"/>
              <w:left w:val="double" w:sz="4" w:space="0" w:color="auto"/>
              <w:bottom w:val="double" w:sz="6" w:space="0" w:color="auto"/>
              <w:right w:val="double" w:sz="4" w:space="0" w:color="auto"/>
            </w:tcBorders>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78</w:t>
            </w:r>
          </w:p>
        </w:tc>
        <w:tc>
          <w:tcPr>
            <w:tcW w:w="832" w:type="pct"/>
            <w:tcBorders>
              <w:top w:val="double" w:sz="4" w:space="0" w:color="auto"/>
              <w:left w:val="double" w:sz="4" w:space="0" w:color="auto"/>
              <w:bottom w:val="double" w:sz="6" w:space="0" w:color="auto"/>
              <w:right w:val="double" w:sz="4" w:space="0" w:color="auto"/>
            </w:tcBorders>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222.828,47</w:t>
            </w:r>
          </w:p>
        </w:tc>
        <w:tc>
          <w:tcPr>
            <w:tcW w:w="872" w:type="pct"/>
            <w:tcBorders>
              <w:top w:val="double" w:sz="4" w:space="0" w:color="auto"/>
              <w:left w:val="double" w:sz="4" w:space="0" w:color="auto"/>
              <w:bottom w:val="double" w:sz="6" w:space="0" w:color="auto"/>
              <w:right w:val="thinThickSmallGap" w:sz="18" w:space="0" w:color="auto"/>
            </w:tcBorders>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790.028,19</w:t>
            </w:r>
          </w:p>
        </w:tc>
      </w:tr>
      <w:tr w:rsidR="00AB16D5" w:rsidRPr="00AB4843" w:rsidTr="00AF53F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gridBefore w:val="2"/>
          <w:wBefore w:w="2382" w:type="pct"/>
          <w:trHeight w:val="193"/>
        </w:trPr>
        <w:tc>
          <w:tcPr>
            <w:tcW w:w="914" w:type="pct"/>
            <w:tcBorders>
              <w:top w:val="double" w:sz="6" w:space="0" w:color="auto"/>
              <w:left w:val="thinThickSmallGap" w:sz="18" w:space="0" w:color="auto"/>
              <w:bottom w:val="thinThickSmallGap" w:sz="18" w:space="0" w:color="auto"/>
            </w:tcBorders>
            <w:shd w:val="clear" w:color="auto" w:fill="auto"/>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Zaokruženo</w:t>
            </w:r>
          </w:p>
        </w:tc>
        <w:tc>
          <w:tcPr>
            <w:tcW w:w="832" w:type="pct"/>
            <w:tcBorders>
              <w:top w:val="double" w:sz="6" w:space="0" w:color="auto"/>
              <w:bottom w:val="thinThickSmallGap" w:sz="18" w:space="0" w:color="auto"/>
            </w:tcBorders>
            <w:shd w:val="clear" w:color="auto" w:fill="auto"/>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222.828</w:t>
            </w:r>
          </w:p>
        </w:tc>
        <w:tc>
          <w:tcPr>
            <w:tcW w:w="872" w:type="pct"/>
            <w:tcBorders>
              <w:top w:val="double" w:sz="6" w:space="0" w:color="auto"/>
              <w:bottom w:val="thinThickSmallGap" w:sz="18" w:space="0" w:color="auto"/>
              <w:right w:val="thinThickSmallGap" w:sz="18" w:space="0" w:color="auto"/>
            </w:tcBorders>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790.028</w:t>
            </w:r>
          </w:p>
        </w:tc>
      </w:tr>
    </w:tbl>
    <w:p w:rsidR="00AB16D5" w:rsidRPr="00AB4843" w:rsidRDefault="00AB16D5" w:rsidP="00403695">
      <w:pPr>
        <w:jc w:val="both"/>
        <w:rPr>
          <w:rFonts w:asciiTheme="minorHAnsi" w:hAnsiTheme="minorHAnsi" w:cs="Arial"/>
          <w:sz w:val="20"/>
          <w:szCs w:val="20"/>
          <w:lang w:val="sr-Latn-CS"/>
        </w:rPr>
      </w:pPr>
    </w:p>
    <w:p w:rsidR="00AB16D5" w:rsidRPr="00AB4843" w:rsidRDefault="00AB16D5" w:rsidP="00403695">
      <w:pPr>
        <w:jc w:val="both"/>
        <w:rPr>
          <w:rFonts w:asciiTheme="minorHAnsi" w:hAnsiTheme="minorHAnsi" w:cs="Arial"/>
          <w:sz w:val="20"/>
          <w:szCs w:val="20"/>
          <w:lang w:val="sr-Latn-CS"/>
        </w:rPr>
      </w:pPr>
    </w:p>
    <w:p w:rsidR="00AB16D5" w:rsidRPr="00AB4843" w:rsidRDefault="00AB16D5" w:rsidP="00403695">
      <w:pPr>
        <w:jc w:val="both"/>
        <w:rPr>
          <w:rFonts w:asciiTheme="minorHAnsi" w:hAnsiTheme="minorHAnsi"/>
          <w:sz w:val="20"/>
          <w:szCs w:val="20"/>
          <w:lang w:val="sr-Latn-CS"/>
        </w:rPr>
      </w:pPr>
      <w:r w:rsidRPr="00AB4843">
        <w:rPr>
          <w:rFonts w:asciiTheme="minorHAnsi" w:hAnsiTheme="minorHAnsi" w:cs="Arial"/>
          <w:sz w:val="20"/>
          <w:szCs w:val="20"/>
          <w:lang w:val="sr-Latn-CS"/>
        </w:rPr>
        <w:t xml:space="preserve">U narednoj tabeli dat je pregled ukupnih </w:t>
      </w:r>
      <w:r w:rsidRPr="00AB4843">
        <w:rPr>
          <w:rFonts w:asciiTheme="minorHAnsi" w:hAnsiTheme="minorHAnsi"/>
          <w:sz w:val="20"/>
          <w:szCs w:val="20"/>
          <w:lang w:val="sr-Latn-CS"/>
        </w:rPr>
        <w:t>geoloških, bilansnih i eksploatacionih rezervi tehničko-građevinskog kamena u ležištu „Visočica“, kako slijedi:</w:t>
      </w:r>
    </w:p>
    <w:p w:rsidR="00AB16D5" w:rsidRPr="00AB4843" w:rsidRDefault="00AB16D5" w:rsidP="00403695">
      <w:pPr>
        <w:jc w:val="both"/>
        <w:rPr>
          <w:rFonts w:asciiTheme="minorHAnsi" w:hAnsiTheme="minorHAnsi"/>
          <w:sz w:val="20"/>
          <w:szCs w:val="20"/>
          <w:lang w:val="sr-Latn-CS"/>
        </w:rPr>
      </w:pPr>
    </w:p>
    <w:p w:rsidR="00AB16D5" w:rsidRPr="00AB4843" w:rsidRDefault="00AB16D5" w:rsidP="00403695">
      <w:pPr>
        <w:ind w:left="1080" w:hanging="1080"/>
        <w:jc w:val="both"/>
        <w:rPr>
          <w:rFonts w:asciiTheme="minorHAnsi" w:hAnsiTheme="minorHAnsi"/>
          <w:sz w:val="20"/>
          <w:szCs w:val="20"/>
          <w:lang w:val="sr-Latn-CS"/>
        </w:rPr>
      </w:pPr>
      <w:r w:rsidRPr="00AB4843">
        <w:rPr>
          <w:rFonts w:asciiTheme="minorHAnsi" w:hAnsiTheme="minorHAnsi"/>
          <w:b/>
          <w:sz w:val="20"/>
          <w:szCs w:val="20"/>
          <w:lang w:val="sr-Latn-CS"/>
        </w:rPr>
        <w:t xml:space="preserve">Tabela: </w:t>
      </w:r>
      <w:r w:rsidRPr="00AB4843">
        <w:rPr>
          <w:rFonts w:asciiTheme="minorHAnsi" w:hAnsiTheme="minorHAnsi"/>
          <w:sz w:val="20"/>
          <w:szCs w:val="20"/>
          <w:lang w:val="sr-Latn-CS"/>
        </w:rPr>
        <w:t>Pregled geoloških, bilansnih i eksploatacionih rezervi tehničko-građevinskog kamena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206"/>
        <w:gridCol w:w="2480"/>
        <w:gridCol w:w="2574"/>
      </w:tblGrid>
      <w:tr w:rsidR="00AB16D5" w:rsidRPr="003B150E" w:rsidTr="00AF53FF">
        <w:tc>
          <w:tcPr>
            <w:tcW w:w="1209" w:type="pct"/>
            <w:tcBorders>
              <w:top w:val="thinThickSmallGap" w:sz="18" w:space="0" w:color="auto"/>
              <w:left w:val="thinThickSmallGap" w:sz="18"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Rezerve tehničko-građevinskog kamena</w:t>
            </w:r>
          </w:p>
        </w:tc>
        <w:tc>
          <w:tcPr>
            <w:tcW w:w="1152" w:type="pct"/>
            <w:tcBorders>
              <w:top w:val="thinThickSmallGap" w:sz="18" w:space="0" w:color="auto"/>
              <w:left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Kategorija</w:t>
            </w:r>
          </w:p>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B</w:t>
            </w:r>
          </w:p>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(m</w:t>
            </w:r>
            <w:r w:rsidRPr="00AB4843">
              <w:rPr>
                <w:rFonts w:asciiTheme="minorHAnsi" w:hAnsiTheme="minorHAnsi"/>
                <w:b/>
                <w:sz w:val="20"/>
                <w:szCs w:val="20"/>
                <w:vertAlign w:val="superscript"/>
                <w:lang w:val="sr-Latn-CS"/>
              </w:rPr>
              <w:t>3</w:t>
            </w:r>
            <w:r w:rsidRPr="00AB4843">
              <w:rPr>
                <w:rFonts w:asciiTheme="minorHAnsi" w:hAnsiTheme="minorHAnsi"/>
                <w:b/>
                <w:sz w:val="20"/>
                <w:szCs w:val="20"/>
                <w:lang w:val="sr-Latn-CS"/>
              </w:rPr>
              <w:t>)</w:t>
            </w:r>
          </w:p>
        </w:tc>
        <w:tc>
          <w:tcPr>
            <w:tcW w:w="1295" w:type="pct"/>
            <w:tcBorders>
              <w:top w:val="thinThickSmallGap" w:sz="18" w:space="0" w:color="auto"/>
              <w:left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Dodate rezerve kao ostatak od stijenske mase iz a-g kamena</w:t>
            </w:r>
          </w:p>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(m</w:t>
            </w:r>
            <w:r w:rsidRPr="00AB4843">
              <w:rPr>
                <w:rFonts w:asciiTheme="minorHAnsi" w:hAnsiTheme="minorHAnsi"/>
                <w:b/>
                <w:sz w:val="20"/>
                <w:szCs w:val="20"/>
                <w:vertAlign w:val="superscript"/>
                <w:lang w:val="sr-Latn-CS"/>
              </w:rPr>
              <w:t>3</w:t>
            </w:r>
            <w:r w:rsidRPr="00AB4843">
              <w:rPr>
                <w:rFonts w:asciiTheme="minorHAnsi" w:hAnsiTheme="minorHAnsi"/>
                <w:b/>
                <w:sz w:val="20"/>
                <w:szCs w:val="20"/>
                <w:lang w:val="sr-Latn-CS"/>
              </w:rPr>
              <w:t>)</w:t>
            </w:r>
          </w:p>
        </w:tc>
        <w:tc>
          <w:tcPr>
            <w:tcW w:w="1344" w:type="pct"/>
            <w:tcBorders>
              <w:top w:val="thinThickSmallGap" w:sz="18" w:space="0" w:color="auto"/>
              <w:left w:val="double" w:sz="4" w:space="0" w:color="auto"/>
              <w:right w:val="thinThickSmallGap" w:sz="18" w:space="0" w:color="auto"/>
            </w:tcBorders>
            <w:shd w:val="clear" w:color="auto" w:fill="92D050"/>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Ukupne rezerve tehničko-građevinskog kamena (m</w:t>
            </w:r>
            <w:r w:rsidRPr="00AB4843">
              <w:rPr>
                <w:rFonts w:asciiTheme="minorHAnsi" w:hAnsiTheme="minorHAnsi"/>
                <w:b/>
                <w:sz w:val="20"/>
                <w:szCs w:val="20"/>
                <w:vertAlign w:val="superscript"/>
                <w:lang w:val="sr-Latn-CS"/>
              </w:rPr>
              <w:t>3</w:t>
            </w:r>
            <w:r w:rsidRPr="00AB4843">
              <w:rPr>
                <w:rFonts w:asciiTheme="minorHAnsi" w:hAnsiTheme="minorHAnsi"/>
                <w:b/>
                <w:sz w:val="20"/>
                <w:szCs w:val="20"/>
                <w:lang w:val="sr-Latn-CS"/>
              </w:rPr>
              <w:t>)</w:t>
            </w:r>
          </w:p>
        </w:tc>
      </w:tr>
      <w:tr w:rsidR="00AB16D5" w:rsidRPr="00AB4843" w:rsidTr="00AF53FF">
        <w:tc>
          <w:tcPr>
            <w:tcW w:w="1209" w:type="pct"/>
            <w:tcBorders>
              <w:left w:val="thinThickSmallGap" w:sz="18"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Geološke</w:t>
            </w:r>
          </w:p>
        </w:tc>
        <w:tc>
          <w:tcPr>
            <w:tcW w:w="1152" w:type="pct"/>
            <w:tcBorders>
              <w:left w:val="double" w:sz="4"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571.122,40</w:t>
            </w:r>
          </w:p>
        </w:tc>
        <w:tc>
          <w:tcPr>
            <w:tcW w:w="1295" w:type="pct"/>
            <w:tcBorders>
              <w:left w:val="double" w:sz="4"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790.028</w:t>
            </w:r>
          </w:p>
        </w:tc>
        <w:tc>
          <w:tcPr>
            <w:tcW w:w="1344" w:type="pct"/>
            <w:tcBorders>
              <w:left w:val="double" w:sz="4" w:space="0" w:color="auto"/>
              <w:right w:val="thinThickSmallGap" w:sz="18" w:space="0" w:color="auto"/>
            </w:tcBorders>
            <w:shd w:val="clear" w:color="auto" w:fill="auto"/>
            <w:vAlign w:val="center"/>
          </w:tcPr>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1.361.150,40</w:t>
            </w:r>
          </w:p>
        </w:tc>
      </w:tr>
      <w:tr w:rsidR="00AB16D5" w:rsidRPr="00AB4843" w:rsidTr="00AF53FF">
        <w:tc>
          <w:tcPr>
            <w:tcW w:w="1209" w:type="pct"/>
            <w:tcBorders>
              <w:left w:val="thinThickSmallGap" w:sz="18"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Bilansne</w:t>
            </w:r>
          </w:p>
        </w:tc>
        <w:tc>
          <w:tcPr>
            <w:tcW w:w="1152" w:type="pct"/>
            <w:tcBorders>
              <w:left w:val="double" w:sz="4"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571.122,40</w:t>
            </w:r>
          </w:p>
        </w:tc>
        <w:tc>
          <w:tcPr>
            <w:tcW w:w="1295" w:type="pct"/>
            <w:tcBorders>
              <w:left w:val="double" w:sz="4"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790.028</w:t>
            </w:r>
          </w:p>
        </w:tc>
        <w:tc>
          <w:tcPr>
            <w:tcW w:w="1344" w:type="pct"/>
            <w:tcBorders>
              <w:left w:val="double" w:sz="4" w:space="0" w:color="auto"/>
              <w:right w:val="thinThickSmallGap" w:sz="18" w:space="0" w:color="auto"/>
            </w:tcBorders>
            <w:shd w:val="clear" w:color="auto" w:fill="auto"/>
            <w:vAlign w:val="center"/>
          </w:tcPr>
          <w:p w:rsidR="00AB16D5" w:rsidRPr="00AB4843" w:rsidRDefault="00AB16D5" w:rsidP="00AF53FF">
            <w:pPr>
              <w:jc w:val="center"/>
              <w:rPr>
                <w:rFonts w:asciiTheme="minorHAnsi" w:hAnsiTheme="minorHAnsi"/>
                <w:sz w:val="20"/>
                <w:szCs w:val="20"/>
                <w:lang w:val="sr-Latn-CS"/>
              </w:rPr>
            </w:pPr>
            <w:r w:rsidRPr="00AB4843">
              <w:rPr>
                <w:rFonts w:asciiTheme="minorHAnsi" w:hAnsiTheme="minorHAnsi"/>
                <w:sz w:val="20"/>
                <w:szCs w:val="20"/>
                <w:lang w:val="sr-Latn-CS"/>
              </w:rPr>
              <w:t>1.361.150,40</w:t>
            </w:r>
          </w:p>
        </w:tc>
      </w:tr>
      <w:tr w:rsidR="00AB16D5" w:rsidRPr="00AB4843" w:rsidTr="00AF53FF">
        <w:tc>
          <w:tcPr>
            <w:tcW w:w="1209" w:type="pct"/>
            <w:tcBorders>
              <w:left w:val="thinThickSmallGap" w:sz="18" w:space="0" w:color="auto"/>
              <w:bottom w:val="thinThickSmallGap" w:sz="18"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Eksploatacione</w:t>
            </w:r>
          </w:p>
        </w:tc>
        <w:tc>
          <w:tcPr>
            <w:tcW w:w="1152" w:type="pct"/>
            <w:tcBorders>
              <w:left w:val="double" w:sz="4" w:space="0" w:color="auto"/>
              <w:bottom w:val="thinThickSmallGap" w:sz="18" w:space="0" w:color="auto"/>
              <w:right w:val="thinThickSmallGap" w:sz="18" w:space="0" w:color="auto"/>
            </w:tcBorders>
            <w:shd w:val="clear" w:color="auto" w:fill="auto"/>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542.566,28</w:t>
            </w:r>
          </w:p>
        </w:tc>
        <w:tc>
          <w:tcPr>
            <w:tcW w:w="1295" w:type="pct"/>
            <w:tcBorders>
              <w:left w:val="thinThickSmallGap" w:sz="18" w:space="0" w:color="auto"/>
              <w:bottom w:val="thinThickSmallGap" w:sz="18"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790.028</w:t>
            </w:r>
          </w:p>
        </w:tc>
        <w:tc>
          <w:tcPr>
            <w:tcW w:w="1344" w:type="pct"/>
            <w:tcBorders>
              <w:left w:val="double" w:sz="4" w:space="0" w:color="auto"/>
              <w:bottom w:val="thinThickSmallGap" w:sz="18" w:space="0" w:color="auto"/>
              <w:right w:val="thinThickSmallGap" w:sz="18" w:space="0" w:color="auto"/>
            </w:tcBorders>
            <w:shd w:val="clear" w:color="auto" w:fill="auto"/>
            <w:vAlign w:val="center"/>
          </w:tcPr>
          <w:p w:rsidR="00AB16D5" w:rsidRPr="00AB4843" w:rsidRDefault="00D85C1E" w:rsidP="00AF53FF">
            <w:pPr>
              <w:jc w:val="center"/>
              <w:rPr>
                <w:rFonts w:asciiTheme="minorHAnsi" w:hAnsiTheme="minorHAnsi"/>
                <w:b/>
                <w:sz w:val="20"/>
                <w:szCs w:val="20"/>
                <w:lang w:val="sr-Latn-CS"/>
              </w:rPr>
            </w:pPr>
            <w:r>
              <w:rPr>
                <w:rFonts w:asciiTheme="minorHAnsi" w:hAnsiTheme="minorHAnsi"/>
                <w:b/>
                <w:sz w:val="20"/>
                <w:szCs w:val="20"/>
                <w:lang w:val="sr-Latn-CS"/>
              </w:rPr>
              <w:t>1</w:t>
            </w:r>
            <w:r w:rsidR="00AB16D5" w:rsidRPr="00AB4843">
              <w:rPr>
                <w:rFonts w:asciiTheme="minorHAnsi" w:hAnsiTheme="minorHAnsi"/>
                <w:b/>
                <w:sz w:val="20"/>
                <w:szCs w:val="20"/>
                <w:lang w:val="sr-Latn-CS"/>
              </w:rPr>
              <w:t>.332.594,28</w:t>
            </w:r>
          </w:p>
        </w:tc>
      </w:tr>
      <w:tr w:rsidR="00AB16D5" w:rsidRPr="00AB4843" w:rsidTr="00AF53F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gridBefore w:val="2"/>
          <w:wBefore w:w="2361" w:type="pct"/>
          <w:trHeight w:val="129"/>
        </w:trPr>
        <w:tc>
          <w:tcPr>
            <w:tcW w:w="1295" w:type="pct"/>
            <w:tcBorders>
              <w:top w:val="thickThinSmallGap" w:sz="12" w:space="0" w:color="auto"/>
              <w:left w:val="thinThickSmallGap" w:sz="18" w:space="0" w:color="auto"/>
              <w:bottom w:val="thinThickSmallGap" w:sz="18" w:space="0" w:color="auto"/>
            </w:tcBorders>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Zaokruženo</w:t>
            </w:r>
          </w:p>
        </w:tc>
        <w:tc>
          <w:tcPr>
            <w:tcW w:w="1344" w:type="pct"/>
            <w:tcBorders>
              <w:top w:val="thickThinSmallGap" w:sz="12" w:space="0" w:color="auto"/>
              <w:bottom w:val="thinThickSmallGap" w:sz="18" w:space="0" w:color="auto"/>
              <w:right w:val="thinThickSmallGap" w:sz="18" w:space="0" w:color="auto"/>
            </w:tcBorders>
            <w:vAlign w:val="center"/>
          </w:tcPr>
          <w:p w:rsidR="00AB16D5" w:rsidRPr="00AB4843" w:rsidRDefault="00AB16D5" w:rsidP="00AF53FF">
            <w:pPr>
              <w:jc w:val="center"/>
              <w:rPr>
                <w:rFonts w:asciiTheme="minorHAnsi" w:hAnsiTheme="minorHAnsi"/>
                <w:b/>
                <w:sz w:val="20"/>
                <w:szCs w:val="20"/>
                <w:lang w:val="sr-Latn-CS"/>
              </w:rPr>
            </w:pPr>
            <w:r w:rsidRPr="00AB4843">
              <w:rPr>
                <w:rFonts w:asciiTheme="minorHAnsi" w:hAnsiTheme="minorHAnsi"/>
                <w:b/>
                <w:sz w:val="20"/>
                <w:szCs w:val="20"/>
                <w:lang w:val="sr-Latn-CS"/>
              </w:rPr>
              <w:t>1.332.594</w:t>
            </w:r>
          </w:p>
        </w:tc>
      </w:tr>
    </w:tbl>
    <w:p w:rsidR="00AB16D5" w:rsidRPr="00AB4843" w:rsidRDefault="00AB16D5" w:rsidP="00403695">
      <w:pPr>
        <w:jc w:val="both"/>
        <w:rPr>
          <w:rFonts w:asciiTheme="minorHAnsi" w:hAnsiTheme="minorHAnsi"/>
          <w:sz w:val="20"/>
          <w:szCs w:val="20"/>
          <w:lang w:val="sr-Latn-CS"/>
        </w:rPr>
      </w:pPr>
    </w:p>
    <w:p w:rsidR="00AB16D5" w:rsidRPr="00AB4843" w:rsidRDefault="00AB16D5" w:rsidP="00403695">
      <w:pPr>
        <w:jc w:val="both"/>
        <w:rPr>
          <w:rFonts w:asciiTheme="minorHAnsi" w:hAnsiTheme="minorHAnsi"/>
          <w:sz w:val="20"/>
          <w:szCs w:val="20"/>
          <w:lang w:val="sr-Latn-CS"/>
        </w:rPr>
      </w:pPr>
      <w:r w:rsidRPr="00AB4843">
        <w:rPr>
          <w:rFonts w:asciiTheme="minorHAnsi" w:hAnsiTheme="minorHAnsi"/>
          <w:sz w:val="20"/>
          <w:szCs w:val="20"/>
          <w:lang w:val="sr-Latn-CS"/>
        </w:rPr>
        <w:t>Na osnovu analiziranih rezultata, saglasno utvrđenim svojstvima i odredbama standarda, kamen (krečnjak) sa lokaliteta „Visočica“ se u arhitektonsko-građevinske svrhe može upotrijebiti za:</w:t>
      </w:r>
    </w:p>
    <w:p w:rsidR="00AB16D5" w:rsidRPr="00AB4843" w:rsidRDefault="00AB16D5" w:rsidP="00403695">
      <w:pPr>
        <w:jc w:val="both"/>
        <w:rPr>
          <w:rFonts w:asciiTheme="minorHAnsi" w:hAnsiTheme="minorHAnsi"/>
          <w:sz w:val="20"/>
          <w:szCs w:val="20"/>
          <w:lang w:val="sr-Latn-CS"/>
        </w:rPr>
      </w:pPr>
    </w:p>
    <w:p w:rsidR="00AB16D5" w:rsidRPr="00AB4843" w:rsidRDefault="00AB16D5" w:rsidP="00403695">
      <w:pPr>
        <w:numPr>
          <w:ilvl w:val="0"/>
          <w:numId w:val="4"/>
        </w:numPr>
        <w:jc w:val="both"/>
        <w:rPr>
          <w:rFonts w:asciiTheme="minorHAnsi" w:hAnsiTheme="minorHAnsi"/>
          <w:sz w:val="20"/>
          <w:szCs w:val="20"/>
          <w:lang w:val="pl-PL"/>
        </w:rPr>
      </w:pPr>
      <w:r w:rsidRPr="00AB4843">
        <w:rPr>
          <w:rFonts w:asciiTheme="minorHAnsi" w:hAnsiTheme="minorHAnsi"/>
          <w:sz w:val="20"/>
          <w:szCs w:val="20"/>
          <w:lang w:val="pl-PL"/>
        </w:rPr>
        <w:t>unutrašnja oblaganja horizontalnih površina sa umjerenim pješačkim saobraćajem (biblioteke, arhive, knjižare, čekaonice i sl), UH-3;</w:t>
      </w:r>
    </w:p>
    <w:p w:rsidR="00AB16D5" w:rsidRPr="00AB4843" w:rsidRDefault="00AB16D5" w:rsidP="00403695">
      <w:pPr>
        <w:numPr>
          <w:ilvl w:val="0"/>
          <w:numId w:val="4"/>
        </w:numPr>
        <w:jc w:val="both"/>
        <w:rPr>
          <w:rFonts w:asciiTheme="minorHAnsi" w:hAnsiTheme="minorHAnsi"/>
          <w:sz w:val="20"/>
          <w:szCs w:val="20"/>
          <w:lang w:val="pl-PL"/>
        </w:rPr>
      </w:pPr>
      <w:r w:rsidRPr="00AB4843">
        <w:rPr>
          <w:rFonts w:asciiTheme="minorHAnsi" w:hAnsiTheme="minorHAnsi"/>
          <w:sz w:val="20"/>
          <w:szCs w:val="20"/>
          <w:lang w:val="pl-PL"/>
        </w:rPr>
        <w:t>unutrašnja oblaganja vertikalnih površina, UV; i</w:t>
      </w:r>
    </w:p>
    <w:p w:rsidR="00AB16D5" w:rsidRPr="00AB4843" w:rsidRDefault="00AB16D5" w:rsidP="00403695">
      <w:pPr>
        <w:numPr>
          <w:ilvl w:val="0"/>
          <w:numId w:val="4"/>
        </w:numPr>
        <w:jc w:val="both"/>
        <w:rPr>
          <w:rFonts w:asciiTheme="minorHAnsi" w:hAnsiTheme="minorHAnsi"/>
          <w:sz w:val="20"/>
          <w:szCs w:val="20"/>
          <w:lang w:val="pl-PL"/>
        </w:rPr>
      </w:pPr>
      <w:r w:rsidRPr="00AB4843">
        <w:rPr>
          <w:rFonts w:asciiTheme="minorHAnsi" w:hAnsiTheme="minorHAnsi"/>
          <w:sz w:val="20"/>
          <w:szCs w:val="20"/>
          <w:lang w:val="pl-PL"/>
        </w:rPr>
        <w:t>spoljašnja oblaganja vertikalnih površina objekata visine do 10 m iznad terena, SV-3.</w:t>
      </w:r>
    </w:p>
    <w:p w:rsidR="00AB16D5" w:rsidRPr="00AB4843" w:rsidRDefault="00AB16D5" w:rsidP="00403695">
      <w:pPr>
        <w:ind w:left="720"/>
        <w:jc w:val="both"/>
        <w:rPr>
          <w:rFonts w:asciiTheme="minorHAnsi" w:hAnsiTheme="minorHAnsi"/>
          <w:sz w:val="20"/>
          <w:szCs w:val="20"/>
          <w:lang w:val="pl-PL"/>
        </w:rPr>
      </w:pPr>
    </w:p>
    <w:p w:rsidR="00AB16D5" w:rsidRPr="00AB4843" w:rsidRDefault="00AB16D5" w:rsidP="00403695">
      <w:pPr>
        <w:jc w:val="both"/>
        <w:rPr>
          <w:rFonts w:asciiTheme="minorHAnsi" w:hAnsiTheme="minorHAnsi"/>
          <w:sz w:val="20"/>
          <w:szCs w:val="20"/>
          <w:lang w:val="sr-Latn-CS"/>
        </w:rPr>
      </w:pPr>
      <w:r w:rsidRPr="00AB4843">
        <w:rPr>
          <w:rFonts w:asciiTheme="minorHAnsi" w:hAnsiTheme="minorHAnsi"/>
          <w:sz w:val="20"/>
          <w:szCs w:val="20"/>
          <w:lang w:val="sr-Latn-CS"/>
        </w:rPr>
        <w:t>Saglasno utvrđenim svojstvima i odredbama standarda, kamen (krečnjak) sa lokaliteta „Visočica“ kod Spuža, može se upotrijebiti kao:</w:t>
      </w:r>
    </w:p>
    <w:p w:rsidR="00AB16D5" w:rsidRPr="00AB4843" w:rsidRDefault="00AB16D5" w:rsidP="00403695">
      <w:pPr>
        <w:jc w:val="both"/>
        <w:rPr>
          <w:rFonts w:asciiTheme="minorHAnsi" w:hAnsiTheme="minorHAnsi"/>
          <w:sz w:val="20"/>
          <w:szCs w:val="20"/>
          <w:lang w:val="sr-Latn-CS"/>
        </w:rPr>
      </w:pPr>
    </w:p>
    <w:p w:rsidR="00AB16D5" w:rsidRPr="00AB4843" w:rsidRDefault="00AB16D5" w:rsidP="00403695">
      <w:pPr>
        <w:numPr>
          <w:ilvl w:val="0"/>
          <w:numId w:val="5"/>
        </w:numPr>
        <w:jc w:val="both"/>
        <w:rPr>
          <w:rFonts w:asciiTheme="minorHAnsi" w:hAnsiTheme="minorHAnsi"/>
          <w:sz w:val="20"/>
          <w:szCs w:val="20"/>
          <w:lang w:val="sr-Latn-CS"/>
        </w:rPr>
      </w:pPr>
      <w:r w:rsidRPr="00AB4843">
        <w:rPr>
          <w:rFonts w:asciiTheme="minorHAnsi" w:hAnsiTheme="minorHAnsi"/>
          <w:sz w:val="20"/>
          <w:szCs w:val="20"/>
          <w:lang w:val="sr-Latn-CS"/>
        </w:rPr>
        <w:t>arhitektonsko-građevinski kamen;</w:t>
      </w:r>
    </w:p>
    <w:p w:rsidR="00AB16D5" w:rsidRPr="00AB4843" w:rsidRDefault="00AB16D5" w:rsidP="00403695">
      <w:pPr>
        <w:numPr>
          <w:ilvl w:val="0"/>
          <w:numId w:val="5"/>
        </w:numPr>
        <w:jc w:val="both"/>
        <w:rPr>
          <w:rFonts w:asciiTheme="minorHAnsi" w:hAnsiTheme="minorHAnsi"/>
          <w:sz w:val="20"/>
          <w:szCs w:val="20"/>
          <w:lang w:val="sr-Latn-CS"/>
        </w:rPr>
      </w:pPr>
      <w:r w:rsidRPr="00AB4843">
        <w:rPr>
          <w:rFonts w:asciiTheme="minorHAnsi" w:hAnsiTheme="minorHAnsi"/>
          <w:sz w:val="20"/>
          <w:szCs w:val="20"/>
          <w:lang w:val="sr-Latn-CS"/>
        </w:rPr>
        <w:t>kao dekorativni kamen za izradu ploča za oblaganje vertikalnih površina (spoljnih i unutrašnjih, različitog stepena obrade);</w:t>
      </w:r>
    </w:p>
    <w:p w:rsidR="00AB16D5" w:rsidRPr="00AB4843" w:rsidRDefault="00AB16D5" w:rsidP="00403695">
      <w:pPr>
        <w:numPr>
          <w:ilvl w:val="0"/>
          <w:numId w:val="5"/>
        </w:numPr>
        <w:jc w:val="both"/>
        <w:rPr>
          <w:rFonts w:asciiTheme="minorHAnsi" w:hAnsiTheme="minorHAnsi"/>
          <w:sz w:val="20"/>
          <w:szCs w:val="20"/>
          <w:lang w:val="sr-Latn-CS"/>
        </w:rPr>
      </w:pPr>
      <w:r w:rsidRPr="00AB4843">
        <w:rPr>
          <w:rFonts w:asciiTheme="minorHAnsi" w:hAnsiTheme="minorHAnsi"/>
          <w:sz w:val="20"/>
          <w:szCs w:val="20"/>
          <w:lang w:val="sr-Latn-CS"/>
        </w:rPr>
        <w:t>kao kamen za izradu kamene galanterije i dr.;</w:t>
      </w:r>
    </w:p>
    <w:p w:rsidR="00AB16D5" w:rsidRPr="00AB4843" w:rsidRDefault="00AB16D5" w:rsidP="00403695">
      <w:pPr>
        <w:numPr>
          <w:ilvl w:val="0"/>
          <w:numId w:val="5"/>
        </w:numPr>
        <w:jc w:val="both"/>
        <w:rPr>
          <w:rFonts w:asciiTheme="minorHAnsi" w:hAnsiTheme="minorHAnsi"/>
          <w:sz w:val="20"/>
          <w:szCs w:val="20"/>
          <w:lang w:val="sr-Latn-CS"/>
        </w:rPr>
      </w:pPr>
      <w:r w:rsidRPr="00AB4843">
        <w:rPr>
          <w:rFonts w:asciiTheme="minorHAnsi" w:hAnsiTheme="minorHAnsi"/>
          <w:sz w:val="20"/>
          <w:szCs w:val="20"/>
          <w:lang w:val="sr-Latn-CS"/>
        </w:rPr>
        <w:t>kao sirovina za izradu drobljenog separisanog kamenog agregata za spravljanje:</w:t>
      </w:r>
    </w:p>
    <w:p w:rsidR="00AB16D5" w:rsidRPr="00AB4843" w:rsidRDefault="00AB16D5" w:rsidP="00403695">
      <w:pPr>
        <w:ind w:firstLine="900"/>
        <w:jc w:val="both"/>
        <w:rPr>
          <w:rFonts w:asciiTheme="minorHAnsi" w:hAnsiTheme="minorHAnsi"/>
          <w:sz w:val="20"/>
          <w:szCs w:val="20"/>
          <w:lang w:val="sr-Latn-CS"/>
        </w:rPr>
      </w:pPr>
      <w:r w:rsidRPr="00AB4843">
        <w:rPr>
          <w:rFonts w:asciiTheme="minorHAnsi" w:hAnsiTheme="minorHAnsi"/>
          <w:sz w:val="20"/>
          <w:szCs w:val="20"/>
          <w:lang w:val="sr-Latn-CS"/>
        </w:rPr>
        <w:t>-  cement betona (B-II), isključujući betone koji su izloženi habanju i eroziji,</w:t>
      </w:r>
    </w:p>
    <w:p w:rsidR="00AB16D5" w:rsidRPr="00AB4843" w:rsidRDefault="00F27279" w:rsidP="00403695">
      <w:pPr>
        <w:jc w:val="both"/>
        <w:rPr>
          <w:rFonts w:asciiTheme="minorHAnsi" w:hAnsiTheme="minorHAnsi"/>
          <w:sz w:val="20"/>
          <w:szCs w:val="20"/>
          <w:lang w:val="sr-Latn-CS"/>
        </w:rPr>
      </w:pPr>
      <w:r>
        <w:rPr>
          <w:rFonts w:asciiTheme="minorHAnsi" w:hAnsiTheme="minorHAnsi"/>
          <w:sz w:val="20"/>
          <w:szCs w:val="20"/>
          <w:lang w:val="sr-Latn-CS"/>
        </w:rPr>
        <w:t xml:space="preserve">                   </w:t>
      </w:r>
      <w:r w:rsidR="00AB16D5" w:rsidRPr="00AB4843">
        <w:rPr>
          <w:rFonts w:asciiTheme="minorHAnsi" w:hAnsiTheme="minorHAnsi"/>
          <w:sz w:val="20"/>
          <w:szCs w:val="20"/>
          <w:lang w:val="sr-Latn-CS"/>
        </w:rPr>
        <w:t>-  maltera za malterisanje i dr.,</w:t>
      </w:r>
    </w:p>
    <w:p w:rsidR="00AB16D5" w:rsidRPr="00AB4843" w:rsidRDefault="00AB16D5" w:rsidP="00403695">
      <w:pPr>
        <w:ind w:left="1080" w:hanging="360"/>
        <w:jc w:val="both"/>
        <w:rPr>
          <w:rFonts w:asciiTheme="minorHAnsi" w:hAnsiTheme="minorHAnsi"/>
          <w:sz w:val="20"/>
          <w:szCs w:val="20"/>
          <w:lang w:val="sr-Latn-CS"/>
        </w:rPr>
      </w:pPr>
      <w:r w:rsidRPr="00AB4843">
        <w:rPr>
          <w:rFonts w:asciiTheme="minorHAnsi" w:hAnsiTheme="minorHAnsi"/>
          <w:sz w:val="20"/>
          <w:szCs w:val="20"/>
          <w:lang w:val="sr-Latn-CS"/>
        </w:rPr>
        <w:t xml:space="preserve">   - bituminiziranih slojeva asfalta za puteve srednjeg i malog saobraćajnog   opterećenja;</w:t>
      </w:r>
    </w:p>
    <w:p w:rsidR="00AB16D5" w:rsidRDefault="00AB16D5" w:rsidP="00403695">
      <w:pPr>
        <w:numPr>
          <w:ilvl w:val="0"/>
          <w:numId w:val="6"/>
        </w:numPr>
        <w:jc w:val="both"/>
        <w:rPr>
          <w:rFonts w:asciiTheme="minorHAnsi" w:hAnsiTheme="minorHAnsi"/>
          <w:sz w:val="20"/>
          <w:szCs w:val="20"/>
          <w:lang w:val="sr-Latn-CS"/>
        </w:rPr>
      </w:pPr>
      <w:r w:rsidRPr="00AB4843">
        <w:rPr>
          <w:rFonts w:asciiTheme="minorHAnsi" w:hAnsiTheme="minorHAnsi"/>
          <w:sz w:val="20"/>
          <w:szCs w:val="20"/>
          <w:lang w:val="sr-Latn-CS"/>
        </w:rPr>
        <w:lastRenderedPageBreak/>
        <w:t>kamen se ne može upotrijebiti kao sirovina za izradu kamenog agregata za izradu betonskih i asfaltnih slojeva (završni slojevi) kod kojih se zahtijeva „visoka“ čvrstoća kamena pri pritisku i otpornost na „habanje brušenjem“.</w:t>
      </w:r>
    </w:p>
    <w:p w:rsidR="001F3308" w:rsidRPr="00A36F6F" w:rsidRDefault="001F3308" w:rsidP="00403695">
      <w:pPr>
        <w:ind w:left="720"/>
        <w:jc w:val="both"/>
        <w:rPr>
          <w:rFonts w:asciiTheme="minorHAnsi" w:hAnsiTheme="minorHAnsi"/>
          <w:sz w:val="20"/>
          <w:szCs w:val="20"/>
          <w:lang w:val="sr-Latn-CS"/>
        </w:rPr>
      </w:pPr>
    </w:p>
    <w:p w:rsidR="00AB16D5" w:rsidRPr="00AB4843" w:rsidRDefault="00AB16D5" w:rsidP="00403695">
      <w:pPr>
        <w:rPr>
          <w:rFonts w:asciiTheme="minorHAnsi" w:hAnsiTheme="minorHAnsi" w:cstheme="minorHAnsi"/>
          <w:b/>
          <w:sz w:val="20"/>
          <w:szCs w:val="20"/>
          <w:lang w:val="hr-HR"/>
        </w:rPr>
      </w:pPr>
      <w:r w:rsidRPr="00AB4843">
        <w:rPr>
          <w:rFonts w:asciiTheme="minorHAnsi" w:hAnsiTheme="minorHAnsi" w:cstheme="minorHAnsi"/>
          <w:b/>
          <w:sz w:val="20"/>
          <w:szCs w:val="20"/>
          <w:lang w:val="sr-Latn-CS"/>
        </w:rPr>
        <w:t>7</w:t>
      </w:r>
      <w:r w:rsidR="00F27279">
        <w:rPr>
          <w:rFonts w:asciiTheme="minorHAnsi" w:hAnsiTheme="minorHAnsi" w:cstheme="minorHAnsi"/>
          <w:b/>
          <w:sz w:val="20"/>
          <w:szCs w:val="20"/>
          <w:lang w:val="sr-Latn-CS"/>
        </w:rPr>
        <w:t xml:space="preserve">. </w:t>
      </w:r>
      <w:r w:rsidRPr="00AB4843">
        <w:rPr>
          <w:rFonts w:asciiTheme="minorHAnsi" w:hAnsiTheme="minorHAnsi" w:cstheme="minorHAnsi"/>
          <w:sz w:val="20"/>
          <w:szCs w:val="20"/>
          <w:lang w:val="sr-Latn-CS"/>
        </w:rPr>
        <w:t xml:space="preserve"> </w:t>
      </w:r>
      <w:r w:rsidRPr="00AB4843">
        <w:rPr>
          <w:rFonts w:asciiTheme="minorHAnsi" w:hAnsiTheme="minorHAnsi" w:cstheme="minorHAnsi"/>
          <w:b/>
          <w:sz w:val="20"/>
          <w:szCs w:val="20"/>
          <w:lang w:val="hr-HR"/>
        </w:rPr>
        <w:t>Ležište bijelih boksita „Poljane“, Prijestonica Cetinje</w:t>
      </w:r>
    </w:p>
    <w:p w:rsidR="00AB16D5" w:rsidRPr="00AB4843" w:rsidRDefault="00AB16D5" w:rsidP="00403695">
      <w:pPr>
        <w:rPr>
          <w:rFonts w:asciiTheme="minorHAnsi" w:hAnsiTheme="minorHAnsi" w:cstheme="minorHAnsi"/>
          <w:b/>
          <w:sz w:val="20"/>
          <w:szCs w:val="20"/>
          <w:lang w:val="hr-HR"/>
        </w:rPr>
      </w:pPr>
    </w:p>
    <w:p w:rsidR="00AB16D5" w:rsidRPr="00AB4843"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rPr>
        <w:t xml:space="preserve">Ležište bijelog boksita „Poljane“ </w:t>
      </w:r>
      <w:r w:rsidRPr="00AB4843">
        <w:rPr>
          <w:rFonts w:asciiTheme="minorHAnsi" w:hAnsiTheme="minorHAnsi" w:cstheme="minorHAnsi"/>
          <w:b w:val="0"/>
          <w:color w:val="000000" w:themeColor="text1"/>
          <w:sz w:val="20"/>
          <w:szCs w:val="20"/>
          <w:lang w:val="pl-PL"/>
        </w:rPr>
        <w:t>pripada boksitonosnom području Bijelih poljana (Katunska nahija), čiji centar predstavlja istoimeno staro i napušteno rudarsko naselje Bijele poljane sa neposrednom okolinom.</w:t>
      </w:r>
    </w:p>
    <w:p w:rsidR="00AB16D5" w:rsidRPr="00AB4843" w:rsidRDefault="00AB16D5" w:rsidP="00403695">
      <w:pPr>
        <w:rPr>
          <w:rFonts w:asciiTheme="minorHAnsi" w:hAnsiTheme="minorHAnsi" w:cstheme="minorHAnsi"/>
          <w:color w:val="000000" w:themeColor="text1"/>
          <w:sz w:val="20"/>
          <w:szCs w:val="20"/>
          <w:lang w:val="sr-Latn-CS"/>
        </w:rPr>
      </w:pPr>
    </w:p>
    <w:p w:rsidR="00AB16D5" w:rsidRPr="00AB4843"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rPr>
        <w:t xml:space="preserve">Administrativno ležište bijelog boksita „Poljane“ pripada Prijestonici Cetinje i nalazi se na topografskim listovima </w:t>
      </w:r>
      <w:r w:rsidRPr="00AB4843">
        <w:rPr>
          <w:rFonts w:asciiTheme="minorHAnsi" w:hAnsiTheme="minorHAnsi" w:cstheme="minorHAnsi"/>
          <w:b w:val="0"/>
          <w:color w:val="000000" w:themeColor="text1"/>
          <w:sz w:val="20"/>
          <w:szCs w:val="20"/>
          <w:lang w:val="pl-PL"/>
        </w:rPr>
        <w:t>“Nikšić”, 1:200 000 i 1:100 000, odnosno sekcijama “Nikšić”-4 razmjere 1:50 000, i nadalje “Trubjela jug”, 1:25 000 i “Trubjela”-4, razmjere 1:10 000, dok u geološkom smislu predmetno područje je obuhvaćeno Osnovnom geološkom kartom list “Nikšić”, 1:100 000.</w:t>
      </w:r>
    </w:p>
    <w:p w:rsidR="00AB16D5" w:rsidRPr="00AB4843" w:rsidRDefault="00AB16D5" w:rsidP="00403695">
      <w:pPr>
        <w:rPr>
          <w:rFonts w:asciiTheme="minorHAnsi" w:hAnsiTheme="minorHAnsi" w:cstheme="minorHAnsi"/>
          <w:color w:val="000000" w:themeColor="text1"/>
          <w:sz w:val="20"/>
          <w:szCs w:val="20"/>
          <w:lang w:val="sr-Latn-CS"/>
        </w:rPr>
      </w:pPr>
    </w:p>
    <w:p w:rsidR="00AB16D5" w:rsidRPr="00AB4843"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rPr>
        <w:t xml:space="preserve">Ležište bijelog boksita „Poljane“ je </w:t>
      </w:r>
      <w:r w:rsidRPr="00AB4843">
        <w:rPr>
          <w:rFonts w:asciiTheme="minorHAnsi" w:hAnsiTheme="minorHAnsi" w:cstheme="minorHAnsi"/>
          <w:b w:val="0"/>
          <w:color w:val="000000" w:themeColor="text1"/>
          <w:sz w:val="20"/>
          <w:szCs w:val="20"/>
          <w:lang w:val="pl-PL"/>
        </w:rPr>
        <w:t>smješteno  jugozapadno od Nikšića na oko 12 km vazdušne linije i sjeverno od Cetinja na oko 23 km,  takođe, vazdušne linije. Predmetno područje presijeca, po dužoj osi (sjever-jug), regionalni put Nikšić-Čevo-Cetinje, sa kojim je ono povezano sa navedenim i drugim privrednim i društveno-ekonomskim centrima u Crnoj Gori i širem okruženju. Udaljenost regionalnim putem nekadašnje rudarske kolonije, koja predstavlja centar područja, iznosi 23 km od Nikšića, a od Cetinja iznosi 47 km.</w:t>
      </w:r>
    </w:p>
    <w:p w:rsidR="00AB16D5" w:rsidRPr="00AB4843" w:rsidRDefault="00AB16D5" w:rsidP="00403695">
      <w:pPr>
        <w:jc w:val="both"/>
        <w:rPr>
          <w:rFonts w:asciiTheme="minorHAnsi" w:hAnsiTheme="minorHAnsi" w:cstheme="minorHAnsi"/>
          <w:color w:val="000000" w:themeColor="text1"/>
          <w:sz w:val="20"/>
          <w:szCs w:val="20"/>
          <w:lang w:val="sr-Latn-CS"/>
        </w:rPr>
      </w:pPr>
    </w:p>
    <w:p w:rsidR="00AB16D5" w:rsidRPr="00AB4843" w:rsidRDefault="00AB16D5" w:rsidP="00403695">
      <w:pPr>
        <w:pStyle w:val="ListParagraph"/>
        <w:ind w:left="0"/>
        <w:jc w:val="both"/>
        <w:rPr>
          <w:rFonts w:asciiTheme="minorHAnsi" w:hAnsiTheme="minorHAnsi" w:cstheme="minorHAnsi"/>
          <w:color w:val="000000" w:themeColor="text1"/>
          <w:sz w:val="20"/>
          <w:szCs w:val="20"/>
          <w:lang w:val="sr-Latn-CS"/>
        </w:rPr>
      </w:pPr>
      <w:r w:rsidRPr="00AB4843">
        <w:rPr>
          <w:rFonts w:asciiTheme="minorHAnsi" w:hAnsiTheme="minorHAnsi" w:cstheme="minorHAnsi"/>
          <w:color w:val="000000" w:themeColor="text1"/>
          <w:sz w:val="20"/>
          <w:szCs w:val="20"/>
          <w:lang w:val="sr-Latn-CS"/>
        </w:rPr>
        <w:t xml:space="preserve">Eksploataciono polje je ograničeno tačkama I, II, III i IV i pravim linijama između ovih tačaka, a zahvata površinu od 50,77 ha. </w:t>
      </w:r>
    </w:p>
    <w:p w:rsidR="00AB16D5" w:rsidRPr="00AB4843" w:rsidRDefault="00AB16D5" w:rsidP="00403695">
      <w:pPr>
        <w:pStyle w:val="ListParagraph"/>
        <w:ind w:left="0"/>
        <w:jc w:val="both"/>
        <w:rPr>
          <w:rFonts w:asciiTheme="minorHAnsi" w:hAnsiTheme="minorHAnsi" w:cstheme="minorHAnsi"/>
          <w:color w:val="000000" w:themeColor="text1"/>
          <w:sz w:val="20"/>
          <w:szCs w:val="20"/>
          <w:lang w:val="sr-Latn-CS"/>
        </w:rPr>
      </w:pPr>
    </w:p>
    <w:p w:rsidR="00AB16D5" w:rsidRPr="00AB4843" w:rsidRDefault="00AB16D5" w:rsidP="00403695">
      <w:pPr>
        <w:pStyle w:val="ListParagraph"/>
        <w:ind w:left="0"/>
        <w:jc w:val="both"/>
        <w:rPr>
          <w:rFonts w:asciiTheme="minorHAnsi" w:hAnsiTheme="minorHAnsi" w:cstheme="minorHAnsi"/>
          <w:color w:val="000000" w:themeColor="text1"/>
          <w:sz w:val="20"/>
          <w:szCs w:val="20"/>
          <w:lang w:val="sv-SE"/>
        </w:rPr>
      </w:pPr>
      <w:r w:rsidRPr="00AB4843">
        <w:rPr>
          <w:rFonts w:asciiTheme="minorHAnsi" w:hAnsiTheme="minorHAnsi" w:cstheme="minorHAnsi"/>
          <w:color w:val="000000" w:themeColor="text1"/>
          <w:sz w:val="20"/>
          <w:szCs w:val="20"/>
          <w:lang w:val="sv-SE"/>
        </w:rPr>
        <w:t>Koordinate tjemenih tačaka eksploatacionog polja su:</w:t>
      </w:r>
    </w:p>
    <w:p w:rsidR="00AB16D5" w:rsidRPr="00AB4843" w:rsidRDefault="00AB16D5" w:rsidP="00403695">
      <w:pPr>
        <w:rPr>
          <w:rFonts w:asciiTheme="minorHAnsi" w:hAnsiTheme="minorHAnsi" w:cstheme="minorHAnsi"/>
          <w:color w:val="000000" w:themeColor="text1"/>
          <w:sz w:val="20"/>
          <w:szCs w:val="20"/>
          <w:lang w:val="sv-S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1856"/>
        <w:gridCol w:w="1858"/>
        <w:gridCol w:w="1856"/>
        <w:gridCol w:w="1954"/>
      </w:tblGrid>
      <w:tr w:rsidR="00AB16D5" w:rsidRPr="00AB4843" w:rsidTr="00AF53FF">
        <w:trPr>
          <w:jc w:val="center"/>
        </w:trPr>
        <w:tc>
          <w:tcPr>
            <w:tcW w:w="1072" w:type="pct"/>
            <w:vMerge w:val="restart"/>
            <w:tcBorders>
              <w:top w:val="thinThickSmallGap" w:sz="18" w:space="0" w:color="auto"/>
              <w:left w:val="thinThickSmallGap" w:sz="18"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Tačka</w:t>
            </w:r>
          </w:p>
        </w:tc>
        <w:tc>
          <w:tcPr>
            <w:tcW w:w="1939" w:type="pct"/>
            <w:gridSpan w:val="2"/>
            <w:tcBorders>
              <w:top w:val="thinThickSmallGap" w:sz="18" w:space="0" w:color="auto"/>
              <w:left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Koordinate</w:t>
            </w:r>
          </w:p>
        </w:tc>
        <w:tc>
          <w:tcPr>
            <w:tcW w:w="969" w:type="pct"/>
            <w:vMerge w:val="restart"/>
            <w:tcBorders>
              <w:top w:val="thinThickSmallGap" w:sz="18" w:space="0" w:color="auto"/>
              <w:left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sr-Latn-CS"/>
              </w:rPr>
            </w:pPr>
            <w:r w:rsidRPr="00AB4843">
              <w:rPr>
                <w:rFonts w:asciiTheme="minorHAnsi" w:hAnsiTheme="minorHAnsi" w:cstheme="minorHAnsi"/>
                <w:b/>
                <w:color w:val="000000" w:themeColor="text1"/>
                <w:sz w:val="20"/>
                <w:szCs w:val="20"/>
              </w:rPr>
              <w:t>Du</w:t>
            </w:r>
            <w:r w:rsidRPr="00AB4843">
              <w:rPr>
                <w:rFonts w:asciiTheme="minorHAnsi" w:hAnsiTheme="minorHAnsi" w:cstheme="minorHAnsi"/>
                <w:b/>
                <w:color w:val="000000" w:themeColor="text1"/>
                <w:sz w:val="20"/>
                <w:szCs w:val="20"/>
                <w:lang w:val="sr-Latn-CS"/>
              </w:rPr>
              <w:t>žina strane (m)</w:t>
            </w:r>
          </w:p>
        </w:tc>
        <w:tc>
          <w:tcPr>
            <w:tcW w:w="1020" w:type="pct"/>
            <w:vMerge w:val="restart"/>
            <w:tcBorders>
              <w:top w:val="thinThickSmallGap" w:sz="18" w:space="0" w:color="auto"/>
              <w:left w:val="double" w:sz="4" w:space="0" w:color="auto"/>
              <w:right w:val="thinThickSmallGap" w:sz="18"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Površina</w:t>
            </w:r>
          </w:p>
          <w:p w:rsidR="00AB16D5" w:rsidRPr="00AB4843" w:rsidRDefault="00AB16D5" w:rsidP="00AF53FF">
            <w:pPr>
              <w:jc w:val="center"/>
              <w:rPr>
                <w:rFonts w:asciiTheme="minorHAnsi" w:hAnsiTheme="minorHAnsi" w:cstheme="minorHAnsi"/>
                <w:b/>
                <w:color w:val="000000" w:themeColor="text1"/>
                <w:sz w:val="20"/>
                <w:szCs w:val="20"/>
                <w:lang w:val="sr-Latn-CS"/>
              </w:rPr>
            </w:pPr>
            <w:r w:rsidRPr="00AB4843">
              <w:rPr>
                <w:rFonts w:asciiTheme="minorHAnsi" w:hAnsiTheme="minorHAnsi" w:cstheme="minorHAnsi"/>
                <w:b/>
                <w:color w:val="000000" w:themeColor="text1"/>
                <w:sz w:val="20"/>
                <w:szCs w:val="20"/>
              </w:rPr>
              <w:t>(ha)</w:t>
            </w:r>
          </w:p>
        </w:tc>
      </w:tr>
      <w:tr w:rsidR="00AB16D5" w:rsidRPr="00AB4843" w:rsidTr="00AF53FF">
        <w:trPr>
          <w:jc w:val="center"/>
        </w:trPr>
        <w:tc>
          <w:tcPr>
            <w:tcW w:w="1072" w:type="pct"/>
            <w:vMerge/>
            <w:tcBorders>
              <w:left w:val="thinThickSmallGap" w:sz="18" w:space="0" w:color="auto"/>
              <w:bottom w:val="double" w:sz="4"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i/>
                <w:color w:val="000000" w:themeColor="text1"/>
                <w:sz w:val="20"/>
                <w:szCs w:val="20"/>
              </w:rPr>
            </w:pPr>
          </w:p>
        </w:tc>
        <w:tc>
          <w:tcPr>
            <w:tcW w:w="969" w:type="pct"/>
            <w:tcBorders>
              <w:left w:val="double" w:sz="4" w:space="0" w:color="auto"/>
              <w:bottom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x</w:t>
            </w:r>
          </w:p>
        </w:tc>
        <w:tc>
          <w:tcPr>
            <w:tcW w:w="969" w:type="pct"/>
            <w:tcBorders>
              <w:bottom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y</w:t>
            </w:r>
          </w:p>
        </w:tc>
        <w:tc>
          <w:tcPr>
            <w:tcW w:w="969" w:type="pct"/>
            <w:vMerge/>
            <w:tcBorders>
              <w:left w:val="double" w:sz="4" w:space="0" w:color="auto"/>
              <w:bottom w:val="double" w:sz="4"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i/>
                <w:color w:val="000000" w:themeColor="text1"/>
                <w:sz w:val="20"/>
                <w:szCs w:val="20"/>
              </w:rPr>
            </w:pPr>
          </w:p>
        </w:tc>
        <w:tc>
          <w:tcPr>
            <w:tcW w:w="1020" w:type="pct"/>
            <w:vMerge/>
            <w:tcBorders>
              <w:left w:val="double" w:sz="4" w:space="0" w:color="auto"/>
              <w:bottom w:val="double" w:sz="4" w:space="0" w:color="auto"/>
              <w:right w:val="thinThickSmallGap" w:sz="18" w:space="0" w:color="auto"/>
            </w:tcBorders>
            <w:shd w:val="clear" w:color="auto" w:fill="auto"/>
            <w:vAlign w:val="center"/>
          </w:tcPr>
          <w:p w:rsidR="00AB16D5" w:rsidRPr="00AB4843" w:rsidRDefault="00AB16D5" w:rsidP="00AF53FF">
            <w:pPr>
              <w:jc w:val="center"/>
              <w:rPr>
                <w:rFonts w:asciiTheme="minorHAnsi" w:hAnsiTheme="minorHAnsi" w:cstheme="minorHAnsi"/>
                <w:b/>
                <w:i/>
                <w:color w:val="000000" w:themeColor="text1"/>
                <w:sz w:val="20"/>
                <w:szCs w:val="20"/>
              </w:rPr>
            </w:pPr>
          </w:p>
        </w:tc>
      </w:tr>
      <w:tr w:rsidR="00AB16D5" w:rsidRPr="00AB4843" w:rsidTr="00AF53FF">
        <w:trPr>
          <w:jc w:val="center"/>
        </w:trPr>
        <w:tc>
          <w:tcPr>
            <w:tcW w:w="1072" w:type="pct"/>
            <w:tcBorders>
              <w:top w:val="double" w:sz="4" w:space="0" w:color="auto"/>
              <w:left w:val="thinThickSmallGap" w:sz="18"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I</w:t>
            </w:r>
          </w:p>
        </w:tc>
        <w:tc>
          <w:tcPr>
            <w:tcW w:w="969" w:type="pct"/>
            <w:tcBorders>
              <w:top w:val="double" w:sz="4" w:space="0" w:color="auto"/>
              <w:lef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4 726 854</w:t>
            </w:r>
          </w:p>
        </w:tc>
        <w:tc>
          <w:tcPr>
            <w:tcW w:w="969" w:type="pct"/>
            <w:tcBorders>
              <w:top w:val="double" w:sz="4"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6 570 514</w:t>
            </w:r>
          </w:p>
        </w:tc>
        <w:tc>
          <w:tcPr>
            <w:tcW w:w="969" w:type="pct"/>
            <w:tcBorders>
              <w:top w:val="double" w:sz="4" w:space="0" w:color="auto"/>
              <w:left w:val="double" w:sz="4"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I-II=619,43</w:t>
            </w:r>
          </w:p>
        </w:tc>
        <w:tc>
          <w:tcPr>
            <w:tcW w:w="1020" w:type="pct"/>
            <w:vMerge w:val="restart"/>
            <w:tcBorders>
              <w:top w:val="double" w:sz="4" w:space="0" w:color="auto"/>
              <w:left w:val="double" w:sz="4" w:space="0" w:color="auto"/>
              <w:right w:val="thinThickSmallGap" w:sz="18"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p>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50,77</w:t>
            </w:r>
          </w:p>
        </w:tc>
      </w:tr>
      <w:tr w:rsidR="00AB16D5" w:rsidRPr="00AB4843" w:rsidTr="00AF53FF">
        <w:trPr>
          <w:jc w:val="center"/>
        </w:trPr>
        <w:tc>
          <w:tcPr>
            <w:tcW w:w="1072" w:type="pct"/>
            <w:tcBorders>
              <w:left w:val="thinThickSmallGap" w:sz="18"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II</w:t>
            </w:r>
          </w:p>
        </w:tc>
        <w:tc>
          <w:tcPr>
            <w:tcW w:w="969" w:type="pct"/>
            <w:tcBorders>
              <w:lef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4 727 137</w:t>
            </w:r>
          </w:p>
        </w:tc>
        <w:tc>
          <w:tcPr>
            <w:tcW w:w="969" w:type="pct"/>
            <w:tcBorders>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6 571 065</w:t>
            </w:r>
          </w:p>
        </w:tc>
        <w:tc>
          <w:tcPr>
            <w:tcW w:w="969" w:type="pct"/>
            <w:tcBorders>
              <w:left w:val="double" w:sz="4"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II-III=818,45</w:t>
            </w:r>
          </w:p>
        </w:tc>
        <w:tc>
          <w:tcPr>
            <w:tcW w:w="1020" w:type="pct"/>
            <w:vMerge/>
            <w:tcBorders>
              <w:left w:val="double" w:sz="4" w:space="0" w:color="auto"/>
              <w:right w:val="thinThickSmallGap" w:sz="18"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p>
        </w:tc>
      </w:tr>
      <w:tr w:rsidR="00AB16D5" w:rsidRPr="00AB4843" w:rsidTr="00AF53FF">
        <w:trPr>
          <w:jc w:val="center"/>
        </w:trPr>
        <w:tc>
          <w:tcPr>
            <w:tcW w:w="1072" w:type="pct"/>
            <w:tcBorders>
              <w:left w:val="thinThickSmallGap" w:sz="18"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III</w:t>
            </w:r>
          </w:p>
        </w:tc>
        <w:tc>
          <w:tcPr>
            <w:tcW w:w="969" w:type="pct"/>
            <w:tcBorders>
              <w:lef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4 726 409</w:t>
            </w:r>
          </w:p>
        </w:tc>
        <w:tc>
          <w:tcPr>
            <w:tcW w:w="969" w:type="pct"/>
            <w:tcBorders>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6 571 439</w:t>
            </w:r>
          </w:p>
        </w:tc>
        <w:tc>
          <w:tcPr>
            <w:tcW w:w="969" w:type="pct"/>
            <w:tcBorders>
              <w:left w:val="double" w:sz="4"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III-IV=620,77</w:t>
            </w:r>
          </w:p>
        </w:tc>
        <w:tc>
          <w:tcPr>
            <w:tcW w:w="1020" w:type="pct"/>
            <w:vMerge/>
            <w:tcBorders>
              <w:left w:val="double" w:sz="4" w:space="0" w:color="auto"/>
              <w:right w:val="thinThickSmallGap" w:sz="18"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p>
        </w:tc>
      </w:tr>
      <w:tr w:rsidR="00AB16D5" w:rsidRPr="00AB4843" w:rsidTr="00AF53FF">
        <w:trPr>
          <w:jc w:val="center"/>
        </w:trPr>
        <w:tc>
          <w:tcPr>
            <w:tcW w:w="1072" w:type="pct"/>
            <w:tcBorders>
              <w:left w:val="thinThickSmallGap" w:sz="18" w:space="0" w:color="auto"/>
              <w:bottom w:val="thinThickSmallGap" w:sz="18"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IV</w:t>
            </w:r>
          </w:p>
        </w:tc>
        <w:tc>
          <w:tcPr>
            <w:tcW w:w="969" w:type="pct"/>
            <w:tcBorders>
              <w:left w:val="double" w:sz="4" w:space="0" w:color="auto"/>
              <w:bottom w:val="thinThickSmallGap" w:sz="18"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4 726 125</w:t>
            </w:r>
          </w:p>
        </w:tc>
        <w:tc>
          <w:tcPr>
            <w:tcW w:w="969" w:type="pct"/>
            <w:tcBorders>
              <w:bottom w:val="thinThickSmallGap" w:sz="18"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6 570 887</w:t>
            </w:r>
          </w:p>
        </w:tc>
        <w:tc>
          <w:tcPr>
            <w:tcW w:w="969" w:type="pct"/>
            <w:tcBorders>
              <w:left w:val="double" w:sz="4" w:space="0" w:color="auto"/>
              <w:bottom w:val="thinThickSmallGap" w:sz="18" w:space="0" w:color="auto"/>
              <w:right w:val="double" w:sz="4"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r w:rsidRPr="00AB4843">
              <w:rPr>
                <w:rFonts w:asciiTheme="minorHAnsi" w:hAnsiTheme="minorHAnsi" w:cstheme="minorHAnsi"/>
                <w:b/>
                <w:color w:val="000000" w:themeColor="text1"/>
                <w:sz w:val="20"/>
                <w:szCs w:val="20"/>
              </w:rPr>
              <w:t>IV-I=818,88</w:t>
            </w:r>
          </w:p>
        </w:tc>
        <w:tc>
          <w:tcPr>
            <w:tcW w:w="1020" w:type="pct"/>
            <w:vMerge/>
            <w:tcBorders>
              <w:left w:val="double" w:sz="4" w:space="0" w:color="auto"/>
              <w:bottom w:val="thinThickSmallGap" w:sz="18" w:space="0" w:color="auto"/>
              <w:right w:val="thinThickSmallGap" w:sz="18" w:space="0" w:color="auto"/>
            </w:tcBorders>
            <w:shd w:val="clear" w:color="auto" w:fill="auto"/>
            <w:vAlign w:val="center"/>
          </w:tcPr>
          <w:p w:rsidR="00AB16D5" w:rsidRPr="00AB4843" w:rsidRDefault="00AB16D5" w:rsidP="00AF53FF">
            <w:pPr>
              <w:jc w:val="center"/>
              <w:rPr>
                <w:rFonts w:asciiTheme="minorHAnsi" w:hAnsiTheme="minorHAnsi" w:cstheme="minorHAnsi"/>
                <w:b/>
                <w:color w:val="000000" w:themeColor="text1"/>
                <w:sz w:val="20"/>
                <w:szCs w:val="20"/>
              </w:rPr>
            </w:pPr>
          </w:p>
        </w:tc>
      </w:tr>
    </w:tbl>
    <w:p w:rsidR="00AB16D5" w:rsidRPr="00AB4843" w:rsidRDefault="00AB16D5" w:rsidP="00403695">
      <w:pPr>
        <w:rPr>
          <w:rFonts w:asciiTheme="minorHAnsi" w:hAnsiTheme="minorHAnsi" w:cstheme="minorHAnsi"/>
          <w:color w:val="000000" w:themeColor="text1"/>
          <w:sz w:val="20"/>
          <w:szCs w:val="20"/>
          <w:lang w:val="sr-Latn-CS"/>
        </w:rPr>
      </w:pPr>
    </w:p>
    <w:p w:rsidR="00AB16D5" w:rsidRPr="00AB4843"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lang w:val="pl-PL"/>
        </w:rPr>
        <w:t xml:space="preserve">Na području Bijelih poljana skoncentrisana su najveća i glavna ležišta kompleksnih ruda bijelih boksita na prostoru Crne Gore iz kojih se, počevši od 1950. godine, sa kraćim ili dužim prekidima u poslednje vrijeme, vrši, u većem ili manjem obimu, eksploatacija ove mineralne sirovine za potrebe vatrostalne i/ili cementne industrije, kao i u druge svrhe. </w:t>
      </w:r>
    </w:p>
    <w:p w:rsidR="00AB16D5" w:rsidRDefault="00AB16D5" w:rsidP="00403695">
      <w:pPr>
        <w:pStyle w:val="BodyText"/>
        <w:rPr>
          <w:rFonts w:asciiTheme="minorHAnsi" w:hAnsiTheme="minorHAnsi" w:cstheme="minorHAnsi"/>
          <w:b w:val="0"/>
          <w:color w:val="000000" w:themeColor="text1"/>
          <w:sz w:val="20"/>
          <w:szCs w:val="20"/>
          <w:lang w:val="pl-PL"/>
        </w:rPr>
      </w:pPr>
    </w:p>
    <w:p w:rsidR="00FD337B" w:rsidRDefault="00FD337B" w:rsidP="00403695">
      <w:pPr>
        <w:pStyle w:val="BodyText"/>
        <w:rPr>
          <w:rFonts w:asciiTheme="minorHAnsi" w:hAnsiTheme="minorHAnsi" w:cstheme="minorHAnsi"/>
          <w:color w:val="000000" w:themeColor="text1"/>
          <w:sz w:val="20"/>
          <w:szCs w:val="20"/>
          <w:lang w:val="pl-PL"/>
        </w:rPr>
      </w:pPr>
      <w:r w:rsidRPr="00FD337B">
        <w:rPr>
          <w:rFonts w:asciiTheme="minorHAnsi" w:hAnsiTheme="minorHAnsi" w:cstheme="minorHAnsi"/>
          <w:color w:val="000000" w:themeColor="text1"/>
          <w:sz w:val="20"/>
          <w:szCs w:val="20"/>
          <w:lang w:val="pl-PL"/>
        </w:rPr>
        <w:t>Imovinsko-pravni odnosi</w:t>
      </w:r>
    </w:p>
    <w:p w:rsidR="00FD337B" w:rsidRPr="00FD337B" w:rsidRDefault="00FD337B" w:rsidP="00403695">
      <w:pPr>
        <w:pStyle w:val="BodyText"/>
        <w:rPr>
          <w:rFonts w:asciiTheme="minorHAnsi" w:hAnsiTheme="minorHAnsi" w:cstheme="minorHAnsi"/>
          <w:color w:val="000000" w:themeColor="text1"/>
          <w:sz w:val="20"/>
          <w:szCs w:val="20"/>
          <w:lang w:val="pl-PL"/>
        </w:rPr>
      </w:pPr>
    </w:p>
    <w:p w:rsidR="00AB16D5" w:rsidRPr="00AB4843"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lang w:val="pl-PL"/>
        </w:rPr>
        <w:t>Na osnovu Rješenja, br.207-6/2013 od 11.12.2014. godine, Uprave za nekretnine-Komisije za izlaganje, utvrđeno je da su evidentirane nepokretnosti upisane u privremenom listu nepokretnosti 207, KO Ubli. U B listu – Podaci o imaocu prava na zemljište –parceli upisano AD „Boksiti” Cetinje.</w:t>
      </w:r>
    </w:p>
    <w:p w:rsidR="00AB16D5"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lang w:val="pl-PL"/>
        </w:rPr>
        <w:t>Na osnovu Posjedovnog lista 148 Uprave za nekretnine, Područna jedinica Cetinje, br.119-956-1319/2015 od 20.02.2015. godine, posjednik katastarskih parcela je, na kojima se nalazi istražno-eksploatacioni prostor „Poljane”, Preduzeće „Boksiti”, S.Gomila BB, Cetinje.</w:t>
      </w:r>
    </w:p>
    <w:p w:rsidR="005F0BE9" w:rsidRDefault="005F0BE9" w:rsidP="00403695">
      <w:pPr>
        <w:pStyle w:val="BodyText"/>
        <w:rPr>
          <w:rFonts w:asciiTheme="minorHAnsi" w:hAnsiTheme="minorHAnsi" w:cstheme="minorHAnsi"/>
          <w:b w:val="0"/>
          <w:color w:val="000000" w:themeColor="text1"/>
          <w:sz w:val="20"/>
          <w:szCs w:val="20"/>
          <w:lang w:val="pl-PL"/>
        </w:rPr>
      </w:pPr>
    </w:p>
    <w:p w:rsidR="005F0BE9" w:rsidRDefault="00FD337B" w:rsidP="00403695">
      <w:pPr>
        <w:pStyle w:val="BodyText"/>
        <w:rPr>
          <w:rFonts w:asciiTheme="minorHAnsi" w:hAnsiTheme="minorHAnsi" w:cstheme="minorHAnsi"/>
          <w:color w:val="000000" w:themeColor="text1"/>
          <w:sz w:val="20"/>
          <w:szCs w:val="20"/>
          <w:lang w:val="pl-PL"/>
        </w:rPr>
      </w:pPr>
      <w:r w:rsidRPr="00FD337B">
        <w:rPr>
          <w:rFonts w:asciiTheme="minorHAnsi" w:hAnsiTheme="minorHAnsi" w:cstheme="minorHAnsi"/>
          <w:color w:val="000000" w:themeColor="text1"/>
          <w:sz w:val="20"/>
          <w:szCs w:val="20"/>
          <w:lang w:val="pl-PL"/>
        </w:rPr>
        <w:t>Prostorno-planska dokumentacija</w:t>
      </w:r>
    </w:p>
    <w:p w:rsidR="00403695" w:rsidRPr="00FD337B" w:rsidRDefault="00403695" w:rsidP="00403695">
      <w:pPr>
        <w:pStyle w:val="BodyText"/>
        <w:rPr>
          <w:rFonts w:asciiTheme="minorHAnsi" w:hAnsiTheme="minorHAnsi" w:cstheme="minorHAnsi"/>
          <w:color w:val="000000" w:themeColor="text1"/>
          <w:sz w:val="20"/>
          <w:szCs w:val="20"/>
          <w:lang w:val="pl-PL"/>
        </w:rPr>
      </w:pPr>
    </w:p>
    <w:p w:rsidR="00AB16D5" w:rsidRPr="00AB4843"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lang w:val="pl-PL"/>
        </w:rPr>
        <w:t>Sekretarijat za planiranje i uređenje prostora i zaštitu životne sredine Prijestonice Cetinje dostavio je akt sa grafičkim prilogom (izvod iz PUP-a) Ministarstvu ekonomije, br.05-351/14-809 od 29.12.2014. godine, u kojem se navodi da se prostor na kojem se nalazi ležište mineralne sirovine „Poljane” (bijeli boksiti) nalazi u zahvatu Prostorno-urbanističkog plana Prijestonice Cetinje („Sl.list CG – opštinski propisi”, br.12/14).</w:t>
      </w:r>
    </w:p>
    <w:p w:rsidR="00AB16D5" w:rsidRPr="00AB4843" w:rsidRDefault="00AB16D5" w:rsidP="00403695">
      <w:pPr>
        <w:rPr>
          <w:rFonts w:asciiTheme="minorHAnsi" w:hAnsiTheme="minorHAnsi" w:cstheme="minorHAnsi"/>
          <w:color w:val="000000" w:themeColor="text1"/>
          <w:sz w:val="20"/>
          <w:szCs w:val="20"/>
          <w:lang w:val="sr-Latn-CS"/>
        </w:rPr>
      </w:pPr>
    </w:p>
    <w:p w:rsidR="00AB16D5" w:rsidRPr="00AB4843"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lang w:val="pl-PL"/>
        </w:rPr>
        <w:t>Uslovi vodosnabdijevanja su krajnje otežani i u principu se svode na kaptiranje kišnice u betonskim cistijernama i/ili manjim površinskim akumulacijama tipa bunara i/ili lokve, koji služe kao vodopoji za sitnu (ovce, koze) i krupnu (goveda, konji) stoku.</w:t>
      </w:r>
    </w:p>
    <w:p w:rsidR="00AB16D5" w:rsidRPr="00AB4843"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lang w:val="pl-PL"/>
        </w:rPr>
        <w:t xml:space="preserve">Zbog krajnje otežanih i oskudnih uslova života stanovništvo sa ovog područja migrira prema privredno i društveno-ekonomski razvijenim krajevima i centrima u Crnoj Gori, kao što su Nikšić, Cetinje, Podgorica, primorje i dr. </w:t>
      </w:r>
    </w:p>
    <w:p w:rsidR="00AB16D5" w:rsidRPr="00AB4843" w:rsidRDefault="00AB16D5" w:rsidP="00403695">
      <w:pPr>
        <w:rPr>
          <w:rFonts w:asciiTheme="minorHAnsi" w:hAnsiTheme="minorHAnsi" w:cstheme="minorHAnsi"/>
          <w:color w:val="000000" w:themeColor="text1"/>
          <w:sz w:val="20"/>
          <w:szCs w:val="20"/>
          <w:lang w:val="sr-Latn-CS"/>
        </w:rPr>
      </w:pPr>
    </w:p>
    <w:p w:rsidR="00AB16D5" w:rsidRPr="00AB4843"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lang w:val="pl-PL"/>
        </w:rPr>
        <w:t>U geomorfološkom pogledu područje Bijelih poljana pripada najtipičnijem regionu ljutog holokarsta Dinarida. Odlikuje se izrazito razvijenim svim kraškim fenomenima u makro i mikro reljefu: uvalama, dolovima, mnogobrojnim plitkim i dubokim vrtačama, jamama, pećinama, škrapama, bogzima i dr.</w:t>
      </w:r>
    </w:p>
    <w:p w:rsidR="00AB16D5" w:rsidRPr="00AB4843"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lang w:val="pl-PL"/>
        </w:rPr>
        <w:t>U geološkom pogledu ležište bijelih boksita “Poljane” izgrađuju karbonatni sedimenti donjojurske (lijaske) i gornjokredne (turonske) starosti, kao i deluvijalne tvorevine kvartara. Duž eroziono-tektonske diskordancije, koja označava hijatus (prekid u sedimentaciji) između karbonatnih sedimenata lijaske i turonske starosti, razvijen je horizont kompleksnih ruda boksita i boksitičnih glina, koji je u literaturi i praksi poznat pod opštim imenom “bijeli boksiti”.</w:t>
      </w:r>
    </w:p>
    <w:p w:rsidR="00AB16D5" w:rsidRPr="00AB4843" w:rsidRDefault="00AB16D5" w:rsidP="00403695">
      <w:pPr>
        <w:pStyle w:val="BodyText"/>
        <w:rPr>
          <w:rFonts w:asciiTheme="minorHAnsi" w:hAnsiTheme="minorHAnsi" w:cstheme="minorHAnsi"/>
          <w:b w:val="0"/>
          <w:color w:val="000000" w:themeColor="text1"/>
          <w:sz w:val="20"/>
          <w:szCs w:val="20"/>
          <w:lang w:val="pl-PL"/>
        </w:rPr>
      </w:pPr>
      <w:r w:rsidRPr="00AB4843">
        <w:rPr>
          <w:rFonts w:asciiTheme="minorHAnsi" w:hAnsiTheme="minorHAnsi" w:cstheme="minorHAnsi"/>
          <w:b w:val="0"/>
          <w:color w:val="000000" w:themeColor="text1"/>
          <w:sz w:val="20"/>
          <w:szCs w:val="20"/>
          <w:lang w:val="pl-PL"/>
        </w:rPr>
        <w:t>Sa eksploatacijom ležišta bijelih boksita u području Bijelih poljana odpočeto je 1950. godine i sve do 1955. godine odvijala se u okviru Rudnika boksita – Nikšić, a na dalje u okviru samostalnog preduzeća „Boksiti” – Cetinje, odnosno AD „Boksiti” – Cetinje.</w:t>
      </w:r>
    </w:p>
    <w:p w:rsidR="00AB16D5" w:rsidRPr="00AB4843" w:rsidRDefault="00AB16D5" w:rsidP="00403695">
      <w:pPr>
        <w:pStyle w:val="BodyText"/>
        <w:rPr>
          <w:rFonts w:asciiTheme="minorHAnsi" w:hAnsiTheme="minorHAnsi" w:cstheme="minorHAnsi"/>
          <w:b w:val="0"/>
          <w:color w:val="000000" w:themeColor="text1"/>
          <w:sz w:val="20"/>
          <w:szCs w:val="20"/>
        </w:rPr>
      </w:pPr>
    </w:p>
    <w:p w:rsidR="00AB16D5" w:rsidRPr="00AB4843" w:rsidRDefault="00AB16D5" w:rsidP="00403695">
      <w:pPr>
        <w:pStyle w:val="BodyText"/>
        <w:rPr>
          <w:rFonts w:asciiTheme="minorHAnsi" w:hAnsiTheme="minorHAnsi" w:cstheme="minorHAnsi"/>
          <w:color w:val="000000" w:themeColor="text1"/>
          <w:sz w:val="20"/>
          <w:szCs w:val="20"/>
          <w:lang w:val="pl-PL"/>
        </w:rPr>
      </w:pPr>
      <w:r w:rsidRPr="00AB4843">
        <w:rPr>
          <w:rFonts w:asciiTheme="minorHAnsi" w:hAnsiTheme="minorHAnsi" w:cstheme="minorHAnsi"/>
          <w:b w:val="0"/>
          <w:color w:val="000000" w:themeColor="text1"/>
          <w:sz w:val="20"/>
          <w:szCs w:val="20"/>
          <w:lang w:val="pl-PL"/>
        </w:rPr>
        <w:t>Najveći kupac bijelih boksita (50-60%) konstantno je bio Šamot – Aranđelovac, a potom Fabrika cementa Ruše – Pula, Željezara Štore – Jesenice, Jugohrom – Jegunovci, Silika – Gostivar i Magnohrom – Kraljevo, u novije vrijeme Željezara – Nikšić, Cementara Titan – Kosjerići i Antea cement – Skadar (Albanija). Određene količine ekstra kvalitetnog bijelog boksita (500-1.500 t/godine) izvezene su u Španiju, Italiju, Mađarsku, Njemačku</w:t>
      </w:r>
      <w:r w:rsidRPr="00AB4843">
        <w:rPr>
          <w:rFonts w:asciiTheme="minorHAnsi" w:hAnsiTheme="minorHAnsi" w:cstheme="minorHAnsi"/>
          <w:color w:val="000000" w:themeColor="text1"/>
          <w:sz w:val="20"/>
          <w:szCs w:val="20"/>
          <w:lang w:val="pl-PL"/>
        </w:rPr>
        <w:t xml:space="preserve"> i Švajcarsku.</w:t>
      </w:r>
    </w:p>
    <w:p w:rsidR="00AB16D5" w:rsidRPr="00AB4843" w:rsidRDefault="00AB16D5" w:rsidP="00403695">
      <w:pPr>
        <w:pStyle w:val="BodyText"/>
        <w:rPr>
          <w:rFonts w:asciiTheme="minorHAnsi" w:hAnsiTheme="minorHAnsi" w:cstheme="minorHAnsi"/>
          <w:color w:val="000000" w:themeColor="text1"/>
          <w:sz w:val="20"/>
          <w:szCs w:val="20"/>
          <w:lang w:val="pl-PL"/>
        </w:rPr>
      </w:pPr>
    </w:p>
    <w:p w:rsidR="000031B3" w:rsidRDefault="00AB16D5" w:rsidP="00403695">
      <w:pPr>
        <w:jc w:val="both"/>
        <w:rPr>
          <w:rFonts w:asciiTheme="minorHAnsi" w:hAnsiTheme="minorHAnsi" w:cstheme="minorHAnsi"/>
          <w:color w:val="000000" w:themeColor="text1"/>
          <w:sz w:val="20"/>
          <w:szCs w:val="20"/>
          <w:lang w:val="pl-PL"/>
        </w:rPr>
      </w:pPr>
      <w:r w:rsidRPr="00AB4843">
        <w:rPr>
          <w:rFonts w:asciiTheme="minorHAnsi" w:hAnsiTheme="minorHAnsi" w:cstheme="minorHAnsi"/>
          <w:bCs/>
          <w:color w:val="000000" w:themeColor="text1"/>
          <w:sz w:val="20"/>
          <w:szCs w:val="20"/>
          <w:lang w:val="sl-SI"/>
        </w:rPr>
        <w:t xml:space="preserve">Elaborat </w:t>
      </w:r>
      <w:r w:rsidRPr="00AB4843">
        <w:rPr>
          <w:rFonts w:asciiTheme="minorHAnsi" w:hAnsiTheme="minorHAnsi" w:cstheme="minorHAnsi"/>
          <w:color w:val="000000" w:themeColor="text1"/>
          <w:sz w:val="20"/>
          <w:szCs w:val="20"/>
          <w:lang w:val="sl-SI"/>
        </w:rPr>
        <w:t xml:space="preserve">o klasifikaciji, kategorizaciji i proračunu rezervi bijelih boksita u </w:t>
      </w:r>
      <w:r w:rsidRPr="00AB4843">
        <w:rPr>
          <w:rFonts w:asciiTheme="minorHAnsi" w:hAnsiTheme="minorHAnsi" w:cstheme="minorHAnsi"/>
          <w:bCs/>
          <w:color w:val="000000" w:themeColor="text1"/>
          <w:sz w:val="20"/>
          <w:szCs w:val="20"/>
          <w:lang w:val="sl-SI"/>
        </w:rPr>
        <w:t xml:space="preserve">ležištu “Poljane”, stanje 31.12.2013. godine, </w:t>
      </w:r>
      <w:r w:rsidRPr="00AB4843">
        <w:rPr>
          <w:rFonts w:asciiTheme="minorHAnsi" w:hAnsiTheme="minorHAnsi" w:cstheme="minorHAnsi"/>
          <w:color w:val="000000" w:themeColor="text1"/>
          <w:sz w:val="20"/>
          <w:szCs w:val="20"/>
          <w:lang w:val="sr-Latn-CS"/>
        </w:rPr>
        <w:t xml:space="preserve"> je urađen na osnovu istraživanja koja su vršena u više navrata </w:t>
      </w:r>
      <w:r w:rsidRPr="00AB4843">
        <w:rPr>
          <w:rFonts w:asciiTheme="minorHAnsi" w:hAnsiTheme="minorHAnsi" w:cstheme="minorHAnsi"/>
          <w:color w:val="000000" w:themeColor="text1"/>
          <w:sz w:val="20"/>
          <w:szCs w:val="20"/>
          <w:lang w:val="pl-PL"/>
        </w:rPr>
        <w:t>sa dužim ili kraćim vremenskim prekidima i na osnovu podataka ranijih istraživanja, na topografskoj osnovi sa stanjem 31.12.2013. godine</w:t>
      </w:r>
      <w:r w:rsidR="00362BAF">
        <w:rPr>
          <w:rFonts w:asciiTheme="minorHAnsi" w:hAnsiTheme="minorHAnsi" w:cstheme="minorHAnsi"/>
          <w:color w:val="000000" w:themeColor="text1"/>
          <w:sz w:val="20"/>
          <w:szCs w:val="20"/>
          <w:lang w:val="pl-PL"/>
        </w:rPr>
        <w:t>.</w:t>
      </w:r>
    </w:p>
    <w:p w:rsidR="00AB16D5" w:rsidRPr="00AB4843" w:rsidRDefault="00AB16D5" w:rsidP="00403695">
      <w:pPr>
        <w:jc w:val="both"/>
        <w:rPr>
          <w:rFonts w:asciiTheme="minorHAnsi" w:hAnsiTheme="minorHAnsi" w:cstheme="minorHAnsi"/>
          <w:color w:val="000000" w:themeColor="text1"/>
          <w:sz w:val="20"/>
          <w:szCs w:val="20"/>
          <w:lang w:val="pl-PL"/>
        </w:rPr>
      </w:pPr>
      <w:r w:rsidRPr="00AB4843">
        <w:rPr>
          <w:rFonts w:asciiTheme="minorHAnsi" w:hAnsiTheme="minorHAnsi" w:cstheme="minorHAnsi"/>
          <w:color w:val="000000" w:themeColor="text1"/>
          <w:sz w:val="20"/>
          <w:szCs w:val="20"/>
          <w:lang w:val="sr-Latn-CS"/>
        </w:rPr>
        <w:t xml:space="preserve">U narednoj tabeli dat je pregled strukture rezervi bijelog boksita ležišta “Poljane“, kako slijedi: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230"/>
        <w:gridCol w:w="1141"/>
        <w:gridCol w:w="791"/>
        <w:gridCol w:w="791"/>
        <w:gridCol w:w="791"/>
        <w:gridCol w:w="791"/>
        <w:gridCol w:w="791"/>
        <w:gridCol w:w="877"/>
      </w:tblGrid>
      <w:tr w:rsidR="00AB16D5" w:rsidRPr="00AB4843" w:rsidTr="00AF53FF">
        <w:trPr>
          <w:cantSplit/>
        </w:trPr>
        <w:tc>
          <w:tcPr>
            <w:tcW w:w="1239" w:type="pct"/>
            <w:vMerge w:val="restart"/>
            <w:tcBorders>
              <w:top w:val="thinThickSmallGap" w:sz="18" w:space="0" w:color="auto"/>
              <w:left w:val="thinThickSmallGap" w:sz="18"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Bilansnost rezervi</w:t>
            </w:r>
          </w:p>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i varijetet boksita</w:t>
            </w:r>
          </w:p>
        </w:tc>
        <w:tc>
          <w:tcPr>
            <w:tcW w:w="642" w:type="pct"/>
            <w:vMerge w:val="restart"/>
            <w:tcBorders>
              <w:top w:val="thinThickSmallGap" w:sz="18" w:space="0" w:color="auto"/>
              <w:left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Kategorija rezervi</w:t>
            </w:r>
          </w:p>
        </w:tc>
        <w:tc>
          <w:tcPr>
            <w:tcW w:w="596" w:type="pct"/>
            <w:vMerge w:val="restart"/>
            <w:tcBorders>
              <w:top w:val="thinThickSmallGap" w:sz="18" w:space="0" w:color="auto"/>
              <w:left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Geološke</w:t>
            </w:r>
          </w:p>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rezerve</w:t>
            </w:r>
          </w:p>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(t)</w:t>
            </w:r>
          </w:p>
        </w:tc>
        <w:tc>
          <w:tcPr>
            <w:tcW w:w="2523" w:type="pct"/>
            <w:gridSpan w:val="6"/>
            <w:tcBorders>
              <w:top w:val="thinThickSmallGap" w:sz="18" w:space="0" w:color="auto"/>
              <w:left w:val="double" w:sz="4" w:space="0" w:color="auto"/>
              <w:right w:val="thinThickSmallGap" w:sz="18"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Srednji sadržaj (%)</w:t>
            </w:r>
          </w:p>
        </w:tc>
      </w:tr>
      <w:tr w:rsidR="00AB16D5" w:rsidRPr="00AB4843" w:rsidTr="00CE0BFE">
        <w:trPr>
          <w:cantSplit/>
        </w:trPr>
        <w:tc>
          <w:tcPr>
            <w:tcW w:w="1239" w:type="pct"/>
            <w:vMerge/>
            <w:tcBorders>
              <w:left w:val="thinThickSmallGap" w:sz="18" w:space="0" w:color="auto"/>
              <w:bottom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p>
        </w:tc>
        <w:tc>
          <w:tcPr>
            <w:tcW w:w="642" w:type="pct"/>
            <w:vMerge/>
            <w:tcBorders>
              <w:left w:val="double" w:sz="4" w:space="0" w:color="auto"/>
              <w:bottom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p>
        </w:tc>
        <w:tc>
          <w:tcPr>
            <w:tcW w:w="596" w:type="pct"/>
            <w:vMerge/>
            <w:tcBorders>
              <w:left w:val="double" w:sz="4" w:space="0" w:color="auto"/>
              <w:bottom w:val="double" w:sz="4" w:space="0" w:color="auto"/>
              <w:right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p>
        </w:tc>
        <w:tc>
          <w:tcPr>
            <w:tcW w:w="413" w:type="pct"/>
            <w:tcBorders>
              <w:left w:val="double" w:sz="4" w:space="0" w:color="auto"/>
              <w:bottom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Al</w:t>
            </w:r>
            <w:r w:rsidRPr="00AB4843">
              <w:rPr>
                <w:rFonts w:asciiTheme="minorHAnsi" w:hAnsiTheme="minorHAnsi" w:cstheme="minorHAnsi"/>
                <w:b/>
                <w:color w:val="000000" w:themeColor="text1"/>
                <w:sz w:val="20"/>
                <w:szCs w:val="20"/>
                <w:vertAlign w:val="subscript"/>
                <w:lang w:val="hr-HR"/>
              </w:rPr>
              <w:t>2</w:t>
            </w:r>
            <w:r w:rsidRPr="00AB4843">
              <w:rPr>
                <w:rFonts w:asciiTheme="minorHAnsi" w:hAnsiTheme="minorHAnsi" w:cstheme="minorHAnsi"/>
                <w:b/>
                <w:color w:val="000000" w:themeColor="text1"/>
                <w:sz w:val="20"/>
                <w:szCs w:val="20"/>
                <w:lang w:val="hr-HR"/>
              </w:rPr>
              <w:t>O</w:t>
            </w:r>
            <w:r w:rsidRPr="00AB4843">
              <w:rPr>
                <w:rFonts w:asciiTheme="minorHAnsi" w:hAnsiTheme="minorHAnsi" w:cstheme="minorHAnsi"/>
                <w:b/>
                <w:color w:val="000000" w:themeColor="text1"/>
                <w:sz w:val="20"/>
                <w:szCs w:val="20"/>
                <w:vertAlign w:val="subscript"/>
                <w:lang w:val="hr-HR"/>
              </w:rPr>
              <w:t>3</w:t>
            </w:r>
          </w:p>
        </w:tc>
        <w:tc>
          <w:tcPr>
            <w:tcW w:w="413" w:type="pct"/>
            <w:tcBorders>
              <w:bottom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SiO</w:t>
            </w:r>
            <w:r w:rsidRPr="00AB4843">
              <w:rPr>
                <w:rFonts w:asciiTheme="minorHAnsi" w:hAnsiTheme="minorHAnsi" w:cstheme="minorHAnsi"/>
                <w:b/>
                <w:color w:val="000000" w:themeColor="text1"/>
                <w:sz w:val="20"/>
                <w:szCs w:val="20"/>
                <w:vertAlign w:val="subscript"/>
                <w:lang w:val="hr-HR"/>
              </w:rPr>
              <w:t>2</w:t>
            </w:r>
          </w:p>
        </w:tc>
        <w:tc>
          <w:tcPr>
            <w:tcW w:w="413" w:type="pct"/>
            <w:tcBorders>
              <w:bottom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Fe</w:t>
            </w:r>
            <w:r w:rsidRPr="00AB4843">
              <w:rPr>
                <w:rFonts w:asciiTheme="minorHAnsi" w:hAnsiTheme="minorHAnsi" w:cstheme="minorHAnsi"/>
                <w:b/>
                <w:color w:val="000000" w:themeColor="text1"/>
                <w:sz w:val="20"/>
                <w:szCs w:val="20"/>
                <w:vertAlign w:val="subscript"/>
                <w:lang w:val="hr-HR"/>
              </w:rPr>
              <w:t>2</w:t>
            </w:r>
            <w:r w:rsidRPr="00AB4843">
              <w:rPr>
                <w:rFonts w:asciiTheme="minorHAnsi" w:hAnsiTheme="minorHAnsi" w:cstheme="minorHAnsi"/>
                <w:b/>
                <w:color w:val="000000" w:themeColor="text1"/>
                <w:sz w:val="20"/>
                <w:szCs w:val="20"/>
                <w:lang w:val="hr-HR"/>
              </w:rPr>
              <w:t>O</w:t>
            </w:r>
            <w:r w:rsidRPr="00AB4843">
              <w:rPr>
                <w:rFonts w:asciiTheme="minorHAnsi" w:hAnsiTheme="minorHAnsi" w:cstheme="minorHAnsi"/>
                <w:b/>
                <w:color w:val="000000" w:themeColor="text1"/>
                <w:sz w:val="20"/>
                <w:szCs w:val="20"/>
                <w:vertAlign w:val="subscript"/>
                <w:lang w:val="hr-HR"/>
              </w:rPr>
              <w:t>3</w:t>
            </w:r>
          </w:p>
        </w:tc>
        <w:tc>
          <w:tcPr>
            <w:tcW w:w="413" w:type="pct"/>
            <w:tcBorders>
              <w:bottom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TiO</w:t>
            </w:r>
            <w:r w:rsidRPr="00AB4843">
              <w:rPr>
                <w:rFonts w:asciiTheme="minorHAnsi" w:hAnsiTheme="minorHAnsi" w:cstheme="minorHAnsi"/>
                <w:b/>
                <w:color w:val="000000" w:themeColor="text1"/>
                <w:sz w:val="20"/>
                <w:szCs w:val="20"/>
                <w:vertAlign w:val="subscript"/>
                <w:lang w:val="hr-HR"/>
              </w:rPr>
              <w:t>2</w:t>
            </w:r>
          </w:p>
        </w:tc>
        <w:tc>
          <w:tcPr>
            <w:tcW w:w="413" w:type="pct"/>
            <w:tcBorders>
              <w:bottom w:val="double" w:sz="4"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CaO</w:t>
            </w:r>
          </w:p>
        </w:tc>
        <w:tc>
          <w:tcPr>
            <w:tcW w:w="458" w:type="pct"/>
            <w:tcBorders>
              <w:bottom w:val="double" w:sz="4" w:space="0" w:color="auto"/>
              <w:right w:val="thinThickSmallGap" w:sz="18" w:space="0" w:color="auto"/>
            </w:tcBorders>
            <w:shd w:val="clear" w:color="auto" w:fill="92D050"/>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G.Ž.</w:t>
            </w:r>
          </w:p>
        </w:tc>
      </w:tr>
      <w:tr w:rsidR="00AB16D5" w:rsidRPr="00AB4843" w:rsidTr="00CE0BFE">
        <w:tc>
          <w:tcPr>
            <w:tcW w:w="1239" w:type="pct"/>
            <w:tcBorders>
              <w:top w:val="double" w:sz="4" w:space="0" w:color="auto"/>
              <w:left w:val="thinThickSmallGap" w:sz="18"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1</w:t>
            </w:r>
          </w:p>
        </w:tc>
        <w:tc>
          <w:tcPr>
            <w:tcW w:w="642"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2</w:t>
            </w:r>
          </w:p>
        </w:tc>
        <w:tc>
          <w:tcPr>
            <w:tcW w:w="596"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3</w:t>
            </w:r>
          </w:p>
        </w:tc>
        <w:tc>
          <w:tcPr>
            <w:tcW w:w="413" w:type="pct"/>
            <w:tcBorders>
              <w:top w:val="double" w:sz="4" w:space="0" w:color="auto"/>
              <w:left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4</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5</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6</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7</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8</w:t>
            </w:r>
          </w:p>
        </w:tc>
        <w:tc>
          <w:tcPr>
            <w:tcW w:w="458" w:type="pct"/>
            <w:tcBorders>
              <w:top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cstheme="minorHAnsi"/>
                <w:b/>
                <w:color w:val="000000" w:themeColor="text1"/>
                <w:sz w:val="20"/>
                <w:szCs w:val="20"/>
                <w:lang w:val="hr-HR"/>
              </w:rPr>
            </w:pPr>
            <w:r w:rsidRPr="00AB4843">
              <w:rPr>
                <w:rFonts w:asciiTheme="minorHAnsi" w:hAnsiTheme="minorHAnsi" w:cstheme="minorHAnsi"/>
                <w:b/>
                <w:color w:val="000000" w:themeColor="text1"/>
                <w:sz w:val="20"/>
                <w:szCs w:val="20"/>
                <w:lang w:val="hr-HR"/>
              </w:rPr>
              <w:t>9</w:t>
            </w:r>
          </w:p>
        </w:tc>
      </w:tr>
      <w:tr w:rsidR="00AB16D5" w:rsidRPr="00AB4843" w:rsidTr="00CE0BFE">
        <w:trPr>
          <w:cantSplit/>
        </w:trPr>
        <w:tc>
          <w:tcPr>
            <w:tcW w:w="1239" w:type="pct"/>
            <w:vMerge w:val="restart"/>
            <w:tcBorders>
              <w:top w:val="double" w:sz="4" w:space="0" w:color="auto"/>
              <w:left w:val="thinThickSmallGap" w:sz="18" w:space="0" w:color="auto"/>
              <w:right w:val="double" w:sz="4" w:space="0" w:color="auto"/>
            </w:tcBorders>
            <w:vAlign w:val="center"/>
          </w:tcPr>
          <w:p w:rsidR="00AB16D5" w:rsidRPr="00AB4843" w:rsidRDefault="00AB16D5" w:rsidP="00AF53FF">
            <w:pPr>
              <w:pStyle w:val="Heading4"/>
              <w:spacing w:before="0"/>
              <w:jc w:val="center"/>
              <w:rPr>
                <w:rFonts w:asciiTheme="minorHAnsi" w:hAnsiTheme="minorHAnsi" w:cstheme="minorHAnsi"/>
                <w:color w:val="000000" w:themeColor="text1"/>
                <w:sz w:val="20"/>
                <w:szCs w:val="20"/>
              </w:rPr>
            </w:pPr>
            <w:r w:rsidRPr="00AB4843">
              <w:rPr>
                <w:rFonts w:asciiTheme="minorHAnsi" w:hAnsiTheme="minorHAnsi" w:cstheme="minorHAnsi"/>
                <w:color w:val="000000" w:themeColor="text1"/>
                <w:sz w:val="20"/>
                <w:szCs w:val="20"/>
              </w:rPr>
              <w:t>BILANSNE REZERVE</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Bijeli boksit</w:t>
            </w:r>
          </w:p>
        </w:tc>
        <w:tc>
          <w:tcPr>
            <w:tcW w:w="642"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B</w:t>
            </w:r>
          </w:p>
          <w:p w:rsidR="00AB16D5" w:rsidRPr="00AB4843" w:rsidRDefault="00AB16D5" w:rsidP="00AF53FF">
            <w:pPr>
              <w:jc w:val="center"/>
              <w:rPr>
                <w:rFonts w:asciiTheme="minorHAnsi" w:hAnsiTheme="minorHAnsi" w:cstheme="minorHAnsi"/>
                <w:color w:val="000000" w:themeColor="text1"/>
                <w:sz w:val="20"/>
                <w:szCs w:val="20"/>
                <w:vertAlign w:val="subscript"/>
                <w:lang w:val="hr-HR"/>
              </w:rPr>
            </w:pPr>
            <w:r w:rsidRPr="00AB4843">
              <w:rPr>
                <w:rFonts w:asciiTheme="minorHAnsi" w:hAnsiTheme="minorHAnsi" w:cstheme="minorHAnsi"/>
                <w:color w:val="000000" w:themeColor="text1"/>
                <w:sz w:val="20"/>
                <w:szCs w:val="20"/>
                <w:lang w:val="hr-HR"/>
              </w:rPr>
              <w:t>C</w:t>
            </w:r>
            <w:r w:rsidRPr="00AB4843">
              <w:rPr>
                <w:rFonts w:asciiTheme="minorHAnsi" w:hAnsiTheme="minorHAnsi" w:cstheme="minorHAnsi"/>
                <w:color w:val="000000" w:themeColor="text1"/>
                <w:sz w:val="20"/>
                <w:szCs w:val="20"/>
                <w:vertAlign w:val="subscript"/>
                <w:lang w:val="hr-HR"/>
              </w:rPr>
              <w:t>1</w:t>
            </w:r>
          </w:p>
        </w:tc>
        <w:tc>
          <w:tcPr>
            <w:tcW w:w="596"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10.128</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22.240</w:t>
            </w:r>
          </w:p>
        </w:tc>
        <w:tc>
          <w:tcPr>
            <w:tcW w:w="413" w:type="pct"/>
            <w:tcBorders>
              <w:top w:val="double" w:sz="4" w:space="0" w:color="auto"/>
              <w:left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57,06</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56,69</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19,72</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20,22</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4,72</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4,56</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2,98</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2,71</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0,10</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0,10</w:t>
            </w:r>
          </w:p>
        </w:tc>
        <w:tc>
          <w:tcPr>
            <w:tcW w:w="458" w:type="pct"/>
            <w:tcBorders>
              <w:top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15,04</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14,95</w:t>
            </w:r>
          </w:p>
        </w:tc>
      </w:tr>
      <w:tr w:rsidR="00AB16D5" w:rsidRPr="00AB4843" w:rsidTr="00CE0BFE">
        <w:trPr>
          <w:cantSplit/>
          <w:trHeight w:val="253"/>
        </w:trPr>
        <w:tc>
          <w:tcPr>
            <w:tcW w:w="1239" w:type="pct"/>
            <w:vMerge/>
            <w:tcBorders>
              <w:left w:val="thinThickSmallGap" w:sz="18"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tc>
        <w:tc>
          <w:tcPr>
            <w:tcW w:w="642"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vertAlign w:val="subscript"/>
                <w:lang w:val="hr-HR"/>
              </w:rPr>
            </w:pPr>
            <w:r w:rsidRPr="00AB4843">
              <w:rPr>
                <w:rFonts w:asciiTheme="minorHAnsi" w:hAnsiTheme="minorHAnsi" w:cstheme="minorHAnsi"/>
                <w:b/>
                <w:bCs/>
                <w:color w:val="000000" w:themeColor="text1"/>
                <w:sz w:val="20"/>
                <w:szCs w:val="20"/>
                <w:lang w:val="hr-HR"/>
              </w:rPr>
              <w:t>B+C</w:t>
            </w:r>
            <w:r w:rsidRPr="00AB4843">
              <w:rPr>
                <w:rFonts w:asciiTheme="minorHAnsi" w:hAnsiTheme="minorHAnsi" w:cstheme="minorHAnsi"/>
                <w:b/>
                <w:bCs/>
                <w:color w:val="000000" w:themeColor="text1"/>
                <w:sz w:val="20"/>
                <w:szCs w:val="20"/>
                <w:vertAlign w:val="subscript"/>
                <w:lang w:val="hr-HR"/>
              </w:rPr>
              <w:t>1</w:t>
            </w:r>
          </w:p>
        </w:tc>
        <w:tc>
          <w:tcPr>
            <w:tcW w:w="596"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32.368</w:t>
            </w:r>
          </w:p>
        </w:tc>
        <w:tc>
          <w:tcPr>
            <w:tcW w:w="413" w:type="pct"/>
            <w:tcBorders>
              <w:top w:val="double" w:sz="4" w:space="0" w:color="auto"/>
              <w:left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56,83</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20,04</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4,62</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2,83</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0,10</w:t>
            </w:r>
          </w:p>
        </w:tc>
        <w:tc>
          <w:tcPr>
            <w:tcW w:w="458" w:type="pct"/>
            <w:tcBorders>
              <w:top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15,00</w:t>
            </w:r>
          </w:p>
        </w:tc>
      </w:tr>
      <w:tr w:rsidR="00AB16D5" w:rsidRPr="00AB4843" w:rsidTr="00CE0BFE">
        <w:trPr>
          <w:cantSplit/>
        </w:trPr>
        <w:tc>
          <w:tcPr>
            <w:tcW w:w="1239" w:type="pct"/>
            <w:vMerge w:val="restart"/>
            <w:tcBorders>
              <w:top w:val="double" w:sz="4" w:space="0" w:color="auto"/>
              <w:left w:val="thinThickSmallGap" w:sz="18"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Bijeli željezoviti boksit</w:t>
            </w:r>
          </w:p>
        </w:tc>
        <w:tc>
          <w:tcPr>
            <w:tcW w:w="642"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B</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C</w:t>
            </w:r>
            <w:r w:rsidRPr="00AB4843">
              <w:rPr>
                <w:rFonts w:asciiTheme="minorHAnsi" w:hAnsiTheme="minorHAnsi" w:cstheme="minorHAnsi"/>
                <w:color w:val="000000" w:themeColor="text1"/>
                <w:sz w:val="20"/>
                <w:szCs w:val="20"/>
                <w:vertAlign w:val="subscript"/>
                <w:lang w:val="hr-HR"/>
              </w:rPr>
              <w:t>1</w:t>
            </w:r>
          </w:p>
        </w:tc>
        <w:tc>
          <w:tcPr>
            <w:tcW w:w="596"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68.310</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77.672</w:t>
            </w:r>
          </w:p>
        </w:tc>
        <w:tc>
          <w:tcPr>
            <w:tcW w:w="413" w:type="pct"/>
            <w:tcBorders>
              <w:top w:val="double" w:sz="4" w:space="0" w:color="auto"/>
              <w:left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49,14</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49,10</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24,02</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24,32</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8,09</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7,76</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2,90</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2,88</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1,36</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0,93</w:t>
            </w:r>
          </w:p>
        </w:tc>
        <w:tc>
          <w:tcPr>
            <w:tcW w:w="458" w:type="pct"/>
            <w:tcBorders>
              <w:top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14,69</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14,77</w:t>
            </w:r>
          </w:p>
        </w:tc>
      </w:tr>
      <w:tr w:rsidR="00AB16D5" w:rsidRPr="00AB4843" w:rsidTr="00CE0BFE">
        <w:trPr>
          <w:cantSplit/>
        </w:trPr>
        <w:tc>
          <w:tcPr>
            <w:tcW w:w="1239" w:type="pct"/>
            <w:vMerge/>
            <w:tcBorders>
              <w:left w:val="thinThickSmallGap" w:sz="18"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tc>
        <w:tc>
          <w:tcPr>
            <w:tcW w:w="642"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B+C</w:t>
            </w:r>
            <w:r w:rsidRPr="00AB4843">
              <w:rPr>
                <w:rFonts w:asciiTheme="minorHAnsi" w:hAnsiTheme="minorHAnsi" w:cstheme="minorHAnsi"/>
                <w:b/>
                <w:bCs/>
                <w:color w:val="000000" w:themeColor="text1"/>
                <w:sz w:val="20"/>
                <w:szCs w:val="20"/>
                <w:vertAlign w:val="subscript"/>
                <w:lang w:val="hr-HR"/>
              </w:rPr>
              <w:t>1</w:t>
            </w:r>
          </w:p>
        </w:tc>
        <w:tc>
          <w:tcPr>
            <w:tcW w:w="596"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145.982</w:t>
            </w:r>
          </w:p>
        </w:tc>
        <w:tc>
          <w:tcPr>
            <w:tcW w:w="413" w:type="pct"/>
            <w:tcBorders>
              <w:top w:val="double" w:sz="4" w:space="0" w:color="auto"/>
              <w:left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49,12</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24,18</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7,92</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2,89</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0,99</w:t>
            </w:r>
          </w:p>
        </w:tc>
        <w:tc>
          <w:tcPr>
            <w:tcW w:w="458" w:type="pct"/>
            <w:tcBorders>
              <w:top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14,73</w:t>
            </w:r>
          </w:p>
        </w:tc>
      </w:tr>
      <w:tr w:rsidR="00AB16D5" w:rsidRPr="00AB4843" w:rsidTr="00CE0BFE">
        <w:trPr>
          <w:cantSplit/>
        </w:trPr>
        <w:tc>
          <w:tcPr>
            <w:tcW w:w="1239" w:type="pct"/>
            <w:vMerge w:val="restart"/>
            <w:tcBorders>
              <w:top w:val="double" w:sz="4" w:space="0" w:color="auto"/>
              <w:left w:val="thinThickSmallGap" w:sz="18"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Crveno glinovit boksit</w:t>
            </w:r>
          </w:p>
        </w:tc>
        <w:tc>
          <w:tcPr>
            <w:tcW w:w="642"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B</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C</w:t>
            </w:r>
            <w:r w:rsidRPr="00AB4843">
              <w:rPr>
                <w:rFonts w:asciiTheme="minorHAnsi" w:hAnsiTheme="minorHAnsi" w:cstheme="minorHAnsi"/>
                <w:color w:val="000000" w:themeColor="text1"/>
                <w:sz w:val="20"/>
                <w:szCs w:val="20"/>
                <w:vertAlign w:val="subscript"/>
                <w:lang w:val="hr-HR"/>
              </w:rPr>
              <w:t>1</w:t>
            </w:r>
          </w:p>
        </w:tc>
        <w:tc>
          <w:tcPr>
            <w:tcW w:w="596"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117.908</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275.026</w:t>
            </w:r>
          </w:p>
        </w:tc>
        <w:tc>
          <w:tcPr>
            <w:tcW w:w="413" w:type="pct"/>
            <w:tcBorders>
              <w:top w:val="double" w:sz="4" w:space="0" w:color="auto"/>
              <w:left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47,43</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47,03</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17,94</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19,27</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17,12</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16,34</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2,70</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2,44</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0,17</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0,56</w:t>
            </w:r>
          </w:p>
        </w:tc>
        <w:tc>
          <w:tcPr>
            <w:tcW w:w="458" w:type="pct"/>
            <w:tcBorders>
              <w:top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14,31</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14,28</w:t>
            </w:r>
          </w:p>
        </w:tc>
      </w:tr>
      <w:tr w:rsidR="00AB16D5" w:rsidRPr="00AB4843" w:rsidTr="00CE0BFE">
        <w:trPr>
          <w:cantSplit/>
        </w:trPr>
        <w:tc>
          <w:tcPr>
            <w:tcW w:w="1239" w:type="pct"/>
            <w:vMerge/>
            <w:tcBorders>
              <w:left w:val="thinThickSmallGap" w:sz="18"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tc>
        <w:tc>
          <w:tcPr>
            <w:tcW w:w="642"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B+C</w:t>
            </w:r>
            <w:r w:rsidRPr="00AB4843">
              <w:rPr>
                <w:rFonts w:asciiTheme="minorHAnsi" w:hAnsiTheme="minorHAnsi" w:cstheme="minorHAnsi"/>
                <w:b/>
                <w:bCs/>
                <w:color w:val="000000" w:themeColor="text1"/>
                <w:sz w:val="20"/>
                <w:szCs w:val="20"/>
                <w:vertAlign w:val="subscript"/>
                <w:lang w:val="hr-HR"/>
              </w:rPr>
              <w:t>1</w:t>
            </w:r>
          </w:p>
        </w:tc>
        <w:tc>
          <w:tcPr>
            <w:tcW w:w="596"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392.934</w:t>
            </w:r>
          </w:p>
        </w:tc>
        <w:tc>
          <w:tcPr>
            <w:tcW w:w="413" w:type="pct"/>
            <w:tcBorders>
              <w:top w:val="double" w:sz="4" w:space="0" w:color="auto"/>
              <w:left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47,15</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18,87</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16,57</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2,56</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0,46</w:t>
            </w:r>
          </w:p>
        </w:tc>
        <w:tc>
          <w:tcPr>
            <w:tcW w:w="458" w:type="pct"/>
            <w:tcBorders>
              <w:top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14,29</w:t>
            </w:r>
          </w:p>
        </w:tc>
      </w:tr>
      <w:tr w:rsidR="00AB16D5" w:rsidRPr="00AB4843" w:rsidTr="00CE0BFE">
        <w:trPr>
          <w:cantSplit/>
        </w:trPr>
        <w:tc>
          <w:tcPr>
            <w:tcW w:w="1239" w:type="pct"/>
            <w:vMerge w:val="restart"/>
            <w:tcBorders>
              <w:top w:val="double" w:sz="4" w:space="0" w:color="auto"/>
              <w:left w:val="thinThickSmallGap" w:sz="18" w:space="0" w:color="auto"/>
              <w:right w:val="double" w:sz="4" w:space="0" w:color="auto"/>
            </w:tcBorders>
            <w:vAlign w:val="center"/>
          </w:tcPr>
          <w:p w:rsidR="00AB16D5" w:rsidRPr="00AB4843" w:rsidRDefault="00AB16D5" w:rsidP="00AF53FF">
            <w:pPr>
              <w:pStyle w:val="BodyText3"/>
              <w:spacing w:after="0"/>
              <w:jc w:val="center"/>
              <w:rPr>
                <w:rFonts w:asciiTheme="minorHAnsi" w:hAnsiTheme="minorHAnsi" w:cstheme="minorHAnsi"/>
                <w:b/>
                <w:color w:val="000000" w:themeColor="text1"/>
                <w:sz w:val="20"/>
                <w:szCs w:val="20"/>
                <w:lang w:val="sv-SE"/>
              </w:rPr>
            </w:pPr>
            <w:r w:rsidRPr="00AB4843">
              <w:rPr>
                <w:rFonts w:asciiTheme="minorHAnsi" w:hAnsiTheme="minorHAnsi" w:cstheme="minorHAnsi"/>
                <w:b/>
                <w:color w:val="000000" w:themeColor="text1"/>
                <w:sz w:val="20"/>
                <w:szCs w:val="20"/>
                <w:lang w:val="sv-SE"/>
              </w:rPr>
              <w:t>VANBILANSNE REZERVE</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Crvena boksitna glina</w:t>
            </w:r>
          </w:p>
        </w:tc>
        <w:tc>
          <w:tcPr>
            <w:tcW w:w="642"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B</w:t>
            </w:r>
          </w:p>
          <w:p w:rsidR="00AB16D5" w:rsidRPr="00AB4843" w:rsidRDefault="00AB16D5" w:rsidP="00AF53FF">
            <w:pPr>
              <w:jc w:val="center"/>
              <w:rPr>
                <w:rFonts w:asciiTheme="minorHAnsi" w:hAnsiTheme="minorHAnsi" w:cstheme="minorHAnsi"/>
                <w:color w:val="000000" w:themeColor="text1"/>
                <w:sz w:val="20"/>
                <w:szCs w:val="20"/>
                <w:vertAlign w:val="subscript"/>
                <w:lang w:val="hr-HR"/>
              </w:rPr>
            </w:pPr>
            <w:r w:rsidRPr="00AB4843">
              <w:rPr>
                <w:rFonts w:asciiTheme="minorHAnsi" w:hAnsiTheme="minorHAnsi" w:cstheme="minorHAnsi"/>
                <w:color w:val="000000" w:themeColor="text1"/>
                <w:sz w:val="20"/>
                <w:szCs w:val="20"/>
                <w:lang w:val="hr-HR"/>
              </w:rPr>
              <w:t>C</w:t>
            </w:r>
            <w:r w:rsidRPr="00AB4843">
              <w:rPr>
                <w:rFonts w:asciiTheme="minorHAnsi" w:hAnsiTheme="minorHAnsi" w:cstheme="minorHAnsi"/>
                <w:color w:val="000000" w:themeColor="text1"/>
                <w:sz w:val="20"/>
                <w:szCs w:val="20"/>
                <w:vertAlign w:val="subscript"/>
                <w:lang w:val="hr-HR"/>
              </w:rPr>
              <w:t>1</w:t>
            </w:r>
          </w:p>
        </w:tc>
        <w:tc>
          <w:tcPr>
            <w:tcW w:w="596"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8.040</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68.923</w:t>
            </w:r>
          </w:p>
        </w:tc>
        <w:tc>
          <w:tcPr>
            <w:tcW w:w="413" w:type="pct"/>
            <w:tcBorders>
              <w:top w:val="double" w:sz="4" w:space="0" w:color="auto"/>
              <w:left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40,82</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41,36</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30,43</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29,36</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13,78</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12,87</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1,61</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1,57</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0,35</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0,25</w:t>
            </w:r>
          </w:p>
        </w:tc>
        <w:tc>
          <w:tcPr>
            <w:tcW w:w="458" w:type="pct"/>
            <w:tcBorders>
              <w:top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12,65</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12,47</w:t>
            </w:r>
          </w:p>
        </w:tc>
      </w:tr>
      <w:tr w:rsidR="00AB16D5" w:rsidRPr="00AB4843" w:rsidTr="00CE0BFE">
        <w:trPr>
          <w:cantSplit/>
        </w:trPr>
        <w:tc>
          <w:tcPr>
            <w:tcW w:w="1239" w:type="pct"/>
            <w:vMerge/>
            <w:tcBorders>
              <w:left w:val="thinThickSmallGap" w:sz="18"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tc>
        <w:tc>
          <w:tcPr>
            <w:tcW w:w="642"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vertAlign w:val="subscript"/>
                <w:lang w:val="hr-HR"/>
              </w:rPr>
            </w:pPr>
            <w:r w:rsidRPr="00AB4843">
              <w:rPr>
                <w:rFonts w:asciiTheme="minorHAnsi" w:hAnsiTheme="minorHAnsi" w:cstheme="minorHAnsi"/>
                <w:b/>
                <w:bCs/>
                <w:color w:val="000000" w:themeColor="text1"/>
                <w:sz w:val="20"/>
                <w:szCs w:val="20"/>
                <w:lang w:val="hr-HR"/>
              </w:rPr>
              <w:t>B+C</w:t>
            </w:r>
            <w:r w:rsidRPr="00AB4843">
              <w:rPr>
                <w:rFonts w:asciiTheme="minorHAnsi" w:hAnsiTheme="minorHAnsi" w:cstheme="minorHAnsi"/>
                <w:b/>
                <w:bCs/>
                <w:color w:val="000000" w:themeColor="text1"/>
                <w:sz w:val="20"/>
                <w:szCs w:val="20"/>
                <w:vertAlign w:val="subscript"/>
                <w:lang w:val="hr-HR"/>
              </w:rPr>
              <w:t>1</w:t>
            </w:r>
          </w:p>
        </w:tc>
        <w:tc>
          <w:tcPr>
            <w:tcW w:w="596"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76.963</w:t>
            </w:r>
          </w:p>
        </w:tc>
        <w:tc>
          <w:tcPr>
            <w:tcW w:w="413" w:type="pct"/>
            <w:tcBorders>
              <w:top w:val="double" w:sz="4" w:space="0" w:color="auto"/>
              <w:left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41,30</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29,47</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12,97</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1,59</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0,26</w:t>
            </w:r>
          </w:p>
        </w:tc>
        <w:tc>
          <w:tcPr>
            <w:tcW w:w="458" w:type="pct"/>
            <w:tcBorders>
              <w:top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12,74</w:t>
            </w:r>
          </w:p>
        </w:tc>
      </w:tr>
      <w:tr w:rsidR="00AB16D5" w:rsidRPr="00AB4843" w:rsidTr="00CE0BFE">
        <w:trPr>
          <w:cantSplit/>
        </w:trPr>
        <w:tc>
          <w:tcPr>
            <w:tcW w:w="1239" w:type="pct"/>
            <w:vMerge w:val="restart"/>
            <w:tcBorders>
              <w:top w:val="double" w:sz="4" w:space="0" w:color="auto"/>
              <w:left w:val="thinThickSmallGap" w:sz="18"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Plava boksitna glina</w:t>
            </w:r>
          </w:p>
        </w:tc>
        <w:tc>
          <w:tcPr>
            <w:tcW w:w="642"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B</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C</w:t>
            </w:r>
            <w:r w:rsidRPr="00AB4843">
              <w:rPr>
                <w:rFonts w:asciiTheme="minorHAnsi" w:hAnsiTheme="minorHAnsi" w:cstheme="minorHAnsi"/>
                <w:color w:val="000000" w:themeColor="text1"/>
                <w:sz w:val="20"/>
                <w:szCs w:val="20"/>
                <w:vertAlign w:val="subscript"/>
                <w:lang w:val="hr-HR"/>
              </w:rPr>
              <w:t>1</w:t>
            </w:r>
          </w:p>
        </w:tc>
        <w:tc>
          <w:tcPr>
            <w:tcW w:w="596" w:type="pct"/>
            <w:tcBorders>
              <w:top w:val="double" w:sz="4" w:space="0" w:color="auto"/>
              <w:left w:val="double" w:sz="4" w:space="0" w:color="auto"/>
              <w:bottom w:val="double" w:sz="4"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5.909</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69.043</w:t>
            </w:r>
          </w:p>
        </w:tc>
        <w:tc>
          <w:tcPr>
            <w:tcW w:w="413" w:type="pct"/>
            <w:tcBorders>
              <w:top w:val="double" w:sz="4" w:space="0" w:color="auto"/>
              <w:left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42,79</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43,13</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27,67</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30,01</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10,97</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11,81</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2,51</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2,47</w:t>
            </w:r>
          </w:p>
        </w:tc>
        <w:tc>
          <w:tcPr>
            <w:tcW w:w="413" w:type="pct"/>
            <w:tcBorders>
              <w:top w:val="double" w:sz="4" w:space="0" w:color="auto"/>
              <w:bottom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1,71</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1,63</w:t>
            </w:r>
          </w:p>
        </w:tc>
        <w:tc>
          <w:tcPr>
            <w:tcW w:w="458" w:type="pct"/>
            <w:tcBorders>
              <w:top w:val="double" w:sz="4" w:space="0" w:color="auto"/>
              <w:bottom w:val="double" w:sz="4" w:space="0" w:color="auto"/>
              <w:right w:val="thinThickSmallGap" w:sz="18"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16,48</w:t>
            </w:r>
          </w:p>
          <w:p w:rsidR="00AB16D5" w:rsidRPr="00AB4843" w:rsidRDefault="00AB16D5" w:rsidP="00AF53FF">
            <w:pPr>
              <w:jc w:val="center"/>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15,90</w:t>
            </w:r>
          </w:p>
        </w:tc>
      </w:tr>
      <w:tr w:rsidR="00AB16D5" w:rsidRPr="00AB4843" w:rsidTr="00CE0BFE">
        <w:trPr>
          <w:cantSplit/>
        </w:trPr>
        <w:tc>
          <w:tcPr>
            <w:tcW w:w="1239" w:type="pct"/>
            <w:vMerge/>
            <w:tcBorders>
              <w:left w:val="thinThickSmallGap" w:sz="18" w:space="0" w:color="auto"/>
              <w:bottom w:val="thinThickSmallGap" w:sz="18" w:space="0" w:color="auto"/>
              <w:right w:val="double" w:sz="4" w:space="0" w:color="auto"/>
            </w:tcBorders>
            <w:vAlign w:val="center"/>
          </w:tcPr>
          <w:p w:rsidR="00AB16D5" w:rsidRPr="00AB4843" w:rsidRDefault="00AB16D5" w:rsidP="00AF53FF">
            <w:pPr>
              <w:jc w:val="center"/>
              <w:rPr>
                <w:rFonts w:asciiTheme="minorHAnsi" w:hAnsiTheme="minorHAnsi" w:cstheme="minorHAnsi"/>
                <w:color w:val="000000" w:themeColor="text1"/>
                <w:sz w:val="20"/>
                <w:szCs w:val="20"/>
                <w:lang w:val="hr-HR"/>
              </w:rPr>
            </w:pPr>
          </w:p>
        </w:tc>
        <w:tc>
          <w:tcPr>
            <w:tcW w:w="642" w:type="pct"/>
            <w:tcBorders>
              <w:top w:val="double" w:sz="4" w:space="0" w:color="auto"/>
              <w:left w:val="double" w:sz="4" w:space="0" w:color="auto"/>
              <w:bottom w:val="thinThickSmallGap" w:sz="18" w:space="0" w:color="auto"/>
              <w:right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B+C</w:t>
            </w:r>
            <w:r w:rsidRPr="00AB4843">
              <w:rPr>
                <w:rFonts w:asciiTheme="minorHAnsi" w:hAnsiTheme="minorHAnsi" w:cstheme="minorHAnsi"/>
                <w:b/>
                <w:bCs/>
                <w:color w:val="000000" w:themeColor="text1"/>
                <w:sz w:val="20"/>
                <w:szCs w:val="20"/>
                <w:vertAlign w:val="subscript"/>
                <w:lang w:val="hr-HR"/>
              </w:rPr>
              <w:t>1</w:t>
            </w:r>
          </w:p>
        </w:tc>
        <w:tc>
          <w:tcPr>
            <w:tcW w:w="596" w:type="pct"/>
            <w:tcBorders>
              <w:top w:val="double" w:sz="4" w:space="0" w:color="auto"/>
              <w:left w:val="double" w:sz="4" w:space="0" w:color="auto"/>
              <w:bottom w:val="thinThickSmallGap" w:sz="18" w:space="0" w:color="auto"/>
              <w:right w:val="double" w:sz="4"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74.952</w:t>
            </w:r>
          </w:p>
        </w:tc>
        <w:tc>
          <w:tcPr>
            <w:tcW w:w="413" w:type="pct"/>
            <w:tcBorders>
              <w:top w:val="double" w:sz="4" w:space="0" w:color="auto"/>
              <w:left w:val="double" w:sz="4" w:space="0" w:color="auto"/>
              <w:bottom w:val="thinThickSmallGap" w:sz="18"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43,10</w:t>
            </w:r>
          </w:p>
        </w:tc>
        <w:tc>
          <w:tcPr>
            <w:tcW w:w="413" w:type="pct"/>
            <w:tcBorders>
              <w:top w:val="double" w:sz="4" w:space="0" w:color="auto"/>
              <w:bottom w:val="thinThickSmallGap" w:sz="18"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29,83</w:t>
            </w:r>
          </w:p>
        </w:tc>
        <w:tc>
          <w:tcPr>
            <w:tcW w:w="413" w:type="pct"/>
            <w:tcBorders>
              <w:top w:val="double" w:sz="4" w:space="0" w:color="auto"/>
              <w:bottom w:val="thinThickSmallGap" w:sz="18"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11,74</w:t>
            </w:r>
          </w:p>
        </w:tc>
        <w:tc>
          <w:tcPr>
            <w:tcW w:w="413" w:type="pct"/>
            <w:tcBorders>
              <w:top w:val="double" w:sz="4" w:space="0" w:color="auto"/>
              <w:bottom w:val="thinThickSmallGap" w:sz="18"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2,49</w:t>
            </w:r>
          </w:p>
        </w:tc>
        <w:tc>
          <w:tcPr>
            <w:tcW w:w="413" w:type="pct"/>
            <w:tcBorders>
              <w:top w:val="double" w:sz="4" w:space="0" w:color="auto"/>
              <w:bottom w:val="thinThickSmallGap" w:sz="18"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1,64</w:t>
            </w:r>
          </w:p>
        </w:tc>
        <w:tc>
          <w:tcPr>
            <w:tcW w:w="458" w:type="pct"/>
            <w:tcBorders>
              <w:top w:val="double" w:sz="4" w:space="0" w:color="auto"/>
              <w:bottom w:val="thinThickSmallGap" w:sz="18" w:space="0" w:color="auto"/>
              <w:right w:val="thinThickSmallGap" w:sz="18" w:space="0" w:color="auto"/>
            </w:tcBorders>
            <w:vAlign w:val="center"/>
          </w:tcPr>
          <w:p w:rsidR="00AB16D5" w:rsidRPr="00AB4843" w:rsidRDefault="00AB16D5" w:rsidP="00AF53FF">
            <w:pPr>
              <w:jc w:val="center"/>
              <w:rPr>
                <w:rFonts w:asciiTheme="minorHAnsi" w:hAnsiTheme="minorHAnsi" w:cstheme="minorHAnsi"/>
                <w:b/>
                <w:bCs/>
                <w:color w:val="000000" w:themeColor="text1"/>
                <w:sz w:val="20"/>
                <w:szCs w:val="20"/>
                <w:lang w:val="hr-HR"/>
              </w:rPr>
            </w:pPr>
            <w:r w:rsidRPr="00AB4843">
              <w:rPr>
                <w:rFonts w:asciiTheme="minorHAnsi" w:hAnsiTheme="minorHAnsi" w:cstheme="minorHAnsi"/>
                <w:b/>
                <w:bCs/>
                <w:color w:val="000000" w:themeColor="text1"/>
                <w:sz w:val="20"/>
                <w:szCs w:val="20"/>
                <w:lang w:val="hr-HR"/>
              </w:rPr>
              <w:t>16,07</w:t>
            </w:r>
          </w:p>
        </w:tc>
      </w:tr>
    </w:tbl>
    <w:p w:rsidR="00AB16D5" w:rsidRPr="00AB4843" w:rsidRDefault="00AB16D5" w:rsidP="00403695">
      <w:pPr>
        <w:jc w:val="both"/>
        <w:rPr>
          <w:rFonts w:asciiTheme="minorHAnsi" w:hAnsiTheme="minorHAnsi" w:cstheme="minorHAnsi"/>
          <w:b/>
          <w:color w:val="000000" w:themeColor="text1"/>
          <w:sz w:val="20"/>
          <w:szCs w:val="20"/>
        </w:rPr>
      </w:pPr>
    </w:p>
    <w:p w:rsidR="00AB16D5" w:rsidRPr="00AB4843" w:rsidRDefault="00AB16D5" w:rsidP="00403695">
      <w:pPr>
        <w:jc w:val="both"/>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lastRenderedPageBreak/>
        <w:t>Na osnovu rezultata laboratorijskih ispitivanja kvaliteta, bijeli boksiti ležišta „Poljane“ su, prema sadržaju oksida gvožđa i silicije, grupisani u sljedeće varijetete:</w:t>
      </w:r>
    </w:p>
    <w:p w:rsidR="00AB16D5" w:rsidRPr="00AB4843" w:rsidRDefault="00AB16D5" w:rsidP="00403695">
      <w:pPr>
        <w:jc w:val="both"/>
        <w:rPr>
          <w:rFonts w:asciiTheme="minorHAnsi" w:hAnsiTheme="minorHAnsi" w:cstheme="minorHAnsi"/>
          <w:color w:val="000000" w:themeColor="text1"/>
          <w:sz w:val="20"/>
          <w:szCs w:val="20"/>
          <w:lang w:val="hr-HR"/>
        </w:rPr>
      </w:pPr>
    </w:p>
    <w:p w:rsidR="00AB16D5" w:rsidRPr="00AB4843" w:rsidRDefault="00AB16D5" w:rsidP="00403695">
      <w:pPr>
        <w:numPr>
          <w:ilvl w:val="0"/>
          <w:numId w:val="7"/>
        </w:numPr>
        <w:jc w:val="both"/>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bijeli boksit sa sadržajem Fe</w:t>
      </w:r>
      <w:r w:rsidRPr="00AB4843">
        <w:rPr>
          <w:rFonts w:asciiTheme="minorHAnsi" w:hAnsiTheme="minorHAnsi" w:cstheme="minorHAnsi"/>
          <w:color w:val="000000" w:themeColor="text1"/>
          <w:sz w:val="20"/>
          <w:szCs w:val="20"/>
          <w:vertAlign w:val="subscript"/>
          <w:lang w:val="hr-HR"/>
        </w:rPr>
        <w:t>2</w:t>
      </w:r>
      <w:r w:rsidRPr="00AB4843">
        <w:rPr>
          <w:rFonts w:asciiTheme="minorHAnsi" w:hAnsiTheme="minorHAnsi" w:cstheme="minorHAnsi"/>
          <w:color w:val="000000" w:themeColor="text1"/>
          <w:sz w:val="20"/>
          <w:szCs w:val="20"/>
          <w:lang w:val="hr-HR"/>
        </w:rPr>
        <w:t>O</w:t>
      </w:r>
      <w:r w:rsidRPr="00AB4843">
        <w:rPr>
          <w:rFonts w:asciiTheme="minorHAnsi" w:hAnsiTheme="minorHAnsi" w:cstheme="minorHAnsi"/>
          <w:color w:val="000000" w:themeColor="text1"/>
          <w:sz w:val="20"/>
          <w:szCs w:val="20"/>
          <w:vertAlign w:val="subscript"/>
          <w:lang w:val="hr-HR"/>
        </w:rPr>
        <w:t xml:space="preserve">3 </w:t>
      </w:r>
      <w:r w:rsidRPr="00AB4843">
        <w:rPr>
          <w:rFonts w:asciiTheme="minorHAnsi" w:hAnsiTheme="minorHAnsi" w:cstheme="minorHAnsi"/>
          <w:color w:val="000000" w:themeColor="text1"/>
          <w:sz w:val="20"/>
          <w:szCs w:val="20"/>
          <w:lang w:val="hr-HR"/>
        </w:rPr>
        <w:t>do 5%,</w:t>
      </w:r>
    </w:p>
    <w:p w:rsidR="00AB16D5" w:rsidRPr="00AB4843" w:rsidRDefault="00AB16D5" w:rsidP="00403695">
      <w:pPr>
        <w:numPr>
          <w:ilvl w:val="0"/>
          <w:numId w:val="7"/>
        </w:numPr>
        <w:jc w:val="both"/>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bijeli željezoviti boksit sa sadržajem Fe</w:t>
      </w:r>
      <w:r w:rsidRPr="00AB4843">
        <w:rPr>
          <w:rFonts w:asciiTheme="minorHAnsi" w:hAnsiTheme="minorHAnsi" w:cstheme="minorHAnsi"/>
          <w:color w:val="000000" w:themeColor="text1"/>
          <w:sz w:val="20"/>
          <w:szCs w:val="20"/>
          <w:vertAlign w:val="subscript"/>
          <w:lang w:val="hr-HR"/>
        </w:rPr>
        <w:t>2</w:t>
      </w:r>
      <w:r w:rsidRPr="00AB4843">
        <w:rPr>
          <w:rFonts w:asciiTheme="minorHAnsi" w:hAnsiTheme="minorHAnsi" w:cstheme="minorHAnsi"/>
          <w:color w:val="000000" w:themeColor="text1"/>
          <w:sz w:val="20"/>
          <w:szCs w:val="20"/>
          <w:lang w:val="hr-HR"/>
        </w:rPr>
        <w:t>O</w:t>
      </w:r>
      <w:r w:rsidRPr="00AB4843">
        <w:rPr>
          <w:rFonts w:asciiTheme="minorHAnsi" w:hAnsiTheme="minorHAnsi" w:cstheme="minorHAnsi"/>
          <w:color w:val="000000" w:themeColor="text1"/>
          <w:sz w:val="20"/>
          <w:szCs w:val="20"/>
          <w:vertAlign w:val="subscript"/>
          <w:lang w:val="hr-HR"/>
        </w:rPr>
        <w:t>3</w:t>
      </w:r>
      <w:r w:rsidRPr="00AB4843">
        <w:rPr>
          <w:rFonts w:asciiTheme="minorHAnsi" w:hAnsiTheme="minorHAnsi" w:cstheme="minorHAnsi"/>
          <w:color w:val="000000" w:themeColor="text1"/>
          <w:sz w:val="20"/>
          <w:szCs w:val="20"/>
          <w:lang w:val="hr-HR"/>
        </w:rPr>
        <w:t xml:space="preserve"> od 5 do 10%,</w:t>
      </w:r>
    </w:p>
    <w:p w:rsidR="00AB16D5" w:rsidRPr="00AB4843" w:rsidRDefault="00AB16D5" w:rsidP="00403695">
      <w:pPr>
        <w:numPr>
          <w:ilvl w:val="0"/>
          <w:numId w:val="7"/>
        </w:numPr>
        <w:jc w:val="both"/>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crveni glinoviti boksit sa sadržajem Fe</w:t>
      </w:r>
      <w:r w:rsidRPr="00AB4843">
        <w:rPr>
          <w:rFonts w:asciiTheme="minorHAnsi" w:hAnsiTheme="minorHAnsi" w:cstheme="minorHAnsi"/>
          <w:color w:val="000000" w:themeColor="text1"/>
          <w:sz w:val="20"/>
          <w:szCs w:val="20"/>
          <w:vertAlign w:val="subscript"/>
          <w:lang w:val="hr-HR"/>
        </w:rPr>
        <w:t>2</w:t>
      </w:r>
      <w:r w:rsidRPr="00AB4843">
        <w:rPr>
          <w:rFonts w:asciiTheme="minorHAnsi" w:hAnsiTheme="minorHAnsi" w:cstheme="minorHAnsi"/>
          <w:color w:val="000000" w:themeColor="text1"/>
          <w:sz w:val="20"/>
          <w:szCs w:val="20"/>
          <w:lang w:val="hr-HR"/>
        </w:rPr>
        <w:t>O</w:t>
      </w:r>
      <w:r w:rsidRPr="00AB4843">
        <w:rPr>
          <w:rFonts w:asciiTheme="minorHAnsi" w:hAnsiTheme="minorHAnsi" w:cstheme="minorHAnsi"/>
          <w:color w:val="000000" w:themeColor="text1"/>
          <w:sz w:val="20"/>
          <w:szCs w:val="20"/>
          <w:vertAlign w:val="subscript"/>
          <w:lang w:val="hr-HR"/>
        </w:rPr>
        <w:t>3</w:t>
      </w:r>
      <w:r w:rsidRPr="00AB4843">
        <w:rPr>
          <w:rFonts w:asciiTheme="minorHAnsi" w:hAnsiTheme="minorHAnsi" w:cstheme="minorHAnsi"/>
          <w:color w:val="000000" w:themeColor="text1"/>
          <w:sz w:val="20"/>
          <w:szCs w:val="20"/>
          <w:lang w:val="hr-HR"/>
        </w:rPr>
        <w:t xml:space="preserve"> preko 10% i SiO</w:t>
      </w:r>
      <w:r w:rsidRPr="00AB4843">
        <w:rPr>
          <w:rFonts w:asciiTheme="minorHAnsi" w:hAnsiTheme="minorHAnsi" w:cstheme="minorHAnsi"/>
          <w:color w:val="000000" w:themeColor="text1"/>
          <w:sz w:val="20"/>
          <w:szCs w:val="20"/>
          <w:vertAlign w:val="subscript"/>
          <w:lang w:val="hr-HR"/>
        </w:rPr>
        <w:t>2</w:t>
      </w:r>
      <w:r w:rsidRPr="00AB4843">
        <w:rPr>
          <w:rFonts w:asciiTheme="minorHAnsi" w:hAnsiTheme="minorHAnsi" w:cstheme="minorHAnsi"/>
          <w:color w:val="000000" w:themeColor="text1"/>
          <w:sz w:val="20"/>
          <w:szCs w:val="20"/>
          <w:lang w:val="hr-HR"/>
        </w:rPr>
        <w:t xml:space="preserve"> do 20%,</w:t>
      </w:r>
    </w:p>
    <w:p w:rsidR="00AB16D5" w:rsidRPr="00AB4843" w:rsidRDefault="00AB16D5" w:rsidP="00403695">
      <w:pPr>
        <w:numPr>
          <w:ilvl w:val="0"/>
          <w:numId w:val="7"/>
        </w:numPr>
        <w:jc w:val="both"/>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crvena boksitna glina sa sadržajem Fe</w:t>
      </w:r>
      <w:r w:rsidRPr="00AB4843">
        <w:rPr>
          <w:rFonts w:asciiTheme="minorHAnsi" w:hAnsiTheme="minorHAnsi" w:cstheme="minorHAnsi"/>
          <w:color w:val="000000" w:themeColor="text1"/>
          <w:sz w:val="20"/>
          <w:szCs w:val="20"/>
          <w:vertAlign w:val="subscript"/>
          <w:lang w:val="hr-HR"/>
        </w:rPr>
        <w:t>2</w:t>
      </w:r>
      <w:r w:rsidRPr="00AB4843">
        <w:rPr>
          <w:rFonts w:asciiTheme="minorHAnsi" w:hAnsiTheme="minorHAnsi" w:cstheme="minorHAnsi"/>
          <w:color w:val="000000" w:themeColor="text1"/>
          <w:sz w:val="20"/>
          <w:szCs w:val="20"/>
          <w:lang w:val="hr-HR"/>
        </w:rPr>
        <w:t>O</w:t>
      </w:r>
      <w:r w:rsidRPr="00AB4843">
        <w:rPr>
          <w:rFonts w:asciiTheme="minorHAnsi" w:hAnsiTheme="minorHAnsi" w:cstheme="minorHAnsi"/>
          <w:color w:val="000000" w:themeColor="text1"/>
          <w:sz w:val="20"/>
          <w:szCs w:val="20"/>
          <w:vertAlign w:val="subscript"/>
          <w:lang w:val="hr-HR"/>
        </w:rPr>
        <w:t>3</w:t>
      </w:r>
      <w:r w:rsidRPr="00AB4843">
        <w:rPr>
          <w:rFonts w:asciiTheme="minorHAnsi" w:hAnsiTheme="minorHAnsi" w:cstheme="minorHAnsi"/>
          <w:color w:val="000000" w:themeColor="text1"/>
          <w:sz w:val="20"/>
          <w:szCs w:val="20"/>
          <w:lang w:val="hr-HR"/>
        </w:rPr>
        <w:t xml:space="preserve"> preko 10% i približno jednakim    odnosom aluminije i silicije, i</w:t>
      </w:r>
    </w:p>
    <w:p w:rsidR="00AB16D5" w:rsidRPr="00AB4843" w:rsidRDefault="00AB16D5" w:rsidP="00403695">
      <w:pPr>
        <w:numPr>
          <w:ilvl w:val="0"/>
          <w:numId w:val="7"/>
        </w:numPr>
        <w:jc w:val="both"/>
        <w:rPr>
          <w:rFonts w:asciiTheme="minorHAnsi" w:hAnsiTheme="minorHAnsi" w:cstheme="minorHAnsi"/>
          <w:color w:val="000000" w:themeColor="text1"/>
          <w:sz w:val="20"/>
          <w:szCs w:val="20"/>
          <w:lang w:val="hr-HR"/>
        </w:rPr>
      </w:pPr>
      <w:r w:rsidRPr="00AB4843">
        <w:rPr>
          <w:rFonts w:asciiTheme="minorHAnsi" w:hAnsiTheme="minorHAnsi" w:cstheme="minorHAnsi"/>
          <w:color w:val="000000" w:themeColor="text1"/>
          <w:sz w:val="20"/>
          <w:szCs w:val="20"/>
          <w:lang w:val="hr-HR"/>
        </w:rPr>
        <w:t>plava boksitna glina sa piritom.</w:t>
      </w:r>
    </w:p>
    <w:p w:rsidR="00AB16D5" w:rsidRPr="00AB4843" w:rsidRDefault="00AB16D5" w:rsidP="00403695">
      <w:pPr>
        <w:jc w:val="both"/>
        <w:rPr>
          <w:rFonts w:asciiTheme="minorHAnsi" w:hAnsiTheme="minorHAnsi" w:cstheme="minorHAnsi"/>
          <w:color w:val="000000" w:themeColor="text1"/>
          <w:sz w:val="20"/>
          <w:szCs w:val="20"/>
          <w:lang w:val="sv-SE"/>
        </w:rPr>
      </w:pPr>
    </w:p>
    <w:p w:rsidR="00AB16D5" w:rsidRPr="00AB4843" w:rsidRDefault="00AB16D5" w:rsidP="00403695">
      <w:pPr>
        <w:jc w:val="both"/>
        <w:rPr>
          <w:rFonts w:asciiTheme="minorHAnsi" w:hAnsiTheme="minorHAnsi" w:cstheme="minorHAnsi"/>
          <w:color w:val="000000" w:themeColor="text1"/>
          <w:sz w:val="20"/>
          <w:szCs w:val="20"/>
          <w:lang w:val="sv-SE"/>
        </w:rPr>
      </w:pPr>
      <w:r w:rsidRPr="00AB4843">
        <w:rPr>
          <w:rFonts w:asciiTheme="minorHAnsi" w:hAnsiTheme="minorHAnsi" w:cstheme="minorHAnsi"/>
          <w:color w:val="000000" w:themeColor="text1"/>
          <w:sz w:val="20"/>
          <w:szCs w:val="20"/>
          <w:lang w:val="sv-SE"/>
        </w:rPr>
        <w:t>Sa aspekta bilansnosti, odnosno mogućnosti upotrebe u industrijske svrhe, prva tri varijeteta, tj. bijeli, bijeli željezoviti i crveni glinoviti boksit, pripadaju bilansnoj klasi, dok ostala dva (crvena i plava boksitna glina) pripadaju vanbilasnoj sirovini. Tako postavljena bilansnost zasnovana je na činjenici da se bijeli varijetet boksita, sa sadržajem Fe</w:t>
      </w:r>
      <w:r w:rsidRPr="00AB4843">
        <w:rPr>
          <w:rFonts w:asciiTheme="minorHAnsi" w:hAnsiTheme="minorHAnsi" w:cstheme="minorHAnsi"/>
          <w:color w:val="000000" w:themeColor="text1"/>
          <w:sz w:val="20"/>
          <w:szCs w:val="20"/>
          <w:vertAlign w:val="subscript"/>
          <w:lang w:val="sv-SE"/>
        </w:rPr>
        <w:t>2</w:t>
      </w:r>
      <w:r w:rsidRPr="00AB4843">
        <w:rPr>
          <w:rFonts w:asciiTheme="minorHAnsi" w:hAnsiTheme="minorHAnsi" w:cstheme="minorHAnsi"/>
          <w:color w:val="000000" w:themeColor="text1"/>
          <w:sz w:val="20"/>
          <w:szCs w:val="20"/>
          <w:lang w:val="sv-SE"/>
        </w:rPr>
        <w:t>O</w:t>
      </w:r>
      <w:r w:rsidRPr="00AB4843">
        <w:rPr>
          <w:rFonts w:asciiTheme="minorHAnsi" w:hAnsiTheme="minorHAnsi" w:cstheme="minorHAnsi"/>
          <w:color w:val="000000" w:themeColor="text1"/>
          <w:sz w:val="20"/>
          <w:szCs w:val="20"/>
          <w:vertAlign w:val="subscript"/>
          <w:lang w:val="sv-SE"/>
        </w:rPr>
        <w:t>3</w:t>
      </w:r>
      <w:r w:rsidRPr="00AB4843">
        <w:rPr>
          <w:rFonts w:asciiTheme="minorHAnsi" w:hAnsiTheme="minorHAnsi" w:cstheme="minorHAnsi"/>
          <w:color w:val="000000" w:themeColor="text1"/>
          <w:sz w:val="20"/>
          <w:szCs w:val="20"/>
          <w:lang w:val="sv-SE"/>
        </w:rPr>
        <w:t xml:space="preserve"> od 5%, može nesmetano koristiti za proizvodnju vatrostalnog materijala po keramičkom postupku (šamotne opeke i slično), a bijeli žljezoviti varijetet boksita, sa sadržajem Fe</w:t>
      </w:r>
      <w:r w:rsidRPr="00AB4843">
        <w:rPr>
          <w:rFonts w:asciiTheme="minorHAnsi" w:hAnsiTheme="minorHAnsi" w:cstheme="minorHAnsi"/>
          <w:color w:val="000000" w:themeColor="text1"/>
          <w:sz w:val="20"/>
          <w:szCs w:val="20"/>
          <w:vertAlign w:val="subscript"/>
          <w:lang w:val="sv-SE"/>
        </w:rPr>
        <w:t>2</w:t>
      </w:r>
      <w:r w:rsidRPr="00AB4843">
        <w:rPr>
          <w:rFonts w:asciiTheme="minorHAnsi" w:hAnsiTheme="minorHAnsi" w:cstheme="minorHAnsi"/>
          <w:color w:val="000000" w:themeColor="text1"/>
          <w:sz w:val="20"/>
          <w:szCs w:val="20"/>
          <w:lang w:val="sv-SE"/>
        </w:rPr>
        <w:t>O</w:t>
      </w:r>
      <w:r w:rsidRPr="00AB4843">
        <w:rPr>
          <w:rFonts w:asciiTheme="minorHAnsi" w:hAnsiTheme="minorHAnsi" w:cstheme="minorHAnsi"/>
          <w:color w:val="000000" w:themeColor="text1"/>
          <w:sz w:val="20"/>
          <w:szCs w:val="20"/>
          <w:vertAlign w:val="subscript"/>
          <w:lang w:val="sv-SE"/>
        </w:rPr>
        <w:t>3</w:t>
      </w:r>
      <w:r w:rsidRPr="00AB4843">
        <w:rPr>
          <w:rFonts w:asciiTheme="minorHAnsi" w:hAnsiTheme="minorHAnsi" w:cstheme="minorHAnsi"/>
          <w:color w:val="000000" w:themeColor="text1"/>
          <w:sz w:val="20"/>
          <w:szCs w:val="20"/>
          <w:lang w:val="sv-SE"/>
        </w:rPr>
        <w:t xml:space="preserve"> od 5 do 10%, za proizvodnju mulitnih blokova i granula i vatrostalne vune po postupku elektrotopljenja, ili u metalurške svrhe u svojstvu topitelja, dok se crveni glinoviti varijetet boksita može putem miješanja sa niskosilicijskim boksitima plasirati u aluminijsku industriju za proizvodnju glinice i primarnog aluminija, ili direktno u cementnoj industriji za proizvonju običnog cementa. Bilansnost rezervi navedenih varijeteta boksita u predmetnom ležištu potvrđena je i tehničko-ekonomskom ocjenom.</w:t>
      </w:r>
    </w:p>
    <w:p w:rsidR="00AB16D5" w:rsidRPr="00AB4843" w:rsidRDefault="00AB16D5" w:rsidP="00403695">
      <w:pPr>
        <w:jc w:val="both"/>
        <w:rPr>
          <w:rFonts w:asciiTheme="minorHAnsi" w:hAnsiTheme="minorHAnsi" w:cstheme="minorHAnsi"/>
          <w:b/>
          <w:color w:val="000000" w:themeColor="text1"/>
          <w:sz w:val="20"/>
          <w:szCs w:val="20"/>
          <w:lang w:val="sv-SE"/>
        </w:rPr>
      </w:pPr>
    </w:p>
    <w:p w:rsidR="00AB16D5" w:rsidRPr="00AB4843" w:rsidRDefault="00AB16D5" w:rsidP="00403695">
      <w:pPr>
        <w:jc w:val="both"/>
        <w:rPr>
          <w:rFonts w:asciiTheme="minorHAnsi" w:hAnsiTheme="minorHAnsi" w:cstheme="minorHAnsi"/>
          <w:b/>
          <w:color w:val="000000" w:themeColor="text1"/>
          <w:sz w:val="20"/>
          <w:szCs w:val="20"/>
          <w:lang w:val="sv-SE"/>
        </w:rPr>
      </w:pPr>
      <w:r w:rsidRPr="00AB4843">
        <w:rPr>
          <w:rFonts w:asciiTheme="minorHAnsi" w:hAnsiTheme="minorHAnsi" w:cstheme="minorHAnsi"/>
          <w:b/>
          <w:color w:val="000000" w:themeColor="text1"/>
          <w:sz w:val="20"/>
          <w:szCs w:val="20"/>
          <w:lang w:val="sv-SE"/>
        </w:rPr>
        <w:t xml:space="preserve">8. </w:t>
      </w:r>
      <w:r w:rsidR="00266742" w:rsidRPr="00AB4843">
        <w:rPr>
          <w:rFonts w:asciiTheme="minorHAnsi" w:hAnsiTheme="minorHAnsi" w:cstheme="minorHAnsi"/>
          <w:b/>
          <w:color w:val="000000" w:themeColor="text1"/>
          <w:sz w:val="20"/>
          <w:szCs w:val="20"/>
          <w:lang w:val="sv-SE"/>
        </w:rPr>
        <w:t xml:space="preserve">Ležište mineralne </w:t>
      </w:r>
      <w:r w:rsidR="00362BAF">
        <w:rPr>
          <w:rFonts w:asciiTheme="minorHAnsi" w:hAnsiTheme="minorHAnsi" w:cstheme="minorHAnsi"/>
          <w:b/>
          <w:color w:val="000000" w:themeColor="text1"/>
          <w:sz w:val="20"/>
          <w:szCs w:val="20"/>
          <w:lang w:val="sv-SE"/>
        </w:rPr>
        <w:t>vode</w:t>
      </w:r>
      <w:r w:rsidR="00266742" w:rsidRPr="00AB4843">
        <w:rPr>
          <w:rFonts w:asciiTheme="minorHAnsi" w:hAnsiTheme="minorHAnsi" w:cstheme="minorHAnsi"/>
          <w:b/>
          <w:color w:val="000000" w:themeColor="text1"/>
          <w:sz w:val="20"/>
          <w:szCs w:val="20"/>
          <w:lang w:val="sv-SE"/>
        </w:rPr>
        <w:t xml:space="preserve"> – izvor </w:t>
      </w:r>
      <w:r w:rsidRPr="00AB4843">
        <w:rPr>
          <w:rFonts w:asciiTheme="minorHAnsi" w:hAnsiTheme="minorHAnsi" w:cstheme="minorHAnsi"/>
          <w:b/>
          <w:color w:val="000000" w:themeColor="text1"/>
          <w:sz w:val="20"/>
          <w:szCs w:val="20"/>
          <w:lang w:val="sv-SE"/>
        </w:rPr>
        <w:t xml:space="preserve"> ”Čeoče”, opština Bijelo Polje</w:t>
      </w:r>
    </w:p>
    <w:p w:rsidR="00AB16D5" w:rsidRPr="00AB4843" w:rsidRDefault="00AB16D5" w:rsidP="00403695">
      <w:pPr>
        <w:jc w:val="both"/>
        <w:rPr>
          <w:rFonts w:asciiTheme="minorHAnsi" w:hAnsiTheme="minorHAnsi"/>
          <w:sz w:val="20"/>
          <w:szCs w:val="20"/>
          <w:lang w:val="sv-SE"/>
        </w:rPr>
      </w:pPr>
    </w:p>
    <w:p w:rsidR="00C32D8D" w:rsidRPr="00AB4843" w:rsidRDefault="00C32D8D" w:rsidP="00403695">
      <w:pPr>
        <w:jc w:val="both"/>
        <w:rPr>
          <w:rFonts w:asciiTheme="minorHAnsi" w:hAnsiTheme="minorHAnsi"/>
          <w:sz w:val="20"/>
          <w:szCs w:val="20"/>
          <w:lang w:val="sv-SE"/>
        </w:rPr>
      </w:pPr>
      <w:r w:rsidRPr="00AB4843">
        <w:rPr>
          <w:rFonts w:asciiTheme="minorHAnsi" w:hAnsiTheme="minorHAnsi"/>
          <w:sz w:val="20"/>
          <w:szCs w:val="20"/>
          <w:lang w:val="sv-SE"/>
        </w:rPr>
        <w:t xml:space="preserve">Izvorište  mineralne vode ”Čeoče” malazi se u selu Čeoče kod Bijelog Polja. Od fabrike –punionice mineralne vode udaljeno je oko 7 km. </w:t>
      </w:r>
    </w:p>
    <w:p w:rsidR="00C32D8D" w:rsidRPr="00AB4843" w:rsidRDefault="00C32D8D" w:rsidP="00403695">
      <w:pPr>
        <w:jc w:val="both"/>
        <w:rPr>
          <w:rFonts w:asciiTheme="minorHAnsi" w:hAnsiTheme="minorHAnsi"/>
          <w:sz w:val="20"/>
          <w:szCs w:val="20"/>
          <w:lang w:val="sv-SE"/>
        </w:rPr>
      </w:pPr>
      <w:r w:rsidRPr="00AB4843">
        <w:rPr>
          <w:rFonts w:asciiTheme="minorHAnsi" w:hAnsiTheme="minorHAnsi"/>
          <w:sz w:val="20"/>
          <w:szCs w:val="20"/>
          <w:lang w:val="sv-SE"/>
        </w:rPr>
        <w:t>Izvorište se nalazi u doloini rijeke Lješnice, pritoke Lima. Do izvorišta se dolazi iz pravca Bijelog Polja asfaltnim putem, koji, u svom završnom dijelu, prelazi u makadam.</w:t>
      </w:r>
    </w:p>
    <w:p w:rsidR="00C32D8D" w:rsidRPr="00AB4843" w:rsidRDefault="00C32D8D" w:rsidP="00403695">
      <w:pPr>
        <w:jc w:val="both"/>
        <w:rPr>
          <w:rFonts w:asciiTheme="minorHAnsi" w:hAnsiTheme="minorHAnsi"/>
          <w:sz w:val="20"/>
          <w:szCs w:val="20"/>
          <w:lang w:val="de-DE"/>
        </w:rPr>
      </w:pPr>
      <w:r w:rsidRPr="00AB4843">
        <w:rPr>
          <w:rFonts w:asciiTheme="minorHAnsi" w:hAnsiTheme="minorHAnsi"/>
          <w:sz w:val="20"/>
          <w:szCs w:val="20"/>
          <w:lang w:val="de-DE"/>
        </w:rPr>
        <w:t>Izdašnost izvorišta je oko 10.000 l/h.</w:t>
      </w:r>
    </w:p>
    <w:p w:rsidR="00C32D8D" w:rsidRDefault="00C32D8D" w:rsidP="00403695">
      <w:pPr>
        <w:jc w:val="both"/>
        <w:rPr>
          <w:rFonts w:asciiTheme="minorHAnsi" w:hAnsiTheme="minorHAnsi"/>
          <w:sz w:val="20"/>
          <w:szCs w:val="20"/>
          <w:lang w:val="de-DE"/>
        </w:rPr>
      </w:pPr>
    </w:p>
    <w:p w:rsidR="00FD337B" w:rsidRDefault="00FD337B" w:rsidP="00403695">
      <w:pPr>
        <w:jc w:val="both"/>
        <w:rPr>
          <w:rFonts w:asciiTheme="minorHAnsi" w:hAnsiTheme="minorHAnsi"/>
          <w:b/>
          <w:sz w:val="20"/>
          <w:szCs w:val="20"/>
          <w:lang w:val="de-DE"/>
        </w:rPr>
      </w:pPr>
      <w:r w:rsidRPr="00FD337B">
        <w:rPr>
          <w:rFonts w:asciiTheme="minorHAnsi" w:hAnsiTheme="minorHAnsi"/>
          <w:b/>
          <w:sz w:val="20"/>
          <w:szCs w:val="20"/>
          <w:lang w:val="de-DE"/>
        </w:rPr>
        <w:t>Imovinsko-pravni odnosi</w:t>
      </w:r>
    </w:p>
    <w:p w:rsidR="00FD337B" w:rsidRPr="00FD337B" w:rsidRDefault="00FD337B" w:rsidP="00403695">
      <w:pPr>
        <w:jc w:val="both"/>
        <w:rPr>
          <w:rFonts w:asciiTheme="minorHAnsi" w:hAnsiTheme="minorHAnsi"/>
          <w:b/>
          <w:sz w:val="20"/>
          <w:szCs w:val="20"/>
          <w:lang w:val="de-DE"/>
        </w:rPr>
      </w:pPr>
    </w:p>
    <w:p w:rsidR="00C32D8D" w:rsidRPr="00AB4843" w:rsidRDefault="00C32D8D" w:rsidP="00403695">
      <w:pPr>
        <w:jc w:val="both"/>
        <w:rPr>
          <w:rFonts w:asciiTheme="minorHAnsi" w:hAnsiTheme="minorHAnsi"/>
          <w:sz w:val="20"/>
          <w:szCs w:val="20"/>
          <w:lang w:val="de-DE"/>
        </w:rPr>
      </w:pPr>
      <w:r w:rsidRPr="00AB4843">
        <w:rPr>
          <w:rFonts w:asciiTheme="minorHAnsi" w:hAnsiTheme="minorHAnsi"/>
          <w:sz w:val="20"/>
          <w:szCs w:val="20"/>
          <w:lang w:val="de-DE"/>
        </w:rPr>
        <w:t xml:space="preserve">Izvorište se nalazi na katastarskoj parceli br.1186, </w:t>
      </w:r>
      <w:r w:rsidR="006E3550" w:rsidRPr="00AB4843">
        <w:rPr>
          <w:rFonts w:asciiTheme="minorHAnsi" w:hAnsiTheme="minorHAnsi"/>
          <w:sz w:val="20"/>
          <w:szCs w:val="20"/>
          <w:lang w:val="de-DE"/>
        </w:rPr>
        <w:t xml:space="preserve">LN 22, </w:t>
      </w:r>
      <w:r w:rsidRPr="00AB4843">
        <w:rPr>
          <w:rFonts w:asciiTheme="minorHAnsi" w:hAnsiTheme="minorHAnsi"/>
          <w:sz w:val="20"/>
          <w:szCs w:val="20"/>
          <w:lang w:val="de-DE"/>
        </w:rPr>
        <w:t>KO Lješnica, koja je u vlasništvu AD „Bjelasica Rada“ – Bijelo Polje</w:t>
      </w:r>
      <w:r w:rsidR="006E3550" w:rsidRPr="00AB4843">
        <w:rPr>
          <w:rFonts w:asciiTheme="minorHAnsi" w:hAnsiTheme="minorHAnsi"/>
          <w:sz w:val="20"/>
          <w:szCs w:val="20"/>
          <w:lang w:val="de-DE"/>
        </w:rPr>
        <w:t xml:space="preserve"> (akt Uprave za nekretnine, Područna jedinica Bijelo Polje, br.305-956-220/2014 od 02.10.2014. godine). U LN – Podaci o teretima i ograničenjima: </w:t>
      </w:r>
      <w:r w:rsidR="002D3D41" w:rsidRPr="00AB4843">
        <w:rPr>
          <w:rFonts w:asciiTheme="minorHAnsi" w:hAnsiTheme="minorHAnsi"/>
          <w:sz w:val="20"/>
          <w:szCs w:val="20"/>
          <w:lang w:val="de-DE"/>
        </w:rPr>
        <w:t>zabilježba stečajnog postupka po rješenju Privrednog suda u Bijelom Polju, 2007. godine.</w:t>
      </w:r>
    </w:p>
    <w:p w:rsidR="002D3D41" w:rsidRDefault="002D3D41" w:rsidP="00403695">
      <w:pPr>
        <w:jc w:val="both"/>
        <w:rPr>
          <w:rFonts w:asciiTheme="minorHAnsi" w:hAnsiTheme="minorHAnsi"/>
          <w:sz w:val="20"/>
          <w:szCs w:val="20"/>
          <w:lang w:val="de-DE"/>
        </w:rPr>
      </w:pPr>
    </w:p>
    <w:p w:rsidR="00FD337B" w:rsidRDefault="00FD337B" w:rsidP="00403695">
      <w:pPr>
        <w:jc w:val="both"/>
        <w:rPr>
          <w:rFonts w:asciiTheme="minorHAnsi" w:hAnsiTheme="minorHAnsi"/>
          <w:b/>
          <w:sz w:val="20"/>
          <w:szCs w:val="20"/>
          <w:lang w:val="de-DE"/>
        </w:rPr>
      </w:pPr>
      <w:r w:rsidRPr="00FD337B">
        <w:rPr>
          <w:rFonts w:asciiTheme="minorHAnsi" w:hAnsiTheme="minorHAnsi"/>
          <w:b/>
          <w:sz w:val="20"/>
          <w:szCs w:val="20"/>
          <w:lang w:val="de-DE"/>
        </w:rPr>
        <w:t>Prostorno-planska dokumentacija</w:t>
      </w:r>
    </w:p>
    <w:p w:rsidR="00FD337B" w:rsidRPr="00FD337B" w:rsidRDefault="00FD337B" w:rsidP="00403695">
      <w:pPr>
        <w:jc w:val="both"/>
        <w:rPr>
          <w:rFonts w:asciiTheme="minorHAnsi" w:hAnsiTheme="minorHAnsi"/>
          <w:b/>
          <w:sz w:val="20"/>
          <w:szCs w:val="20"/>
          <w:lang w:val="de-DE"/>
        </w:rPr>
      </w:pPr>
    </w:p>
    <w:p w:rsidR="002D3D41" w:rsidRPr="00AB4843" w:rsidRDefault="002D3D41" w:rsidP="00403695">
      <w:pPr>
        <w:jc w:val="both"/>
        <w:rPr>
          <w:rFonts w:asciiTheme="minorHAnsi" w:hAnsiTheme="minorHAnsi"/>
          <w:sz w:val="20"/>
          <w:szCs w:val="20"/>
          <w:lang w:val="de-DE"/>
        </w:rPr>
      </w:pPr>
      <w:r w:rsidRPr="00AB4843">
        <w:rPr>
          <w:rFonts w:asciiTheme="minorHAnsi" w:hAnsiTheme="minorHAnsi"/>
          <w:sz w:val="20"/>
          <w:szCs w:val="20"/>
          <w:lang w:val="de-DE"/>
        </w:rPr>
        <w:t>U Prostorno-urbanističkom planu opštine Bijelo Polje, kako je navedeno u aktu Sekretarijata za uređenje prostora i održivi razvoj opštine Bijelo Polje, br.06/1-1907 od 26.12.2014. godine, katastarska parcela br. 1186, KO Lješnica na kojoj je izvorište mineralne vode „Čeoče“, se nalazi u zoni poljoprivrednih površina</w:t>
      </w:r>
    </w:p>
    <w:p w:rsidR="006E3550" w:rsidRPr="00AB4843" w:rsidRDefault="006E3550" w:rsidP="00403695">
      <w:pPr>
        <w:jc w:val="both"/>
        <w:rPr>
          <w:rFonts w:asciiTheme="minorHAnsi" w:hAnsiTheme="minorHAnsi"/>
          <w:sz w:val="20"/>
          <w:szCs w:val="20"/>
          <w:lang w:val="de-DE"/>
        </w:rPr>
      </w:pPr>
    </w:p>
    <w:p w:rsidR="006E3550" w:rsidRPr="00AB4843" w:rsidRDefault="006E3550" w:rsidP="00403695">
      <w:pPr>
        <w:jc w:val="both"/>
        <w:rPr>
          <w:rFonts w:asciiTheme="minorHAnsi" w:hAnsiTheme="minorHAnsi"/>
          <w:sz w:val="20"/>
          <w:szCs w:val="20"/>
          <w:lang w:val="de-DE"/>
        </w:rPr>
      </w:pPr>
      <w:r w:rsidRPr="00AB4843">
        <w:rPr>
          <w:rFonts w:asciiTheme="minorHAnsi" w:hAnsiTheme="minorHAnsi"/>
          <w:sz w:val="20"/>
          <w:szCs w:val="20"/>
          <w:lang w:val="de-DE"/>
        </w:rPr>
        <w:t>U cilju korišćenja mineralne vode, 1982. godine izbušen je bunar dubine 27 m. Na ovoj dubini je postavljena pumpa kapaciteta oko 3 l/s koja potiskuje vodu u sistem cijevi kojima se voda dovodi do fabrike.</w:t>
      </w:r>
    </w:p>
    <w:p w:rsidR="00266742" w:rsidRPr="00AB4843" w:rsidRDefault="00266742" w:rsidP="00403695">
      <w:pPr>
        <w:jc w:val="both"/>
        <w:rPr>
          <w:rFonts w:asciiTheme="minorHAnsi" w:hAnsiTheme="minorHAnsi"/>
          <w:sz w:val="20"/>
          <w:szCs w:val="20"/>
          <w:lang w:val="de-DE"/>
        </w:rPr>
      </w:pPr>
    </w:p>
    <w:p w:rsidR="00266742" w:rsidRPr="00AB4843" w:rsidRDefault="00266742" w:rsidP="00403695">
      <w:pPr>
        <w:jc w:val="both"/>
        <w:rPr>
          <w:rFonts w:asciiTheme="minorHAnsi" w:hAnsiTheme="minorHAnsi"/>
          <w:sz w:val="20"/>
          <w:szCs w:val="20"/>
          <w:lang w:val="de-DE"/>
        </w:rPr>
      </w:pPr>
      <w:r w:rsidRPr="00AB4843">
        <w:rPr>
          <w:rFonts w:asciiTheme="minorHAnsi" w:hAnsiTheme="minorHAnsi"/>
          <w:sz w:val="20"/>
          <w:szCs w:val="20"/>
          <w:lang w:val="de-DE"/>
        </w:rPr>
        <w:t>Izvor „Čeoče“ nalazi se u doloni rijeke Lješnice, oko 5 km od Bijelog Polja, na koti oko 550 m. Na 20 m iznad riječnog korita voda je djelimično kaptirana česmom, dok znatno veći dio izbija oko kaptaže.</w:t>
      </w:r>
    </w:p>
    <w:p w:rsidR="00266742" w:rsidRPr="00AB4843" w:rsidRDefault="00266742" w:rsidP="00403695">
      <w:pPr>
        <w:jc w:val="both"/>
        <w:rPr>
          <w:rFonts w:asciiTheme="minorHAnsi" w:hAnsiTheme="minorHAnsi"/>
          <w:sz w:val="20"/>
          <w:szCs w:val="20"/>
          <w:lang w:val="de-DE"/>
        </w:rPr>
      </w:pPr>
    </w:p>
    <w:p w:rsidR="00266742" w:rsidRPr="00AB4843" w:rsidRDefault="00266742" w:rsidP="00403695">
      <w:pPr>
        <w:jc w:val="both"/>
        <w:rPr>
          <w:rFonts w:asciiTheme="minorHAnsi" w:hAnsiTheme="minorHAnsi"/>
          <w:sz w:val="20"/>
          <w:szCs w:val="20"/>
          <w:lang w:val="de-DE"/>
        </w:rPr>
      </w:pPr>
      <w:r w:rsidRPr="00AB4843">
        <w:rPr>
          <w:rFonts w:asciiTheme="minorHAnsi" w:hAnsiTheme="minorHAnsi"/>
          <w:sz w:val="20"/>
          <w:szCs w:val="20"/>
          <w:lang w:val="de-DE"/>
        </w:rPr>
        <w:t>S obzirom da  u dolini Lješnice nijesu vršena detaljna hidrogeološka istraživanja, ne raspolaže se podacima o oblasti rasprostranjenja ležišta izdanskih voda koje se prazne preko izvora mineralne vode „Čeoče“. Određeni podaci o hidrogeološkim karakteristikama vodonosne sredine, izdašnosti i hemizmu, dati su na osnovu istraživanja</w:t>
      </w:r>
      <w:r w:rsidR="00FC3091" w:rsidRPr="00AB4843">
        <w:rPr>
          <w:rFonts w:asciiTheme="minorHAnsi" w:hAnsiTheme="minorHAnsi"/>
          <w:sz w:val="20"/>
          <w:szCs w:val="20"/>
          <w:lang w:val="de-DE"/>
        </w:rPr>
        <w:t>, koja su obrađena u radu „Mineralne vode u Bjelopoljskom srezu“ (M.Milojević, 1955) i radu „termomineralne vode Crne Gore“ (M.Burić, 1992). Dalji prikaz hidrogeoloških karakteristika vodonosne sredine, osnovnog anjonskog i katjonskog sastava, predstavlja izvod iz pomenutih radova.</w:t>
      </w:r>
    </w:p>
    <w:p w:rsidR="00FC3091" w:rsidRPr="00AB4843" w:rsidRDefault="00FC3091" w:rsidP="00403695">
      <w:pPr>
        <w:jc w:val="both"/>
        <w:rPr>
          <w:rFonts w:asciiTheme="minorHAnsi" w:hAnsiTheme="minorHAnsi"/>
          <w:sz w:val="20"/>
          <w:szCs w:val="20"/>
          <w:lang w:val="de-DE"/>
        </w:rPr>
      </w:pPr>
    </w:p>
    <w:p w:rsidR="00FC3091" w:rsidRPr="00AB4843" w:rsidRDefault="00FC3091" w:rsidP="00403695">
      <w:pPr>
        <w:jc w:val="both"/>
        <w:rPr>
          <w:rFonts w:asciiTheme="minorHAnsi" w:hAnsiTheme="minorHAnsi"/>
          <w:sz w:val="20"/>
          <w:szCs w:val="20"/>
          <w:lang w:val="de-DE"/>
        </w:rPr>
      </w:pPr>
      <w:r w:rsidRPr="00AB4843">
        <w:rPr>
          <w:rFonts w:asciiTheme="minorHAnsi" w:hAnsiTheme="minorHAnsi"/>
          <w:sz w:val="20"/>
          <w:szCs w:val="20"/>
          <w:lang w:val="de-DE"/>
        </w:rPr>
        <w:t>Geološka građa terena u široj okolini izvora je dosta složena. Jugoistočni dio terena je izgrađen od paleozojskih škriljaca, koji padaju prema jugoistoku pod uglom od 30</w:t>
      </w:r>
      <w:r w:rsidRPr="00AB4843">
        <w:rPr>
          <w:rFonts w:asciiTheme="minorHAnsi" w:hAnsiTheme="minorHAnsi"/>
          <w:sz w:val="20"/>
          <w:szCs w:val="20"/>
          <w:vertAlign w:val="superscript"/>
          <w:lang w:val="de-DE"/>
        </w:rPr>
        <w:t>0</w:t>
      </w:r>
      <w:r w:rsidRPr="00AB4843">
        <w:rPr>
          <w:rFonts w:asciiTheme="minorHAnsi" w:hAnsiTheme="minorHAnsi"/>
          <w:sz w:val="20"/>
          <w:szCs w:val="20"/>
          <w:lang w:val="de-DE"/>
        </w:rPr>
        <w:t>. Teren sjeverozapadnog i sjevernog izvora izgrađuju vefenski škriljci, laporoviti krečnjaci i krečnjaci.</w:t>
      </w:r>
    </w:p>
    <w:p w:rsidR="00FC3091" w:rsidRPr="00AB4843" w:rsidRDefault="00FC3091" w:rsidP="00403695">
      <w:pPr>
        <w:jc w:val="both"/>
        <w:rPr>
          <w:rFonts w:asciiTheme="minorHAnsi" w:hAnsiTheme="minorHAnsi"/>
          <w:sz w:val="20"/>
          <w:szCs w:val="20"/>
          <w:lang w:val="de-DE"/>
        </w:rPr>
      </w:pPr>
    </w:p>
    <w:p w:rsidR="00FC3091" w:rsidRPr="00AB4843" w:rsidRDefault="00FC3091" w:rsidP="00403695">
      <w:pPr>
        <w:jc w:val="both"/>
        <w:rPr>
          <w:rFonts w:asciiTheme="minorHAnsi" w:hAnsiTheme="minorHAnsi"/>
          <w:sz w:val="20"/>
          <w:szCs w:val="20"/>
          <w:lang w:val="de-DE"/>
        </w:rPr>
      </w:pPr>
      <w:r w:rsidRPr="00AB4843">
        <w:rPr>
          <w:rFonts w:asciiTheme="minorHAnsi" w:hAnsiTheme="minorHAnsi"/>
          <w:sz w:val="20"/>
          <w:szCs w:val="20"/>
          <w:lang w:val="de-DE"/>
        </w:rPr>
        <w:t>Izvor „Čeoče“ ima najveću izdašnost od svih izvora mineralne vode u široj okolini Bijelog Polja. Njegova srednja izdašnost iznosi 1,220 l/s, a mineralne vode sa ovog izvora mo</w:t>
      </w:r>
      <w:r w:rsidR="004925DB" w:rsidRPr="00AB4843">
        <w:rPr>
          <w:rFonts w:asciiTheme="minorHAnsi" w:hAnsiTheme="minorHAnsi"/>
          <w:sz w:val="20"/>
          <w:szCs w:val="20"/>
          <w:lang w:val="de-DE"/>
        </w:rPr>
        <w:t>gu se koristiti u količinama 1,5 do 2 l/s. Ukupne eksploatacione rezerve ovog izvora, prema podacima ranijih osmatranja i mjerenja, iznose oko 1,2 l/s.</w:t>
      </w:r>
    </w:p>
    <w:p w:rsidR="004925DB" w:rsidRPr="00AB4843" w:rsidRDefault="004925DB" w:rsidP="00403695">
      <w:pPr>
        <w:jc w:val="both"/>
        <w:rPr>
          <w:rFonts w:asciiTheme="minorHAnsi" w:hAnsiTheme="minorHAnsi"/>
          <w:sz w:val="20"/>
          <w:szCs w:val="20"/>
          <w:lang w:val="de-DE"/>
        </w:rPr>
      </w:pPr>
    </w:p>
    <w:p w:rsidR="004925DB" w:rsidRPr="00AB4843" w:rsidRDefault="004925DB" w:rsidP="00403695">
      <w:pPr>
        <w:jc w:val="both"/>
        <w:rPr>
          <w:rFonts w:asciiTheme="minorHAnsi" w:hAnsiTheme="minorHAnsi"/>
          <w:sz w:val="20"/>
          <w:szCs w:val="20"/>
          <w:lang w:val="de-DE"/>
        </w:rPr>
      </w:pPr>
      <w:r w:rsidRPr="00AB4843">
        <w:rPr>
          <w:rFonts w:asciiTheme="minorHAnsi" w:hAnsiTheme="minorHAnsi"/>
          <w:sz w:val="20"/>
          <w:szCs w:val="20"/>
          <w:lang w:val="de-DE"/>
        </w:rPr>
        <w:t>Voda izvora „Čeoče“ je prijatnog kisjelog ukusa, bistra i bez mirisa. Temperatura vode je 11,4</w:t>
      </w:r>
      <w:r w:rsidRPr="00AB4843">
        <w:rPr>
          <w:rFonts w:asciiTheme="minorHAnsi" w:hAnsiTheme="minorHAnsi"/>
          <w:sz w:val="20"/>
          <w:szCs w:val="20"/>
          <w:vertAlign w:val="superscript"/>
          <w:lang w:val="de-DE"/>
        </w:rPr>
        <w:t>0</w:t>
      </w:r>
      <w:r w:rsidRPr="00AB4843">
        <w:rPr>
          <w:rFonts w:asciiTheme="minorHAnsi" w:hAnsiTheme="minorHAnsi"/>
          <w:sz w:val="20"/>
          <w:szCs w:val="20"/>
          <w:lang w:val="de-DE"/>
        </w:rPr>
        <w:t xml:space="preserve"> C.</w:t>
      </w:r>
    </w:p>
    <w:p w:rsidR="004925DB" w:rsidRPr="00AB4843" w:rsidRDefault="004925DB" w:rsidP="00403695">
      <w:pPr>
        <w:jc w:val="both"/>
        <w:rPr>
          <w:rFonts w:asciiTheme="minorHAnsi" w:hAnsiTheme="minorHAnsi"/>
          <w:sz w:val="20"/>
          <w:szCs w:val="20"/>
          <w:lang w:val="de-DE"/>
        </w:rPr>
      </w:pPr>
    </w:p>
    <w:p w:rsidR="004925DB" w:rsidRDefault="00D85C1E" w:rsidP="00403695">
      <w:pPr>
        <w:jc w:val="both"/>
        <w:rPr>
          <w:rFonts w:asciiTheme="minorHAnsi" w:hAnsiTheme="minorHAnsi"/>
          <w:sz w:val="20"/>
          <w:szCs w:val="20"/>
          <w:lang w:val="de-DE"/>
        </w:rPr>
      </w:pPr>
      <w:r>
        <w:rPr>
          <w:rFonts w:asciiTheme="minorHAnsi" w:hAnsiTheme="minorHAnsi"/>
          <w:sz w:val="20"/>
          <w:szCs w:val="20"/>
          <w:lang w:val="de-DE"/>
        </w:rPr>
        <w:t>Prema hemijskom sastavu, voda izvora „Čeoče“ pripada redu alkalno-zemnoalkalno-saliničnim kiseljacima, sa slabo murijatičnim karakterom. Prema internacionalnoj klasifikaciji, vodu katrakteriše natrijum-hidrokarbonat.</w:t>
      </w:r>
    </w:p>
    <w:p w:rsidR="00D85C1E" w:rsidRDefault="00D85C1E" w:rsidP="00403695">
      <w:pPr>
        <w:jc w:val="both"/>
        <w:rPr>
          <w:rFonts w:asciiTheme="minorHAnsi" w:hAnsiTheme="minorHAnsi"/>
          <w:sz w:val="20"/>
          <w:szCs w:val="20"/>
          <w:lang w:val="de-DE"/>
        </w:rPr>
      </w:pPr>
    </w:p>
    <w:p w:rsidR="00A151EE" w:rsidRDefault="00D85C1E" w:rsidP="00403695">
      <w:pPr>
        <w:jc w:val="both"/>
        <w:rPr>
          <w:rFonts w:asciiTheme="minorHAnsi" w:hAnsiTheme="minorHAnsi"/>
          <w:sz w:val="20"/>
          <w:szCs w:val="20"/>
          <w:lang w:val="de-DE"/>
        </w:rPr>
      </w:pPr>
      <w:r>
        <w:rPr>
          <w:rFonts w:asciiTheme="minorHAnsi" w:hAnsiTheme="minorHAnsi"/>
          <w:sz w:val="20"/>
          <w:szCs w:val="20"/>
          <w:lang w:val="de-DE"/>
        </w:rPr>
        <w:t>Još uvijek se nedovoljno poznaju uslovi hranjenja i pražnjenja izdanskih voda čije su zone isticanja skoncentrisane preko izvora u dolini rijeke Lješnice. Međutim, s obzirom da je isticanje mineralnih voda skoncentrisano duž rasjeda, a isticanje se vrši sa velikih dubina, što je praćeno gasovima, pretpostavlja se da ne postoje uslovi za ozbiljnije zafgađivanje mineralnih voda u dolini Lješnice.</w:t>
      </w:r>
    </w:p>
    <w:p w:rsidR="00A151EE" w:rsidRDefault="00A151EE" w:rsidP="00403695">
      <w:pPr>
        <w:jc w:val="both"/>
        <w:rPr>
          <w:rFonts w:asciiTheme="minorHAnsi" w:hAnsiTheme="minorHAnsi"/>
          <w:sz w:val="20"/>
          <w:szCs w:val="20"/>
          <w:lang w:val="de-DE"/>
        </w:rPr>
      </w:pPr>
    </w:p>
    <w:p w:rsidR="00D85C1E" w:rsidRDefault="00A151EE" w:rsidP="00403695">
      <w:pPr>
        <w:jc w:val="both"/>
        <w:rPr>
          <w:rFonts w:asciiTheme="minorHAnsi" w:hAnsiTheme="minorHAnsi"/>
          <w:sz w:val="20"/>
          <w:szCs w:val="20"/>
          <w:lang w:val="de-DE"/>
        </w:rPr>
      </w:pPr>
      <w:r>
        <w:rPr>
          <w:rFonts w:asciiTheme="minorHAnsi" w:hAnsiTheme="minorHAnsi"/>
          <w:sz w:val="20"/>
          <w:szCs w:val="20"/>
          <w:lang w:val="de-DE"/>
        </w:rPr>
        <w:t>U cilju upoznavanja oblasti rasprostranjenja ležišta izdanskih voda, hidrogeoloških karakteristika vodonosne sredine, kao i mogućnosti zahvatanja dodatnih količina kvalitetnih mineralnig voda, neophodno je izvesti detaljna hidrogeološka istraživanja. Na taj način potpunije bi se izučile rezerve i mogućnost zahvatanja dodatnih količina kisjelih mineralnih voda.</w:t>
      </w:r>
      <w:r w:rsidR="00D85C1E">
        <w:rPr>
          <w:rFonts w:asciiTheme="minorHAnsi" w:hAnsiTheme="minorHAnsi"/>
          <w:sz w:val="20"/>
          <w:szCs w:val="20"/>
          <w:lang w:val="de-DE"/>
        </w:rPr>
        <w:t xml:space="preserve"> </w:t>
      </w:r>
    </w:p>
    <w:p w:rsidR="00AB16D5" w:rsidRPr="003B150E" w:rsidRDefault="00AB16D5" w:rsidP="00403695">
      <w:pPr>
        <w:jc w:val="both"/>
        <w:rPr>
          <w:rFonts w:ascii="Calibri" w:hAnsi="Calibri" w:cs="Calibri"/>
          <w:b/>
          <w:sz w:val="20"/>
          <w:szCs w:val="20"/>
          <w:lang w:val="de-DE"/>
        </w:rPr>
      </w:pPr>
    </w:p>
    <w:p w:rsidR="00AB16D5" w:rsidRDefault="00FD337B" w:rsidP="00403695">
      <w:pPr>
        <w:jc w:val="both"/>
        <w:rPr>
          <w:rFonts w:ascii="Calibri" w:hAnsi="Calibri" w:cs="Calibri"/>
          <w:b/>
          <w:sz w:val="20"/>
          <w:szCs w:val="20"/>
          <w:lang w:val="de-DE"/>
        </w:rPr>
      </w:pPr>
      <w:r w:rsidRPr="003B150E">
        <w:rPr>
          <w:rFonts w:ascii="Calibri" w:hAnsi="Calibri" w:cs="Calibri"/>
          <w:b/>
          <w:sz w:val="20"/>
          <w:szCs w:val="20"/>
          <w:lang w:val="de-DE"/>
        </w:rPr>
        <w:t>9</w:t>
      </w:r>
      <w:r w:rsidR="00AB16D5" w:rsidRPr="003B150E">
        <w:rPr>
          <w:rFonts w:ascii="Calibri" w:hAnsi="Calibri" w:cs="Calibri"/>
          <w:b/>
          <w:sz w:val="20"/>
          <w:szCs w:val="20"/>
          <w:lang w:val="de-DE"/>
        </w:rPr>
        <w:t xml:space="preserve">. Ležište arhitektonsko-građevinskog (ukrasnog) kamena </w:t>
      </w:r>
      <w:r w:rsidR="00362BAF">
        <w:rPr>
          <w:rFonts w:ascii="Calibri" w:hAnsi="Calibri" w:cs="Calibri"/>
          <w:b/>
          <w:sz w:val="20"/>
          <w:szCs w:val="20"/>
          <w:lang w:val="de-DE"/>
        </w:rPr>
        <w:t xml:space="preserve"> (AGK) </w:t>
      </w:r>
      <w:r w:rsidR="00AB16D5" w:rsidRPr="003B150E">
        <w:rPr>
          <w:rFonts w:ascii="Calibri" w:hAnsi="Calibri" w:cs="Calibri"/>
          <w:b/>
          <w:sz w:val="20"/>
          <w:szCs w:val="20"/>
          <w:lang w:val="de-DE"/>
        </w:rPr>
        <w:t>“Radujev krš”, opština Danilovgrad</w:t>
      </w:r>
    </w:p>
    <w:p w:rsidR="00EB4088" w:rsidRDefault="00EB4088" w:rsidP="00403695">
      <w:pPr>
        <w:jc w:val="both"/>
        <w:rPr>
          <w:rFonts w:ascii="Calibri" w:hAnsi="Calibri" w:cs="Calibri"/>
          <w:b/>
          <w:sz w:val="20"/>
          <w:szCs w:val="20"/>
          <w:lang w:val="de-DE"/>
        </w:rPr>
      </w:pPr>
    </w:p>
    <w:p w:rsidR="005F0BE9" w:rsidRPr="005F0BE9" w:rsidRDefault="005F0BE9" w:rsidP="00403695">
      <w:pPr>
        <w:jc w:val="both"/>
        <w:rPr>
          <w:rFonts w:ascii="Calibri" w:hAnsi="Calibri" w:cs="Calibri"/>
          <w:sz w:val="20"/>
          <w:szCs w:val="20"/>
          <w:lang w:val="de-DE"/>
        </w:rPr>
      </w:pPr>
      <w:r w:rsidRPr="005F0BE9">
        <w:rPr>
          <w:rFonts w:ascii="Calibri" w:hAnsi="Calibri" w:cs="Calibri"/>
          <w:sz w:val="20"/>
          <w:szCs w:val="20"/>
          <w:lang w:val="de-DE"/>
        </w:rPr>
        <w:t>Ležište arhitektonsko-građevinskog (ukrasnog) kamena (AGK) nalazi se u ataru sela Vinići, na južnim padinama brda Hum (440 m.n.m.), 7 km sjeverno od Danilovgrada. U neposrednom podnožju brda Hum prolazi asfaltni put i željeznička pruga Podgorica-Danilovgrad-Nikšić. Sa asfaltnog puta, u mjestu Vinići, odvaja se pristupni makadamski put, dužine od oko 1250 m, koji vodi do ležišta „Radujev krš“, koje se nalazi na 335 do 360 m.n.m.</w:t>
      </w:r>
    </w:p>
    <w:p w:rsidR="005F0BE9" w:rsidRPr="005F0BE9" w:rsidRDefault="005F0BE9" w:rsidP="00403695">
      <w:pPr>
        <w:jc w:val="both"/>
        <w:rPr>
          <w:rFonts w:ascii="Calibri" w:hAnsi="Calibri" w:cs="Calibri"/>
          <w:sz w:val="20"/>
          <w:szCs w:val="20"/>
          <w:lang w:val="de-DE"/>
        </w:rPr>
      </w:pPr>
      <w:r w:rsidRPr="005F0BE9">
        <w:rPr>
          <w:rFonts w:ascii="Calibri" w:hAnsi="Calibri" w:cs="Calibri"/>
          <w:sz w:val="20"/>
          <w:szCs w:val="20"/>
          <w:lang w:val="de-DE"/>
        </w:rPr>
        <w:t>U geološkoj građi šireg područja ležišta “Radujev krš” učestvuju rudistni krečnjaci gornje krede, laporci i pješčari paleogenog fliša i kvartarni sedimenti. Rudistni krečnjaci imaju u širem prostoru ležišta najveće rasprostranjenje.</w:t>
      </w:r>
    </w:p>
    <w:p w:rsidR="005F0BE9" w:rsidRPr="005F0BE9" w:rsidRDefault="005F0BE9" w:rsidP="00403695">
      <w:pPr>
        <w:jc w:val="both"/>
        <w:rPr>
          <w:rFonts w:ascii="Calibri" w:hAnsi="Calibri" w:cs="Calibri"/>
          <w:sz w:val="20"/>
          <w:szCs w:val="20"/>
          <w:lang w:val="de-DE"/>
        </w:rPr>
      </w:pPr>
    </w:p>
    <w:p w:rsidR="005F0BE9" w:rsidRDefault="005F0BE9" w:rsidP="00403695">
      <w:pPr>
        <w:jc w:val="both"/>
        <w:rPr>
          <w:rFonts w:ascii="Calibri" w:hAnsi="Calibri" w:cs="Calibri"/>
          <w:sz w:val="20"/>
          <w:szCs w:val="20"/>
        </w:rPr>
      </w:pPr>
      <w:r w:rsidRPr="005F0BE9">
        <w:rPr>
          <w:rFonts w:ascii="Calibri" w:hAnsi="Calibri" w:cs="Calibri"/>
          <w:sz w:val="20"/>
          <w:szCs w:val="20"/>
          <w:lang w:val="de-DE"/>
        </w:rPr>
        <w:t xml:space="preserve">Ležište „Radujev krš“ izgrađeno je od gornjokrednih masivnih i bankovitih svijetlo smeđih krečnjaka mastrihta. </w:t>
      </w:r>
      <w:r>
        <w:rPr>
          <w:rFonts w:ascii="Calibri" w:hAnsi="Calibri" w:cs="Calibri"/>
          <w:sz w:val="20"/>
          <w:szCs w:val="20"/>
        </w:rPr>
        <w:t>Krečnjaci su svijetlosive boje, jako kristalasti i izgrađeni od brojnih krhotina rudista. Bankoviti ili masivni su, rijetko slojeviti. U većini slučajeva banci su međusobno razdvojeni površinama naslojavanja. Debljina rijetkih slojeva je 40-60 cm. Generalno, devljina krečnjak u ležištu se povećava sa dubinom.</w:t>
      </w:r>
    </w:p>
    <w:p w:rsidR="005F0BE9" w:rsidRDefault="005F0BE9" w:rsidP="00403695">
      <w:pPr>
        <w:jc w:val="both"/>
        <w:rPr>
          <w:rFonts w:ascii="Calibri" w:hAnsi="Calibri" w:cs="Calibri"/>
          <w:sz w:val="20"/>
          <w:szCs w:val="20"/>
        </w:rPr>
      </w:pPr>
      <w:r>
        <w:rPr>
          <w:rFonts w:ascii="Calibri" w:hAnsi="Calibri" w:cs="Calibri"/>
          <w:sz w:val="20"/>
          <w:szCs w:val="20"/>
        </w:rPr>
        <w:t>Ležište „Radujev krš</w:t>
      </w:r>
      <w:proofErr w:type="gramStart"/>
      <w:r>
        <w:rPr>
          <w:rFonts w:ascii="Calibri" w:hAnsi="Calibri" w:cs="Calibri"/>
          <w:sz w:val="20"/>
          <w:szCs w:val="20"/>
        </w:rPr>
        <w:t>“ je</w:t>
      </w:r>
      <w:proofErr w:type="gramEnd"/>
      <w:r>
        <w:rPr>
          <w:rFonts w:ascii="Calibri" w:hAnsi="Calibri" w:cs="Calibri"/>
          <w:sz w:val="20"/>
          <w:szCs w:val="20"/>
        </w:rPr>
        <w:t xml:space="preserve"> sedimentnog tipa. Geneza sedimentnih naslaga u ležištu vezana je za egzistovanje i gornjokredni razvoj dinarske karbonatne platforme na ovim prostorima.</w:t>
      </w:r>
    </w:p>
    <w:p w:rsidR="005F0BE9" w:rsidRDefault="005F0BE9" w:rsidP="00403695">
      <w:pPr>
        <w:jc w:val="both"/>
        <w:rPr>
          <w:rFonts w:ascii="Calibri" w:hAnsi="Calibri" w:cs="Calibri"/>
          <w:sz w:val="20"/>
          <w:szCs w:val="20"/>
        </w:rPr>
      </w:pPr>
      <w:r>
        <w:rPr>
          <w:rFonts w:ascii="Calibri" w:hAnsi="Calibri" w:cs="Calibri"/>
          <w:sz w:val="20"/>
          <w:szCs w:val="20"/>
        </w:rPr>
        <w:t xml:space="preserve">Na samom ležištu </w:t>
      </w:r>
      <w:proofErr w:type="gramStart"/>
      <w:r>
        <w:rPr>
          <w:rFonts w:ascii="Calibri" w:hAnsi="Calibri" w:cs="Calibri"/>
          <w:sz w:val="20"/>
          <w:szCs w:val="20"/>
        </w:rPr>
        <w:t>nema</w:t>
      </w:r>
      <w:proofErr w:type="gramEnd"/>
      <w:r>
        <w:rPr>
          <w:rFonts w:ascii="Calibri" w:hAnsi="Calibri" w:cs="Calibri"/>
          <w:sz w:val="20"/>
          <w:szCs w:val="20"/>
        </w:rPr>
        <w:t xml:space="preserve"> stalnih, niti povremenih vodotoka. </w:t>
      </w:r>
    </w:p>
    <w:p w:rsidR="005F0BE9" w:rsidRDefault="005F0BE9" w:rsidP="00403695">
      <w:pPr>
        <w:jc w:val="both"/>
        <w:rPr>
          <w:rFonts w:ascii="Calibri" w:hAnsi="Calibri" w:cs="Calibri"/>
          <w:sz w:val="20"/>
          <w:szCs w:val="20"/>
        </w:rPr>
      </w:pPr>
      <w:r>
        <w:rPr>
          <w:rFonts w:ascii="Calibri" w:hAnsi="Calibri" w:cs="Calibri"/>
          <w:sz w:val="20"/>
          <w:szCs w:val="20"/>
        </w:rPr>
        <w:t>U neposrednoj okolini ležišta nema stalnih naselja, prve kuće se nalaze na oko 750 m vazdušne linije u pravcu sjevera i sjeverozapada, na području Bara Šumanovića i Vinića. Inače, na ovom prostoru nema izgrađenih infrastrukturnih objekata koji bi mogli biti ugroženi eksploatacijom ležišta.</w:t>
      </w:r>
    </w:p>
    <w:p w:rsidR="005F0BE9" w:rsidRDefault="005F0BE9" w:rsidP="00403695">
      <w:pPr>
        <w:jc w:val="both"/>
        <w:rPr>
          <w:rFonts w:ascii="Calibri" w:hAnsi="Calibri" w:cs="Calibri"/>
          <w:sz w:val="20"/>
          <w:szCs w:val="20"/>
        </w:rPr>
      </w:pPr>
    </w:p>
    <w:p w:rsidR="005F0BE9" w:rsidRDefault="005F0BE9" w:rsidP="00403695">
      <w:pPr>
        <w:jc w:val="both"/>
        <w:rPr>
          <w:rFonts w:asciiTheme="minorHAnsi" w:hAnsiTheme="minorHAnsi" w:cstheme="minorHAnsi"/>
          <w:color w:val="000000" w:themeColor="text1"/>
          <w:sz w:val="20"/>
          <w:szCs w:val="20"/>
          <w:lang w:val="sr-Latn-CS"/>
        </w:rPr>
      </w:pPr>
      <w:r>
        <w:rPr>
          <w:rFonts w:ascii="Calibri" w:hAnsi="Calibri" w:cs="Calibri"/>
          <w:sz w:val="20"/>
          <w:szCs w:val="20"/>
        </w:rPr>
        <w:t xml:space="preserve">Ležište „Radujev krš“ </w:t>
      </w:r>
      <w:r>
        <w:rPr>
          <w:rFonts w:asciiTheme="minorHAnsi" w:hAnsiTheme="minorHAnsi" w:cstheme="minorHAnsi"/>
          <w:color w:val="000000" w:themeColor="text1"/>
          <w:sz w:val="20"/>
          <w:szCs w:val="20"/>
          <w:lang w:val="sr-Latn-CS"/>
        </w:rPr>
        <w:t>je ograničeno tačkama 1, 2, 3 i 4</w:t>
      </w:r>
      <w:r w:rsidRPr="00AB16D5">
        <w:rPr>
          <w:rFonts w:asciiTheme="minorHAnsi" w:hAnsiTheme="minorHAnsi" w:cstheme="minorHAnsi"/>
          <w:color w:val="000000" w:themeColor="text1"/>
          <w:sz w:val="20"/>
          <w:szCs w:val="20"/>
          <w:lang w:val="sr-Latn-CS"/>
        </w:rPr>
        <w:t xml:space="preserve"> i pravim linijama između ovih </w:t>
      </w:r>
      <w:r>
        <w:rPr>
          <w:rFonts w:asciiTheme="minorHAnsi" w:hAnsiTheme="minorHAnsi" w:cstheme="minorHAnsi"/>
          <w:color w:val="000000" w:themeColor="text1"/>
          <w:sz w:val="20"/>
          <w:szCs w:val="20"/>
          <w:lang w:val="sr-Latn-CS"/>
        </w:rPr>
        <w:t>tačaka, a zahvata površinu od 2,25</w:t>
      </w:r>
      <w:r w:rsidRPr="00AB16D5">
        <w:rPr>
          <w:rFonts w:asciiTheme="minorHAnsi" w:hAnsiTheme="minorHAnsi" w:cstheme="minorHAnsi"/>
          <w:color w:val="000000" w:themeColor="text1"/>
          <w:sz w:val="20"/>
          <w:szCs w:val="20"/>
          <w:lang w:val="sr-Latn-CS"/>
        </w:rPr>
        <w:t xml:space="preserve"> ha</w:t>
      </w:r>
      <w:r>
        <w:rPr>
          <w:rFonts w:asciiTheme="minorHAnsi" w:hAnsiTheme="minorHAnsi" w:cstheme="minorHAnsi"/>
          <w:color w:val="000000" w:themeColor="text1"/>
          <w:sz w:val="20"/>
          <w:szCs w:val="20"/>
          <w:lang w:val="sr-Latn-CS"/>
        </w:rPr>
        <w:t>:</w:t>
      </w:r>
    </w:p>
    <w:tbl>
      <w:tblPr>
        <w:tblW w:w="5000" w:type="pct"/>
        <w:tblLook w:val="04A0" w:firstRow="1" w:lastRow="0" w:firstColumn="1" w:lastColumn="0" w:noHBand="0" w:noVBand="1"/>
      </w:tblPr>
      <w:tblGrid>
        <w:gridCol w:w="2394"/>
        <w:gridCol w:w="2394"/>
        <w:gridCol w:w="2394"/>
        <w:gridCol w:w="2394"/>
      </w:tblGrid>
      <w:tr w:rsidR="005F0BE9" w:rsidTr="00AF53FF">
        <w:trPr>
          <w:trHeight w:val="166"/>
        </w:trPr>
        <w:tc>
          <w:tcPr>
            <w:tcW w:w="1250" w:type="pct"/>
            <w:vMerge w:val="restart"/>
            <w:tcBorders>
              <w:top w:val="thinThickSmallGap" w:sz="12" w:space="0" w:color="auto"/>
              <w:left w:val="thinThickSmallGap" w:sz="12" w:space="0" w:color="auto"/>
            </w:tcBorders>
            <w:shd w:val="clear" w:color="auto" w:fill="92D050"/>
            <w:vAlign w:val="center"/>
          </w:tcPr>
          <w:p w:rsidR="005F0BE9" w:rsidRPr="00DF3850" w:rsidRDefault="005F0BE9" w:rsidP="00AF53FF">
            <w:pPr>
              <w:jc w:val="center"/>
              <w:rPr>
                <w:rFonts w:ascii="Calibri" w:hAnsi="Calibri" w:cs="Calibri"/>
                <w:b/>
                <w:sz w:val="20"/>
                <w:szCs w:val="20"/>
              </w:rPr>
            </w:pPr>
            <w:r w:rsidRPr="00DF3850">
              <w:rPr>
                <w:rFonts w:ascii="Calibri" w:hAnsi="Calibri" w:cs="Calibri"/>
                <w:b/>
                <w:sz w:val="20"/>
                <w:szCs w:val="20"/>
              </w:rPr>
              <w:t>T A Č K A</w:t>
            </w:r>
          </w:p>
        </w:tc>
        <w:tc>
          <w:tcPr>
            <w:tcW w:w="2500" w:type="pct"/>
            <w:gridSpan w:val="2"/>
            <w:tcBorders>
              <w:top w:val="thinThickSmallGap" w:sz="12" w:space="0" w:color="auto"/>
              <w:bottom w:val="single" w:sz="4" w:space="0" w:color="auto"/>
            </w:tcBorders>
            <w:shd w:val="clear" w:color="auto" w:fill="92D050"/>
            <w:vAlign w:val="center"/>
          </w:tcPr>
          <w:p w:rsidR="005F0BE9" w:rsidRPr="00DF3850" w:rsidRDefault="005F0BE9" w:rsidP="00AF53FF">
            <w:pPr>
              <w:jc w:val="center"/>
              <w:rPr>
                <w:rFonts w:ascii="Calibri" w:hAnsi="Calibri" w:cs="Calibri"/>
                <w:b/>
                <w:sz w:val="20"/>
                <w:szCs w:val="20"/>
              </w:rPr>
            </w:pPr>
            <w:r w:rsidRPr="00DF3850">
              <w:rPr>
                <w:rFonts w:ascii="Calibri" w:hAnsi="Calibri" w:cs="Calibri"/>
                <w:b/>
                <w:sz w:val="20"/>
                <w:szCs w:val="20"/>
              </w:rPr>
              <w:t>K O O R D I N A T E</w:t>
            </w:r>
          </w:p>
        </w:tc>
        <w:tc>
          <w:tcPr>
            <w:tcW w:w="1250" w:type="pct"/>
            <w:vMerge w:val="restart"/>
            <w:tcBorders>
              <w:top w:val="thinThickSmallGap" w:sz="12" w:space="0" w:color="auto"/>
              <w:right w:val="thinThickSmallGap" w:sz="12" w:space="0" w:color="auto"/>
            </w:tcBorders>
            <w:shd w:val="clear" w:color="auto" w:fill="92D050"/>
            <w:vAlign w:val="center"/>
          </w:tcPr>
          <w:p w:rsidR="005F0BE9" w:rsidRPr="00DF3850" w:rsidRDefault="005F0BE9" w:rsidP="00AF53FF">
            <w:pPr>
              <w:jc w:val="center"/>
              <w:rPr>
                <w:rFonts w:ascii="Calibri" w:hAnsi="Calibri" w:cs="Calibri"/>
                <w:b/>
                <w:sz w:val="20"/>
                <w:szCs w:val="20"/>
              </w:rPr>
            </w:pPr>
            <w:r w:rsidRPr="00DF3850">
              <w:rPr>
                <w:rFonts w:ascii="Calibri" w:hAnsi="Calibri" w:cs="Calibri"/>
                <w:b/>
                <w:sz w:val="20"/>
                <w:szCs w:val="20"/>
              </w:rPr>
              <w:t>DUŽINA STRANA (m)</w:t>
            </w:r>
          </w:p>
        </w:tc>
      </w:tr>
      <w:tr w:rsidR="005F0BE9" w:rsidTr="00AF53FF">
        <w:trPr>
          <w:trHeight w:val="83"/>
        </w:trPr>
        <w:tc>
          <w:tcPr>
            <w:tcW w:w="1250" w:type="pct"/>
            <w:vMerge/>
            <w:tcBorders>
              <w:left w:val="thinThickSmallGap" w:sz="12" w:space="0" w:color="auto"/>
              <w:bottom w:val="double" w:sz="4" w:space="0" w:color="auto"/>
            </w:tcBorders>
            <w:shd w:val="clear" w:color="auto" w:fill="92D050"/>
            <w:vAlign w:val="center"/>
          </w:tcPr>
          <w:p w:rsidR="005F0BE9" w:rsidRDefault="005F0BE9" w:rsidP="00AF53FF">
            <w:pPr>
              <w:jc w:val="center"/>
              <w:rPr>
                <w:rFonts w:ascii="Calibri" w:hAnsi="Calibri" w:cs="Calibri"/>
                <w:sz w:val="20"/>
                <w:szCs w:val="20"/>
              </w:rPr>
            </w:pPr>
          </w:p>
        </w:tc>
        <w:tc>
          <w:tcPr>
            <w:tcW w:w="1250" w:type="pct"/>
            <w:tcBorders>
              <w:top w:val="single" w:sz="4" w:space="0" w:color="auto"/>
              <w:bottom w:val="double" w:sz="4" w:space="0" w:color="auto"/>
            </w:tcBorders>
            <w:shd w:val="clear" w:color="auto" w:fill="92D050"/>
            <w:vAlign w:val="center"/>
          </w:tcPr>
          <w:p w:rsidR="005F0BE9" w:rsidRPr="00DF3850" w:rsidRDefault="005F0BE9" w:rsidP="00AF53FF">
            <w:pPr>
              <w:jc w:val="center"/>
              <w:rPr>
                <w:rFonts w:ascii="Calibri" w:hAnsi="Calibri" w:cs="Calibri"/>
                <w:b/>
                <w:sz w:val="20"/>
                <w:szCs w:val="20"/>
              </w:rPr>
            </w:pPr>
            <w:r w:rsidRPr="00DF3850">
              <w:rPr>
                <w:rFonts w:ascii="Calibri" w:hAnsi="Calibri" w:cs="Calibri"/>
                <w:b/>
                <w:sz w:val="20"/>
                <w:szCs w:val="20"/>
              </w:rPr>
              <w:t>X</w:t>
            </w:r>
          </w:p>
        </w:tc>
        <w:tc>
          <w:tcPr>
            <w:tcW w:w="1250" w:type="pct"/>
            <w:tcBorders>
              <w:top w:val="single" w:sz="4" w:space="0" w:color="auto"/>
              <w:bottom w:val="double" w:sz="4" w:space="0" w:color="auto"/>
            </w:tcBorders>
            <w:shd w:val="clear" w:color="auto" w:fill="92D050"/>
            <w:vAlign w:val="center"/>
          </w:tcPr>
          <w:p w:rsidR="005F0BE9" w:rsidRPr="00DF3850" w:rsidRDefault="005F0BE9" w:rsidP="00AF53FF">
            <w:pPr>
              <w:jc w:val="center"/>
              <w:rPr>
                <w:rFonts w:ascii="Calibri" w:hAnsi="Calibri" w:cs="Calibri"/>
                <w:b/>
                <w:sz w:val="20"/>
                <w:szCs w:val="20"/>
              </w:rPr>
            </w:pPr>
            <w:r w:rsidRPr="00DF3850">
              <w:rPr>
                <w:rFonts w:ascii="Calibri" w:hAnsi="Calibri" w:cs="Calibri"/>
                <w:b/>
                <w:sz w:val="20"/>
                <w:szCs w:val="20"/>
              </w:rPr>
              <w:t>Y</w:t>
            </w:r>
          </w:p>
        </w:tc>
        <w:tc>
          <w:tcPr>
            <w:tcW w:w="1250" w:type="pct"/>
            <w:vMerge/>
            <w:tcBorders>
              <w:bottom w:val="double" w:sz="4" w:space="0" w:color="auto"/>
              <w:right w:val="thinThickSmallGap" w:sz="12" w:space="0" w:color="auto"/>
            </w:tcBorders>
            <w:shd w:val="clear" w:color="auto" w:fill="92D050"/>
            <w:vAlign w:val="center"/>
          </w:tcPr>
          <w:p w:rsidR="005F0BE9" w:rsidRDefault="005F0BE9" w:rsidP="00AF53FF">
            <w:pPr>
              <w:jc w:val="center"/>
              <w:rPr>
                <w:rFonts w:ascii="Calibri" w:hAnsi="Calibri" w:cs="Calibri"/>
                <w:sz w:val="20"/>
                <w:szCs w:val="20"/>
              </w:rPr>
            </w:pPr>
          </w:p>
        </w:tc>
      </w:tr>
      <w:tr w:rsidR="005F0BE9" w:rsidTr="00AF53FF">
        <w:tc>
          <w:tcPr>
            <w:tcW w:w="1250" w:type="pct"/>
            <w:tcBorders>
              <w:top w:val="double" w:sz="4" w:space="0" w:color="auto"/>
              <w:left w:val="thinThickSmallGap" w:sz="12"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1</w:t>
            </w:r>
          </w:p>
        </w:tc>
        <w:tc>
          <w:tcPr>
            <w:tcW w:w="1250" w:type="pct"/>
            <w:tcBorders>
              <w:top w:val="double" w:sz="4"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4 719 150</w:t>
            </w:r>
          </w:p>
        </w:tc>
        <w:tc>
          <w:tcPr>
            <w:tcW w:w="1250" w:type="pct"/>
            <w:tcBorders>
              <w:top w:val="double" w:sz="4"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6 589 200</w:t>
            </w:r>
          </w:p>
        </w:tc>
        <w:tc>
          <w:tcPr>
            <w:tcW w:w="1250" w:type="pct"/>
            <w:tcBorders>
              <w:top w:val="double" w:sz="4" w:space="0" w:color="auto"/>
              <w:right w:val="thinThickSmallGap" w:sz="12"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1-2 = 150</w:t>
            </w:r>
          </w:p>
        </w:tc>
      </w:tr>
      <w:tr w:rsidR="005F0BE9" w:rsidTr="00AF53FF">
        <w:tc>
          <w:tcPr>
            <w:tcW w:w="1250" w:type="pct"/>
            <w:tcBorders>
              <w:left w:val="thinThickSmallGap" w:sz="12"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2</w:t>
            </w:r>
          </w:p>
        </w:tc>
        <w:tc>
          <w:tcPr>
            <w:tcW w:w="1250" w:type="pct"/>
            <w:vAlign w:val="center"/>
          </w:tcPr>
          <w:p w:rsidR="005F0BE9" w:rsidRDefault="005F0BE9" w:rsidP="00AF53FF">
            <w:pPr>
              <w:jc w:val="center"/>
              <w:rPr>
                <w:rFonts w:ascii="Calibri" w:hAnsi="Calibri" w:cs="Calibri"/>
                <w:sz w:val="20"/>
                <w:szCs w:val="20"/>
              </w:rPr>
            </w:pPr>
            <w:r>
              <w:rPr>
                <w:rFonts w:ascii="Calibri" w:hAnsi="Calibri" w:cs="Calibri"/>
                <w:sz w:val="20"/>
                <w:szCs w:val="20"/>
              </w:rPr>
              <w:t>4 719 150</w:t>
            </w:r>
          </w:p>
        </w:tc>
        <w:tc>
          <w:tcPr>
            <w:tcW w:w="1250" w:type="pct"/>
            <w:vAlign w:val="center"/>
          </w:tcPr>
          <w:p w:rsidR="005F0BE9" w:rsidRDefault="005F0BE9" w:rsidP="00AF53FF">
            <w:pPr>
              <w:jc w:val="center"/>
              <w:rPr>
                <w:rFonts w:ascii="Calibri" w:hAnsi="Calibri" w:cs="Calibri"/>
                <w:sz w:val="20"/>
                <w:szCs w:val="20"/>
              </w:rPr>
            </w:pPr>
            <w:r>
              <w:rPr>
                <w:rFonts w:ascii="Calibri" w:hAnsi="Calibri" w:cs="Calibri"/>
                <w:sz w:val="20"/>
                <w:szCs w:val="20"/>
              </w:rPr>
              <w:t>6 589 350</w:t>
            </w:r>
          </w:p>
        </w:tc>
        <w:tc>
          <w:tcPr>
            <w:tcW w:w="1250" w:type="pct"/>
            <w:tcBorders>
              <w:right w:val="thinThickSmallGap" w:sz="12"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2-3 = 150</w:t>
            </w:r>
          </w:p>
        </w:tc>
      </w:tr>
      <w:tr w:rsidR="005F0BE9" w:rsidTr="00AF53FF">
        <w:tc>
          <w:tcPr>
            <w:tcW w:w="1250" w:type="pct"/>
            <w:tcBorders>
              <w:left w:val="thinThickSmallGap" w:sz="12"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3</w:t>
            </w:r>
          </w:p>
        </w:tc>
        <w:tc>
          <w:tcPr>
            <w:tcW w:w="1250" w:type="pct"/>
            <w:vAlign w:val="center"/>
          </w:tcPr>
          <w:p w:rsidR="005F0BE9" w:rsidRDefault="005F0BE9" w:rsidP="00AF53FF">
            <w:pPr>
              <w:jc w:val="center"/>
              <w:rPr>
                <w:rFonts w:ascii="Calibri" w:hAnsi="Calibri" w:cs="Calibri"/>
                <w:sz w:val="20"/>
                <w:szCs w:val="20"/>
              </w:rPr>
            </w:pPr>
            <w:r>
              <w:rPr>
                <w:rFonts w:ascii="Calibri" w:hAnsi="Calibri" w:cs="Calibri"/>
                <w:sz w:val="20"/>
                <w:szCs w:val="20"/>
              </w:rPr>
              <w:t>4 719 300</w:t>
            </w:r>
          </w:p>
        </w:tc>
        <w:tc>
          <w:tcPr>
            <w:tcW w:w="1250" w:type="pct"/>
            <w:vAlign w:val="center"/>
          </w:tcPr>
          <w:p w:rsidR="005F0BE9" w:rsidRDefault="005F0BE9" w:rsidP="00AF53FF">
            <w:pPr>
              <w:jc w:val="center"/>
              <w:rPr>
                <w:rFonts w:ascii="Calibri" w:hAnsi="Calibri" w:cs="Calibri"/>
                <w:sz w:val="20"/>
                <w:szCs w:val="20"/>
              </w:rPr>
            </w:pPr>
            <w:r>
              <w:rPr>
                <w:rFonts w:ascii="Calibri" w:hAnsi="Calibri" w:cs="Calibri"/>
                <w:sz w:val="20"/>
                <w:szCs w:val="20"/>
              </w:rPr>
              <w:t>6 589 350</w:t>
            </w:r>
          </w:p>
        </w:tc>
        <w:tc>
          <w:tcPr>
            <w:tcW w:w="1250" w:type="pct"/>
            <w:tcBorders>
              <w:right w:val="thinThickSmallGap" w:sz="12"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3-4 = 150</w:t>
            </w:r>
          </w:p>
        </w:tc>
      </w:tr>
      <w:tr w:rsidR="005F0BE9" w:rsidTr="00AF53FF">
        <w:tc>
          <w:tcPr>
            <w:tcW w:w="1250" w:type="pct"/>
            <w:tcBorders>
              <w:left w:val="thinThickSmallGap" w:sz="12" w:space="0" w:color="auto"/>
              <w:bottom w:val="thinThickSmallGap" w:sz="12"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4</w:t>
            </w:r>
          </w:p>
        </w:tc>
        <w:tc>
          <w:tcPr>
            <w:tcW w:w="1250" w:type="pct"/>
            <w:tcBorders>
              <w:bottom w:val="thinThickSmallGap" w:sz="12"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4 719 300</w:t>
            </w:r>
          </w:p>
        </w:tc>
        <w:tc>
          <w:tcPr>
            <w:tcW w:w="1250" w:type="pct"/>
            <w:tcBorders>
              <w:bottom w:val="thinThickSmallGap" w:sz="12"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6 589 200</w:t>
            </w:r>
          </w:p>
        </w:tc>
        <w:tc>
          <w:tcPr>
            <w:tcW w:w="1250" w:type="pct"/>
            <w:tcBorders>
              <w:bottom w:val="thinThickSmallGap" w:sz="12" w:space="0" w:color="auto"/>
              <w:right w:val="thinThickSmallGap" w:sz="12" w:space="0" w:color="auto"/>
            </w:tcBorders>
            <w:vAlign w:val="center"/>
          </w:tcPr>
          <w:p w:rsidR="005F0BE9" w:rsidRDefault="005F0BE9" w:rsidP="00AF53FF">
            <w:pPr>
              <w:jc w:val="center"/>
              <w:rPr>
                <w:rFonts w:ascii="Calibri" w:hAnsi="Calibri" w:cs="Calibri"/>
                <w:sz w:val="20"/>
                <w:szCs w:val="20"/>
              </w:rPr>
            </w:pPr>
            <w:r>
              <w:rPr>
                <w:rFonts w:ascii="Calibri" w:hAnsi="Calibri" w:cs="Calibri"/>
                <w:sz w:val="20"/>
                <w:szCs w:val="20"/>
              </w:rPr>
              <w:t>4-1 = 150</w:t>
            </w:r>
          </w:p>
        </w:tc>
      </w:tr>
    </w:tbl>
    <w:p w:rsidR="005F0BE9" w:rsidRPr="002D5998" w:rsidRDefault="005F0BE9" w:rsidP="00403695">
      <w:pPr>
        <w:jc w:val="both"/>
        <w:rPr>
          <w:rFonts w:ascii="Calibri" w:hAnsi="Calibri" w:cs="Calibri"/>
          <w:sz w:val="20"/>
          <w:szCs w:val="20"/>
        </w:rPr>
      </w:pPr>
      <w:r>
        <w:rPr>
          <w:rFonts w:ascii="Calibri" w:hAnsi="Calibri" w:cs="Calibri"/>
          <w:sz w:val="20"/>
          <w:szCs w:val="20"/>
        </w:rPr>
        <w:lastRenderedPageBreak/>
        <w:t>Na ležištu „Radujev krš</w:t>
      </w:r>
      <w:proofErr w:type="gramStart"/>
      <w:r>
        <w:rPr>
          <w:rFonts w:ascii="Calibri" w:hAnsi="Calibri" w:cs="Calibri"/>
          <w:sz w:val="20"/>
          <w:szCs w:val="20"/>
        </w:rPr>
        <w:t>“ vršena</w:t>
      </w:r>
      <w:proofErr w:type="gramEnd"/>
      <w:r>
        <w:rPr>
          <w:rFonts w:ascii="Calibri" w:hAnsi="Calibri" w:cs="Calibri"/>
          <w:sz w:val="20"/>
          <w:szCs w:val="20"/>
        </w:rPr>
        <w:t xml:space="preserve"> je putem koncesije eksploatacija AGK. Nakon isteka koncesije, stekli su se uslovi za postupak davanja nove koncesije.Izvođena su detaljna geološka istraživanja. Zadnji geološki istražni radovi rezultirali su izradom „Elaborata o klasifikaciji, kategorizaciji i proračunu rezervi arhitektonsko-građevinskog kamena ležišta „Radujev krš“, stanje 31.12.2008. godine“.</w:t>
      </w:r>
    </w:p>
    <w:p w:rsidR="005F0BE9" w:rsidRPr="002D5998" w:rsidRDefault="005F0BE9" w:rsidP="00403695">
      <w:pPr>
        <w:jc w:val="both"/>
        <w:rPr>
          <w:rFonts w:ascii="Calibri" w:hAnsi="Calibri" w:cs="Calibri"/>
          <w:sz w:val="20"/>
          <w:szCs w:val="20"/>
        </w:rPr>
      </w:pPr>
    </w:p>
    <w:p w:rsidR="005F0BE9" w:rsidRPr="00E15C15" w:rsidRDefault="005F0BE9" w:rsidP="00403695">
      <w:pPr>
        <w:jc w:val="both"/>
        <w:rPr>
          <w:rFonts w:asciiTheme="minorHAnsi" w:hAnsiTheme="minorHAnsi" w:cstheme="minorHAnsi"/>
          <w:sz w:val="20"/>
          <w:szCs w:val="20"/>
          <w:lang w:val="sr-Latn-CS"/>
        </w:rPr>
      </w:pPr>
      <w:r w:rsidRPr="00E15C15">
        <w:rPr>
          <w:rFonts w:asciiTheme="minorHAnsi" w:hAnsiTheme="minorHAnsi" w:cstheme="minorHAnsi"/>
          <w:sz w:val="20"/>
          <w:szCs w:val="20"/>
          <w:lang w:val="sr-Latn-CS"/>
        </w:rPr>
        <w:t>U</w:t>
      </w:r>
      <w:r w:rsidRPr="00E15C15">
        <w:rPr>
          <w:rFonts w:asciiTheme="minorHAnsi" w:hAnsiTheme="minorHAnsi" w:cstheme="minorHAnsi"/>
          <w:b/>
          <w:sz w:val="20"/>
          <w:szCs w:val="20"/>
          <w:lang w:val="sr-Latn-CS"/>
        </w:rPr>
        <w:t xml:space="preserve"> </w:t>
      </w:r>
      <w:r w:rsidRPr="00E15C15">
        <w:rPr>
          <w:rFonts w:asciiTheme="minorHAnsi" w:hAnsiTheme="minorHAnsi" w:cstheme="minorHAnsi"/>
          <w:sz w:val="20"/>
          <w:szCs w:val="20"/>
          <w:lang w:val="sr-Latn-CS"/>
        </w:rPr>
        <w:t>„Elaboratu o klasifikaciji, kategorizaciji i proračunu rezervi arhitektonsko-građevinskog  kamena ležišta „Radujev krš“, stanje 31.12.2008.godine“, utvrđene su slijedeće rezerve, njihove količine, iskorišćenje u blok mase i kvalitet, kako slijedi:</w:t>
      </w:r>
    </w:p>
    <w:p w:rsidR="005F0BE9" w:rsidRPr="00E15C15" w:rsidRDefault="005F0BE9" w:rsidP="00403695">
      <w:pPr>
        <w:jc w:val="both"/>
        <w:rPr>
          <w:rFonts w:asciiTheme="minorHAnsi" w:hAnsiTheme="minorHAnsi" w:cstheme="minorHAnsi"/>
          <w:sz w:val="20"/>
          <w:szCs w:val="20"/>
          <w:lang w:val="sr-Latn-CS"/>
        </w:rPr>
      </w:pPr>
    </w:p>
    <w:p w:rsidR="005F0BE9" w:rsidRPr="00E15C15" w:rsidRDefault="005F0BE9" w:rsidP="00403695">
      <w:pPr>
        <w:jc w:val="both"/>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Geološke bilansne rezerve i  blok-mase</w:t>
      </w:r>
    </w:p>
    <w:tbl>
      <w:tblPr>
        <w:tblW w:w="5000" w:type="pct"/>
        <w:tblLook w:val="01E0" w:firstRow="1" w:lastRow="1" w:firstColumn="1" w:lastColumn="1" w:noHBand="0" w:noVBand="0"/>
      </w:tblPr>
      <w:tblGrid>
        <w:gridCol w:w="1944"/>
        <w:gridCol w:w="2432"/>
        <w:gridCol w:w="2806"/>
        <w:gridCol w:w="2394"/>
      </w:tblGrid>
      <w:tr w:rsidR="005F0BE9" w:rsidRPr="00E15C15" w:rsidTr="00AF53FF">
        <w:tc>
          <w:tcPr>
            <w:tcW w:w="1015" w:type="pct"/>
            <w:tcBorders>
              <w:top w:val="thinThickSmallGap" w:sz="12" w:space="0" w:color="auto"/>
              <w:left w:val="thinThickSmallGap" w:sz="12" w:space="0" w:color="auto"/>
              <w:bottom w:val="double" w:sz="4" w:space="0" w:color="auto"/>
            </w:tcBorders>
            <w:shd w:val="clear" w:color="auto" w:fill="92D050"/>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Kategorija rezervi</w:t>
            </w:r>
          </w:p>
        </w:tc>
        <w:tc>
          <w:tcPr>
            <w:tcW w:w="1270" w:type="pct"/>
            <w:tcBorders>
              <w:top w:val="thinThickSmallGap" w:sz="12" w:space="0" w:color="auto"/>
              <w:bottom w:val="double" w:sz="4" w:space="0" w:color="auto"/>
            </w:tcBorders>
            <w:shd w:val="clear" w:color="auto" w:fill="92D050"/>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Bilansne rezerve (m</w:t>
            </w:r>
            <w:r w:rsidRPr="00E15C15">
              <w:rPr>
                <w:rFonts w:asciiTheme="minorHAnsi" w:hAnsiTheme="minorHAnsi" w:cstheme="minorHAnsi"/>
                <w:b/>
                <w:sz w:val="20"/>
                <w:szCs w:val="20"/>
                <w:vertAlign w:val="superscript"/>
                <w:lang w:val="sr-Latn-CS"/>
              </w:rPr>
              <w:t>3</w:t>
            </w:r>
            <w:r w:rsidRPr="00E15C15">
              <w:rPr>
                <w:rFonts w:asciiTheme="minorHAnsi" w:hAnsiTheme="minorHAnsi" w:cstheme="minorHAnsi"/>
                <w:b/>
                <w:sz w:val="20"/>
                <w:szCs w:val="20"/>
                <w:lang w:val="sr-Latn-CS"/>
              </w:rPr>
              <w:t>)</w:t>
            </w:r>
          </w:p>
        </w:tc>
        <w:tc>
          <w:tcPr>
            <w:tcW w:w="1465" w:type="pct"/>
            <w:tcBorders>
              <w:top w:val="thinThickSmallGap" w:sz="12" w:space="0" w:color="auto"/>
              <w:bottom w:val="double" w:sz="4" w:space="0" w:color="auto"/>
            </w:tcBorders>
            <w:shd w:val="clear" w:color="auto" w:fill="92D050"/>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Iskorišćenje u blok (%)</w:t>
            </w:r>
          </w:p>
        </w:tc>
        <w:tc>
          <w:tcPr>
            <w:tcW w:w="1250" w:type="pct"/>
            <w:tcBorders>
              <w:top w:val="thinThickSmallGap" w:sz="12" w:space="0" w:color="auto"/>
              <w:bottom w:val="double" w:sz="4" w:space="0" w:color="auto"/>
              <w:right w:val="thinThickSmallGap" w:sz="12" w:space="0" w:color="auto"/>
            </w:tcBorders>
            <w:shd w:val="clear" w:color="auto" w:fill="92D050"/>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Rezerve blok mase (m</w:t>
            </w:r>
            <w:r w:rsidRPr="00E15C15">
              <w:rPr>
                <w:rFonts w:asciiTheme="minorHAnsi" w:hAnsiTheme="minorHAnsi" w:cstheme="minorHAnsi"/>
                <w:b/>
                <w:sz w:val="20"/>
                <w:szCs w:val="20"/>
                <w:vertAlign w:val="superscript"/>
                <w:lang w:val="sr-Latn-CS"/>
              </w:rPr>
              <w:t>3</w:t>
            </w:r>
            <w:r w:rsidRPr="00E15C15">
              <w:rPr>
                <w:rFonts w:asciiTheme="minorHAnsi" w:hAnsiTheme="minorHAnsi" w:cstheme="minorHAnsi"/>
                <w:b/>
                <w:sz w:val="20"/>
                <w:szCs w:val="20"/>
                <w:lang w:val="sr-Latn-CS"/>
              </w:rPr>
              <w:t>)</w:t>
            </w:r>
          </w:p>
        </w:tc>
      </w:tr>
      <w:tr w:rsidR="005F0BE9" w:rsidRPr="00E15C15" w:rsidTr="00AF53FF">
        <w:tc>
          <w:tcPr>
            <w:tcW w:w="1015" w:type="pct"/>
            <w:tcBorders>
              <w:top w:val="double" w:sz="4" w:space="0" w:color="auto"/>
              <w:left w:val="thinThickSmallGap" w:sz="12"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B</w:t>
            </w:r>
          </w:p>
        </w:tc>
        <w:tc>
          <w:tcPr>
            <w:tcW w:w="1270" w:type="pct"/>
            <w:tcBorders>
              <w:top w:val="double" w:sz="4"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9.490</w:t>
            </w:r>
          </w:p>
        </w:tc>
        <w:tc>
          <w:tcPr>
            <w:tcW w:w="1465" w:type="pct"/>
            <w:tcBorders>
              <w:top w:val="double" w:sz="4"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16</w:t>
            </w:r>
          </w:p>
        </w:tc>
        <w:tc>
          <w:tcPr>
            <w:tcW w:w="1250" w:type="pct"/>
            <w:tcBorders>
              <w:top w:val="double" w:sz="4" w:space="0" w:color="auto"/>
              <w:right w:val="thinThickSmallGap" w:sz="12"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1.518</w:t>
            </w:r>
          </w:p>
        </w:tc>
      </w:tr>
      <w:tr w:rsidR="005F0BE9" w:rsidRPr="00E15C15" w:rsidTr="00AF53FF">
        <w:tc>
          <w:tcPr>
            <w:tcW w:w="1015" w:type="pct"/>
            <w:tcBorders>
              <w:left w:val="thinThickSmallGap" w:sz="12"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C</w:t>
            </w:r>
            <w:r w:rsidRPr="00E15C15">
              <w:rPr>
                <w:rFonts w:asciiTheme="minorHAnsi" w:hAnsiTheme="minorHAnsi" w:cstheme="minorHAnsi"/>
                <w:sz w:val="20"/>
                <w:szCs w:val="20"/>
                <w:vertAlign w:val="subscript"/>
                <w:lang w:val="sr-Latn-CS"/>
              </w:rPr>
              <w:t>1</w:t>
            </w:r>
          </w:p>
        </w:tc>
        <w:tc>
          <w:tcPr>
            <w:tcW w:w="1270" w:type="pct"/>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34.333</w:t>
            </w:r>
          </w:p>
        </w:tc>
        <w:tc>
          <w:tcPr>
            <w:tcW w:w="1465" w:type="pct"/>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16</w:t>
            </w:r>
          </w:p>
        </w:tc>
        <w:tc>
          <w:tcPr>
            <w:tcW w:w="1250" w:type="pct"/>
            <w:tcBorders>
              <w:right w:val="thinThickSmallGap" w:sz="12"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5.493</w:t>
            </w:r>
          </w:p>
        </w:tc>
      </w:tr>
      <w:tr w:rsidR="005F0BE9" w:rsidRPr="00E15C15" w:rsidTr="00AF53FF">
        <w:tc>
          <w:tcPr>
            <w:tcW w:w="1015" w:type="pct"/>
            <w:tcBorders>
              <w:left w:val="thinThickSmallGap" w:sz="12" w:space="0" w:color="auto"/>
              <w:bottom w:val="thinThickSmallGap" w:sz="12" w:space="0" w:color="auto"/>
            </w:tcBorders>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B+C</w:t>
            </w:r>
            <w:r w:rsidRPr="00E15C15">
              <w:rPr>
                <w:rFonts w:asciiTheme="minorHAnsi" w:hAnsiTheme="minorHAnsi" w:cstheme="minorHAnsi"/>
                <w:b/>
                <w:sz w:val="20"/>
                <w:szCs w:val="20"/>
                <w:vertAlign w:val="subscript"/>
                <w:lang w:val="sr-Latn-CS"/>
              </w:rPr>
              <w:t>1</w:t>
            </w:r>
          </w:p>
        </w:tc>
        <w:tc>
          <w:tcPr>
            <w:tcW w:w="1270" w:type="pct"/>
            <w:tcBorders>
              <w:bottom w:val="thinThickSmallGap" w:sz="12" w:space="0" w:color="auto"/>
            </w:tcBorders>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43.823</w:t>
            </w:r>
          </w:p>
        </w:tc>
        <w:tc>
          <w:tcPr>
            <w:tcW w:w="1465" w:type="pct"/>
            <w:tcBorders>
              <w:bottom w:val="thinThickSmallGap" w:sz="12" w:space="0" w:color="auto"/>
            </w:tcBorders>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16</w:t>
            </w:r>
          </w:p>
        </w:tc>
        <w:tc>
          <w:tcPr>
            <w:tcW w:w="1250" w:type="pct"/>
            <w:tcBorders>
              <w:bottom w:val="thinThickSmallGap" w:sz="12" w:space="0" w:color="auto"/>
              <w:right w:val="thinThickSmallGap" w:sz="12" w:space="0" w:color="auto"/>
            </w:tcBorders>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7.011</w:t>
            </w:r>
          </w:p>
        </w:tc>
      </w:tr>
    </w:tbl>
    <w:p w:rsidR="005F0BE9" w:rsidRDefault="005F0BE9" w:rsidP="00403695">
      <w:pPr>
        <w:jc w:val="both"/>
        <w:rPr>
          <w:rFonts w:asciiTheme="minorHAnsi" w:hAnsiTheme="minorHAnsi" w:cstheme="minorHAnsi"/>
          <w:b/>
          <w:sz w:val="20"/>
          <w:szCs w:val="20"/>
          <w:lang w:val="sr-Latn-CS"/>
        </w:rPr>
      </w:pPr>
    </w:p>
    <w:p w:rsidR="005F0BE9" w:rsidRPr="00E15C15" w:rsidRDefault="005F0BE9" w:rsidP="00403695">
      <w:pPr>
        <w:jc w:val="both"/>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Eksploatacione rezerve i blok mase</w:t>
      </w:r>
    </w:p>
    <w:p w:rsidR="005F0BE9" w:rsidRPr="00E15C15" w:rsidRDefault="005F0BE9" w:rsidP="00403695">
      <w:pPr>
        <w:jc w:val="both"/>
        <w:rPr>
          <w:rFonts w:asciiTheme="minorHAnsi" w:hAnsiTheme="minorHAnsi" w:cstheme="minorHAnsi"/>
          <w:b/>
          <w:sz w:val="20"/>
          <w:szCs w:val="20"/>
          <w:lang w:val="sr-Latn-CS"/>
        </w:rPr>
      </w:pPr>
    </w:p>
    <w:tbl>
      <w:tblPr>
        <w:tblW w:w="5000" w:type="pct"/>
        <w:tblLook w:val="01E0" w:firstRow="1" w:lastRow="1" w:firstColumn="1" w:lastColumn="1" w:noHBand="0" w:noVBand="0"/>
      </w:tblPr>
      <w:tblGrid>
        <w:gridCol w:w="1944"/>
        <w:gridCol w:w="2432"/>
        <w:gridCol w:w="2806"/>
        <w:gridCol w:w="2394"/>
      </w:tblGrid>
      <w:tr w:rsidR="005F0BE9" w:rsidRPr="00E15C15" w:rsidTr="00AF53FF">
        <w:tc>
          <w:tcPr>
            <w:tcW w:w="1015" w:type="pct"/>
            <w:tcBorders>
              <w:top w:val="thinThickSmallGap" w:sz="12" w:space="0" w:color="auto"/>
              <w:left w:val="thinThickSmallGap" w:sz="12" w:space="0" w:color="auto"/>
              <w:bottom w:val="double" w:sz="4" w:space="0" w:color="auto"/>
            </w:tcBorders>
            <w:shd w:val="clear" w:color="auto" w:fill="92D050"/>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Kategorija rezervi</w:t>
            </w:r>
          </w:p>
        </w:tc>
        <w:tc>
          <w:tcPr>
            <w:tcW w:w="1270" w:type="pct"/>
            <w:tcBorders>
              <w:top w:val="thinThickSmallGap" w:sz="12" w:space="0" w:color="auto"/>
              <w:bottom w:val="double" w:sz="4" w:space="0" w:color="auto"/>
            </w:tcBorders>
            <w:shd w:val="clear" w:color="auto" w:fill="92D050"/>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Eksploatac.rezerve (m</w:t>
            </w:r>
            <w:r w:rsidRPr="00E15C15">
              <w:rPr>
                <w:rFonts w:asciiTheme="minorHAnsi" w:hAnsiTheme="minorHAnsi" w:cstheme="minorHAnsi"/>
                <w:b/>
                <w:sz w:val="20"/>
                <w:szCs w:val="20"/>
                <w:vertAlign w:val="superscript"/>
                <w:lang w:val="sr-Latn-CS"/>
              </w:rPr>
              <w:t>3</w:t>
            </w:r>
            <w:r w:rsidRPr="00E15C15">
              <w:rPr>
                <w:rFonts w:asciiTheme="minorHAnsi" w:hAnsiTheme="minorHAnsi" w:cstheme="minorHAnsi"/>
                <w:b/>
                <w:sz w:val="20"/>
                <w:szCs w:val="20"/>
                <w:lang w:val="sr-Latn-CS"/>
              </w:rPr>
              <w:t>)</w:t>
            </w:r>
          </w:p>
        </w:tc>
        <w:tc>
          <w:tcPr>
            <w:tcW w:w="1465" w:type="pct"/>
            <w:tcBorders>
              <w:top w:val="thinThickSmallGap" w:sz="12" w:space="0" w:color="auto"/>
              <w:bottom w:val="double" w:sz="4" w:space="0" w:color="auto"/>
            </w:tcBorders>
            <w:shd w:val="clear" w:color="auto" w:fill="92D050"/>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Iskorišćenje u blok(%)</w:t>
            </w:r>
          </w:p>
        </w:tc>
        <w:tc>
          <w:tcPr>
            <w:tcW w:w="1250" w:type="pct"/>
            <w:tcBorders>
              <w:top w:val="thinThickSmallGap" w:sz="12" w:space="0" w:color="auto"/>
              <w:bottom w:val="double" w:sz="4" w:space="0" w:color="auto"/>
              <w:right w:val="thinThickSmallGap" w:sz="12" w:space="0" w:color="auto"/>
            </w:tcBorders>
            <w:shd w:val="clear" w:color="auto" w:fill="92D050"/>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Rezerve blok mase(m</w:t>
            </w:r>
            <w:r w:rsidRPr="00E15C15">
              <w:rPr>
                <w:rFonts w:asciiTheme="minorHAnsi" w:hAnsiTheme="minorHAnsi" w:cstheme="minorHAnsi"/>
                <w:b/>
                <w:sz w:val="20"/>
                <w:szCs w:val="20"/>
                <w:vertAlign w:val="superscript"/>
                <w:lang w:val="sr-Latn-CS"/>
              </w:rPr>
              <w:t>3</w:t>
            </w:r>
            <w:r w:rsidRPr="00E15C15">
              <w:rPr>
                <w:rFonts w:asciiTheme="minorHAnsi" w:hAnsiTheme="minorHAnsi" w:cstheme="minorHAnsi"/>
                <w:b/>
                <w:sz w:val="20"/>
                <w:szCs w:val="20"/>
                <w:lang w:val="sr-Latn-CS"/>
              </w:rPr>
              <w:t>)</w:t>
            </w:r>
          </w:p>
        </w:tc>
      </w:tr>
      <w:tr w:rsidR="005F0BE9" w:rsidRPr="00E15C15" w:rsidTr="00AF53FF">
        <w:tc>
          <w:tcPr>
            <w:tcW w:w="1015" w:type="pct"/>
            <w:tcBorders>
              <w:top w:val="double" w:sz="4" w:space="0" w:color="auto"/>
              <w:left w:val="thinThickSmallGap" w:sz="12"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B</w:t>
            </w:r>
          </w:p>
        </w:tc>
        <w:tc>
          <w:tcPr>
            <w:tcW w:w="1270" w:type="pct"/>
            <w:tcBorders>
              <w:top w:val="double" w:sz="4"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9.015</w:t>
            </w:r>
          </w:p>
        </w:tc>
        <w:tc>
          <w:tcPr>
            <w:tcW w:w="1465" w:type="pct"/>
            <w:tcBorders>
              <w:top w:val="double" w:sz="4"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16</w:t>
            </w:r>
          </w:p>
        </w:tc>
        <w:tc>
          <w:tcPr>
            <w:tcW w:w="1250" w:type="pct"/>
            <w:tcBorders>
              <w:top w:val="double" w:sz="4" w:space="0" w:color="auto"/>
              <w:right w:val="thinThickSmallGap" w:sz="12"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1.442</w:t>
            </w:r>
          </w:p>
        </w:tc>
      </w:tr>
      <w:tr w:rsidR="005F0BE9" w:rsidRPr="00E15C15" w:rsidTr="00AF53FF">
        <w:tc>
          <w:tcPr>
            <w:tcW w:w="1015" w:type="pct"/>
            <w:tcBorders>
              <w:left w:val="thinThickSmallGap" w:sz="12"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C</w:t>
            </w:r>
            <w:r w:rsidRPr="00E15C15">
              <w:rPr>
                <w:rFonts w:asciiTheme="minorHAnsi" w:hAnsiTheme="minorHAnsi" w:cstheme="minorHAnsi"/>
                <w:sz w:val="20"/>
                <w:szCs w:val="20"/>
                <w:vertAlign w:val="subscript"/>
                <w:lang w:val="sr-Latn-CS"/>
              </w:rPr>
              <w:t>1</w:t>
            </w:r>
          </w:p>
        </w:tc>
        <w:tc>
          <w:tcPr>
            <w:tcW w:w="1270" w:type="pct"/>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32.616</w:t>
            </w:r>
          </w:p>
        </w:tc>
        <w:tc>
          <w:tcPr>
            <w:tcW w:w="1465" w:type="pct"/>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16</w:t>
            </w:r>
          </w:p>
        </w:tc>
        <w:tc>
          <w:tcPr>
            <w:tcW w:w="1250" w:type="pct"/>
            <w:tcBorders>
              <w:right w:val="thinThickSmallGap" w:sz="12" w:space="0" w:color="auto"/>
            </w:tcBorders>
            <w:vAlign w:val="center"/>
          </w:tcPr>
          <w:p w:rsidR="005F0BE9" w:rsidRPr="00E15C15" w:rsidRDefault="005F0BE9" w:rsidP="00AF53FF">
            <w:pPr>
              <w:jc w:val="center"/>
              <w:rPr>
                <w:rFonts w:asciiTheme="minorHAnsi" w:hAnsiTheme="minorHAnsi" w:cstheme="minorHAnsi"/>
                <w:sz w:val="20"/>
                <w:szCs w:val="20"/>
                <w:lang w:val="sr-Latn-CS"/>
              </w:rPr>
            </w:pPr>
            <w:r w:rsidRPr="00E15C15">
              <w:rPr>
                <w:rFonts w:asciiTheme="minorHAnsi" w:hAnsiTheme="minorHAnsi" w:cstheme="minorHAnsi"/>
                <w:sz w:val="20"/>
                <w:szCs w:val="20"/>
                <w:lang w:val="sr-Latn-CS"/>
              </w:rPr>
              <w:t>5.219</w:t>
            </w:r>
          </w:p>
        </w:tc>
      </w:tr>
      <w:tr w:rsidR="005F0BE9" w:rsidRPr="00E15C15" w:rsidTr="00AF53FF">
        <w:tc>
          <w:tcPr>
            <w:tcW w:w="1015" w:type="pct"/>
            <w:tcBorders>
              <w:left w:val="thinThickSmallGap" w:sz="12" w:space="0" w:color="auto"/>
              <w:bottom w:val="thinThickSmallGap" w:sz="12" w:space="0" w:color="auto"/>
            </w:tcBorders>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B+C</w:t>
            </w:r>
            <w:r w:rsidRPr="00E15C15">
              <w:rPr>
                <w:rFonts w:asciiTheme="minorHAnsi" w:hAnsiTheme="minorHAnsi" w:cstheme="minorHAnsi"/>
                <w:b/>
                <w:sz w:val="20"/>
                <w:szCs w:val="20"/>
                <w:vertAlign w:val="subscript"/>
                <w:lang w:val="sr-Latn-CS"/>
              </w:rPr>
              <w:t>1</w:t>
            </w:r>
          </w:p>
        </w:tc>
        <w:tc>
          <w:tcPr>
            <w:tcW w:w="1270" w:type="pct"/>
            <w:tcBorders>
              <w:bottom w:val="thinThickSmallGap" w:sz="12" w:space="0" w:color="auto"/>
            </w:tcBorders>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41.631</w:t>
            </w:r>
          </w:p>
        </w:tc>
        <w:tc>
          <w:tcPr>
            <w:tcW w:w="1465" w:type="pct"/>
            <w:tcBorders>
              <w:bottom w:val="thinThickSmallGap" w:sz="12" w:space="0" w:color="auto"/>
            </w:tcBorders>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16</w:t>
            </w:r>
          </w:p>
        </w:tc>
        <w:tc>
          <w:tcPr>
            <w:tcW w:w="1250" w:type="pct"/>
            <w:tcBorders>
              <w:bottom w:val="thinThickSmallGap" w:sz="12" w:space="0" w:color="auto"/>
              <w:right w:val="thinThickSmallGap" w:sz="12" w:space="0" w:color="auto"/>
            </w:tcBorders>
            <w:vAlign w:val="center"/>
          </w:tcPr>
          <w:p w:rsidR="005F0BE9" w:rsidRPr="00E15C15" w:rsidRDefault="005F0BE9" w:rsidP="00AF53FF">
            <w:pPr>
              <w:jc w:val="center"/>
              <w:rPr>
                <w:rFonts w:asciiTheme="minorHAnsi" w:hAnsiTheme="minorHAnsi" w:cstheme="minorHAnsi"/>
                <w:b/>
                <w:sz w:val="20"/>
                <w:szCs w:val="20"/>
                <w:lang w:val="sr-Latn-CS"/>
              </w:rPr>
            </w:pPr>
            <w:r w:rsidRPr="00E15C15">
              <w:rPr>
                <w:rFonts w:asciiTheme="minorHAnsi" w:hAnsiTheme="minorHAnsi" w:cstheme="minorHAnsi"/>
                <w:b/>
                <w:sz w:val="20"/>
                <w:szCs w:val="20"/>
                <w:lang w:val="sr-Latn-CS"/>
              </w:rPr>
              <w:t>6.661</w:t>
            </w:r>
          </w:p>
        </w:tc>
      </w:tr>
    </w:tbl>
    <w:p w:rsidR="005F0BE9" w:rsidRPr="00E15C15" w:rsidRDefault="005F0BE9" w:rsidP="00403695">
      <w:pPr>
        <w:jc w:val="both"/>
        <w:rPr>
          <w:rFonts w:asciiTheme="minorHAnsi" w:hAnsiTheme="minorHAnsi" w:cstheme="minorHAnsi"/>
          <w:sz w:val="20"/>
          <w:szCs w:val="20"/>
          <w:lang w:val="sr-Latn-CS"/>
        </w:rPr>
      </w:pPr>
    </w:p>
    <w:p w:rsidR="005F0BE9" w:rsidRPr="00E15C15" w:rsidRDefault="005F0BE9" w:rsidP="00403695">
      <w:pPr>
        <w:jc w:val="both"/>
        <w:rPr>
          <w:rFonts w:asciiTheme="minorHAnsi" w:hAnsiTheme="minorHAnsi" w:cstheme="minorHAnsi"/>
          <w:sz w:val="20"/>
          <w:szCs w:val="20"/>
          <w:lang w:val="sr-Latn-CS"/>
        </w:rPr>
      </w:pPr>
      <w:r w:rsidRPr="00E15C15">
        <w:rPr>
          <w:rFonts w:asciiTheme="minorHAnsi" w:hAnsiTheme="minorHAnsi" w:cstheme="minorHAnsi"/>
          <w:sz w:val="20"/>
          <w:szCs w:val="20"/>
          <w:lang w:val="sr-Latn-CS"/>
        </w:rPr>
        <w:t>U pogledu načina pojavljivanja, monolitnosti, dekorativnosti i kvaliteta, mineralna sirovina /krečnjak ležišta „Radujev krš“ zadovoljava kriterijume važećih standarda za primjenu u arhitektonsko-građevinske svrhe.</w:t>
      </w:r>
      <w:r>
        <w:rPr>
          <w:rFonts w:asciiTheme="minorHAnsi" w:hAnsiTheme="minorHAnsi" w:cstheme="minorHAnsi"/>
          <w:sz w:val="20"/>
          <w:szCs w:val="20"/>
          <w:lang w:val="sr-Latn-CS"/>
        </w:rPr>
        <w:t xml:space="preserve"> </w:t>
      </w:r>
      <w:r w:rsidRPr="00E15C15">
        <w:rPr>
          <w:rFonts w:asciiTheme="minorHAnsi" w:hAnsiTheme="minorHAnsi" w:cstheme="minorHAnsi"/>
          <w:sz w:val="20"/>
          <w:szCs w:val="20"/>
          <w:lang w:val="sr-Latn-CS"/>
        </w:rPr>
        <w:t>Rezultati ispitivanja fizičko-mehaničkih i mineraloško-petrografskih osobina stijenske mase ukazuju da se radi o mineralnoj sirovini sa dobrim karakteristikama.</w:t>
      </w:r>
    </w:p>
    <w:p w:rsidR="005F0BE9" w:rsidRPr="00E15C15" w:rsidRDefault="005F0BE9" w:rsidP="00403695">
      <w:pPr>
        <w:jc w:val="both"/>
        <w:rPr>
          <w:rFonts w:asciiTheme="minorHAnsi" w:hAnsiTheme="minorHAnsi" w:cstheme="minorHAnsi"/>
          <w:sz w:val="20"/>
          <w:szCs w:val="20"/>
          <w:lang w:val="sr-Latn-CS"/>
        </w:rPr>
      </w:pPr>
    </w:p>
    <w:p w:rsidR="005F0BE9" w:rsidRPr="00E15C15" w:rsidRDefault="005F0BE9" w:rsidP="00403695">
      <w:pPr>
        <w:jc w:val="both"/>
        <w:rPr>
          <w:rFonts w:asciiTheme="minorHAnsi" w:hAnsiTheme="minorHAnsi" w:cstheme="minorHAnsi"/>
          <w:sz w:val="20"/>
          <w:szCs w:val="20"/>
          <w:lang w:val="sr-Latn-CS"/>
        </w:rPr>
      </w:pPr>
      <w:r w:rsidRPr="00E15C15">
        <w:rPr>
          <w:rFonts w:asciiTheme="minorHAnsi" w:hAnsiTheme="minorHAnsi" w:cstheme="minorHAnsi"/>
          <w:sz w:val="20"/>
          <w:szCs w:val="20"/>
          <w:lang w:val="sr-Latn-CS"/>
        </w:rPr>
        <w:t xml:space="preserve">Na osnovu rezultata laboratorijskih ispitivanja arhitektonsko-građevinskog kamena, ležišta „Radujev krš“, a saglasno važećim standardima i tehničkim uslovima, </w:t>
      </w:r>
      <w:r w:rsidRPr="00E15C15">
        <w:rPr>
          <w:rFonts w:asciiTheme="minorHAnsi" w:hAnsiTheme="minorHAnsi" w:cstheme="minorHAnsi"/>
          <w:b/>
          <w:sz w:val="20"/>
          <w:szCs w:val="20"/>
          <w:lang w:val="sr-Latn-CS"/>
        </w:rPr>
        <w:t>utvrđeno je da se kamen može upotrijebiti kao sirovina za:</w:t>
      </w:r>
      <w:r w:rsidRPr="00E15C15">
        <w:rPr>
          <w:rFonts w:asciiTheme="minorHAnsi" w:hAnsiTheme="minorHAnsi" w:cstheme="minorHAnsi"/>
          <w:sz w:val="20"/>
          <w:szCs w:val="20"/>
          <w:lang w:val="sr-Latn-CS"/>
        </w:rPr>
        <w:t xml:space="preserve"> </w:t>
      </w:r>
    </w:p>
    <w:p w:rsidR="005F0BE9" w:rsidRPr="00E15C15" w:rsidRDefault="005F0BE9" w:rsidP="00403695">
      <w:pPr>
        <w:jc w:val="both"/>
        <w:rPr>
          <w:rFonts w:asciiTheme="minorHAnsi" w:hAnsiTheme="minorHAnsi" w:cstheme="minorHAnsi"/>
          <w:b/>
          <w:sz w:val="20"/>
          <w:szCs w:val="20"/>
          <w:lang w:val="sr-Latn-CS"/>
        </w:rPr>
      </w:pPr>
    </w:p>
    <w:p w:rsidR="005F0BE9" w:rsidRPr="00E15C15" w:rsidRDefault="005F0BE9" w:rsidP="00403695">
      <w:pPr>
        <w:numPr>
          <w:ilvl w:val="0"/>
          <w:numId w:val="14"/>
        </w:numPr>
        <w:tabs>
          <w:tab w:val="left" w:pos="8280"/>
        </w:tabs>
        <w:jc w:val="both"/>
        <w:rPr>
          <w:rFonts w:asciiTheme="minorHAnsi" w:hAnsiTheme="minorHAnsi" w:cstheme="minorHAnsi"/>
          <w:b/>
          <w:sz w:val="20"/>
          <w:szCs w:val="20"/>
          <w:lang w:val="sr-Latn-CS"/>
        </w:rPr>
      </w:pPr>
      <w:r w:rsidRPr="00E15C15">
        <w:rPr>
          <w:rFonts w:asciiTheme="minorHAnsi" w:hAnsiTheme="minorHAnsi" w:cstheme="minorHAnsi"/>
          <w:sz w:val="20"/>
          <w:szCs w:val="20"/>
          <w:lang w:val="sr-Latn-CS"/>
        </w:rPr>
        <w:t>proizvodnju ploča za oblaganje unutrašnjih vertikalnih površina,</w:t>
      </w:r>
    </w:p>
    <w:p w:rsidR="005F0BE9" w:rsidRPr="00E15C15" w:rsidRDefault="005F0BE9" w:rsidP="00403695">
      <w:pPr>
        <w:numPr>
          <w:ilvl w:val="0"/>
          <w:numId w:val="14"/>
        </w:numPr>
        <w:tabs>
          <w:tab w:val="left" w:pos="8280"/>
        </w:tabs>
        <w:jc w:val="both"/>
        <w:rPr>
          <w:rFonts w:asciiTheme="minorHAnsi" w:hAnsiTheme="minorHAnsi" w:cstheme="minorHAnsi"/>
          <w:b/>
          <w:sz w:val="20"/>
          <w:szCs w:val="20"/>
          <w:lang w:val="sr-Latn-CS"/>
        </w:rPr>
      </w:pPr>
      <w:r w:rsidRPr="00E15C15">
        <w:rPr>
          <w:rFonts w:asciiTheme="minorHAnsi" w:hAnsiTheme="minorHAnsi" w:cstheme="minorHAnsi"/>
          <w:sz w:val="20"/>
          <w:szCs w:val="20"/>
          <w:lang w:val="sr-Latn-CS"/>
        </w:rPr>
        <w:t xml:space="preserve">proizvodnju ploča za oblaganje unutrašnjih horizontalnih površina i </w:t>
      </w:r>
    </w:p>
    <w:p w:rsidR="005F0BE9" w:rsidRPr="00C33D5D" w:rsidRDefault="005F0BE9" w:rsidP="00403695">
      <w:pPr>
        <w:numPr>
          <w:ilvl w:val="0"/>
          <w:numId w:val="14"/>
        </w:numPr>
        <w:tabs>
          <w:tab w:val="left" w:pos="8280"/>
        </w:tabs>
        <w:jc w:val="both"/>
        <w:rPr>
          <w:rFonts w:asciiTheme="minorHAnsi" w:hAnsiTheme="minorHAnsi" w:cstheme="minorHAnsi"/>
          <w:b/>
          <w:sz w:val="20"/>
          <w:szCs w:val="20"/>
          <w:lang w:val="sr-Latn-CS"/>
        </w:rPr>
      </w:pPr>
      <w:r w:rsidRPr="00E15C15">
        <w:rPr>
          <w:rFonts w:asciiTheme="minorHAnsi" w:hAnsiTheme="minorHAnsi" w:cstheme="minorHAnsi"/>
          <w:sz w:val="20"/>
          <w:szCs w:val="20"/>
          <w:lang w:val="sr-Latn-CS"/>
        </w:rPr>
        <w:t>proizvodnju ploča za oblaganje spoljašnjih vertikalnih površina na objekatima do 10m visine.</w:t>
      </w:r>
    </w:p>
    <w:p w:rsidR="005F0BE9" w:rsidRDefault="005F0BE9" w:rsidP="00403695">
      <w:pPr>
        <w:jc w:val="both"/>
        <w:rPr>
          <w:rFonts w:ascii="Calibri" w:hAnsi="Calibri" w:cs="Calibri"/>
          <w:b/>
          <w:sz w:val="20"/>
          <w:szCs w:val="20"/>
        </w:rPr>
      </w:pPr>
    </w:p>
    <w:p w:rsidR="005F0BE9" w:rsidRDefault="005F0BE9" w:rsidP="00403695">
      <w:pPr>
        <w:jc w:val="both"/>
        <w:rPr>
          <w:rFonts w:ascii="Calibri" w:hAnsi="Calibri" w:cs="Calibri"/>
          <w:sz w:val="20"/>
          <w:szCs w:val="20"/>
        </w:rPr>
      </w:pPr>
      <w:r>
        <w:rPr>
          <w:rFonts w:ascii="Calibri" w:hAnsi="Calibri" w:cs="Calibri"/>
          <w:sz w:val="20"/>
          <w:szCs w:val="20"/>
        </w:rPr>
        <w:t>U skladu sa vaećim propisima, Stručni tim koji je Ministarstvo ekonomije ovlastilo, izvršilo je kontrolu otkopanih količina mineralne sirovine AGK na ležištu „Radujev krš“. Kontrola je izvršena dana 18.11.2014. godine.</w:t>
      </w:r>
    </w:p>
    <w:p w:rsidR="00A151EE" w:rsidRPr="005F0BE9" w:rsidRDefault="005F0BE9" w:rsidP="00403695">
      <w:pPr>
        <w:jc w:val="both"/>
        <w:rPr>
          <w:rFonts w:ascii="Calibri" w:hAnsi="Calibri" w:cs="Calibri"/>
          <w:sz w:val="20"/>
          <w:szCs w:val="20"/>
        </w:rPr>
      </w:pPr>
      <w:r>
        <w:rPr>
          <w:rFonts w:ascii="Calibri" w:hAnsi="Calibri" w:cs="Calibri"/>
          <w:sz w:val="20"/>
          <w:szCs w:val="20"/>
        </w:rPr>
        <w:t>Stručni tim je u svom Izvještaju konstatovao da ukupne otkopane  količine tombolona i komercijalnog bloka iz ležišta „Radujev krš“, u periodu od 31.12.2000. do 18.11.2014. godine, iznose 1.056,37 m</w:t>
      </w:r>
      <w:r>
        <w:rPr>
          <w:rFonts w:ascii="Calibri" w:hAnsi="Calibri" w:cs="Calibri"/>
          <w:sz w:val="20"/>
          <w:szCs w:val="20"/>
          <w:vertAlign w:val="superscript"/>
        </w:rPr>
        <w:t>3</w:t>
      </w:r>
      <w:r>
        <w:rPr>
          <w:rFonts w:ascii="Calibri" w:hAnsi="Calibri" w:cs="Calibri"/>
          <w:sz w:val="20"/>
          <w:szCs w:val="20"/>
        </w:rPr>
        <w:t>, odnosno 1.056 m</w:t>
      </w:r>
      <w:r>
        <w:rPr>
          <w:rFonts w:ascii="Calibri" w:hAnsi="Calibri" w:cs="Calibri"/>
          <w:sz w:val="20"/>
          <w:szCs w:val="20"/>
          <w:vertAlign w:val="superscript"/>
        </w:rPr>
        <w:t>3</w:t>
      </w:r>
      <w:r>
        <w:rPr>
          <w:rFonts w:ascii="Calibri" w:hAnsi="Calibri" w:cs="Calibri"/>
          <w:sz w:val="20"/>
          <w:szCs w:val="20"/>
        </w:rPr>
        <w:t>.</w:t>
      </w:r>
    </w:p>
    <w:p w:rsidR="00AB16D5" w:rsidRPr="003B150E" w:rsidRDefault="00AB16D5" w:rsidP="00403695">
      <w:pPr>
        <w:jc w:val="both"/>
        <w:rPr>
          <w:rFonts w:ascii="Calibri" w:hAnsi="Calibri" w:cs="Calibri"/>
          <w:b/>
          <w:sz w:val="20"/>
          <w:szCs w:val="20"/>
          <w:lang w:val="de-DE"/>
        </w:rPr>
      </w:pPr>
    </w:p>
    <w:p w:rsidR="00A151EE" w:rsidRDefault="00FD337B" w:rsidP="00403695">
      <w:pPr>
        <w:jc w:val="both"/>
        <w:rPr>
          <w:rFonts w:ascii="Calibri" w:hAnsi="Calibri" w:cs="Calibri"/>
          <w:b/>
          <w:sz w:val="20"/>
          <w:szCs w:val="20"/>
          <w:lang w:val="sv-SE"/>
        </w:rPr>
      </w:pPr>
      <w:r>
        <w:rPr>
          <w:rFonts w:ascii="Calibri" w:hAnsi="Calibri" w:cs="Calibri"/>
          <w:b/>
          <w:sz w:val="20"/>
          <w:szCs w:val="20"/>
          <w:lang w:val="sv-SE"/>
        </w:rPr>
        <w:t>10</w:t>
      </w:r>
      <w:r w:rsidR="00AB16D5" w:rsidRPr="00AB4843">
        <w:rPr>
          <w:rFonts w:ascii="Calibri" w:hAnsi="Calibri" w:cs="Calibri"/>
          <w:b/>
          <w:sz w:val="20"/>
          <w:szCs w:val="20"/>
          <w:lang w:val="sv-SE"/>
        </w:rPr>
        <w:t xml:space="preserve">. </w:t>
      </w:r>
      <w:r w:rsidR="00141925" w:rsidRPr="00AB4843">
        <w:rPr>
          <w:rFonts w:ascii="Calibri" w:hAnsi="Calibri" w:cs="Calibri"/>
          <w:b/>
          <w:sz w:val="20"/>
          <w:szCs w:val="20"/>
          <w:lang w:val="sv-SE"/>
        </w:rPr>
        <w:t xml:space="preserve">Ležište arhitektonsko-građevinskog (ukrasnog) kamena </w:t>
      </w:r>
      <w:r w:rsidR="00362BAF">
        <w:rPr>
          <w:rFonts w:ascii="Calibri" w:hAnsi="Calibri" w:cs="Calibri"/>
          <w:b/>
          <w:sz w:val="20"/>
          <w:szCs w:val="20"/>
          <w:lang w:val="sv-SE"/>
        </w:rPr>
        <w:t xml:space="preserve">(AGK) </w:t>
      </w:r>
      <w:r w:rsidR="00141925" w:rsidRPr="00AB4843">
        <w:rPr>
          <w:rFonts w:ascii="Calibri" w:hAnsi="Calibri" w:cs="Calibri"/>
          <w:b/>
          <w:sz w:val="20"/>
          <w:szCs w:val="20"/>
          <w:lang w:val="sv-SE"/>
        </w:rPr>
        <w:t>“Krute”, opština Ulcinj</w:t>
      </w:r>
      <w:r w:rsidR="003F0C61">
        <w:rPr>
          <w:rFonts w:ascii="Calibri" w:hAnsi="Calibri" w:cs="Calibri"/>
          <w:b/>
          <w:sz w:val="20"/>
          <w:szCs w:val="20"/>
          <w:lang w:val="sv-SE"/>
        </w:rPr>
        <w:t xml:space="preserve"> </w:t>
      </w:r>
    </w:p>
    <w:p w:rsidR="00A151EE" w:rsidRDefault="00A151EE" w:rsidP="00403695">
      <w:pPr>
        <w:jc w:val="both"/>
        <w:rPr>
          <w:rFonts w:ascii="Calibri" w:hAnsi="Calibri" w:cs="Calibri"/>
          <w:b/>
          <w:sz w:val="20"/>
          <w:szCs w:val="20"/>
          <w:lang w:val="sv-SE"/>
        </w:rPr>
      </w:pPr>
    </w:p>
    <w:p w:rsidR="00A151EE" w:rsidRDefault="003F0C61" w:rsidP="00403695">
      <w:pPr>
        <w:jc w:val="both"/>
        <w:rPr>
          <w:rFonts w:ascii="Calibri" w:hAnsi="Calibri" w:cs="Calibri"/>
          <w:sz w:val="20"/>
          <w:szCs w:val="20"/>
          <w:lang w:val="sv-SE"/>
        </w:rPr>
      </w:pPr>
      <w:r>
        <w:rPr>
          <w:rFonts w:ascii="Calibri" w:hAnsi="Calibri" w:cs="Calibri"/>
          <w:sz w:val="20"/>
          <w:szCs w:val="20"/>
          <w:lang w:val="sv-SE"/>
        </w:rPr>
        <w:t>Ležište arhitektonsko-građevinskog (ukrasnog) kamena (AGK) ”Krute” nalazi se u opštini Ulcinj na putu Vladimir – Bar. Udaljeno je 2 km prema Baru od raskrsnice toga puta sa putem Ulcinj – Vladimir.</w:t>
      </w:r>
    </w:p>
    <w:p w:rsidR="003F0C61" w:rsidRDefault="003F0C61" w:rsidP="00403695">
      <w:pPr>
        <w:jc w:val="both"/>
        <w:rPr>
          <w:rFonts w:ascii="Calibri" w:hAnsi="Calibri" w:cs="Calibri"/>
          <w:sz w:val="20"/>
          <w:szCs w:val="20"/>
          <w:lang w:val="sv-SE"/>
        </w:rPr>
      </w:pPr>
    </w:p>
    <w:p w:rsidR="003F0C61" w:rsidRDefault="003F0C61" w:rsidP="00403695">
      <w:pPr>
        <w:jc w:val="both"/>
        <w:rPr>
          <w:rFonts w:ascii="Calibri" w:hAnsi="Calibri" w:cs="Calibri"/>
          <w:sz w:val="20"/>
          <w:szCs w:val="20"/>
          <w:lang w:val="sv-SE"/>
        </w:rPr>
      </w:pPr>
      <w:r>
        <w:rPr>
          <w:rFonts w:ascii="Calibri" w:hAnsi="Calibri" w:cs="Calibri"/>
          <w:sz w:val="20"/>
          <w:szCs w:val="20"/>
          <w:lang w:val="sv-SE"/>
        </w:rPr>
        <w:t xml:space="preserve">Šira okolina ležišta ”Krute” izgrađuju tvorevine trijaske, jurske, kredne, eocenske i kvartarne naslage, a samo ležište je kredne starosti. </w:t>
      </w:r>
    </w:p>
    <w:p w:rsidR="003F0C61" w:rsidRDefault="003F0C61" w:rsidP="00403695">
      <w:pPr>
        <w:jc w:val="both"/>
        <w:rPr>
          <w:rFonts w:ascii="Calibri" w:hAnsi="Calibri" w:cs="Calibri"/>
          <w:sz w:val="20"/>
          <w:szCs w:val="20"/>
          <w:lang w:val="sv-SE"/>
        </w:rPr>
      </w:pPr>
    </w:p>
    <w:p w:rsidR="003F0C61" w:rsidRDefault="003F0C61" w:rsidP="00403695">
      <w:pPr>
        <w:jc w:val="both"/>
        <w:rPr>
          <w:rFonts w:ascii="Calibri" w:hAnsi="Calibri" w:cs="Calibri"/>
          <w:sz w:val="20"/>
          <w:szCs w:val="20"/>
          <w:lang w:val="sv-SE"/>
        </w:rPr>
      </w:pPr>
      <w:r>
        <w:rPr>
          <w:rFonts w:ascii="Calibri" w:hAnsi="Calibri" w:cs="Calibri"/>
          <w:sz w:val="20"/>
          <w:szCs w:val="20"/>
          <w:lang w:val="sv-SE"/>
        </w:rPr>
        <w:t>Ležište AGK ”Krute” izgrađeno je od senonskih karbonatnih tvorevina</w:t>
      </w:r>
      <w:r w:rsidR="00755789">
        <w:rPr>
          <w:rFonts w:ascii="Calibri" w:hAnsi="Calibri" w:cs="Calibri"/>
          <w:sz w:val="20"/>
          <w:szCs w:val="20"/>
          <w:lang w:val="sv-SE"/>
        </w:rPr>
        <w:t>: krečnjaka, dolomita i karbonatnih breča. Dvije trećine ležišta grade banci i slojevi krečnjaka, manje ili više dolomitisani. Krečnjaci su bankoviti, rjeđe slojeviti. Dominantni su dolomitisani biomikriti, a podređeno se javljaju laminirani i fenestralni mikriti. Dolomitisani biomikriti su bankoviti, debljine banaka od 0,8 do 1,2 m.</w:t>
      </w:r>
    </w:p>
    <w:p w:rsidR="00755789" w:rsidRDefault="00755789" w:rsidP="00403695">
      <w:pPr>
        <w:jc w:val="both"/>
        <w:rPr>
          <w:rFonts w:ascii="Calibri" w:hAnsi="Calibri" w:cs="Calibri"/>
          <w:sz w:val="20"/>
          <w:szCs w:val="20"/>
          <w:lang w:val="sv-SE"/>
        </w:rPr>
      </w:pPr>
      <w:r>
        <w:rPr>
          <w:rFonts w:ascii="Calibri" w:hAnsi="Calibri" w:cs="Calibri"/>
          <w:sz w:val="20"/>
          <w:szCs w:val="20"/>
          <w:lang w:val="sv-SE"/>
        </w:rPr>
        <w:lastRenderedPageBreak/>
        <w:t>Pravi dolomiti su rijetki.</w:t>
      </w:r>
    </w:p>
    <w:p w:rsidR="00755789" w:rsidRDefault="00755789" w:rsidP="00403695">
      <w:pPr>
        <w:jc w:val="both"/>
        <w:rPr>
          <w:rFonts w:ascii="Calibri" w:hAnsi="Calibri" w:cs="Calibri"/>
          <w:sz w:val="20"/>
          <w:szCs w:val="20"/>
          <w:lang w:val="sv-SE"/>
        </w:rPr>
      </w:pPr>
    </w:p>
    <w:p w:rsidR="00FD337B" w:rsidRDefault="00755789" w:rsidP="00403695">
      <w:pPr>
        <w:jc w:val="both"/>
        <w:rPr>
          <w:rFonts w:ascii="Calibri" w:hAnsi="Calibri" w:cs="Calibri"/>
          <w:sz w:val="20"/>
          <w:szCs w:val="20"/>
          <w:lang w:val="sv-SE"/>
        </w:rPr>
      </w:pPr>
      <w:r>
        <w:rPr>
          <w:rFonts w:ascii="Calibri" w:hAnsi="Calibri" w:cs="Calibri"/>
          <w:sz w:val="20"/>
          <w:szCs w:val="20"/>
          <w:lang w:val="sv-SE"/>
        </w:rPr>
        <w:t>U okviru kontura sedimentnog ležišta AGK ”Krute” javljaju se: banci (0,8-1,2 m), dolomitisani biomikriti, slojevi i banci (0,4-1,2 m), breča; slojevi (5-15 cm) ranodijagenetskog dolomita i slojevi, banci, sočiva i nepravilna nagomilanja kasno kasnodijagenetskog dolomita.</w:t>
      </w:r>
    </w:p>
    <w:p w:rsidR="00F85781" w:rsidRPr="00FD337B" w:rsidRDefault="00F85781" w:rsidP="00403695">
      <w:pPr>
        <w:jc w:val="both"/>
        <w:rPr>
          <w:rFonts w:ascii="Calibri" w:hAnsi="Calibri" w:cs="Calibri"/>
          <w:sz w:val="20"/>
          <w:szCs w:val="20"/>
          <w:lang w:val="sv-SE"/>
        </w:rPr>
      </w:pPr>
    </w:p>
    <w:p w:rsidR="00FD337B" w:rsidRPr="00F85781" w:rsidRDefault="00F85781" w:rsidP="00403695">
      <w:pPr>
        <w:jc w:val="both"/>
        <w:rPr>
          <w:rFonts w:asciiTheme="minorHAnsi" w:hAnsiTheme="minorHAnsi" w:cstheme="minorHAnsi"/>
          <w:noProof/>
          <w:sz w:val="20"/>
          <w:szCs w:val="20"/>
          <w:lang w:val="sv-SE"/>
        </w:rPr>
      </w:pPr>
      <w:r>
        <w:rPr>
          <w:rFonts w:asciiTheme="minorHAnsi" w:hAnsiTheme="minorHAnsi" w:cstheme="minorHAnsi"/>
          <w:sz w:val="20"/>
          <w:szCs w:val="20"/>
          <w:lang w:val="pl-PL"/>
        </w:rPr>
        <w:t>E</w:t>
      </w:r>
      <w:r w:rsidRPr="00F85781">
        <w:rPr>
          <w:rFonts w:asciiTheme="minorHAnsi" w:hAnsiTheme="minorHAnsi" w:cstheme="minorHAnsi"/>
          <w:sz w:val="20"/>
          <w:szCs w:val="20"/>
          <w:lang w:val="pl-PL"/>
        </w:rPr>
        <w:t>eksploatacioni prostor “Krute</w:t>
      </w:r>
      <w:r>
        <w:rPr>
          <w:rFonts w:asciiTheme="minorHAnsi" w:hAnsiTheme="minorHAnsi" w:cstheme="minorHAnsi"/>
          <w:sz w:val="20"/>
          <w:szCs w:val="20"/>
          <w:lang w:val="pl-PL"/>
        </w:rPr>
        <w:t>” zahvata</w:t>
      </w:r>
      <w:r w:rsidRPr="00F85781">
        <w:rPr>
          <w:rFonts w:asciiTheme="minorHAnsi" w:hAnsiTheme="minorHAnsi" w:cstheme="minorHAnsi"/>
          <w:sz w:val="20"/>
          <w:szCs w:val="20"/>
          <w:lang w:val="pl-PL"/>
        </w:rPr>
        <w:t xml:space="preserve"> površinu od</w:t>
      </w:r>
      <w:r>
        <w:rPr>
          <w:rFonts w:asciiTheme="minorHAnsi" w:hAnsiTheme="minorHAnsi" w:cstheme="minorHAnsi"/>
          <w:sz w:val="20"/>
          <w:szCs w:val="20"/>
          <w:lang w:val="pl-PL"/>
        </w:rPr>
        <w:t xml:space="preserve"> 9,8 </w:t>
      </w:r>
      <w:r w:rsidRPr="00F85781">
        <w:rPr>
          <w:rFonts w:asciiTheme="minorHAnsi" w:hAnsiTheme="minorHAnsi" w:cstheme="minorHAnsi"/>
          <w:sz w:val="20"/>
          <w:szCs w:val="20"/>
          <w:lang w:val="sr-Latn-CS"/>
        </w:rPr>
        <w:t>ha</w:t>
      </w:r>
      <w:r w:rsidRPr="00F85781">
        <w:rPr>
          <w:rFonts w:asciiTheme="minorHAnsi" w:hAnsiTheme="minorHAnsi" w:cstheme="minorHAnsi"/>
          <w:sz w:val="20"/>
          <w:szCs w:val="20"/>
          <w:lang w:val="pl-PL"/>
        </w:rPr>
        <w:t>, u koordinatama konturnih tačaka, k</w:t>
      </w:r>
      <w:r>
        <w:rPr>
          <w:rFonts w:asciiTheme="minorHAnsi" w:hAnsiTheme="minorHAnsi" w:cstheme="minorHAnsi"/>
          <w:sz w:val="20"/>
          <w:szCs w:val="20"/>
          <w:lang w:val="pl-PL"/>
        </w:rPr>
        <w:t>ako je dato u  tabeli</w:t>
      </w:r>
      <w:r w:rsidRPr="00F85781">
        <w:rPr>
          <w:rFonts w:asciiTheme="minorHAnsi" w:hAnsiTheme="minorHAnsi" w:cstheme="minorHAnsi"/>
          <w:sz w:val="20"/>
          <w:szCs w:val="20"/>
          <w:lang w:val="pl-PL"/>
        </w:rPr>
        <w:t>:</w:t>
      </w:r>
    </w:p>
    <w:p w:rsidR="00FD337B" w:rsidRPr="00AB4843" w:rsidRDefault="00FD337B" w:rsidP="00403695">
      <w:pPr>
        <w:ind w:left="360"/>
        <w:jc w:val="both"/>
        <w:rPr>
          <w:rFonts w:asciiTheme="minorHAnsi" w:hAnsiTheme="minorHAnsi" w:cstheme="minorHAnsi"/>
          <w:b/>
          <w:noProof/>
          <w:sz w:val="20"/>
          <w:szCs w:val="20"/>
        </w:rPr>
      </w:pPr>
      <w:r w:rsidRPr="00AB4843">
        <w:rPr>
          <w:rFonts w:asciiTheme="minorHAnsi" w:hAnsiTheme="minorHAnsi" w:cstheme="minorHAnsi"/>
          <w:noProof/>
          <w:sz w:val="20"/>
          <w:szCs w:val="20"/>
          <w:lang w:val="sv-SE"/>
        </w:rPr>
        <w:t xml:space="preserve">                                                            </w:t>
      </w:r>
      <w:r w:rsidR="00F85781">
        <w:rPr>
          <w:rFonts w:asciiTheme="minorHAnsi" w:hAnsiTheme="minorHAnsi" w:cstheme="minorHAnsi"/>
          <w:b/>
          <w:noProof/>
          <w:sz w:val="20"/>
          <w:szCs w:val="20"/>
        </w:rPr>
        <w:t xml:space="preserve">Granice eksploatacionog </w:t>
      </w:r>
      <w:r w:rsidR="00277C57">
        <w:rPr>
          <w:rFonts w:asciiTheme="minorHAnsi" w:hAnsiTheme="minorHAnsi" w:cstheme="minorHAnsi"/>
          <w:b/>
          <w:noProof/>
          <w:sz w:val="20"/>
          <w:szCs w:val="20"/>
        </w:rPr>
        <w:t xml:space="preserve"> prostora</w:t>
      </w:r>
      <w:r w:rsidRPr="00AB4843">
        <w:rPr>
          <w:rFonts w:asciiTheme="minorHAnsi" w:hAnsiTheme="minorHAnsi" w:cstheme="minorHAnsi"/>
          <w:b/>
          <w:noProof/>
          <w:sz w:val="20"/>
          <w:szCs w:val="20"/>
        </w:rPr>
        <w:t xml:space="preserve"> „Krute“</w:t>
      </w:r>
    </w:p>
    <w:tbl>
      <w:tblPr>
        <w:tblW w:w="5000" w:type="pct"/>
        <w:tblLook w:val="01E0" w:firstRow="1" w:lastRow="1" w:firstColumn="1" w:lastColumn="1" w:noHBand="0" w:noVBand="0"/>
      </w:tblPr>
      <w:tblGrid>
        <w:gridCol w:w="1781"/>
        <w:gridCol w:w="1898"/>
        <w:gridCol w:w="1898"/>
        <w:gridCol w:w="2277"/>
        <w:gridCol w:w="1722"/>
      </w:tblGrid>
      <w:tr w:rsidR="00FD337B" w:rsidRPr="00AB4843" w:rsidTr="00AF53FF">
        <w:trPr>
          <w:trHeight w:val="210"/>
        </w:trPr>
        <w:tc>
          <w:tcPr>
            <w:tcW w:w="930" w:type="pct"/>
            <w:vMerge w:val="restart"/>
            <w:tcBorders>
              <w:top w:val="thinThickSmallGap" w:sz="12" w:space="0" w:color="auto"/>
              <w:left w:val="thinThickSmallGap" w:sz="12" w:space="0" w:color="auto"/>
              <w:bottom w:val="single" w:sz="4" w:space="0" w:color="000000" w:themeColor="text1"/>
              <w:right w:val="double" w:sz="4" w:space="0" w:color="auto"/>
            </w:tcBorders>
            <w:shd w:val="clear" w:color="auto" w:fill="92D050"/>
            <w:vAlign w:val="center"/>
            <w:hideMark/>
          </w:tcPr>
          <w:p w:rsidR="00FD337B" w:rsidRPr="00AB4843" w:rsidRDefault="00FD337B" w:rsidP="00AF53FF">
            <w:pPr>
              <w:jc w:val="center"/>
              <w:rPr>
                <w:rFonts w:asciiTheme="minorHAnsi" w:hAnsiTheme="minorHAnsi" w:cstheme="minorHAnsi"/>
                <w:b/>
                <w:noProof/>
                <w:sz w:val="20"/>
                <w:szCs w:val="20"/>
              </w:rPr>
            </w:pPr>
            <w:r w:rsidRPr="00AB4843">
              <w:rPr>
                <w:rFonts w:asciiTheme="minorHAnsi" w:hAnsiTheme="minorHAnsi" w:cstheme="minorHAnsi"/>
                <w:b/>
                <w:noProof/>
                <w:sz w:val="20"/>
                <w:szCs w:val="20"/>
              </w:rPr>
              <w:t>T A Č K A</w:t>
            </w:r>
          </w:p>
        </w:tc>
        <w:tc>
          <w:tcPr>
            <w:tcW w:w="1982" w:type="pct"/>
            <w:gridSpan w:val="2"/>
            <w:tcBorders>
              <w:top w:val="thinThickSmallGap" w:sz="12" w:space="0" w:color="auto"/>
              <w:left w:val="double" w:sz="4" w:space="0" w:color="auto"/>
              <w:bottom w:val="single" w:sz="4" w:space="0" w:color="000000" w:themeColor="text1"/>
              <w:right w:val="single" w:sz="4" w:space="0" w:color="000000" w:themeColor="text1"/>
            </w:tcBorders>
            <w:shd w:val="clear" w:color="auto" w:fill="92D050"/>
            <w:vAlign w:val="center"/>
            <w:hideMark/>
          </w:tcPr>
          <w:p w:rsidR="00FD337B" w:rsidRPr="00AB4843" w:rsidRDefault="00FD337B" w:rsidP="00AF53FF">
            <w:pPr>
              <w:jc w:val="center"/>
              <w:rPr>
                <w:rFonts w:asciiTheme="minorHAnsi" w:hAnsiTheme="minorHAnsi" w:cstheme="minorHAnsi"/>
                <w:b/>
                <w:noProof/>
                <w:sz w:val="20"/>
                <w:szCs w:val="20"/>
              </w:rPr>
            </w:pPr>
            <w:r w:rsidRPr="00AB4843">
              <w:rPr>
                <w:rFonts w:asciiTheme="minorHAnsi" w:hAnsiTheme="minorHAnsi" w:cstheme="minorHAnsi"/>
                <w:b/>
                <w:noProof/>
                <w:sz w:val="20"/>
                <w:szCs w:val="20"/>
              </w:rPr>
              <w:t>KOORDINATE TAČAKA</w:t>
            </w:r>
          </w:p>
        </w:tc>
        <w:tc>
          <w:tcPr>
            <w:tcW w:w="1189" w:type="pct"/>
            <w:vMerge w:val="restart"/>
            <w:tcBorders>
              <w:top w:val="thinThickSmallGap" w:sz="12" w:space="0" w:color="auto"/>
              <w:left w:val="single" w:sz="4" w:space="0" w:color="000000" w:themeColor="text1"/>
              <w:bottom w:val="single" w:sz="4" w:space="0" w:color="000000" w:themeColor="text1"/>
              <w:right w:val="single" w:sz="4" w:space="0" w:color="000000" w:themeColor="text1"/>
            </w:tcBorders>
            <w:shd w:val="clear" w:color="auto" w:fill="92D050"/>
            <w:vAlign w:val="center"/>
            <w:hideMark/>
          </w:tcPr>
          <w:p w:rsidR="00FD337B" w:rsidRPr="00AB4843" w:rsidRDefault="00FD337B" w:rsidP="00AF53FF">
            <w:pPr>
              <w:jc w:val="center"/>
              <w:rPr>
                <w:rFonts w:asciiTheme="minorHAnsi" w:hAnsiTheme="minorHAnsi" w:cstheme="minorHAnsi"/>
                <w:b/>
                <w:noProof/>
                <w:sz w:val="20"/>
                <w:szCs w:val="20"/>
              </w:rPr>
            </w:pPr>
            <w:r w:rsidRPr="00AB4843">
              <w:rPr>
                <w:rFonts w:asciiTheme="minorHAnsi" w:hAnsiTheme="minorHAnsi" w:cstheme="minorHAnsi"/>
                <w:b/>
                <w:noProof/>
                <w:sz w:val="20"/>
                <w:szCs w:val="20"/>
              </w:rPr>
              <w:t>DUŽINA</w:t>
            </w:r>
          </w:p>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b/>
                <w:noProof/>
                <w:sz w:val="20"/>
                <w:szCs w:val="20"/>
              </w:rPr>
              <w:t>STRANA (m)</w:t>
            </w:r>
          </w:p>
        </w:tc>
        <w:tc>
          <w:tcPr>
            <w:tcW w:w="899" w:type="pct"/>
            <w:vMerge w:val="restart"/>
            <w:tcBorders>
              <w:top w:val="thinThickSmallGap" w:sz="12" w:space="0" w:color="auto"/>
              <w:left w:val="single" w:sz="4" w:space="0" w:color="000000" w:themeColor="text1"/>
              <w:bottom w:val="single" w:sz="4" w:space="0" w:color="000000" w:themeColor="text1"/>
              <w:right w:val="thinThickSmallGap" w:sz="12" w:space="0" w:color="auto"/>
            </w:tcBorders>
            <w:shd w:val="clear" w:color="auto" w:fill="92D050"/>
            <w:vAlign w:val="center"/>
            <w:hideMark/>
          </w:tcPr>
          <w:p w:rsidR="00FD337B" w:rsidRPr="00AB4843" w:rsidRDefault="00FD337B" w:rsidP="00AF53FF">
            <w:pPr>
              <w:jc w:val="center"/>
              <w:rPr>
                <w:rFonts w:asciiTheme="minorHAnsi" w:hAnsiTheme="minorHAnsi" w:cstheme="minorHAnsi"/>
                <w:b/>
                <w:noProof/>
                <w:sz w:val="20"/>
                <w:szCs w:val="20"/>
              </w:rPr>
            </w:pPr>
            <w:r w:rsidRPr="00AB4843">
              <w:rPr>
                <w:rFonts w:asciiTheme="minorHAnsi" w:hAnsiTheme="minorHAnsi" w:cstheme="minorHAnsi"/>
                <w:b/>
                <w:noProof/>
                <w:sz w:val="20"/>
                <w:szCs w:val="20"/>
              </w:rPr>
              <w:t>POVRŠINA</w:t>
            </w:r>
          </w:p>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b/>
                <w:noProof/>
                <w:sz w:val="20"/>
                <w:szCs w:val="20"/>
              </w:rPr>
              <w:t>( ha)</w:t>
            </w:r>
          </w:p>
        </w:tc>
      </w:tr>
      <w:tr w:rsidR="00FD337B" w:rsidRPr="00AB4843" w:rsidTr="00AF53FF">
        <w:trPr>
          <w:trHeight w:val="272"/>
        </w:trPr>
        <w:tc>
          <w:tcPr>
            <w:tcW w:w="930" w:type="pct"/>
            <w:vMerge/>
            <w:tcBorders>
              <w:top w:val="single" w:sz="4" w:space="0" w:color="000000" w:themeColor="text1"/>
              <w:left w:val="thinThickSmallGap" w:sz="12" w:space="0" w:color="auto"/>
              <w:bottom w:val="double" w:sz="4" w:space="0" w:color="auto"/>
              <w:right w:val="double" w:sz="4" w:space="0" w:color="auto"/>
            </w:tcBorders>
            <w:shd w:val="clear" w:color="auto" w:fill="92D050"/>
            <w:vAlign w:val="center"/>
            <w:hideMark/>
          </w:tcPr>
          <w:p w:rsidR="00FD337B" w:rsidRPr="00AB4843" w:rsidRDefault="00FD337B" w:rsidP="00AF53FF">
            <w:pPr>
              <w:jc w:val="center"/>
              <w:rPr>
                <w:rFonts w:asciiTheme="minorHAnsi" w:hAnsiTheme="minorHAnsi" w:cstheme="minorHAnsi"/>
                <w:b/>
                <w:noProof/>
                <w:sz w:val="20"/>
                <w:szCs w:val="20"/>
              </w:rPr>
            </w:pPr>
          </w:p>
        </w:tc>
        <w:tc>
          <w:tcPr>
            <w:tcW w:w="991" w:type="pct"/>
            <w:tcBorders>
              <w:top w:val="single" w:sz="4" w:space="0" w:color="000000" w:themeColor="text1"/>
              <w:left w:val="double" w:sz="4" w:space="0" w:color="auto"/>
              <w:bottom w:val="double" w:sz="4" w:space="0" w:color="auto"/>
              <w:right w:val="single" w:sz="4" w:space="0" w:color="000000" w:themeColor="text1"/>
            </w:tcBorders>
            <w:shd w:val="clear" w:color="auto" w:fill="92D050"/>
            <w:vAlign w:val="center"/>
            <w:hideMark/>
          </w:tcPr>
          <w:p w:rsidR="00FD337B" w:rsidRPr="00AB4843" w:rsidRDefault="00FD337B" w:rsidP="00AF53FF">
            <w:pPr>
              <w:jc w:val="center"/>
              <w:rPr>
                <w:rFonts w:asciiTheme="minorHAnsi" w:hAnsiTheme="minorHAnsi" w:cstheme="minorHAnsi"/>
                <w:b/>
                <w:noProof/>
                <w:sz w:val="20"/>
                <w:szCs w:val="20"/>
              </w:rPr>
            </w:pPr>
            <w:r w:rsidRPr="00AB4843">
              <w:rPr>
                <w:rFonts w:asciiTheme="minorHAnsi" w:hAnsiTheme="minorHAnsi" w:cstheme="minorHAnsi"/>
                <w:b/>
                <w:noProof/>
                <w:sz w:val="20"/>
                <w:szCs w:val="20"/>
              </w:rPr>
              <w:t>X</w:t>
            </w:r>
          </w:p>
        </w:tc>
        <w:tc>
          <w:tcPr>
            <w:tcW w:w="991" w:type="pct"/>
            <w:tcBorders>
              <w:top w:val="single" w:sz="4" w:space="0" w:color="000000" w:themeColor="text1"/>
              <w:left w:val="single" w:sz="4" w:space="0" w:color="000000" w:themeColor="text1"/>
              <w:bottom w:val="double" w:sz="4" w:space="0" w:color="auto"/>
              <w:right w:val="single" w:sz="4" w:space="0" w:color="000000" w:themeColor="text1"/>
            </w:tcBorders>
            <w:shd w:val="clear" w:color="auto" w:fill="92D050"/>
            <w:vAlign w:val="center"/>
            <w:hideMark/>
          </w:tcPr>
          <w:p w:rsidR="00FD337B" w:rsidRPr="00AB4843" w:rsidRDefault="00FD337B" w:rsidP="00AF53FF">
            <w:pPr>
              <w:jc w:val="center"/>
              <w:rPr>
                <w:rFonts w:asciiTheme="minorHAnsi" w:hAnsiTheme="minorHAnsi" w:cstheme="minorHAnsi"/>
                <w:b/>
                <w:noProof/>
                <w:sz w:val="20"/>
                <w:szCs w:val="20"/>
              </w:rPr>
            </w:pPr>
            <w:r w:rsidRPr="00AB4843">
              <w:rPr>
                <w:rFonts w:asciiTheme="minorHAnsi" w:hAnsiTheme="minorHAnsi" w:cstheme="minorHAnsi"/>
                <w:b/>
                <w:noProof/>
                <w:sz w:val="20"/>
                <w:szCs w:val="20"/>
              </w:rPr>
              <w:t>Y</w:t>
            </w:r>
          </w:p>
        </w:tc>
        <w:tc>
          <w:tcPr>
            <w:tcW w:w="1189" w:type="pct"/>
            <w:vMerge/>
            <w:tcBorders>
              <w:top w:val="single" w:sz="4" w:space="0" w:color="000000" w:themeColor="text1"/>
              <w:left w:val="single" w:sz="4" w:space="0" w:color="000000" w:themeColor="text1"/>
              <w:bottom w:val="double" w:sz="4" w:space="0" w:color="auto"/>
              <w:right w:val="single" w:sz="4" w:space="0" w:color="000000" w:themeColor="text1"/>
            </w:tcBorders>
            <w:shd w:val="clear" w:color="auto" w:fill="92D050"/>
            <w:vAlign w:val="center"/>
            <w:hideMark/>
          </w:tcPr>
          <w:p w:rsidR="00FD337B" w:rsidRPr="00AB4843" w:rsidRDefault="00FD337B" w:rsidP="00AF53FF">
            <w:pPr>
              <w:jc w:val="center"/>
              <w:rPr>
                <w:rFonts w:asciiTheme="minorHAnsi" w:hAnsiTheme="minorHAnsi" w:cstheme="minorHAnsi"/>
                <w:noProof/>
                <w:sz w:val="20"/>
                <w:szCs w:val="20"/>
              </w:rPr>
            </w:pPr>
          </w:p>
        </w:tc>
        <w:tc>
          <w:tcPr>
            <w:tcW w:w="899" w:type="pct"/>
            <w:vMerge/>
            <w:tcBorders>
              <w:top w:val="single" w:sz="4" w:space="0" w:color="000000" w:themeColor="text1"/>
              <w:left w:val="single" w:sz="4" w:space="0" w:color="000000" w:themeColor="text1"/>
              <w:bottom w:val="double" w:sz="4" w:space="0" w:color="auto"/>
              <w:right w:val="thinThickSmallGap" w:sz="12" w:space="0" w:color="auto"/>
            </w:tcBorders>
            <w:shd w:val="clear" w:color="auto" w:fill="92D050"/>
            <w:vAlign w:val="center"/>
            <w:hideMark/>
          </w:tcPr>
          <w:p w:rsidR="00FD337B" w:rsidRPr="00AB4843" w:rsidRDefault="00FD337B" w:rsidP="00AF53FF">
            <w:pPr>
              <w:jc w:val="center"/>
              <w:rPr>
                <w:rFonts w:asciiTheme="minorHAnsi" w:hAnsiTheme="minorHAnsi" w:cstheme="minorHAnsi"/>
                <w:noProof/>
                <w:sz w:val="20"/>
                <w:szCs w:val="20"/>
              </w:rPr>
            </w:pPr>
          </w:p>
        </w:tc>
      </w:tr>
      <w:tr w:rsidR="00FD337B" w:rsidRPr="00AB4843" w:rsidTr="00AF53FF">
        <w:tc>
          <w:tcPr>
            <w:tcW w:w="930" w:type="pct"/>
            <w:tcBorders>
              <w:top w:val="double" w:sz="4" w:space="0" w:color="auto"/>
              <w:left w:val="thinThickSmallGap" w:sz="12" w:space="0" w:color="auto"/>
              <w:bottom w:val="single" w:sz="4" w:space="0" w:color="000000" w:themeColor="text1"/>
              <w:right w:val="double" w:sz="4" w:space="0" w:color="auto"/>
            </w:tcBorders>
            <w:vAlign w:val="center"/>
            <w:hideMark/>
          </w:tcPr>
          <w:p w:rsidR="00FD337B" w:rsidRPr="00AB4843" w:rsidRDefault="00FD337B" w:rsidP="00AF53FF">
            <w:pPr>
              <w:jc w:val="center"/>
              <w:rPr>
                <w:rFonts w:asciiTheme="minorHAnsi" w:hAnsiTheme="minorHAnsi" w:cstheme="minorHAnsi"/>
                <w:b/>
                <w:noProof/>
                <w:sz w:val="20"/>
                <w:szCs w:val="20"/>
              </w:rPr>
            </w:pPr>
            <w:r w:rsidRPr="00AB4843">
              <w:rPr>
                <w:rFonts w:asciiTheme="minorHAnsi" w:hAnsiTheme="minorHAnsi" w:cstheme="minorHAnsi"/>
                <w:b/>
                <w:noProof/>
                <w:sz w:val="20"/>
                <w:szCs w:val="20"/>
              </w:rPr>
              <w:t>A</w:t>
            </w:r>
          </w:p>
        </w:tc>
        <w:tc>
          <w:tcPr>
            <w:tcW w:w="991" w:type="pct"/>
            <w:tcBorders>
              <w:top w:val="double" w:sz="4" w:space="0" w:color="auto"/>
              <w:left w:val="double" w:sz="4" w:space="0" w:color="auto"/>
              <w:bottom w:val="single" w:sz="4" w:space="0" w:color="000000" w:themeColor="text1"/>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4 653 600</w:t>
            </w:r>
          </w:p>
        </w:tc>
        <w:tc>
          <w:tcPr>
            <w:tcW w:w="991" w:type="pct"/>
            <w:tcBorders>
              <w:top w:val="double" w:sz="4" w:space="0" w:color="auto"/>
              <w:left w:val="single" w:sz="4" w:space="0" w:color="000000" w:themeColor="text1"/>
              <w:bottom w:val="single" w:sz="4" w:space="0" w:color="000000" w:themeColor="text1"/>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6 603 600</w:t>
            </w:r>
          </w:p>
        </w:tc>
        <w:tc>
          <w:tcPr>
            <w:tcW w:w="1189" w:type="pct"/>
            <w:tcBorders>
              <w:top w:val="double" w:sz="4" w:space="0" w:color="auto"/>
              <w:left w:val="single" w:sz="4" w:space="0" w:color="000000" w:themeColor="text1"/>
              <w:bottom w:val="single" w:sz="4" w:space="0" w:color="000000" w:themeColor="text1"/>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A – B = 260</w:t>
            </w:r>
          </w:p>
        </w:tc>
        <w:tc>
          <w:tcPr>
            <w:tcW w:w="899" w:type="pct"/>
            <w:vMerge w:val="restart"/>
            <w:tcBorders>
              <w:top w:val="double" w:sz="4" w:space="0" w:color="auto"/>
              <w:left w:val="single" w:sz="4" w:space="0" w:color="000000" w:themeColor="text1"/>
              <w:bottom w:val="single" w:sz="4" w:space="0" w:color="000000" w:themeColor="text1"/>
              <w:right w:val="thinThickSmallGap" w:sz="12" w:space="0" w:color="auto"/>
            </w:tcBorders>
            <w:vAlign w:val="center"/>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9,8</w:t>
            </w:r>
          </w:p>
        </w:tc>
      </w:tr>
      <w:tr w:rsidR="00FD337B" w:rsidRPr="00AB4843" w:rsidTr="00AF53FF">
        <w:tc>
          <w:tcPr>
            <w:tcW w:w="930" w:type="pct"/>
            <w:tcBorders>
              <w:top w:val="single" w:sz="4" w:space="0" w:color="000000" w:themeColor="text1"/>
              <w:left w:val="thinThickSmallGap" w:sz="12" w:space="0" w:color="auto"/>
              <w:bottom w:val="single" w:sz="4" w:space="0" w:color="000000" w:themeColor="text1"/>
              <w:right w:val="double" w:sz="4" w:space="0" w:color="auto"/>
            </w:tcBorders>
            <w:vAlign w:val="center"/>
            <w:hideMark/>
          </w:tcPr>
          <w:p w:rsidR="00FD337B" w:rsidRPr="00AB4843" w:rsidRDefault="00FD337B" w:rsidP="00AF53FF">
            <w:pPr>
              <w:jc w:val="center"/>
              <w:rPr>
                <w:rFonts w:asciiTheme="minorHAnsi" w:hAnsiTheme="minorHAnsi" w:cstheme="minorHAnsi"/>
                <w:b/>
                <w:noProof/>
                <w:sz w:val="20"/>
                <w:szCs w:val="20"/>
              </w:rPr>
            </w:pPr>
            <w:r w:rsidRPr="00AB4843">
              <w:rPr>
                <w:rFonts w:asciiTheme="minorHAnsi" w:hAnsiTheme="minorHAnsi" w:cstheme="minorHAnsi"/>
                <w:b/>
                <w:noProof/>
                <w:sz w:val="20"/>
                <w:szCs w:val="20"/>
              </w:rPr>
              <w:t>B</w:t>
            </w:r>
          </w:p>
        </w:tc>
        <w:tc>
          <w:tcPr>
            <w:tcW w:w="991" w:type="pct"/>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4 653 600</w:t>
            </w:r>
          </w:p>
        </w:tc>
        <w:tc>
          <w:tcPr>
            <w:tcW w:w="9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6 603 860</w:t>
            </w: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B – D = 380</w:t>
            </w:r>
          </w:p>
        </w:tc>
        <w:tc>
          <w:tcPr>
            <w:tcW w:w="899" w:type="pct"/>
            <w:vMerge/>
            <w:tcBorders>
              <w:top w:val="single" w:sz="4" w:space="0" w:color="000000" w:themeColor="text1"/>
              <w:left w:val="single" w:sz="4" w:space="0" w:color="000000" w:themeColor="text1"/>
              <w:bottom w:val="single" w:sz="4" w:space="0" w:color="000000" w:themeColor="text1"/>
              <w:right w:val="thinThickSmallGap" w:sz="12" w:space="0" w:color="auto"/>
            </w:tcBorders>
            <w:vAlign w:val="center"/>
            <w:hideMark/>
          </w:tcPr>
          <w:p w:rsidR="00FD337B" w:rsidRPr="00AB4843" w:rsidRDefault="00FD337B" w:rsidP="00AF53FF">
            <w:pPr>
              <w:jc w:val="center"/>
              <w:rPr>
                <w:rFonts w:asciiTheme="minorHAnsi" w:hAnsiTheme="minorHAnsi" w:cstheme="minorHAnsi"/>
                <w:noProof/>
                <w:sz w:val="20"/>
                <w:szCs w:val="20"/>
              </w:rPr>
            </w:pPr>
          </w:p>
        </w:tc>
      </w:tr>
      <w:tr w:rsidR="00FD337B" w:rsidRPr="00AB4843" w:rsidTr="00AF53FF">
        <w:tc>
          <w:tcPr>
            <w:tcW w:w="930" w:type="pct"/>
            <w:tcBorders>
              <w:top w:val="single" w:sz="4" w:space="0" w:color="000000" w:themeColor="text1"/>
              <w:left w:val="thinThickSmallGap" w:sz="12" w:space="0" w:color="auto"/>
              <w:bottom w:val="single" w:sz="4" w:space="0" w:color="000000" w:themeColor="text1"/>
              <w:right w:val="double" w:sz="4" w:space="0" w:color="auto"/>
            </w:tcBorders>
            <w:vAlign w:val="center"/>
            <w:hideMark/>
          </w:tcPr>
          <w:p w:rsidR="00FD337B" w:rsidRPr="00AB4843" w:rsidRDefault="00FD337B" w:rsidP="00AF53FF">
            <w:pPr>
              <w:jc w:val="center"/>
              <w:rPr>
                <w:rFonts w:asciiTheme="minorHAnsi" w:hAnsiTheme="minorHAnsi" w:cstheme="minorHAnsi"/>
                <w:b/>
                <w:noProof/>
                <w:sz w:val="20"/>
                <w:szCs w:val="20"/>
              </w:rPr>
            </w:pPr>
            <w:r w:rsidRPr="00AB4843">
              <w:rPr>
                <w:rFonts w:asciiTheme="minorHAnsi" w:hAnsiTheme="minorHAnsi" w:cstheme="minorHAnsi"/>
                <w:b/>
                <w:noProof/>
                <w:sz w:val="20"/>
                <w:szCs w:val="20"/>
              </w:rPr>
              <w:t>C</w:t>
            </w:r>
          </w:p>
        </w:tc>
        <w:tc>
          <w:tcPr>
            <w:tcW w:w="991" w:type="pct"/>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4 653 220</w:t>
            </w:r>
          </w:p>
        </w:tc>
        <w:tc>
          <w:tcPr>
            <w:tcW w:w="9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6 603 600</w:t>
            </w: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D – C = 260</w:t>
            </w:r>
          </w:p>
        </w:tc>
        <w:tc>
          <w:tcPr>
            <w:tcW w:w="899" w:type="pct"/>
            <w:vMerge/>
            <w:tcBorders>
              <w:top w:val="single" w:sz="4" w:space="0" w:color="000000" w:themeColor="text1"/>
              <w:left w:val="single" w:sz="4" w:space="0" w:color="000000" w:themeColor="text1"/>
              <w:bottom w:val="single" w:sz="4" w:space="0" w:color="000000" w:themeColor="text1"/>
              <w:right w:val="thinThickSmallGap" w:sz="12" w:space="0" w:color="auto"/>
            </w:tcBorders>
            <w:vAlign w:val="center"/>
            <w:hideMark/>
          </w:tcPr>
          <w:p w:rsidR="00FD337B" w:rsidRPr="00AB4843" w:rsidRDefault="00FD337B" w:rsidP="00AF53FF">
            <w:pPr>
              <w:jc w:val="center"/>
              <w:rPr>
                <w:rFonts w:asciiTheme="minorHAnsi" w:hAnsiTheme="minorHAnsi" w:cstheme="minorHAnsi"/>
                <w:noProof/>
                <w:sz w:val="20"/>
                <w:szCs w:val="20"/>
              </w:rPr>
            </w:pPr>
          </w:p>
        </w:tc>
      </w:tr>
      <w:tr w:rsidR="00FD337B" w:rsidRPr="00AB4843" w:rsidTr="00AF53FF">
        <w:tc>
          <w:tcPr>
            <w:tcW w:w="930" w:type="pct"/>
            <w:tcBorders>
              <w:top w:val="single" w:sz="4" w:space="0" w:color="000000" w:themeColor="text1"/>
              <w:left w:val="thinThickSmallGap" w:sz="12" w:space="0" w:color="auto"/>
              <w:bottom w:val="thinThickSmallGap" w:sz="12" w:space="0" w:color="auto"/>
              <w:right w:val="double" w:sz="4" w:space="0" w:color="auto"/>
            </w:tcBorders>
            <w:vAlign w:val="center"/>
            <w:hideMark/>
          </w:tcPr>
          <w:p w:rsidR="00FD337B" w:rsidRPr="00AB4843" w:rsidRDefault="00FD337B" w:rsidP="00AF53FF">
            <w:pPr>
              <w:jc w:val="center"/>
              <w:rPr>
                <w:rFonts w:asciiTheme="minorHAnsi" w:hAnsiTheme="minorHAnsi" w:cstheme="minorHAnsi"/>
                <w:b/>
                <w:noProof/>
                <w:sz w:val="20"/>
                <w:szCs w:val="20"/>
              </w:rPr>
            </w:pPr>
            <w:r w:rsidRPr="00AB4843">
              <w:rPr>
                <w:rFonts w:asciiTheme="minorHAnsi" w:hAnsiTheme="minorHAnsi" w:cstheme="minorHAnsi"/>
                <w:b/>
                <w:noProof/>
                <w:sz w:val="20"/>
                <w:szCs w:val="20"/>
              </w:rPr>
              <w:t>D</w:t>
            </w:r>
          </w:p>
        </w:tc>
        <w:tc>
          <w:tcPr>
            <w:tcW w:w="991" w:type="pct"/>
            <w:tcBorders>
              <w:top w:val="single" w:sz="4" w:space="0" w:color="000000" w:themeColor="text1"/>
              <w:left w:val="double" w:sz="4" w:space="0" w:color="auto"/>
              <w:bottom w:val="thinThickSmallGap" w:sz="12" w:space="0" w:color="auto"/>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4 653 220</w:t>
            </w:r>
          </w:p>
        </w:tc>
        <w:tc>
          <w:tcPr>
            <w:tcW w:w="991" w:type="pct"/>
            <w:tcBorders>
              <w:top w:val="single" w:sz="4" w:space="0" w:color="000000" w:themeColor="text1"/>
              <w:left w:val="single" w:sz="4" w:space="0" w:color="000000" w:themeColor="text1"/>
              <w:bottom w:val="thinThickSmallGap" w:sz="12" w:space="0" w:color="auto"/>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6 603 860</w:t>
            </w:r>
          </w:p>
        </w:tc>
        <w:tc>
          <w:tcPr>
            <w:tcW w:w="1189" w:type="pct"/>
            <w:tcBorders>
              <w:top w:val="single" w:sz="4" w:space="0" w:color="000000" w:themeColor="text1"/>
              <w:left w:val="single" w:sz="4" w:space="0" w:color="000000" w:themeColor="text1"/>
              <w:bottom w:val="thinThickSmallGap" w:sz="12" w:space="0" w:color="auto"/>
              <w:right w:val="single" w:sz="4" w:space="0" w:color="000000" w:themeColor="text1"/>
            </w:tcBorders>
            <w:vAlign w:val="center"/>
            <w:hideMark/>
          </w:tcPr>
          <w:p w:rsidR="00FD337B" w:rsidRPr="00AB4843" w:rsidRDefault="00FD337B" w:rsidP="00AF53FF">
            <w:pPr>
              <w:jc w:val="center"/>
              <w:rPr>
                <w:rFonts w:asciiTheme="minorHAnsi" w:hAnsiTheme="minorHAnsi" w:cstheme="minorHAnsi"/>
                <w:noProof/>
                <w:sz w:val="20"/>
                <w:szCs w:val="20"/>
              </w:rPr>
            </w:pPr>
            <w:r w:rsidRPr="00AB4843">
              <w:rPr>
                <w:rFonts w:asciiTheme="minorHAnsi" w:hAnsiTheme="minorHAnsi" w:cstheme="minorHAnsi"/>
                <w:noProof/>
                <w:sz w:val="20"/>
                <w:szCs w:val="20"/>
              </w:rPr>
              <w:t>C – A = 380</w:t>
            </w:r>
          </w:p>
        </w:tc>
        <w:tc>
          <w:tcPr>
            <w:tcW w:w="899" w:type="pct"/>
            <w:vMerge/>
            <w:tcBorders>
              <w:top w:val="single" w:sz="4" w:space="0" w:color="000000" w:themeColor="text1"/>
              <w:left w:val="single" w:sz="4" w:space="0" w:color="000000" w:themeColor="text1"/>
              <w:bottom w:val="thinThickSmallGap" w:sz="12" w:space="0" w:color="auto"/>
              <w:right w:val="thinThickSmallGap" w:sz="12" w:space="0" w:color="auto"/>
            </w:tcBorders>
            <w:vAlign w:val="center"/>
            <w:hideMark/>
          </w:tcPr>
          <w:p w:rsidR="00FD337B" w:rsidRPr="00AB4843" w:rsidRDefault="00FD337B" w:rsidP="00AF53FF">
            <w:pPr>
              <w:jc w:val="center"/>
              <w:rPr>
                <w:rFonts w:asciiTheme="minorHAnsi" w:hAnsiTheme="minorHAnsi" w:cstheme="minorHAnsi"/>
                <w:noProof/>
                <w:sz w:val="20"/>
                <w:szCs w:val="20"/>
              </w:rPr>
            </w:pPr>
          </w:p>
        </w:tc>
      </w:tr>
    </w:tbl>
    <w:p w:rsidR="0092686D" w:rsidRPr="00AB4843" w:rsidRDefault="0092686D" w:rsidP="00403695">
      <w:pPr>
        <w:jc w:val="both"/>
        <w:rPr>
          <w:rFonts w:asciiTheme="minorHAnsi" w:hAnsiTheme="minorHAnsi" w:cstheme="minorHAnsi"/>
          <w:sz w:val="20"/>
          <w:szCs w:val="20"/>
          <w:lang w:val="hr-HR"/>
        </w:rPr>
      </w:pPr>
      <w:r w:rsidRPr="00AB4843">
        <w:rPr>
          <w:rFonts w:asciiTheme="minorHAnsi" w:hAnsiTheme="minorHAnsi" w:cstheme="minorHAnsi"/>
          <w:sz w:val="20"/>
          <w:szCs w:val="20"/>
          <w:lang w:val="sv-SE"/>
        </w:rPr>
        <w:t>U</w:t>
      </w:r>
      <w:r w:rsidRPr="00AB4843">
        <w:rPr>
          <w:rFonts w:asciiTheme="minorHAnsi" w:hAnsiTheme="minorHAnsi" w:cstheme="minorHAnsi"/>
          <w:b/>
          <w:sz w:val="20"/>
          <w:szCs w:val="20"/>
          <w:lang w:val="hr-HR"/>
        </w:rPr>
        <w:t xml:space="preserve"> „</w:t>
      </w:r>
      <w:r w:rsidRPr="00AB4843">
        <w:rPr>
          <w:rFonts w:asciiTheme="minorHAnsi" w:hAnsiTheme="minorHAnsi" w:cstheme="minorHAnsi"/>
          <w:sz w:val="20"/>
          <w:szCs w:val="20"/>
          <w:lang w:val="sv-SE"/>
        </w:rPr>
        <w:t>Elaboratu</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o</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klasifikaciji</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kategorizaciji</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i</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prora</w:t>
      </w:r>
      <w:r w:rsidRPr="00AB4843">
        <w:rPr>
          <w:rFonts w:asciiTheme="minorHAnsi" w:hAnsiTheme="minorHAnsi" w:cstheme="minorHAnsi"/>
          <w:sz w:val="20"/>
          <w:szCs w:val="20"/>
          <w:lang w:val="hr-HR"/>
        </w:rPr>
        <w:t>č</w:t>
      </w:r>
      <w:r w:rsidRPr="00AB4843">
        <w:rPr>
          <w:rFonts w:asciiTheme="minorHAnsi" w:hAnsiTheme="minorHAnsi" w:cstheme="minorHAnsi"/>
          <w:sz w:val="20"/>
          <w:szCs w:val="20"/>
          <w:lang w:val="sv-SE"/>
        </w:rPr>
        <w:t>unu</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rezervi</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arhitektonsko</w:t>
      </w:r>
      <w:r w:rsidRPr="00AB4843">
        <w:rPr>
          <w:rFonts w:asciiTheme="minorHAnsi" w:hAnsiTheme="minorHAnsi" w:cstheme="minorHAnsi"/>
          <w:sz w:val="20"/>
          <w:szCs w:val="20"/>
          <w:lang w:val="hr-HR"/>
        </w:rPr>
        <w:t>-</w:t>
      </w:r>
      <w:r w:rsidRPr="00AB4843">
        <w:rPr>
          <w:rFonts w:asciiTheme="minorHAnsi" w:hAnsiTheme="minorHAnsi" w:cstheme="minorHAnsi"/>
          <w:sz w:val="20"/>
          <w:szCs w:val="20"/>
          <w:lang w:val="sv-SE"/>
        </w:rPr>
        <w:t>gra</w:t>
      </w:r>
      <w:r w:rsidRPr="00AB4843">
        <w:rPr>
          <w:rFonts w:asciiTheme="minorHAnsi" w:hAnsiTheme="minorHAnsi" w:cstheme="minorHAnsi"/>
          <w:sz w:val="20"/>
          <w:szCs w:val="20"/>
          <w:lang w:val="hr-HR"/>
        </w:rPr>
        <w:t>đ</w:t>
      </w:r>
      <w:r w:rsidRPr="00AB4843">
        <w:rPr>
          <w:rFonts w:asciiTheme="minorHAnsi" w:hAnsiTheme="minorHAnsi" w:cstheme="minorHAnsi"/>
          <w:sz w:val="20"/>
          <w:szCs w:val="20"/>
          <w:lang w:val="sv-SE"/>
        </w:rPr>
        <w:t>evinskog (ukrasnog)</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kamena</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le</w:t>
      </w:r>
      <w:r w:rsidRPr="00AB4843">
        <w:rPr>
          <w:rFonts w:asciiTheme="minorHAnsi" w:hAnsiTheme="minorHAnsi" w:cstheme="minorHAnsi"/>
          <w:sz w:val="20"/>
          <w:szCs w:val="20"/>
          <w:lang w:val="hr-HR"/>
        </w:rPr>
        <w:t>ž</w:t>
      </w:r>
      <w:r w:rsidRPr="00AB4843">
        <w:rPr>
          <w:rFonts w:asciiTheme="minorHAnsi" w:hAnsiTheme="minorHAnsi" w:cstheme="minorHAnsi"/>
          <w:sz w:val="20"/>
          <w:szCs w:val="20"/>
          <w:lang w:val="sv-SE"/>
        </w:rPr>
        <w:t>i</w:t>
      </w:r>
      <w:r w:rsidRPr="00AB4843">
        <w:rPr>
          <w:rFonts w:asciiTheme="minorHAnsi" w:hAnsiTheme="minorHAnsi" w:cstheme="minorHAnsi"/>
          <w:sz w:val="20"/>
          <w:szCs w:val="20"/>
          <w:lang w:val="hr-HR"/>
        </w:rPr>
        <w:t>š</w:t>
      </w:r>
      <w:r w:rsidRPr="00AB4843">
        <w:rPr>
          <w:rFonts w:asciiTheme="minorHAnsi" w:hAnsiTheme="minorHAnsi" w:cstheme="minorHAnsi"/>
          <w:sz w:val="20"/>
          <w:szCs w:val="20"/>
          <w:lang w:val="sv-SE"/>
        </w:rPr>
        <w:t>ta</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Krute</w:t>
      </w:r>
      <w:r w:rsidRPr="00AB4843">
        <w:rPr>
          <w:rFonts w:asciiTheme="minorHAnsi" w:hAnsiTheme="minorHAnsi" w:cstheme="minorHAnsi"/>
          <w:sz w:val="20"/>
          <w:szCs w:val="20"/>
          <w:lang w:val="hr-HR"/>
        </w:rPr>
        <w:t xml:space="preserve">“, stanje 31.12.2007.godine“, </w:t>
      </w:r>
      <w:r w:rsidRPr="00AB4843">
        <w:rPr>
          <w:rFonts w:asciiTheme="minorHAnsi" w:hAnsiTheme="minorHAnsi" w:cstheme="minorHAnsi"/>
          <w:sz w:val="20"/>
          <w:szCs w:val="20"/>
          <w:lang w:val="sv-SE"/>
        </w:rPr>
        <w:t>utvrđene</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su</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sljede</w:t>
      </w:r>
      <w:r w:rsidRPr="00AB4843">
        <w:rPr>
          <w:rFonts w:asciiTheme="minorHAnsi" w:hAnsiTheme="minorHAnsi" w:cstheme="minorHAnsi"/>
          <w:sz w:val="20"/>
          <w:szCs w:val="20"/>
          <w:lang w:val="hr-HR"/>
        </w:rPr>
        <w:t>ć</w:t>
      </w:r>
      <w:r w:rsidRPr="00AB4843">
        <w:rPr>
          <w:rFonts w:asciiTheme="minorHAnsi" w:hAnsiTheme="minorHAnsi" w:cstheme="minorHAnsi"/>
          <w:sz w:val="20"/>
          <w:szCs w:val="20"/>
          <w:lang w:val="sv-SE"/>
        </w:rPr>
        <w:t>e</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rezerve</w:t>
      </w:r>
      <w:r w:rsidRPr="00AB4843">
        <w:rPr>
          <w:rFonts w:asciiTheme="minorHAnsi" w:hAnsiTheme="minorHAnsi" w:cstheme="minorHAnsi"/>
          <w:sz w:val="20"/>
          <w:szCs w:val="20"/>
          <w:lang w:val="hr-HR"/>
        </w:rPr>
        <w:t xml:space="preserve">, njihove </w:t>
      </w:r>
      <w:r w:rsidRPr="00AB4843">
        <w:rPr>
          <w:rFonts w:asciiTheme="minorHAnsi" w:hAnsiTheme="minorHAnsi" w:cstheme="minorHAnsi"/>
          <w:sz w:val="20"/>
          <w:szCs w:val="20"/>
          <w:lang w:val="sv-SE"/>
        </w:rPr>
        <w:t>koli</w:t>
      </w:r>
      <w:r w:rsidRPr="00AB4843">
        <w:rPr>
          <w:rFonts w:asciiTheme="minorHAnsi" w:hAnsiTheme="minorHAnsi" w:cstheme="minorHAnsi"/>
          <w:sz w:val="20"/>
          <w:szCs w:val="20"/>
          <w:lang w:val="hr-HR"/>
        </w:rPr>
        <w:t>č</w:t>
      </w:r>
      <w:r w:rsidRPr="00AB4843">
        <w:rPr>
          <w:rFonts w:asciiTheme="minorHAnsi" w:hAnsiTheme="minorHAnsi" w:cstheme="minorHAnsi"/>
          <w:sz w:val="20"/>
          <w:szCs w:val="20"/>
          <w:lang w:val="sv-SE"/>
        </w:rPr>
        <w:t>ine</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iskori</w:t>
      </w:r>
      <w:r w:rsidRPr="00AB4843">
        <w:rPr>
          <w:rFonts w:asciiTheme="minorHAnsi" w:hAnsiTheme="minorHAnsi" w:cstheme="minorHAnsi"/>
          <w:sz w:val="20"/>
          <w:szCs w:val="20"/>
          <w:lang w:val="hr-HR"/>
        </w:rPr>
        <w:t>š</w:t>
      </w:r>
      <w:r w:rsidRPr="00AB4843">
        <w:rPr>
          <w:rFonts w:asciiTheme="minorHAnsi" w:hAnsiTheme="minorHAnsi" w:cstheme="minorHAnsi"/>
          <w:sz w:val="20"/>
          <w:szCs w:val="20"/>
          <w:lang w:val="sv-SE"/>
        </w:rPr>
        <w:t>ćenje</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u</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blok</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i</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kvalitet</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kako</w:t>
      </w:r>
      <w:r w:rsidRPr="00AB4843">
        <w:rPr>
          <w:rFonts w:asciiTheme="minorHAnsi" w:hAnsiTheme="minorHAnsi" w:cstheme="minorHAnsi"/>
          <w:sz w:val="20"/>
          <w:szCs w:val="20"/>
          <w:lang w:val="hr-HR"/>
        </w:rPr>
        <w:t xml:space="preserve"> </w:t>
      </w:r>
      <w:r w:rsidRPr="00AB4843">
        <w:rPr>
          <w:rFonts w:asciiTheme="minorHAnsi" w:hAnsiTheme="minorHAnsi" w:cstheme="minorHAnsi"/>
          <w:sz w:val="20"/>
          <w:szCs w:val="20"/>
          <w:lang w:val="sv-SE"/>
        </w:rPr>
        <w:t>slijedi:</w:t>
      </w:r>
    </w:p>
    <w:p w:rsidR="0092686D" w:rsidRPr="00AB4843" w:rsidRDefault="0092686D" w:rsidP="00403695">
      <w:pPr>
        <w:jc w:val="both"/>
        <w:rPr>
          <w:rFonts w:asciiTheme="minorHAnsi" w:hAnsiTheme="minorHAnsi" w:cstheme="minorHAnsi"/>
          <w:sz w:val="20"/>
          <w:szCs w:val="20"/>
          <w:lang w:val="hr-HR"/>
        </w:rPr>
      </w:pPr>
    </w:p>
    <w:p w:rsidR="0092686D" w:rsidRPr="00AB4843" w:rsidRDefault="00CE0BFE" w:rsidP="00403695">
      <w:pPr>
        <w:jc w:val="both"/>
        <w:rPr>
          <w:rFonts w:asciiTheme="minorHAnsi" w:hAnsiTheme="minorHAnsi" w:cstheme="minorHAnsi"/>
          <w:b/>
          <w:sz w:val="20"/>
          <w:szCs w:val="20"/>
          <w:lang w:val="hr-HR"/>
        </w:rPr>
      </w:pPr>
      <w:r>
        <w:rPr>
          <w:rFonts w:asciiTheme="minorHAnsi" w:hAnsiTheme="minorHAnsi" w:cstheme="minorHAnsi"/>
          <w:b/>
          <w:sz w:val="20"/>
          <w:szCs w:val="20"/>
          <w:lang w:val="hr-HR"/>
        </w:rPr>
        <w:t xml:space="preserve">Geološke rezerve i </w:t>
      </w:r>
      <w:r w:rsidR="0092686D" w:rsidRPr="00AB4843">
        <w:rPr>
          <w:rFonts w:asciiTheme="minorHAnsi" w:hAnsiTheme="minorHAnsi" w:cstheme="minorHAnsi"/>
          <w:b/>
          <w:sz w:val="20"/>
          <w:szCs w:val="20"/>
          <w:lang w:val="hr-HR"/>
        </w:rPr>
        <w:t>blok-masa</w:t>
      </w:r>
    </w:p>
    <w:tbl>
      <w:tblPr>
        <w:tblW w:w="5000" w:type="pct"/>
        <w:tblLook w:val="01E0" w:firstRow="1" w:lastRow="1" w:firstColumn="1" w:lastColumn="1" w:noHBand="0" w:noVBand="0"/>
      </w:tblPr>
      <w:tblGrid>
        <w:gridCol w:w="1551"/>
        <w:gridCol w:w="1605"/>
        <w:gridCol w:w="1502"/>
        <w:gridCol w:w="1660"/>
        <w:gridCol w:w="1745"/>
        <w:gridCol w:w="1513"/>
      </w:tblGrid>
      <w:tr w:rsidR="0092686D" w:rsidRPr="00AB4843" w:rsidTr="00CE0BFE">
        <w:tc>
          <w:tcPr>
            <w:tcW w:w="810" w:type="pct"/>
            <w:tcBorders>
              <w:top w:val="thinThickSmallGap" w:sz="12" w:space="0" w:color="auto"/>
              <w:left w:val="thinThickSmallGap" w:sz="12" w:space="0" w:color="auto"/>
              <w:bottom w:val="double" w:sz="4" w:space="0" w:color="auto"/>
              <w:right w:val="double" w:sz="4" w:space="0" w:color="auto"/>
            </w:tcBorders>
            <w:shd w:val="clear" w:color="auto" w:fill="92D050"/>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Kategorija</w:t>
            </w: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rezervi</w:t>
            </w:r>
          </w:p>
        </w:tc>
        <w:tc>
          <w:tcPr>
            <w:tcW w:w="838" w:type="pct"/>
            <w:tcBorders>
              <w:top w:val="thinThickSmallGap" w:sz="12" w:space="0" w:color="auto"/>
              <w:left w:val="double" w:sz="4" w:space="0" w:color="auto"/>
              <w:bottom w:val="double" w:sz="4" w:space="0" w:color="auto"/>
              <w:right w:val="single" w:sz="4" w:space="0" w:color="000000" w:themeColor="text1"/>
            </w:tcBorders>
            <w:shd w:val="clear" w:color="auto" w:fill="92D050"/>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Ukupne</w:t>
            </w: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geološke</w:t>
            </w: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rezerve(m</w:t>
            </w:r>
            <w:r w:rsidRPr="00AB4843">
              <w:rPr>
                <w:rFonts w:asciiTheme="minorHAnsi" w:hAnsiTheme="minorHAnsi" w:cstheme="minorHAnsi"/>
                <w:b/>
                <w:sz w:val="20"/>
                <w:szCs w:val="20"/>
                <w:vertAlign w:val="superscript"/>
                <w:lang w:val="hr-HR"/>
              </w:rPr>
              <w:t>3</w:t>
            </w:r>
            <w:r w:rsidRPr="00AB4843">
              <w:rPr>
                <w:rFonts w:asciiTheme="minorHAnsi" w:hAnsiTheme="minorHAnsi" w:cstheme="minorHAnsi"/>
                <w:b/>
                <w:sz w:val="20"/>
                <w:szCs w:val="20"/>
                <w:lang w:val="hr-HR"/>
              </w:rPr>
              <w:t>)</w:t>
            </w:r>
          </w:p>
        </w:tc>
        <w:tc>
          <w:tcPr>
            <w:tcW w:w="784" w:type="pct"/>
            <w:tcBorders>
              <w:top w:val="thinThickSmallGap" w:sz="12" w:space="0" w:color="auto"/>
              <w:left w:val="single" w:sz="4" w:space="0" w:color="000000" w:themeColor="text1"/>
              <w:bottom w:val="double" w:sz="4" w:space="0" w:color="auto"/>
              <w:right w:val="single" w:sz="4" w:space="0" w:color="000000" w:themeColor="text1"/>
            </w:tcBorders>
            <w:shd w:val="clear" w:color="auto" w:fill="92D050"/>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Popravni</w:t>
            </w: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koeficijent</w:t>
            </w: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(1,00-0,11)</w:t>
            </w:r>
          </w:p>
        </w:tc>
        <w:tc>
          <w:tcPr>
            <w:tcW w:w="867" w:type="pct"/>
            <w:tcBorders>
              <w:top w:val="thinThickSmallGap" w:sz="12" w:space="0" w:color="auto"/>
              <w:left w:val="single" w:sz="4" w:space="0" w:color="000000" w:themeColor="text1"/>
              <w:bottom w:val="double" w:sz="4" w:space="0" w:color="auto"/>
              <w:right w:val="single" w:sz="4" w:space="0" w:color="000000" w:themeColor="text1"/>
            </w:tcBorders>
            <w:shd w:val="clear" w:color="auto" w:fill="92D050"/>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Redukovane</w:t>
            </w: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rezerve</w:t>
            </w: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(m</w:t>
            </w:r>
            <w:r w:rsidRPr="00AB4843">
              <w:rPr>
                <w:rFonts w:asciiTheme="minorHAnsi" w:hAnsiTheme="minorHAnsi" w:cstheme="minorHAnsi"/>
                <w:b/>
                <w:sz w:val="20"/>
                <w:szCs w:val="20"/>
                <w:vertAlign w:val="superscript"/>
                <w:lang w:val="hr-HR"/>
              </w:rPr>
              <w:t>3</w:t>
            </w:r>
            <w:r w:rsidRPr="00AB4843">
              <w:rPr>
                <w:rFonts w:asciiTheme="minorHAnsi" w:hAnsiTheme="minorHAnsi" w:cstheme="minorHAnsi"/>
                <w:b/>
                <w:sz w:val="20"/>
                <w:szCs w:val="20"/>
                <w:lang w:val="hr-HR"/>
              </w:rPr>
              <w:t>)</w:t>
            </w:r>
          </w:p>
        </w:tc>
        <w:tc>
          <w:tcPr>
            <w:tcW w:w="911" w:type="pct"/>
            <w:tcBorders>
              <w:top w:val="thinThickSmallGap" w:sz="12" w:space="0" w:color="auto"/>
              <w:left w:val="single" w:sz="4" w:space="0" w:color="000000" w:themeColor="text1"/>
              <w:bottom w:val="double" w:sz="4" w:space="0" w:color="auto"/>
              <w:right w:val="single" w:sz="4" w:space="0" w:color="000000" w:themeColor="text1"/>
            </w:tcBorders>
            <w:shd w:val="clear" w:color="auto" w:fill="92D050"/>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Iskorišćenje</w:t>
            </w: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stijen.mase</w:t>
            </w: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u blok(%)</w:t>
            </w:r>
          </w:p>
        </w:tc>
        <w:tc>
          <w:tcPr>
            <w:tcW w:w="790" w:type="pct"/>
            <w:tcBorders>
              <w:top w:val="thinThickSmallGap" w:sz="12" w:space="0" w:color="auto"/>
              <w:left w:val="single" w:sz="4" w:space="0" w:color="000000" w:themeColor="text1"/>
              <w:bottom w:val="double" w:sz="4" w:space="0" w:color="auto"/>
              <w:right w:val="thinThickSmallGap" w:sz="12" w:space="0" w:color="auto"/>
            </w:tcBorders>
            <w:shd w:val="clear" w:color="auto" w:fill="92D050"/>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Rezerve</w:t>
            </w: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blok mase</w:t>
            </w: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(m</w:t>
            </w:r>
            <w:r w:rsidRPr="00AB4843">
              <w:rPr>
                <w:rFonts w:asciiTheme="minorHAnsi" w:hAnsiTheme="minorHAnsi" w:cstheme="minorHAnsi"/>
                <w:b/>
                <w:sz w:val="20"/>
                <w:szCs w:val="20"/>
                <w:vertAlign w:val="superscript"/>
                <w:lang w:val="hr-HR"/>
              </w:rPr>
              <w:t>3</w:t>
            </w:r>
            <w:r w:rsidRPr="00AB4843">
              <w:rPr>
                <w:rFonts w:asciiTheme="minorHAnsi" w:hAnsiTheme="minorHAnsi" w:cstheme="minorHAnsi"/>
                <w:b/>
                <w:sz w:val="20"/>
                <w:szCs w:val="20"/>
                <w:lang w:val="hr-HR"/>
              </w:rPr>
              <w:t>)</w:t>
            </w:r>
          </w:p>
        </w:tc>
      </w:tr>
      <w:tr w:rsidR="0092686D" w:rsidRPr="00AB4843" w:rsidTr="00CE0BFE">
        <w:tc>
          <w:tcPr>
            <w:tcW w:w="810" w:type="pct"/>
            <w:tcBorders>
              <w:top w:val="double" w:sz="4" w:space="0" w:color="auto"/>
              <w:left w:val="thinThickSmallGap" w:sz="12" w:space="0" w:color="auto"/>
              <w:bottom w:val="single" w:sz="4" w:space="0" w:color="000000" w:themeColor="text1"/>
              <w:right w:val="double" w:sz="4" w:space="0" w:color="auto"/>
            </w:tcBorders>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A</w:t>
            </w:r>
          </w:p>
        </w:tc>
        <w:tc>
          <w:tcPr>
            <w:tcW w:w="838" w:type="pct"/>
            <w:tcBorders>
              <w:top w:val="double" w:sz="4" w:space="0" w:color="auto"/>
              <w:left w:val="double" w:sz="4" w:space="0" w:color="auto"/>
              <w:bottom w:val="single" w:sz="4" w:space="0" w:color="000000" w:themeColor="text1"/>
              <w:right w:val="single" w:sz="4" w:space="0" w:color="000000" w:themeColor="text1"/>
            </w:tcBorders>
            <w:vAlign w:val="center"/>
            <w:hideMark/>
          </w:tcPr>
          <w:p w:rsidR="0092686D" w:rsidRPr="00AB4843" w:rsidRDefault="0092686D" w:rsidP="00AF53FF">
            <w:pPr>
              <w:jc w:val="center"/>
              <w:rPr>
                <w:rFonts w:asciiTheme="minorHAnsi" w:hAnsiTheme="minorHAnsi" w:cstheme="minorHAnsi"/>
                <w:sz w:val="20"/>
                <w:szCs w:val="20"/>
                <w:lang w:val="hr-HR"/>
              </w:rPr>
            </w:pPr>
            <w:r w:rsidRPr="00AB4843">
              <w:rPr>
                <w:rFonts w:asciiTheme="minorHAnsi" w:hAnsiTheme="minorHAnsi" w:cstheme="minorHAnsi"/>
                <w:sz w:val="20"/>
                <w:szCs w:val="20"/>
                <w:lang w:val="hr-HR"/>
              </w:rPr>
              <w:t>321.125,70</w:t>
            </w:r>
          </w:p>
        </w:tc>
        <w:tc>
          <w:tcPr>
            <w:tcW w:w="784" w:type="pct"/>
            <w:vMerge w:val="restart"/>
            <w:tcBorders>
              <w:top w:val="double" w:sz="4" w:space="0" w:color="auto"/>
              <w:left w:val="single" w:sz="4" w:space="0" w:color="000000" w:themeColor="text1"/>
              <w:bottom w:val="single" w:sz="4" w:space="0" w:color="000000" w:themeColor="text1"/>
              <w:right w:val="single" w:sz="4" w:space="0" w:color="000000" w:themeColor="text1"/>
            </w:tcBorders>
            <w:vAlign w:val="center"/>
            <w:hideMark/>
          </w:tcPr>
          <w:p w:rsidR="0092686D" w:rsidRPr="00AB4843" w:rsidRDefault="0092686D" w:rsidP="00AF53FF">
            <w:pPr>
              <w:jc w:val="center"/>
              <w:rPr>
                <w:rFonts w:asciiTheme="minorHAnsi" w:hAnsiTheme="minorHAnsi" w:cstheme="minorHAnsi"/>
                <w:sz w:val="20"/>
                <w:szCs w:val="20"/>
                <w:lang w:val="hr-HR"/>
              </w:rPr>
            </w:pP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0,89</w:t>
            </w:r>
          </w:p>
        </w:tc>
        <w:tc>
          <w:tcPr>
            <w:tcW w:w="867" w:type="pct"/>
            <w:tcBorders>
              <w:top w:val="double" w:sz="4" w:space="0" w:color="auto"/>
              <w:left w:val="single" w:sz="4" w:space="0" w:color="000000" w:themeColor="text1"/>
              <w:bottom w:val="single" w:sz="4" w:space="0" w:color="000000" w:themeColor="text1"/>
              <w:right w:val="single" w:sz="4" w:space="0" w:color="000000" w:themeColor="text1"/>
            </w:tcBorders>
            <w:vAlign w:val="center"/>
            <w:hideMark/>
          </w:tcPr>
          <w:p w:rsidR="0092686D" w:rsidRPr="00AB4843" w:rsidRDefault="0092686D" w:rsidP="00AF53FF">
            <w:pPr>
              <w:jc w:val="center"/>
              <w:rPr>
                <w:rFonts w:asciiTheme="minorHAnsi" w:hAnsiTheme="minorHAnsi" w:cstheme="minorHAnsi"/>
                <w:sz w:val="20"/>
                <w:szCs w:val="20"/>
                <w:lang w:val="hr-HR"/>
              </w:rPr>
            </w:pPr>
            <w:r w:rsidRPr="00AB4843">
              <w:rPr>
                <w:rFonts w:asciiTheme="minorHAnsi" w:hAnsiTheme="minorHAnsi" w:cstheme="minorHAnsi"/>
                <w:sz w:val="20"/>
                <w:szCs w:val="20"/>
                <w:lang w:val="hr-HR"/>
              </w:rPr>
              <w:t>285.801,87</w:t>
            </w:r>
          </w:p>
        </w:tc>
        <w:tc>
          <w:tcPr>
            <w:tcW w:w="911" w:type="pct"/>
            <w:vMerge w:val="restart"/>
            <w:tcBorders>
              <w:top w:val="double" w:sz="4" w:space="0" w:color="auto"/>
              <w:left w:val="single" w:sz="4" w:space="0" w:color="000000" w:themeColor="text1"/>
              <w:bottom w:val="single" w:sz="4" w:space="0" w:color="000000" w:themeColor="text1"/>
              <w:right w:val="single" w:sz="4" w:space="0" w:color="000000" w:themeColor="text1"/>
            </w:tcBorders>
            <w:vAlign w:val="center"/>
          </w:tcPr>
          <w:p w:rsidR="0092686D" w:rsidRPr="00AB4843" w:rsidRDefault="0092686D" w:rsidP="00AF53FF">
            <w:pPr>
              <w:jc w:val="center"/>
              <w:rPr>
                <w:rFonts w:asciiTheme="minorHAnsi" w:hAnsiTheme="minorHAnsi" w:cstheme="minorHAnsi"/>
                <w:sz w:val="20"/>
                <w:szCs w:val="20"/>
                <w:lang w:val="hr-HR"/>
              </w:rPr>
            </w:pPr>
          </w:p>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21,50</w:t>
            </w:r>
          </w:p>
        </w:tc>
        <w:tc>
          <w:tcPr>
            <w:tcW w:w="790" w:type="pct"/>
            <w:tcBorders>
              <w:top w:val="double" w:sz="4" w:space="0" w:color="auto"/>
              <w:left w:val="single" w:sz="4" w:space="0" w:color="000000" w:themeColor="text1"/>
              <w:bottom w:val="single" w:sz="4" w:space="0" w:color="000000" w:themeColor="text1"/>
              <w:right w:val="thinThickSmallGap" w:sz="12" w:space="0" w:color="auto"/>
            </w:tcBorders>
            <w:vAlign w:val="center"/>
            <w:hideMark/>
          </w:tcPr>
          <w:p w:rsidR="0092686D" w:rsidRPr="00AB4843" w:rsidRDefault="0092686D" w:rsidP="00AF53FF">
            <w:pPr>
              <w:jc w:val="center"/>
              <w:rPr>
                <w:rFonts w:asciiTheme="minorHAnsi" w:hAnsiTheme="minorHAnsi" w:cstheme="minorHAnsi"/>
                <w:sz w:val="20"/>
                <w:szCs w:val="20"/>
                <w:lang w:val="hr-HR"/>
              </w:rPr>
            </w:pPr>
            <w:r w:rsidRPr="00AB4843">
              <w:rPr>
                <w:rFonts w:asciiTheme="minorHAnsi" w:hAnsiTheme="minorHAnsi" w:cstheme="minorHAnsi"/>
                <w:sz w:val="20"/>
                <w:szCs w:val="20"/>
                <w:lang w:val="hr-HR"/>
              </w:rPr>
              <w:t>61.447,40</w:t>
            </w:r>
          </w:p>
        </w:tc>
      </w:tr>
      <w:tr w:rsidR="0092686D" w:rsidRPr="00AB4843" w:rsidTr="00CE0BFE">
        <w:tc>
          <w:tcPr>
            <w:tcW w:w="810" w:type="pct"/>
            <w:tcBorders>
              <w:top w:val="single" w:sz="4" w:space="0" w:color="000000" w:themeColor="text1"/>
              <w:left w:val="thinThickSmallGap" w:sz="12" w:space="0" w:color="auto"/>
              <w:bottom w:val="single" w:sz="4" w:space="0" w:color="000000" w:themeColor="text1"/>
              <w:right w:val="double" w:sz="4" w:space="0" w:color="auto"/>
            </w:tcBorders>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B</w:t>
            </w:r>
          </w:p>
        </w:tc>
        <w:tc>
          <w:tcPr>
            <w:tcW w:w="838" w:type="pct"/>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rsidR="0092686D" w:rsidRPr="00AB4843" w:rsidRDefault="0092686D" w:rsidP="00AF53FF">
            <w:pPr>
              <w:jc w:val="center"/>
              <w:rPr>
                <w:rFonts w:asciiTheme="minorHAnsi" w:hAnsiTheme="minorHAnsi" w:cstheme="minorHAnsi"/>
                <w:sz w:val="20"/>
                <w:szCs w:val="20"/>
                <w:lang w:val="hr-HR"/>
              </w:rPr>
            </w:pPr>
            <w:r w:rsidRPr="00AB4843">
              <w:rPr>
                <w:rFonts w:asciiTheme="minorHAnsi" w:hAnsiTheme="minorHAnsi" w:cstheme="minorHAnsi"/>
                <w:sz w:val="20"/>
                <w:szCs w:val="20"/>
                <w:lang w:val="hr-HR"/>
              </w:rPr>
              <w:t>245.518,50</w:t>
            </w:r>
          </w:p>
        </w:tc>
        <w:tc>
          <w:tcPr>
            <w:tcW w:w="78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86D" w:rsidRPr="00AB4843" w:rsidRDefault="0092686D" w:rsidP="00AF53FF">
            <w:pPr>
              <w:jc w:val="center"/>
              <w:rPr>
                <w:rFonts w:asciiTheme="minorHAnsi" w:hAnsiTheme="minorHAnsi" w:cstheme="minorHAnsi"/>
                <w:b/>
                <w:sz w:val="20"/>
                <w:szCs w:val="20"/>
                <w:lang w:val="hr-HR"/>
              </w:rPr>
            </w:pPr>
          </w:p>
        </w:tc>
        <w:tc>
          <w:tcPr>
            <w:tcW w:w="8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86D" w:rsidRPr="00AB4843" w:rsidRDefault="0092686D" w:rsidP="00AF53FF">
            <w:pPr>
              <w:jc w:val="center"/>
              <w:rPr>
                <w:rFonts w:asciiTheme="minorHAnsi" w:hAnsiTheme="minorHAnsi" w:cstheme="minorHAnsi"/>
                <w:sz w:val="20"/>
                <w:szCs w:val="20"/>
                <w:lang w:val="hr-HR"/>
              </w:rPr>
            </w:pPr>
            <w:r w:rsidRPr="00AB4843">
              <w:rPr>
                <w:rFonts w:asciiTheme="minorHAnsi" w:hAnsiTheme="minorHAnsi" w:cstheme="minorHAnsi"/>
                <w:sz w:val="20"/>
                <w:szCs w:val="20"/>
                <w:lang w:val="hr-HR"/>
              </w:rPr>
              <w:t>218.511,47</w:t>
            </w:r>
          </w:p>
        </w:tc>
        <w:tc>
          <w:tcPr>
            <w:tcW w:w="91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686D" w:rsidRPr="00AB4843" w:rsidRDefault="0092686D" w:rsidP="00AF53FF">
            <w:pPr>
              <w:jc w:val="center"/>
              <w:rPr>
                <w:rFonts w:asciiTheme="minorHAnsi" w:hAnsiTheme="minorHAnsi" w:cstheme="minorHAnsi"/>
                <w:b/>
                <w:sz w:val="20"/>
                <w:szCs w:val="20"/>
                <w:lang w:val="hr-HR"/>
              </w:rPr>
            </w:pPr>
          </w:p>
        </w:tc>
        <w:tc>
          <w:tcPr>
            <w:tcW w:w="790" w:type="pct"/>
            <w:tcBorders>
              <w:top w:val="single" w:sz="4" w:space="0" w:color="000000" w:themeColor="text1"/>
              <w:left w:val="single" w:sz="4" w:space="0" w:color="000000" w:themeColor="text1"/>
              <w:bottom w:val="single" w:sz="4" w:space="0" w:color="000000" w:themeColor="text1"/>
              <w:right w:val="thinThickSmallGap" w:sz="12" w:space="0" w:color="auto"/>
            </w:tcBorders>
            <w:vAlign w:val="center"/>
            <w:hideMark/>
          </w:tcPr>
          <w:p w:rsidR="0092686D" w:rsidRPr="00AB4843" w:rsidRDefault="0092686D" w:rsidP="00AF53FF">
            <w:pPr>
              <w:jc w:val="center"/>
              <w:rPr>
                <w:rFonts w:asciiTheme="minorHAnsi" w:hAnsiTheme="minorHAnsi" w:cstheme="minorHAnsi"/>
                <w:sz w:val="20"/>
                <w:szCs w:val="20"/>
                <w:lang w:val="hr-HR"/>
              </w:rPr>
            </w:pPr>
            <w:r w:rsidRPr="00AB4843">
              <w:rPr>
                <w:rFonts w:asciiTheme="minorHAnsi" w:hAnsiTheme="minorHAnsi" w:cstheme="minorHAnsi"/>
                <w:sz w:val="20"/>
                <w:szCs w:val="20"/>
                <w:lang w:val="hr-HR"/>
              </w:rPr>
              <w:t>46.979,96</w:t>
            </w:r>
          </w:p>
        </w:tc>
      </w:tr>
      <w:tr w:rsidR="0092686D" w:rsidRPr="00AB4843" w:rsidTr="00CE0BFE">
        <w:tc>
          <w:tcPr>
            <w:tcW w:w="810" w:type="pct"/>
            <w:tcBorders>
              <w:top w:val="single" w:sz="4" w:space="0" w:color="000000" w:themeColor="text1"/>
              <w:left w:val="thinThickSmallGap" w:sz="12" w:space="0" w:color="auto"/>
              <w:bottom w:val="thinThickSmallGap" w:sz="12" w:space="0" w:color="auto"/>
              <w:right w:val="double" w:sz="4" w:space="0" w:color="auto"/>
            </w:tcBorders>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A+B</w:t>
            </w:r>
          </w:p>
        </w:tc>
        <w:tc>
          <w:tcPr>
            <w:tcW w:w="838" w:type="pct"/>
            <w:tcBorders>
              <w:top w:val="single" w:sz="4" w:space="0" w:color="000000" w:themeColor="text1"/>
              <w:left w:val="double" w:sz="4" w:space="0" w:color="auto"/>
              <w:bottom w:val="thinThickSmallGap" w:sz="12" w:space="0" w:color="auto"/>
              <w:right w:val="single" w:sz="4" w:space="0" w:color="000000" w:themeColor="text1"/>
            </w:tcBorders>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566.644,20</w:t>
            </w:r>
          </w:p>
        </w:tc>
        <w:tc>
          <w:tcPr>
            <w:tcW w:w="784" w:type="pct"/>
            <w:vMerge/>
            <w:tcBorders>
              <w:top w:val="single" w:sz="4" w:space="0" w:color="000000" w:themeColor="text1"/>
              <w:left w:val="single" w:sz="4" w:space="0" w:color="000000" w:themeColor="text1"/>
              <w:bottom w:val="thinThickSmallGap" w:sz="12" w:space="0" w:color="auto"/>
              <w:right w:val="single" w:sz="4" w:space="0" w:color="000000" w:themeColor="text1"/>
            </w:tcBorders>
            <w:vAlign w:val="center"/>
            <w:hideMark/>
          </w:tcPr>
          <w:p w:rsidR="0092686D" w:rsidRPr="00AB4843" w:rsidRDefault="0092686D" w:rsidP="00AF53FF">
            <w:pPr>
              <w:jc w:val="center"/>
              <w:rPr>
                <w:rFonts w:asciiTheme="minorHAnsi" w:hAnsiTheme="minorHAnsi" w:cstheme="minorHAnsi"/>
                <w:b/>
                <w:sz w:val="20"/>
                <w:szCs w:val="20"/>
                <w:lang w:val="hr-HR"/>
              </w:rPr>
            </w:pPr>
          </w:p>
        </w:tc>
        <w:tc>
          <w:tcPr>
            <w:tcW w:w="867" w:type="pct"/>
            <w:tcBorders>
              <w:top w:val="single" w:sz="4" w:space="0" w:color="000000" w:themeColor="text1"/>
              <w:left w:val="single" w:sz="4" w:space="0" w:color="000000" w:themeColor="text1"/>
              <w:bottom w:val="thinThickSmallGap" w:sz="12" w:space="0" w:color="auto"/>
              <w:right w:val="single" w:sz="4" w:space="0" w:color="000000" w:themeColor="text1"/>
            </w:tcBorders>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504.313,34</w:t>
            </w:r>
          </w:p>
        </w:tc>
        <w:tc>
          <w:tcPr>
            <w:tcW w:w="911" w:type="pct"/>
            <w:vMerge/>
            <w:tcBorders>
              <w:top w:val="single" w:sz="4" w:space="0" w:color="000000" w:themeColor="text1"/>
              <w:left w:val="single" w:sz="4" w:space="0" w:color="000000" w:themeColor="text1"/>
              <w:bottom w:val="thinThickSmallGap" w:sz="12" w:space="0" w:color="auto"/>
              <w:right w:val="single" w:sz="4" w:space="0" w:color="000000" w:themeColor="text1"/>
            </w:tcBorders>
            <w:vAlign w:val="center"/>
            <w:hideMark/>
          </w:tcPr>
          <w:p w:rsidR="0092686D" w:rsidRPr="00AB4843" w:rsidRDefault="0092686D" w:rsidP="00AF53FF">
            <w:pPr>
              <w:jc w:val="center"/>
              <w:rPr>
                <w:rFonts w:asciiTheme="minorHAnsi" w:hAnsiTheme="minorHAnsi" w:cstheme="minorHAnsi"/>
                <w:b/>
                <w:sz w:val="20"/>
                <w:szCs w:val="20"/>
                <w:lang w:val="hr-HR"/>
              </w:rPr>
            </w:pPr>
          </w:p>
        </w:tc>
        <w:tc>
          <w:tcPr>
            <w:tcW w:w="790" w:type="pct"/>
            <w:tcBorders>
              <w:top w:val="single" w:sz="4" w:space="0" w:color="000000" w:themeColor="text1"/>
              <w:left w:val="single" w:sz="4" w:space="0" w:color="000000" w:themeColor="text1"/>
              <w:bottom w:val="thinThickSmallGap" w:sz="12" w:space="0" w:color="auto"/>
              <w:right w:val="thinThickSmallGap" w:sz="12" w:space="0" w:color="auto"/>
            </w:tcBorders>
            <w:vAlign w:val="center"/>
            <w:hideMark/>
          </w:tcPr>
          <w:p w:rsidR="0092686D" w:rsidRPr="00AB4843" w:rsidRDefault="0092686D" w:rsidP="00AF53FF">
            <w:pPr>
              <w:jc w:val="center"/>
              <w:rPr>
                <w:rFonts w:asciiTheme="minorHAnsi" w:hAnsiTheme="minorHAnsi" w:cstheme="minorHAnsi"/>
                <w:b/>
                <w:sz w:val="20"/>
                <w:szCs w:val="20"/>
                <w:lang w:val="hr-HR"/>
              </w:rPr>
            </w:pPr>
            <w:r w:rsidRPr="00AB4843">
              <w:rPr>
                <w:rFonts w:asciiTheme="minorHAnsi" w:hAnsiTheme="minorHAnsi" w:cstheme="minorHAnsi"/>
                <w:b/>
                <w:sz w:val="20"/>
                <w:szCs w:val="20"/>
                <w:lang w:val="hr-HR"/>
              </w:rPr>
              <w:t>108.427,36</w:t>
            </w:r>
          </w:p>
        </w:tc>
      </w:tr>
    </w:tbl>
    <w:p w:rsidR="0092686D" w:rsidRPr="00AB4843" w:rsidRDefault="0092686D" w:rsidP="00403695">
      <w:pPr>
        <w:jc w:val="both"/>
        <w:rPr>
          <w:rFonts w:asciiTheme="minorHAnsi" w:hAnsiTheme="minorHAnsi" w:cstheme="minorHAnsi"/>
          <w:sz w:val="20"/>
          <w:szCs w:val="20"/>
        </w:rPr>
      </w:pPr>
    </w:p>
    <w:p w:rsidR="0092686D" w:rsidRPr="00AB4843" w:rsidRDefault="0092686D" w:rsidP="00403695">
      <w:pPr>
        <w:jc w:val="both"/>
        <w:rPr>
          <w:rFonts w:asciiTheme="minorHAnsi" w:hAnsiTheme="minorHAnsi" w:cstheme="minorHAnsi"/>
          <w:b/>
          <w:sz w:val="20"/>
          <w:szCs w:val="20"/>
        </w:rPr>
      </w:pPr>
      <w:r w:rsidRPr="00AB4843">
        <w:rPr>
          <w:rFonts w:asciiTheme="minorHAnsi" w:hAnsiTheme="minorHAnsi" w:cstheme="minorHAnsi"/>
          <w:sz w:val="20"/>
          <w:szCs w:val="20"/>
        </w:rPr>
        <w:t xml:space="preserve">Na osnovu utvrđenih mineraloško-petrografskih, fizičko-mehaničkih i hemijskih karakteristika, </w:t>
      </w:r>
      <w:r w:rsidRPr="00AB4843">
        <w:rPr>
          <w:rFonts w:asciiTheme="minorHAnsi" w:hAnsiTheme="minorHAnsi" w:cstheme="minorHAnsi"/>
          <w:b/>
          <w:sz w:val="20"/>
          <w:szCs w:val="20"/>
        </w:rPr>
        <w:t>arhitektonsko-građevinski kamen ležišta “Krute” može se koristiti za proizvodnju ploča, a  iste se, shodno standardu JUS B.B3.200, mogu upotrijebiti za sljedeće arhitektonsko-građevinske svrhe:</w:t>
      </w:r>
    </w:p>
    <w:p w:rsidR="0092686D" w:rsidRPr="00AB4843" w:rsidRDefault="0092686D" w:rsidP="00403695">
      <w:pPr>
        <w:numPr>
          <w:ilvl w:val="0"/>
          <w:numId w:val="8"/>
        </w:numPr>
        <w:jc w:val="both"/>
        <w:rPr>
          <w:rFonts w:asciiTheme="minorHAnsi" w:hAnsiTheme="minorHAnsi" w:cstheme="minorHAnsi"/>
          <w:b/>
          <w:sz w:val="20"/>
          <w:szCs w:val="20"/>
          <w:lang w:val="sv-SE"/>
        </w:rPr>
      </w:pPr>
      <w:r w:rsidRPr="00AB4843">
        <w:rPr>
          <w:rFonts w:asciiTheme="minorHAnsi" w:hAnsiTheme="minorHAnsi" w:cstheme="minorHAnsi"/>
          <w:sz w:val="20"/>
          <w:szCs w:val="20"/>
          <w:lang w:val="sv-SE"/>
        </w:rPr>
        <w:t>unutrašnja vertikalna (UV) i horizontalna (UH-2 I UH-3) oblaganja gdje se obavlja intezivan i umjeren pješački saobraćaj i</w:t>
      </w:r>
    </w:p>
    <w:p w:rsidR="0092686D" w:rsidRPr="00AB4843" w:rsidRDefault="0092686D" w:rsidP="00403695">
      <w:pPr>
        <w:numPr>
          <w:ilvl w:val="0"/>
          <w:numId w:val="8"/>
        </w:numPr>
        <w:tabs>
          <w:tab w:val="left" w:pos="8280"/>
        </w:tabs>
        <w:jc w:val="both"/>
        <w:rPr>
          <w:rFonts w:asciiTheme="minorHAnsi" w:hAnsiTheme="minorHAnsi" w:cstheme="minorHAnsi"/>
          <w:b/>
          <w:sz w:val="20"/>
          <w:szCs w:val="20"/>
          <w:lang w:val="sv-SE"/>
        </w:rPr>
      </w:pPr>
      <w:r w:rsidRPr="00AB4843">
        <w:rPr>
          <w:rFonts w:asciiTheme="minorHAnsi" w:hAnsiTheme="minorHAnsi" w:cstheme="minorHAnsi"/>
          <w:sz w:val="20"/>
          <w:szCs w:val="20"/>
          <w:lang w:val="sv-SE"/>
        </w:rPr>
        <w:t>spoljašnja horizontalna i vertikalna oblaganja do 30 m visine iznad  terena (SV-2 i SV-3).</w:t>
      </w:r>
    </w:p>
    <w:p w:rsidR="0092686D" w:rsidRPr="00AB4843" w:rsidRDefault="0092686D" w:rsidP="00403695">
      <w:pPr>
        <w:tabs>
          <w:tab w:val="left" w:pos="8280"/>
        </w:tabs>
        <w:ind w:left="420"/>
        <w:jc w:val="both"/>
        <w:rPr>
          <w:rFonts w:asciiTheme="minorHAnsi" w:hAnsiTheme="minorHAnsi" w:cstheme="minorHAnsi"/>
          <w:sz w:val="20"/>
          <w:szCs w:val="20"/>
          <w:lang w:val="sv-SE"/>
        </w:rPr>
      </w:pPr>
    </w:p>
    <w:p w:rsidR="0092686D" w:rsidRDefault="0092686D" w:rsidP="00403695">
      <w:pPr>
        <w:jc w:val="both"/>
        <w:rPr>
          <w:rFonts w:asciiTheme="minorHAnsi" w:hAnsiTheme="minorHAnsi" w:cstheme="minorHAnsi"/>
          <w:noProof/>
          <w:sz w:val="20"/>
          <w:szCs w:val="20"/>
          <w:lang w:val="sv-SE"/>
        </w:rPr>
      </w:pPr>
      <w:r w:rsidRPr="00AB4843">
        <w:rPr>
          <w:rFonts w:asciiTheme="minorHAnsi" w:hAnsiTheme="minorHAnsi" w:cstheme="minorHAnsi"/>
          <w:noProof/>
          <w:sz w:val="20"/>
          <w:szCs w:val="20"/>
          <w:lang w:val="sv-SE"/>
        </w:rPr>
        <w:t>Ležište arhitektonsko-garđevinskog kamena „Krute“ je značajno sa aspekta kvaliteta i rezervi, tako da za njegovu valorizaciju ima zainteresovanih pravnih lica.</w:t>
      </w:r>
    </w:p>
    <w:p w:rsidR="00FD337B" w:rsidRDefault="00FD337B" w:rsidP="00403695">
      <w:pPr>
        <w:jc w:val="both"/>
        <w:rPr>
          <w:rFonts w:asciiTheme="minorHAnsi" w:hAnsiTheme="minorHAnsi" w:cstheme="minorHAnsi"/>
          <w:noProof/>
          <w:sz w:val="20"/>
          <w:szCs w:val="20"/>
          <w:lang w:val="sv-SE"/>
        </w:rPr>
      </w:pPr>
    </w:p>
    <w:p w:rsidR="00FD337B" w:rsidRDefault="00FD337B" w:rsidP="00403695">
      <w:pPr>
        <w:jc w:val="both"/>
        <w:rPr>
          <w:rFonts w:asciiTheme="minorHAnsi" w:hAnsiTheme="minorHAnsi" w:cstheme="minorHAnsi"/>
          <w:b/>
          <w:noProof/>
          <w:sz w:val="20"/>
          <w:szCs w:val="20"/>
          <w:lang w:val="sv-SE"/>
        </w:rPr>
      </w:pPr>
      <w:r w:rsidRPr="00FD337B">
        <w:rPr>
          <w:rFonts w:asciiTheme="minorHAnsi" w:hAnsiTheme="minorHAnsi" w:cstheme="minorHAnsi"/>
          <w:b/>
          <w:noProof/>
          <w:sz w:val="20"/>
          <w:szCs w:val="20"/>
          <w:lang w:val="sv-SE"/>
        </w:rPr>
        <w:t>Imovinsko-pravni odnosi</w:t>
      </w:r>
    </w:p>
    <w:p w:rsidR="00405C16" w:rsidRDefault="00405C16" w:rsidP="00403695">
      <w:pPr>
        <w:jc w:val="both"/>
        <w:rPr>
          <w:rFonts w:asciiTheme="minorHAnsi" w:hAnsiTheme="minorHAnsi" w:cstheme="minorHAnsi"/>
          <w:b/>
          <w:noProof/>
          <w:sz w:val="20"/>
          <w:szCs w:val="20"/>
          <w:lang w:val="sv-SE"/>
        </w:rPr>
      </w:pPr>
    </w:p>
    <w:p w:rsidR="00DA1824" w:rsidRPr="00DA1824" w:rsidRDefault="00DA1824" w:rsidP="00403695">
      <w:pPr>
        <w:jc w:val="both"/>
        <w:rPr>
          <w:rFonts w:asciiTheme="minorHAnsi" w:hAnsiTheme="minorHAnsi" w:cstheme="minorHAnsi"/>
          <w:noProof/>
          <w:sz w:val="20"/>
          <w:szCs w:val="20"/>
          <w:lang w:val="sv-SE"/>
        </w:rPr>
      </w:pPr>
      <w:r>
        <w:rPr>
          <w:rFonts w:asciiTheme="minorHAnsi" w:hAnsiTheme="minorHAnsi" w:cstheme="minorHAnsi"/>
          <w:noProof/>
          <w:sz w:val="20"/>
          <w:szCs w:val="20"/>
          <w:lang w:val="sv-SE"/>
        </w:rPr>
        <w:t xml:space="preserve">Ležište ”Krute” se nalazi </w:t>
      </w:r>
      <w:r w:rsidR="005B5D24">
        <w:rPr>
          <w:rFonts w:asciiTheme="minorHAnsi" w:hAnsiTheme="minorHAnsi" w:cstheme="minorHAnsi"/>
          <w:noProof/>
          <w:sz w:val="20"/>
          <w:szCs w:val="20"/>
          <w:lang w:val="sv-SE"/>
        </w:rPr>
        <w:t xml:space="preserve"> u Listu nepokretnosti br.313 </w:t>
      </w:r>
      <w:r>
        <w:rPr>
          <w:rFonts w:asciiTheme="minorHAnsi" w:hAnsiTheme="minorHAnsi" w:cstheme="minorHAnsi"/>
          <w:noProof/>
          <w:sz w:val="20"/>
          <w:szCs w:val="20"/>
          <w:lang w:val="sv-SE"/>
        </w:rPr>
        <w:t>na katastarskim parcelama br. 667, 685, 686, 846 i 848, KO Krute Vladimirske</w:t>
      </w:r>
      <w:r w:rsidR="000031B3">
        <w:rPr>
          <w:rFonts w:asciiTheme="minorHAnsi" w:hAnsiTheme="minorHAnsi" w:cstheme="minorHAnsi"/>
          <w:noProof/>
          <w:sz w:val="20"/>
          <w:szCs w:val="20"/>
          <w:lang w:val="sv-SE"/>
        </w:rPr>
        <w:t>, koje su, uglavnom, u državnom vlasništvu, a jednim dijelom u privatnom vlasništvu.</w:t>
      </w:r>
    </w:p>
    <w:p w:rsidR="00FD337B" w:rsidRPr="00FD337B" w:rsidRDefault="00FD337B" w:rsidP="00403695">
      <w:pPr>
        <w:jc w:val="both"/>
        <w:rPr>
          <w:rFonts w:asciiTheme="minorHAnsi" w:hAnsiTheme="minorHAnsi" w:cstheme="minorHAnsi"/>
          <w:b/>
          <w:noProof/>
          <w:sz w:val="20"/>
          <w:szCs w:val="20"/>
          <w:lang w:val="sv-SE"/>
        </w:rPr>
      </w:pPr>
    </w:p>
    <w:p w:rsidR="00FD337B" w:rsidRDefault="00FD337B" w:rsidP="00403695">
      <w:pPr>
        <w:jc w:val="both"/>
        <w:rPr>
          <w:rFonts w:asciiTheme="minorHAnsi" w:hAnsiTheme="minorHAnsi" w:cstheme="minorHAnsi"/>
          <w:b/>
          <w:noProof/>
          <w:sz w:val="20"/>
          <w:szCs w:val="20"/>
          <w:lang w:val="sv-SE"/>
        </w:rPr>
      </w:pPr>
      <w:r w:rsidRPr="00FD337B">
        <w:rPr>
          <w:rFonts w:asciiTheme="minorHAnsi" w:hAnsiTheme="minorHAnsi" w:cstheme="minorHAnsi"/>
          <w:b/>
          <w:noProof/>
          <w:sz w:val="20"/>
          <w:szCs w:val="20"/>
          <w:lang w:val="sv-SE"/>
        </w:rPr>
        <w:t>Prostorno-planska dokumentacija</w:t>
      </w:r>
    </w:p>
    <w:p w:rsidR="000031B3" w:rsidRDefault="000031B3" w:rsidP="00403695">
      <w:pPr>
        <w:jc w:val="both"/>
        <w:rPr>
          <w:rFonts w:asciiTheme="minorHAnsi" w:hAnsiTheme="minorHAnsi" w:cstheme="minorHAnsi"/>
          <w:b/>
          <w:noProof/>
          <w:sz w:val="20"/>
          <w:szCs w:val="20"/>
          <w:lang w:val="sv-SE"/>
        </w:rPr>
      </w:pPr>
    </w:p>
    <w:p w:rsidR="000031B3" w:rsidRPr="000031B3" w:rsidRDefault="000031B3" w:rsidP="00403695">
      <w:pPr>
        <w:jc w:val="both"/>
        <w:rPr>
          <w:rFonts w:asciiTheme="minorHAnsi" w:hAnsiTheme="minorHAnsi" w:cstheme="minorHAnsi"/>
          <w:noProof/>
          <w:sz w:val="20"/>
          <w:szCs w:val="20"/>
          <w:lang w:val="sv-SE"/>
        </w:rPr>
      </w:pPr>
      <w:r w:rsidRPr="000031B3">
        <w:rPr>
          <w:rFonts w:asciiTheme="minorHAnsi" w:hAnsiTheme="minorHAnsi" w:cstheme="minorHAnsi"/>
          <w:noProof/>
          <w:sz w:val="20"/>
          <w:szCs w:val="20"/>
          <w:lang w:val="sv-SE"/>
        </w:rPr>
        <w:t>Ležište arhitektonsko-građevinskog (ukrasnog) kamena ”Krute”</w:t>
      </w:r>
      <w:r>
        <w:rPr>
          <w:rFonts w:asciiTheme="minorHAnsi" w:hAnsiTheme="minorHAnsi" w:cstheme="minorHAnsi"/>
          <w:noProof/>
          <w:sz w:val="20"/>
          <w:szCs w:val="20"/>
          <w:lang w:val="sv-SE"/>
        </w:rPr>
        <w:t xml:space="preserve"> definisano je u Nacrtu Prostorno-urbanističkog plana opštine Ulcinj kao koncesiono područje. Na Nacrt ovog Plana održana je javna rasprava i u daljoj proceduri je dobijanje saglasnosti od nadležnog ministarstva, a nakon toga donošenje Odluke o usvajanju</w:t>
      </w:r>
      <w:r w:rsidR="003B154C">
        <w:rPr>
          <w:rFonts w:asciiTheme="minorHAnsi" w:hAnsiTheme="minorHAnsi" w:cstheme="minorHAnsi"/>
          <w:noProof/>
          <w:sz w:val="20"/>
          <w:szCs w:val="20"/>
          <w:lang w:val="sv-SE"/>
        </w:rPr>
        <w:t xml:space="preserve"> istog.</w:t>
      </w:r>
    </w:p>
    <w:p w:rsidR="00FD337B" w:rsidRPr="003B150E" w:rsidRDefault="00FD337B" w:rsidP="00403695">
      <w:pPr>
        <w:jc w:val="both"/>
        <w:rPr>
          <w:rFonts w:ascii="Calibri" w:hAnsi="Calibri" w:cs="Calibri"/>
          <w:b/>
          <w:sz w:val="20"/>
          <w:szCs w:val="20"/>
          <w:lang w:val="sv-SE"/>
        </w:rPr>
      </w:pPr>
    </w:p>
    <w:p w:rsidR="00B3218E" w:rsidRPr="003B150E" w:rsidRDefault="00FD337B" w:rsidP="00403695">
      <w:pPr>
        <w:jc w:val="both"/>
        <w:rPr>
          <w:rFonts w:ascii="Calibri" w:hAnsi="Calibri" w:cs="Calibri"/>
          <w:b/>
          <w:sz w:val="20"/>
          <w:szCs w:val="20"/>
          <w:lang w:val="sv-SE"/>
        </w:rPr>
      </w:pPr>
      <w:r w:rsidRPr="003B150E">
        <w:rPr>
          <w:rFonts w:ascii="Calibri" w:hAnsi="Calibri" w:cs="Calibri"/>
          <w:b/>
          <w:sz w:val="20"/>
          <w:szCs w:val="20"/>
          <w:lang w:val="sv-SE"/>
        </w:rPr>
        <w:t>11</w:t>
      </w:r>
      <w:r w:rsidR="00B3218E" w:rsidRPr="003B150E">
        <w:rPr>
          <w:rFonts w:ascii="Calibri" w:hAnsi="Calibri" w:cs="Calibri"/>
          <w:b/>
          <w:sz w:val="20"/>
          <w:szCs w:val="20"/>
          <w:lang w:val="sv-SE"/>
        </w:rPr>
        <w:t>. Pojava tehnič</w:t>
      </w:r>
      <w:r w:rsidR="00AB4843" w:rsidRPr="003B150E">
        <w:rPr>
          <w:rFonts w:ascii="Calibri" w:hAnsi="Calibri" w:cs="Calibri"/>
          <w:b/>
          <w:sz w:val="20"/>
          <w:szCs w:val="20"/>
          <w:lang w:val="sv-SE"/>
        </w:rPr>
        <w:t xml:space="preserve">ko-građevinskog kamena </w:t>
      </w:r>
      <w:r w:rsidR="00362BAF">
        <w:rPr>
          <w:rFonts w:ascii="Calibri" w:hAnsi="Calibri" w:cs="Calibri"/>
          <w:b/>
          <w:sz w:val="20"/>
          <w:szCs w:val="20"/>
          <w:lang w:val="sv-SE"/>
        </w:rPr>
        <w:t xml:space="preserve">(TGK) </w:t>
      </w:r>
      <w:r w:rsidR="00AB4843" w:rsidRPr="003B150E">
        <w:rPr>
          <w:rFonts w:ascii="Calibri" w:hAnsi="Calibri" w:cs="Calibri"/>
          <w:b/>
          <w:sz w:val="20"/>
          <w:szCs w:val="20"/>
          <w:lang w:val="sv-SE"/>
        </w:rPr>
        <w:t>“Bogovi la</w:t>
      </w:r>
      <w:r w:rsidR="00B3218E" w:rsidRPr="003B150E">
        <w:rPr>
          <w:rFonts w:ascii="Calibri" w:hAnsi="Calibri" w:cs="Calibri"/>
          <w:b/>
          <w:sz w:val="20"/>
          <w:szCs w:val="20"/>
          <w:lang w:val="sv-SE"/>
        </w:rPr>
        <w:t>zi”, opština Nikšić</w:t>
      </w:r>
    </w:p>
    <w:p w:rsidR="00AB4843" w:rsidRPr="003B150E" w:rsidRDefault="00AB4843" w:rsidP="00403695">
      <w:pPr>
        <w:jc w:val="both"/>
        <w:rPr>
          <w:rFonts w:asciiTheme="minorHAnsi" w:hAnsiTheme="minorHAnsi" w:cs="Calibri"/>
          <w:sz w:val="20"/>
          <w:szCs w:val="20"/>
          <w:lang w:val="sv-SE"/>
        </w:rPr>
      </w:pPr>
      <w:r w:rsidRPr="003B150E">
        <w:rPr>
          <w:rFonts w:asciiTheme="minorHAnsi" w:hAnsiTheme="minorHAnsi" w:cs="Calibri"/>
          <w:sz w:val="20"/>
          <w:szCs w:val="20"/>
          <w:lang w:val="sv-SE"/>
        </w:rPr>
        <w:t xml:space="preserve">Lokalitet tehničko-građevinskog kamena „Bogovi lazi“, nalazi se na području opštine Nikšić. </w:t>
      </w:r>
    </w:p>
    <w:p w:rsidR="00AB4843" w:rsidRPr="003B150E" w:rsidRDefault="00AB4843" w:rsidP="00403695">
      <w:pPr>
        <w:jc w:val="both"/>
        <w:rPr>
          <w:rFonts w:asciiTheme="minorHAnsi" w:hAnsiTheme="minorHAnsi" w:cs="Calibri"/>
          <w:sz w:val="20"/>
          <w:szCs w:val="20"/>
          <w:lang w:val="sv-SE"/>
        </w:rPr>
      </w:pPr>
      <w:r w:rsidRPr="003B150E">
        <w:rPr>
          <w:rFonts w:asciiTheme="minorHAnsi" w:hAnsiTheme="minorHAnsi" w:cs="Calibri"/>
          <w:sz w:val="20"/>
          <w:szCs w:val="20"/>
          <w:lang w:val="sv-SE"/>
        </w:rPr>
        <w:lastRenderedPageBreak/>
        <w:t>Nalazi se na karstnom platou smještenom na jugoistočnim obroncima planine Budoš (</w:t>
      </w:r>
      <w:smartTag w:uri="urn:schemas-microsoft-com:office:smarttags" w:element="metricconverter">
        <w:smartTagPr>
          <w:attr w:name="ProductID" w:val="1.215 m"/>
        </w:smartTagPr>
        <w:r w:rsidRPr="003B150E">
          <w:rPr>
            <w:rFonts w:asciiTheme="minorHAnsi" w:hAnsiTheme="minorHAnsi" w:cs="Calibri"/>
            <w:sz w:val="20"/>
            <w:szCs w:val="20"/>
            <w:lang w:val="sv-SE"/>
          </w:rPr>
          <w:t>1.215 m</w:t>
        </w:r>
      </w:smartTag>
      <w:r w:rsidRPr="003B150E">
        <w:rPr>
          <w:rFonts w:asciiTheme="minorHAnsi" w:hAnsiTheme="minorHAnsi" w:cs="Calibri"/>
          <w:sz w:val="20"/>
          <w:szCs w:val="20"/>
          <w:lang w:val="sv-SE"/>
        </w:rPr>
        <w:t>.n.m.), na udaljenosti od oko 4,5 km južno od Nikšića, odnosno oko 45 km od Podgorice, neposredno uz magistralni put Nikšić-Podgorica. U blizini ovog lokaliteta prolazi i stari put Podgorica-Nikšić preko Pandurice (Carevog mosta). Traženi prostor „Bogovi lazi“, pripada geografskom listu “Nikšić“ 1:100 000, odnosno sekciji Carev laz, 1:25 000, i zahvata površinu od 1,84 ha.</w:t>
      </w:r>
    </w:p>
    <w:p w:rsidR="00AB4843" w:rsidRPr="003B150E" w:rsidRDefault="00AB4843" w:rsidP="00403695">
      <w:pPr>
        <w:jc w:val="both"/>
        <w:rPr>
          <w:rFonts w:asciiTheme="minorHAnsi" w:hAnsiTheme="minorHAnsi" w:cs="Calibri"/>
          <w:sz w:val="20"/>
          <w:szCs w:val="20"/>
          <w:lang w:val="sv-SE"/>
        </w:rPr>
      </w:pPr>
    </w:p>
    <w:p w:rsidR="00AB4843" w:rsidRPr="00AB4843" w:rsidRDefault="00AB4843" w:rsidP="00403695">
      <w:pPr>
        <w:pStyle w:val="BodyText"/>
        <w:rPr>
          <w:rFonts w:asciiTheme="minorHAnsi" w:hAnsiTheme="minorHAnsi" w:cs="Calibri"/>
          <w:b w:val="0"/>
          <w:sz w:val="20"/>
          <w:szCs w:val="20"/>
        </w:rPr>
      </w:pPr>
      <w:r w:rsidRPr="00AB4843">
        <w:rPr>
          <w:rFonts w:asciiTheme="minorHAnsi" w:hAnsiTheme="minorHAnsi" w:cs="Calibri"/>
          <w:b w:val="0"/>
          <w:sz w:val="20"/>
          <w:szCs w:val="20"/>
        </w:rPr>
        <w:t>Do pojave predmetne mineralne sirovine vodi pristupni makadamski put, kojim je ista povezana sa magistralnim putem Podgorica-Nikšić (sa južne strane tunela Budoš), koji se dalje nastavlja  prema Stubičkim dolovima i veže se na stari put Podgorica-Nikšić preko Pandurice (Carevog mosta). Saobraćajne veze, u užem i širem području ležišta su povoljne, kada se radi o drumskom  i željezničkom saobraćaju. U neposrednoj blizini lokacije prolazi i željeznička pruga Podgorica-Nikšić.</w:t>
      </w:r>
    </w:p>
    <w:p w:rsidR="00AB4843" w:rsidRPr="00AB4843" w:rsidRDefault="00AB4843" w:rsidP="00403695">
      <w:pPr>
        <w:pStyle w:val="BodyText"/>
        <w:rPr>
          <w:rFonts w:asciiTheme="minorHAnsi" w:hAnsiTheme="minorHAnsi" w:cs="Calibri"/>
          <w:sz w:val="20"/>
          <w:szCs w:val="20"/>
        </w:rPr>
      </w:pPr>
    </w:p>
    <w:p w:rsidR="00AB4843" w:rsidRPr="00D85C1E" w:rsidRDefault="00AB4843" w:rsidP="00403695">
      <w:pPr>
        <w:jc w:val="both"/>
        <w:rPr>
          <w:rFonts w:asciiTheme="minorHAnsi" w:hAnsiTheme="minorHAnsi" w:cs="Calibri"/>
          <w:sz w:val="20"/>
          <w:szCs w:val="20"/>
          <w:lang w:val="sr-Latn-CS"/>
        </w:rPr>
      </w:pPr>
      <w:r w:rsidRPr="00D85C1E">
        <w:rPr>
          <w:rFonts w:asciiTheme="minorHAnsi" w:hAnsiTheme="minorHAnsi" w:cs="Calibri"/>
          <w:sz w:val="20"/>
          <w:szCs w:val="20"/>
          <w:lang w:val="sr-Latn-CS"/>
        </w:rPr>
        <w:t xml:space="preserve">U geomorfološkom pogledu, prostor Nikšića i pojave tehničko-građevinskog kamena „Bogovi lazi“, je područje koje pripada holokarstu Starocrnogorske karstne zaravni, sa izrazito razvijenim svim kraškim fenomenima: poljima, uvalama, dolovima, mnogobrojnim plitkim i dubokim vrtačama, jamama, pećinama, škrapama i dr. </w:t>
      </w:r>
    </w:p>
    <w:p w:rsidR="00AB4843" w:rsidRPr="00D85C1E" w:rsidRDefault="00AB4843" w:rsidP="00403695">
      <w:pPr>
        <w:jc w:val="both"/>
        <w:rPr>
          <w:rFonts w:asciiTheme="minorHAnsi" w:hAnsiTheme="minorHAnsi" w:cs="Calibri"/>
          <w:sz w:val="20"/>
          <w:szCs w:val="20"/>
          <w:lang w:val="sr-Latn-CS"/>
        </w:rPr>
      </w:pPr>
    </w:p>
    <w:p w:rsidR="00AB4843" w:rsidRPr="00D85C1E" w:rsidRDefault="00AB4843" w:rsidP="00403695">
      <w:pPr>
        <w:jc w:val="both"/>
        <w:rPr>
          <w:rFonts w:asciiTheme="minorHAnsi" w:hAnsiTheme="minorHAnsi" w:cs="Calibri"/>
          <w:sz w:val="20"/>
          <w:szCs w:val="20"/>
          <w:lang w:val="sr-Latn-CS"/>
        </w:rPr>
      </w:pPr>
      <w:r w:rsidRPr="00D85C1E">
        <w:rPr>
          <w:rFonts w:asciiTheme="minorHAnsi" w:hAnsiTheme="minorHAnsi" w:cs="Calibri"/>
          <w:sz w:val="20"/>
          <w:szCs w:val="20"/>
          <w:lang w:val="sr-Latn-CS"/>
        </w:rPr>
        <w:t>U morfološkom pogledu, na ovom terenu ističe se planina Budoš, pravca pružanja sjeverozapad-jugoistok, sa najvećom kotom 1.217 m.</w:t>
      </w:r>
    </w:p>
    <w:p w:rsidR="00AB4843" w:rsidRPr="00D85C1E" w:rsidRDefault="00AB4843" w:rsidP="00403695">
      <w:pPr>
        <w:jc w:val="both"/>
        <w:rPr>
          <w:rFonts w:asciiTheme="minorHAnsi" w:hAnsiTheme="minorHAnsi" w:cs="Calibri"/>
          <w:sz w:val="20"/>
          <w:szCs w:val="20"/>
          <w:lang w:val="sr-Latn-CS"/>
        </w:rPr>
      </w:pPr>
    </w:p>
    <w:p w:rsidR="00AB4843" w:rsidRPr="00D85C1E" w:rsidRDefault="00AB4843" w:rsidP="00403695">
      <w:pPr>
        <w:jc w:val="both"/>
        <w:rPr>
          <w:rFonts w:asciiTheme="minorHAnsi" w:hAnsiTheme="minorHAnsi" w:cs="Calibri"/>
          <w:sz w:val="20"/>
          <w:szCs w:val="20"/>
          <w:lang w:val="sr-Latn-CS"/>
        </w:rPr>
      </w:pPr>
      <w:r w:rsidRPr="00D85C1E">
        <w:rPr>
          <w:rFonts w:asciiTheme="minorHAnsi" w:hAnsiTheme="minorHAnsi" w:cs="Calibri"/>
          <w:sz w:val="20"/>
          <w:szCs w:val="20"/>
          <w:lang w:val="sr-Latn-CS"/>
        </w:rPr>
        <w:t xml:space="preserve">Područje lokaliteta „Bogovi lazi“ predstavlja, u suštini, južne padine brdovitog dijela, odnosni planine Budoš. </w:t>
      </w:r>
    </w:p>
    <w:p w:rsidR="00AB4843" w:rsidRPr="00D85C1E" w:rsidRDefault="00AB4843" w:rsidP="00403695">
      <w:pPr>
        <w:jc w:val="both"/>
        <w:rPr>
          <w:rFonts w:asciiTheme="minorHAnsi" w:hAnsiTheme="minorHAnsi" w:cs="Calibri"/>
          <w:sz w:val="20"/>
          <w:szCs w:val="20"/>
          <w:lang w:val="sr-Latn-CS"/>
        </w:rPr>
      </w:pPr>
    </w:p>
    <w:p w:rsidR="00AB4843" w:rsidRPr="00D85C1E" w:rsidRDefault="00AB4843" w:rsidP="00403695">
      <w:pPr>
        <w:jc w:val="both"/>
        <w:rPr>
          <w:rFonts w:asciiTheme="minorHAnsi" w:hAnsiTheme="minorHAnsi" w:cs="Calibri"/>
          <w:sz w:val="20"/>
          <w:szCs w:val="20"/>
          <w:lang w:val="sr-Latn-CS"/>
        </w:rPr>
      </w:pPr>
      <w:r w:rsidRPr="00D85C1E">
        <w:rPr>
          <w:rFonts w:asciiTheme="minorHAnsi" w:hAnsiTheme="minorHAnsi" w:cs="Calibri"/>
          <w:sz w:val="20"/>
          <w:szCs w:val="20"/>
          <w:lang w:val="sr-Latn-CS"/>
        </w:rPr>
        <w:t>Značajni morfološki oblici koji se pojavljuju u ovom kraju su vrtače, jame i pećine, tipični predstavnici morfologije karsta.</w:t>
      </w:r>
    </w:p>
    <w:p w:rsidR="00AB4843" w:rsidRPr="00D85C1E" w:rsidRDefault="00AB4843" w:rsidP="00403695">
      <w:pPr>
        <w:jc w:val="both"/>
        <w:rPr>
          <w:rFonts w:asciiTheme="minorHAnsi" w:hAnsiTheme="minorHAnsi" w:cs="Calibri"/>
          <w:sz w:val="20"/>
          <w:szCs w:val="20"/>
          <w:lang w:val="sr-Latn-CS"/>
        </w:rPr>
      </w:pPr>
    </w:p>
    <w:p w:rsidR="00AB4843" w:rsidRPr="00D85C1E" w:rsidRDefault="00AB4843" w:rsidP="00403695">
      <w:pPr>
        <w:jc w:val="both"/>
        <w:rPr>
          <w:rFonts w:asciiTheme="minorHAnsi" w:hAnsiTheme="minorHAnsi" w:cs="Calibri"/>
          <w:sz w:val="20"/>
          <w:szCs w:val="20"/>
          <w:lang w:val="sr-Latn-CS"/>
        </w:rPr>
      </w:pPr>
      <w:r w:rsidRPr="00D85C1E">
        <w:rPr>
          <w:rFonts w:asciiTheme="minorHAnsi" w:hAnsiTheme="minorHAnsi" w:cs="Calibri"/>
          <w:sz w:val="20"/>
          <w:szCs w:val="20"/>
          <w:lang w:val="sr-Latn-CS"/>
        </w:rPr>
        <w:t>Predmetni prostor je izgrađen od karbonatnih sedimenata, gornjokredne starosti, predstavljenih slojevitim i debeloslojevitim krečnjacima koji su u velikoj mjeri karstifikovani, ispresijecani raznovrsnim karstnim oblicima, među kojima se ističu škrape i vrtače, i rijetko je obrastao niskom listopadnom šumom.</w:t>
      </w:r>
    </w:p>
    <w:p w:rsidR="00AB4843" w:rsidRPr="00D85C1E" w:rsidRDefault="00AB4843" w:rsidP="00403695">
      <w:pPr>
        <w:jc w:val="both"/>
        <w:rPr>
          <w:rFonts w:asciiTheme="minorHAnsi" w:hAnsiTheme="minorHAnsi" w:cs="Calibri"/>
          <w:sz w:val="20"/>
          <w:szCs w:val="20"/>
          <w:lang w:val="sr-Latn-CS"/>
        </w:rPr>
      </w:pPr>
    </w:p>
    <w:p w:rsidR="00AB4843" w:rsidRPr="003B150E" w:rsidRDefault="00AB4843" w:rsidP="00403695">
      <w:pPr>
        <w:jc w:val="both"/>
        <w:rPr>
          <w:rFonts w:asciiTheme="minorHAnsi" w:hAnsiTheme="minorHAnsi" w:cs="Calibri"/>
          <w:sz w:val="20"/>
          <w:szCs w:val="20"/>
          <w:lang w:val="sv-SE"/>
        </w:rPr>
      </w:pPr>
      <w:r w:rsidRPr="003B150E">
        <w:rPr>
          <w:rFonts w:asciiTheme="minorHAnsi" w:hAnsiTheme="minorHAnsi" w:cs="Calibri"/>
          <w:sz w:val="20"/>
          <w:szCs w:val="20"/>
          <w:lang w:val="sv-SE"/>
        </w:rPr>
        <w:t xml:space="preserve">Hidrografske prilike su odraz tipične kraške hidrografije i njenih fenomena. Oblast je najvećim dijelom izrazito bezvodna, sa rijetkim kraškim vrelima, izuzev manjih područja gdje je razvijena hidrografska mreža. </w:t>
      </w:r>
    </w:p>
    <w:p w:rsidR="00AB4843" w:rsidRPr="003B150E" w:rsidRDefault="00AB4843" w:rsidP="00403695">
      <w:pPr>
        <w:jc w:val="both"/>
        <w:rPr>
          <w:rFonts w:asciiTheme="minorHAnsi" w:hAnsiTheme="minorHAnsi" w:cs="Calibri"/>
          <w:sz w:val="20"/>
          <w:szCs w:val="20"/>
          <w:lang w:val="sv-SE"/>
        </w:rPr>
      </w:pPr>
    </w:p>
    <w:p w:rsidR="00AB4843" w:rsidRPr="003B150E" w:rsidRDefault="00AB4843" w:rsidP="00403695">
      <w:pPr>
        <w:jc w:val="both"/>
        <w:rPr>
          <w:rFonts w:asciiTheme="minorHAnsi" w:hAnsiTheme="minorHAnsi" w:cs="Calibri"/>
          <w:sz w:val="20"/>
          <w:szCs w:val="20"/>
          <w:lang w:val="sv-SE"/>
        </w:rPr>
      </w:pPr>
      <w:r w:rsidRPr="003B150E">
        <w:rPr>
          <w:rFonts w:asciiTheme="minorHAnsi" w:hAnsiTheme="minorHAnsi" w:cs="Calibri"/>
          <w:sz w:val="20"/>
          <w:szCs w:val="20"/>
          <w:lang w:val="sv-SE"/>
        </w:rPr>
        <w:t>Na prostoru ležišta nema stalnih riječnih tokova, dok u neposrednoj blizini prostora, sa sjeverne strane planine Budoš, prolazi kanal kojim otiče voda iz vodenih (vještačkih) akumulacija Slano i Krupačko jezero, kao i rijeke Zete i sprovode se prema hidrocentrali „Perućica“ na Glavi Zete, koja se koristi za proizvodnju električne energije.</w:t>
      </w:r>
    </w:p>
    <w:p w:rsidR="00AB4843" w:rsidRPr="003B150E" w:rsidRDefault="00AB4843" w:rsidP="00403695">
      <w:pPr>
        <w:jc w:val="both"/>
        <w:rPr>
          <w:rFonts w:asciiTheme="minorHAnsi" w:hAnsiTheme="minorHAnsi" w:cs="Calibri"/>
          <w:sz w:val="20"/>
          <w:szCs w:val="20"/>
          <w:lang w:val="sv-SE"/>
        </w:rPr>
      </w:pPr>
    </w:p>
    <w:p w:rsidR="00AB4843" w:rsidRPr="003B150E" w:rsidRDefault="00AB4843" w:rsidP="00403695">
      <w:pPr>
        <w:autoSpaceDE w:val="0"/>
        <w:autoSpaceDN w:val="0"/>
        <w:adjustRightInd w:val="0"/>
        <w:jc w:val="both"/>
        <w:rPr>
          <w:rFonts w:asciiTheme="minorHAnsi" w:hAnsiTheme="minorHAnsi" w:cs="Calibri"/>
          <w:sz w:val="20"/>
          <w:szCs w:val="20"/>
          <w:lang w:val="sv-SE"/>
        </w:rPr>
      </w:pPr>
      <w:r w:rsidRPr="003B150E">
        <w:rPr>
          <w:rFonts w:asciiTheme="minorHAnsi" w:hAnsiTheme="minorHAnsi" w:cs="Calibri"/>
          <w:sz w:val="20"/>
          <w:szCs w:val="20"/>
          <w:lang w:val="sv-SE"/>
        </w:rPr>
        <w:t xml:space="preserve">Sa južne strane tunela Budoš, na oko 150 m od lokaliteta „Bogovi lazi“, nalazi se trafostanica, tako da postoji povoljna mogućnost snabdijevanja budućeg površinskog kopa električnom energijom. </w:t>
      </w:r>
    </w:p>
    <w:p w:rsidR="00AB4843" w:rsidRPr="00AB4843" w:rsidRDefault="00AB4843" w:rsidP="00403695">
      <w:pPr>
        <w:pStyle w:val="BodyText"/>
        <w:rPr>
          <w:rFonts w:asciiTheme="minorHAnsi" w:hAnsiTheme="minorHAnsi" w:cs="Calibri"/>
          <w:sz w:val="20"/>
          <w:szCs w:val="20"/>
        </w:rPr>
      </w:pPr>
    </w:p>
    <w:p w:rsidR="00AB4843" w:rsidRPr="00D85C1E" w:rsidRDefault="00AB4843" w:rsidP="00403695">
      <w:pPr>
        <w:autoSpaceDE w:val="0"/>
        <w:autoSpaceDN w:val="0"/>
        <w:adjustRightInd w:val="0"/>
        <w:jc w:val="both"/>
        <w:rPr>
          <w:rFonts w:asciiTheme="minorHAnsi" w:hAnsiTheme="minorHAnsi" w:cs="Calibri"/>
          <w:sz w:val="20"/>
          <w:szCs w:val="20"/>
          <w:lang w:val="sr-Latn-CS"/>
        </w:rPr>
      </w:pPr>
      <w:r w:rsidRPr="00D85C1E">
        <w:rPr>
          <w:rFonts w:asciiTheme="minorHAnsi" w:hAnsiTheme="minorHAnsi" w:cs="Calibri"/>
          <w:sz w:val="20"/>
          <w:szCs w:val="20"/>
          <w:lang w:val="sr-Latn-CS"/>
        </w:rPr>
        <w:t>Povoljan geografski položaj, razvijen drumski saobraćaj i postojeći prirodni resursi, predstavljaju važnu osnovu za razvoj ovog područja. U ekonomskom pogledu i imajući u vidu postojeću infrastrukturu, ovo područje je, uglavnom, oslonjeno na Nikšić. Na širem prostoru ove opštine razvijeno je više privrednih djelatnosti: industrija, rudarstvo, ugostiteljstvo, građevinarstvo, brojne vrste usluga iz različitih djelatnosti, itd.</w:t>
      </w:r>
    </w:p>
    <w:p w:rsidR="00AB4843" w:rsidRPr="00D85C1E" w:rsidRDefault="00AB4843" w:rsidP="00403695">
      <w:pPr>
        <w:jc w:val="both"/>
        <w:rPr>
          <w:rFonts w:asciiTheme="minorHAnsi" w:hAnsiTheme="minorHAnsi" w:cs="Calibri"/>
          <w:sz w:val="20"/>
          <w:szCs w:val="20"/>
          <w:lang w:val="sr-Latn-CS"/>
        </w:rPr>
      </w:pPr>
    </w:p>
    <w:p w:rsidR="00AB4843" w:rsidRPr="00D85C1E" w:rsidRDefault="00AB4843" w:rsidP="00403695">
      <w:pPr>
        <w:jc w:val="both"/>
        <w:rPr>
          <w:rFonts w:asciiTheme="minorHAnsi" w:hAnsiTheme="minorHAnsi" w:cs="Calibri"/>
          <w:sz w:val="20"/>
          <w:szCs w:val="20"/>
          <w:lang w:val="sr-Latn-CS"/>
        </w:rPr>
      </w:pPr>
      <w:r w:rsidRPr="00D85C1E">
        <w:rPr>
          <w:rFonts w:asciiTheme="minorHAnsi" w:hAnsiTheme="minorHAnsi" w:cs="Calibri"/>
          <w:sz w:val="20"/>
          <w:szCs w:val="20"/>
          <w:lang w:val="sr-Latn-CS"/>
        </w:rPr>
        <w:t>Prema podacima Uprave za nekretnine, Područna jedinica Nikšić, područje pojave tehničko-građevinskog kamena „Bogovi lazi“, kod Nikšića, administrativno pripada KO Stubički kraj. Prostor, koji je predmet ove Inicijative, je u svojini većinskog akcionara AD „Boksiti“ – Cetinje, koji je podnosilac iste  (KO Stubički kraj). Zemljište obuhvaćeno prostorom ležišta, prema katastarskim klasifikacijama, pripada klasi šuma (VI klasa), pašnjaka (VI klasa), neplodnom zemljištu i kamenjaru.</w:t>
      </w:r>
    </w:p>
    <w:p w:rsidR="00AB4843" w:rsidRPr="00D85C1E" w:rsidRDefault="00AB4843" w:rsidP="00403695">
      <w:pPr>
        <w:jc w:val="both"/>
        <w:rPr>
          <w:rFonts w:asciiTheme="minorHAnsi" w:hAnsiTheme="minorHAnsi" w:cs="Calibri"/>
          <w:sz w:val="20"/>
          <w:szCs w:val="20"/>
          <w:lang w:val="sr-Latn-CS"/>
        </w:rPr>
      </w:pPr>
    </w:p>
    <w:p w:rsidR="00AB4843" w:rsidRPr="00D85C1E" w:rsidRDefault="00AB4843" w:rsidP="00403695">
      <w:pPr>
        <w:jc w:val="both"/>
        <w:rPr>
          <w:rFonts w:asciiTheme="minorHAnsi" w:hAnsiTheme="minorHAnsi" w:cs="Calibri"/>
          <w:sz w:val="20"/>
          <w:szCs w:val="20"/>
          <w:lang w:val="sr-Latn-CS"/>
        </w:rPr>
      </w:pPr>
      <w:r w:rsidRPr="00D85C1E">
        <w:rPr>
          <w:rFonts w:asciiTheme="minorHAnsi" w:hAnsiTheme="minorHAnsi" w:cs="Calibri"/>
          <w:sz w:val="20"/>
          <w:szCs w:val="20"/>
          <w:lang w:val="sr-Latn-CS"/>
        </w:rPr>
        <w:t>Šire područje pojave tehničko-građevinskog kamena je, relativno, slabo naseljeno, a naselja su, uglavnom, raspoređena na perifernim dijelovima prostora, razbijenog su tipa, karakterističnog za karstne i visokoplaninske terene. Kuće su najčešće usamljene, ili pak nekoliko kuća je grupisano oko vrtača ili uvala u kojima je jedino obradivo zemljište.</w:t>
      </w:r>
    </w:p>
    <w:p w:rsidR="00AB4843" w:rsidRPr="00D85C1E" w:rsidRDefault="00AB4843" w:rsidP="00403695">
      <w:pPr>
        <w:jc w:val="both"/>
        <w:rPr>
          <w:rFonts w:asciiTheme="minorHAnsi" w:hAnsiTheme="minorHAnsi" w:cs="Calibri"/>
          <w:sz w:val="20"/>
          <w:szCs w:val="20"/>
          <w:lang w:val="sr-Latn-CS"/>
        </w:rPr>
      </w:pPr>
    </w:p>
    <w:p w:rsidR="00AB4843" w:rsidRPr="00D85C1E" w:rsidRDefault="00AB4843" w:rsidP="00403695">
      <w:pPr>
        <w:jc w:val="both"/>
        <w:rPr>
          <w:rFonts w:asciiTheme="minorHAnsi" w:hAnsiTheme="minorHAnsi" w:cs="Calibri"/>
          <w:sz w:val="20"/>
          <w:szCs w:val="20"/>
          <w:lang w:val="sr-Latn-CS"/>
        </w:rPr>
      </w:pPr>
      <w:r w:rsidRPr="00D85C1E">
        <w:rPr>
          <w:rFonts w:asciiTheme="minorHAnsi" w:hAnsiTheme="minorHAnsi" w:cs="Calibri"/>
          <w:sz w:val="20"/>
          <w:szCs w:val="20"/>
          <w:lang w:val="sr-Latn-CS"/>
        </w:rPr>
        <w:t>Lokalitet tehničko-građevinskog kamena „Bogovi lazi“izgrađuju, uglavnom, smeđi, slojeviti (0,2-0,60 m), bankoviti (0,60-1,20 m), debelo bankoviti (1,20-1,60 m) krečnjaci gornje krede, odnosno cenomana (K</w:t>
      </w:r>
      <w:r w:rsidRPr="00D85C1E">
        <w:rPr>
          <w:rFonts w:asciiTheme="minorHAnsi" w:hAnsiTheme="minorHAnsi" w:cs="Calibri"/>
          <w:sz w:val="20"/>
          <w:szCs w:val="20"/>
          <w:vertAlign w:val="subscript"/>
          <w:lang w:val="sr-Latn-CS"/>
        </w:rPr>
        <w:t>2</w:t>
      </w:r>
      <w:r w:rsidRPr="00D85C1E">
        <w:rPr>
          <w:rFonts w:asciiTheme="minorHAnsi" w:hAnsiTheme="minorHAnsi" w:cs="Calibri"/>
          <w:sz w:val="20"/>
          <w:szCs w:val="20"/>
          <w:vertAlign w:val="superscript"/>
          <w:lang w:val="sr-Latn-CS"/>
        </w:rPr>
        <w:t>1</w:t>
      </w:r>
      <w:r w:rsidRPr="00D85C1E">
        <w:rPr>
          <w:rFonts w:asciiTheme="minorHAnsi" w:hAnsiTheme="minorHAnsi" w:cs="Calibri"/>
          <w:sz w:val="20"/>
          <w:szCs w:val="20"/>
          <w:lang w:val="sr-Latn-CS"/>
        </w:rPr>
        <w:t xml:space="preserve">), strukturnog tipa: M, M-W, W, W-P i P. </w:t>
      </w:r>
    </w:p>
    <w:p w:rsidR="00AB4843" w:rsidRPr="00D85C1E" w:rsidRDefault="00AB4843" w:rsidP="00403695">
      <w:pPr>
        <w:jc w:val="both"/>
        <w:rPr>
          <w:rFonts w:asciiTheme="minorHAnsi" w:hAnsiTheme="minorHAnsi" w:cs="Calibri"/>
          <w:sz w:val="20"/>
          <w:szCs w:val="20"/>
          <w:lang w:val="sr-Latn-CS"/>
        </w:rPr>
      </w:pPr>
    </w:p>
    <w:p w:rsidR="00AB4843" w:rsidRPr="00D85C1E" w:rsidRDefault="00AB4843" w:rsidP="00403695">
      <w:pPr>
        <w:jc w:val="both"/>
        <w:rPr>
          <w:rFonts w:asciiTheme="minorHAnsi" w:hAnsiTheme="minorHAnsi" w:cs="Calibri"/>
          <w:sz w:val="20"/>
          <w:szCs w:val="20"/>
          <w:lang w:val="sr-Latn-CS"/>
        </w:rPr>
      </w:pPr>
      <w:r w:rsidRPr="00D85C1E">
        <w:rPr>
          <w:rFonts w:asciiTheme="minorHAnsi" w:hAnsiTheme="minorHAnsi" w:cs="Calibri"/>
          <w:sz w:val="20"/>
          <w:szCs w:val="20"/>
          <w:lang w:val="sr-Latn-CS"/>
        </w:rPr>
        <w:t>Na ovom lokalitetu nijesu vršena detaljna geološka istraživanja tehničko-građevinskog kamena, tako da nema podataka o rezervama i kvalitetu tehničko-građevinskog kamena. Međutim, u neposrednoj blizini ove pojave nalazi se ležište tehničko-građevinskog kamena „Grabova kosa“ gdje su vršena detaljna geološka istraživanja. Uzimajući u obzir analogiju sa ovim ležištem tehničko-građevinskog kamena, može se zaključiti da se radi o krečnjacima dobrog kvaliteta, koji kao takvi mogu naći primjenu kao tehničko-građevinski kamen za proizvodnju nefrakcione i frakcione kamene sitneži za izradu:</w:t>
      </w:r>
    </w:p>
    <w:p w:rsidR="00AB4843" w:rsidRPr="00D85C1E" w:rsidRDefault="00AB4843" w:rsidP="00403695">
      <w:pPr>
        <w:numPr>
          <w:ilvl w:val="0"/>
          <w:numId w:val="13"/>
        </w:numPr>
        <w:jc w:val="both"/>
        <w:rPr>
          <w:rFonts w:asciiTheme="minorHAnsi" w:hAnsiTheme="minorHAnsi" w:cs="Calibri"/>
          <w:i/>
          <w:sz w:val="20"/>
          <w:szCs w:val="20"/>
          <w:lang w:val="sr-Latn-CS"/>
        </w:rPr>
      </w:pPr>
      <w:r w:rsidRPr="00D85C1E">
        <w:rPr>
          <w:rFonts w:asciiTheme="minorHAnsi" w:hAnsiTheme="minorHAnsi" w:cs="Calibri"/>
          <w:i/>
          <w:sz w:val="20"/>
          <w:szCs w:val="20"/>
          <w:lang w:val="sr-Latn-CS"/>
        </w:rPr>
        <w:t>donjih nosećih mehanički stabilizovanih (tamponskih) slojeva kolovoznih konstrukcija (JUS U.E9.020);</w:t>
      </w:r>
    </w:p>
    <w:p w:rsidR="00AB4843" w:rsidRPr="00D85C1E" w:rsidRDefault="00AB4843" w:rsidP="00403695">
      <w:pPr>
        <w:numPr>
          <w:ilvl w:val="0"/>
          <w:numId w:val="13"/>
        </w:numPr>
        <w:jc w:val="both"/>
        <w:rPr>
          <w:rFonts w:asciiTheme="minorHAnsi" w:hAnsiTheme="minorHAnsi" w:cs="Calibri"/>
          <w:i/>
          <w:sz w:val="20"/>
          <w:szCs w:val="20"/>
          <w:lang w:val="sr-Latn-CS"/>
        </w:rPr>
      </w:pPr>
      <w:r w:rsidRPr="00D85C1E">
        <w:rPr>
          <w:rFonts w:asciiTheme="minorHAnsi" w:hAnsiTheme="minorHAnsi" w:cs="Calibri"/>
          <w:i/>
          <w:sz w:val="20"/>
          <w:szCs w:val="20"/>
          <w:lang w:val="sr-Latn-CS"/>
        </w:rPr>
        <w:t>donjih nosećih slojeva kolovoznih konstrukcija od bituminiziranog materijala po vrućem postupku (JUS E.E9.028);</w:t>
      </w:r>
    </w:p>
    <w:p w:rsidR="00AB4843" w:rsidRPr="00D85C1E" w:rsidRDefault="00AB4843" w:rsidP="00403695">
      <w:pPr>
        <w:numPr>
          <w:ilvl w:val="0"/>
          <w:numId w:val="13"/>
        </w:numPr>
        <w:jc w:val="both"/>
        <w:rPr>
          <w:rFonts w:asciiTheme="minorHAnsi" w:hAnsiTheme="minorHAnsi" w:cs="Calibri"/>
          <w:i/>
          <w:sz w:val="20"/>
          <w:szCs w:val="20"/>
          <w:lang w:val="sr-Latn-CS"/>
        </w:rPr>
      </w:pPr>
      <w:r w:rsidRPr="00D85C1E">
        <w:rPr>
          <w:rFonts w:asciiTheme="minorHAnsi" w:hAnsiTheme="minorHAnsi" w:cs="Calibri"/>
          <w:i/>
          <w:sz w:val="20"/>
          <w:szCs w:val="20"/>
          <w:lang w:val="sr-Latn-CS"/>
        </w:rPr>
        <w:t>gornjih nosećih slojeva kolovoznih konstrukcija od bituminiziranog materijala po vrućem postupku na putevima svih saobraćajnih grupa saobraćajnog opterećenja (JUS U.E9.021);</w:t>
      </w:r>
    </w:p>
    <w:p w:rsidR="00AB4843" w:rsidRPr="003B150E" w:rsidRDefault="00AB4843" w:rsidP="00403695">
      <w:pPr>
        <w:numPr>
          <w:ilvl w:val="0"/>
          <w:numId w:val="13"/>
        </w:numPr>
        <w:jc w:val="both"/>
        <w:rPr>
          <w:rFonts w:asciiTheme="minorHAnsi" w:hAnsiTheme="minorHAnsi" w:cs="Calibri"/>
          <w:i/>
          <w:sz w:val="20"/>
          <w:szCs w:val="20"/>
          <w:lang w:val="sr-Latn-CS"/>
        </w:rPr>
      </w:pPr>
      <w:r w:rsidRPr="003B150E">
        <w:rPr>
          <w:rFonts w:asciiTheme="minorHAnsi" w:hAnsiTheme="minorHAnsi" w:cs="Calibri"/>
          <w:i/>
          <w:sz w:val="20"/>
          <w:szCs w:val="20"/>
          <w:lang w:val="sr-Latn-CS"/>
        </w:rPr>
        <w:t>donjih slojeva cement-betonskih kolovoznih ploča (JUS E.E3.020);</w:t>
      </w:r>
    </w:p>
    <w:p w:rsidR="00AB4843" w:rsidRPr="003B150E" w:rsidRDefault="00AB4843" w:rsidP="00403695">
      <w:pPr>
        <w:numPr>
          <w:ilvl w:val="0"/>
          <w:numId w:val="13"/>
        </w:numPr>
        <w:jc w:val="both"/>
        <w:rPr>
          <w:rFonts w:asciiTheme="minorHAnsi" w:hAnsiTheme="minorHAnsi" w:cs="Calibri"/>
          <w:i/>
          <w:sz w:val="20"/>
          <w:szCs w:val="20"/>
          <w:lang w:val="sv-SE"/>
        </w:rPr>
      </w:pPr>
      <w:r w:rsidRPr="003B150E">
        <w:rPr>
          <w:rFonts w:asciiTheme="minorHAnsi" w:hAnsiTheme="minorHAnsi" w:cs="Calibri"/>
          <w:i/>
          <w:sz w:val="20"/>
          <w:szCs w:val="20"/>
          <w:lang w:val="sv-SE"/>
        </w:rPr>
        <w:t>cement-betona (masivnog, armiranog i prednapregnutog) koji nijesu izloženi habanju i eroziji (JUS B.B2.009);</w:t>
      </w:r>
    </w:p>
    <w:p w:rsidR="00AB4843" w:rsidRPr="003B150E" w:rsidRDefault="00AB4843" w:rsidP="00403695">
      <w:pPr>
        <w:numPr>
          <w:ilvl w:val="0"/>
          <w:numId w:val="13"/>
        </w:numPr>
        <w:jc w:val="both"/>
        <w:rPr>
          <w:rFonts w:asciiTheme="minorHAnsi" w:hAnsiTheme="minorHAnsi" w:cs="Calibri"/>
          <w:i/>
          <w:sz w:val="20"/>
          <w:szCs w:val="20"/>
          <w:lang w:val="sv-SE"/>
        </w:rPr>
      </w:pPr>
      <w:r w:rsidRPr="003B150E">
        <w:rPr>
          <w:rFonts w:asciiTheme="minorHAnsi" w:hAnsiTheme="minorHAnsi" w:cs="Calibri"/>
          <w:i/>
          <w:sz w:val="20"/>
          <w:szCs w:val="20"/>
          <w:lang w:val="sv-SE"/>
        </w:rPr>
        <w:t>lomljenog kamena – neobrađenog, poluobrađenog i obrađenog za sva zidanja u niskogradnji (podzide, portali i kosine) i visokogradnja;</w:t>
      </w:r>
    </w:p>
    <w:p w:rsidR="00AB4843" w:rsidRPr="003B150E" w:rsidRDefault="00AB4843" w:rsidP="00403695">
      <w:pPr>
        <w:numPr>
          <w:ilvl w:val="0"/>
          <w:numId w:val="13"/>
        </w:numPr>
        <w:jc w:val="both"/>
        <w:rPr>
          <w:rFonts w:asciiTheme="minorHAnsi" w:hAnsiTheme="minorHAnsi" w:cs="Calibri"/>
          <w:sz w:val="20"/>
          <w:szCs w:val="20"/>
          <w:lang w:val="sv-SE"/>
        </w:rPr>
      </w:pPr>
      <w:r w:rsidRPr="003B150E">
        <w:rPr>
          <w:rFonts w:asciiTheme="minorHAnsi" w:hAnsiTheme="minorHAnsi" w:cs="Calibri"/>
          <w:i/>
          <w:sz w:val="20"/>
          <w:szCs w:val="20"/>
          <w:lang w:val="sv-SE"/>
        </w:rPr>
        <w:t>hidrotehničkog građevinskog kamena – lomljenog, poluobrađenog i obrađenog za izradu obaloutvrda, vodotokova, svih vrsta hidrotehničkih objekata, gabona, fašina i dr</w:t>
      </w:r>
      <w:r w:rsidRPr="003B150E">
        <w:rPr>
          <w:rFonts w:asciiTheme="minorHAnsi" w:hAnsiTheme="minorHAnsi" w:cs="Calibri"/>
          <w:sz w:val="20"/>
          <w:szCs w:val="20"/>
          <w:lang w:val="sv-SE"/>
        </w:rPr>
        <w:t>.</w:t>
      </w:r>
    </w:p>
    <w:p w:rsidR="00AB4843" w:rsidRPr="003B150E" w:rsidRDefault="00AB4843" w:rsidP="00403695">
      <w:pPr>
        <w:jc w:val="both"/>
        <w:rPr>
          <w:rFonts w:asciiTheme="minorHAnsi" w:hAnsiTheme="minorHAnsi" w:cs="Calibri"/>
          <w:sz w:val="20"/>
          <w:szCs w:val="20"/>
          <w:lang w:val="sv-SE"/>
        </w:rPr>
      </w:pPr>
      <w:r w:rsidRPr="003B150E">
        <w:rPr>
          <w:rFonts w:asciiTheme="minorHAnsi" w:hAnsiTheme="minorHAnsi" w:cs="Calibri"/>
          <w:sz w:val="20"/>
          <w:szCs w:val="20"/>
          <w:lang w:val="sv-SE"/>
        </w:rPr>
        <w:t>Na bazi izvršene procjene na predmetnom prostoru tehničko-građevinskog kamena „Bogovi lazi“, uzimajući u obzir površinu prostora i morfološke karakteristike, potencijalne geološke rezerve tehničko-građevinskog kamena procijenjene su na oko  500.000 m</w:t>
      </w:r>
      <w:r w:rsidRPr="003B150E">
        <w:rPr>
          <w:rFonts w:asciiTheme="minorHAnsi" w:hAnsiTheme="minorHAnsi" w:cs="Calibri"/>
          <w:sz w:val="20"/>
          <w:szCs w:val="20"/>
          <w:vertAlign w:val="superscript"/>
          <w:lang w:val="sv-SE"/>
        </w:rPr>
        <w:t>3</w:t>
      </w:r>
      <w:r w:rsidRPr="003B150E">
        <w:rPr>
          <w:rFonts w:asciiTheme="minorHAnsi" w:hAnsiTheme="minorHAnsi" w:cs="Calibri"/>
          <w:sz w:val="20"/>
          <w:szCs w:val="20"/>
          <w:lang w:val="sv-SE"/>
        </w:rPr>
        <w:t>.</w:t>
      </w:r>
    </w:p>
    <w:p w:rsidR="00FD337B" w:rsidRDefault="00AB4843" w:rsidP="00403695">
      <w:pPr>
        <w:jc w:val="both"/>
        <w:rPr>
          <w:rFonts w:asciiTheme="minorHAnsi" w:hAnsiTheme="minorHAnsi" w:cs="Calibri"/>
          <w:sz w:val="20"/>
          <w:szCs w:val="20"/>
        </w:rPr>
      </w:pPr>
      <w:r w:rsidRPr="00AB4843">
        <w:rPr>
          <w:rFonts w:asciiTheme="minorHAnsi" w:hAnsiTheme="minorHAnsi" w:cs="Calibri"/>
          <w:sz w:val="20"/>
          <w:szCs w:val="20"/>
        </w:rPr>
        <w:t xml:space="preserve">Prostor </w:t>
      </w:r>
      <w:proofErr w:type="gramStart"/>
      <w:r w:rsidRPr="00AB4843">
        <w:rPr>
          <w:rFonts w:asciiTheme="minorHAnsi" w:hAnsiTheme="minorHAnsi" w:cs="Calibri"/>
          <w:sz w:val="20"/>
          <w:szCs w:val="20"/>
        </w:rPr>
        <w:t>na</w:t>
      </w:r>
      <w:proofErr w:type="gramEnd"/>
      <w:r w:rsidRPr="00AB4843">
        <w:rPr>
          <w:rFonts w:asciiTheme="minorHAnsi" w:hAnsiTheme="minorHAnsi" w:cs="Calibri"/>
          <w:sz w:val="20"/>
          <w:szCs w:val="20"/>
        </w:rPr>
        <w:t xml:space="preserve"> koji se traži koncesija je ograničen pravim linijama koje prolaze kroz konturne tačke od 1 do 19, sa sljedećim koordinatama: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3"/>
        <w:gridCol w:w="3191"/>
      </w:tblGrid>
      <w:tr w:rsidR="00AB4843" w:rsidRPr="003B150E" w:rsidTr="00AF53FF">
        <w:trPr>
          <w:gridBefore w:val="1"/>
          <w:wBefore w:w="1667" w:type="pct"/>
          <w:trHeight w:val="188"/>
          <w:jc w:val="center"/>
        </w:trPr>
        <w:tc>
          <w:tcPr>
            <w:tcW w:w="3333" w:type="pct"/>
            <w:gridSpan w:val="2"/>
            <w:tcBorders>
              <w:top w:val="thinThickSmallGap" w:sz="18" w:space="0" w:color="auto"/>
              <w:left w:val="thinThickSmallGap" w:sz="18" w:space="0" w:color="auto"/>
              <w:right w:val="thinThickSmallGap" w:sz="18" w:space="0" w:color="auto"/>
            </w:tcBorders>
            <w:shd w:val="clear" w:color="auto" w:fill="92D050"/>
            <w:vAlign w:val="center"/>
          </w:tcPr>
          <w:p w:rsidR="00AB4843" w:rsidRPr="003B150E" w:rsidRDefault="00AB4843" w:rsidP="00AF53FF">
            <w:pPr>
              <w:jc w:val="center"/>
              <w:rPr>
                <w:rFonts w:asciiTheme="minorHAnsi" w:hAnsiTheme="minorHAnsi" w:cs="Calibri"/>
                <w:b/>
                <w:sz w:val="20"/>
                <w:szCs w:val="20"/>
                <w:lang w:val="de-DE"/>
              </w:rPr>
            </w:pPr>
            <w:r w:rsidRPr="003B150E">
              <w:rPr>
                <w:rFonts w:asciiTheme="minorHAnsi" w:hAnsiTheme="minorHAnsi" w:cs="Calibri"/>
                <w:b/>
                <w:sz w:val="20"/>
                <w:szCs w:val="20"/>
                <w:lang w:val="de-DE"/>
              </w:rPr>
              <w:t>K O O R D I N A T E</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667" w:type="pct"/>
            <w:tcBorders>
              <w:top w:val="thinThickSmallGap" w:sz="18" w:space="0" w:color="auto"/>
              <w:left w:val="thinThickSmallGap" w:sz="18" w:space="0" w:color="auto"/>
              <w:bottom w:val="double" w:sz="4" w:space="0" w:color="auto"/>
              <w:right w:val="double" w:sz="4" w:space="0" w:color="auto"/>
            </w:tcBorders>
            <w:shd w:val="clear" w:color="auto" w:fill="92D050"/>
            <w:vAlign w:val="center"/>
          </w:tcPr>
          <w:p w:rsidR="00AB4843" w:rsidRPr="00AB4843" w:rsidRDefault="00AB4843" w:rsidP="00AF53FF">
            <w:pPr>
              <w:jc w:val="center"/>
              <w:rPr>
                <w:rFonts w:asciiTheme="minorHAnsi" w:hAnsiTheme="minorHAnsi" w:cs="Calibri"/>
                <w:b/>
                <w:sz w:val="20"/>
                <w:szCs w:val="20"/>
              </w:rPr>
            </w:pPr>
            <w:r w:rsidRPr="00AB4843">
              <w:rPr>
                <w:rFonts w:asciiTheme="minorHAnsi" w:hAnsiTheme="minorHAnsi" w:cs="Calibri"/>
                <w:b/>
                <w:sz w:val="20"/>
                <w:szCs w:val="20"/>
              </w:rPr>
              <w:t>Konturna tačka</w:t>
            </w:r>
          </w:p>
        </w:tc>
        <w:tc>
          <w:tcPr>
            <w:tcW w:w="1667" w:type="pct"/>
            <w:tcBorders>
              <w:top w:val="single" w:sz="4" w:space="0" w:color="auto"/>
              <w:left w:val="double" w:sz="4" w:space="0" w:color="auto"/>
              <w:bottom w:val="double" w:sz="4" w:space="0" w:color="auto"/>
            </w:tcBorders>
            <w:shd w:val="clear" w:color="auto" w:fill="92D050"/>
            <w:vAlign w:val="center"/>
          </w:tcPr>
          <w:p w:rsidR="00AB4843" w:rsidRPr="00AB4843" w:rsidRDefault="00AB4843" w:rsidP="00AF53FF">
            <w:pPr>
              <w:jc w:val="center"/>
              <w:rPr>
                <w:rFonts w:asciiTheme="minorHAnsi" w:hAnsiTheme="minorHAnsi" w:cs="Calibri"/>
                <w:b/>
                <w:sz w:val="20"/>
                <w:szCs w:val="20"/>
              </w:rPr>
            </w:pPr>
            <w:r w:rsidRPr="00AB4843">
              <w:rPr>
                <w:rFonts w:asciiTheme="minorHAnsi" w:hAnsiTheme="minorHAnsi" w:cs="Calibri"/>
                <w:b/>
                <w:sz w:val="20"/>
                <w:szCs w:val="20"/>
              </w:rPr>
              <w:t>X</w:t>
            </w:r>
          </w:p>
        </w:tc>
        <w:tc>
          <w:tcPr>
            <w:tcW w:w="1666" w:type="pct"/>
            <w:tcBorders>
              <w:top w:val="single" w:sz="4" w:space="0" w:color="auto"/>
              <w:bottom w:val="double" w:sz="4" w:space="0" w:color="auto"/>
              <w:right w:val="thinThickSmallGap" w:sz="18" w:space="0" w:color="auto"/>
            </w:tcBorders>
            <w:shd w:val="clear" w:color="auto" w:fill="92D050"/>
            <w:vAlign w:val="center"/>
          </w:tcPr>
          <w:p w:rsidR="00AB4843" w:rsidRPr="00AB4843" w:rsidRDefault="00AB4843" w:rsidP="00AF53FF">
            <w:pPr>
              <w:jc w:val="center"/>
              <w:rPr>
                <w:rFonts w:asciiTheme="minorHAnsi" w:hAnsiTheme="minorHAnsi" w:cs="Calibri"/>
                <w:b/>
                <w:sz w:val="20"/>
                <w:szCs w:val="20"/>
              </w:rPr>
            </w:pPr>
            <w:r w:rsidRPr="00AB4843">
              <w:rPr>
                <w:rFonts w:asciiTheme="minorHAnsi" w:hAnsiTheme="minorHAnsi" w:cs="Calibri"/>
                <w:b/>
                <w:sz w:val="20"/>
                <w:szCs w:val="20"/>
              </w:rPr>
              <w:t>Y</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667" w:type="pct"/>
            <w:tcBorders>
              <w:top w:val="double" w:sz="4" w:space="0" w:color="auto"/>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1</w:t>
            </w:r>
          </w:p>
        </w:tc>
        <w:tc>
          <w:tcPr>
            <w:tcW w:w="1667" w:type="pct"/>
            <w:tcBorders>
              <w:top w:val="double" w:sz="4" w:space="0" w:color="auto"/>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4 731 073.45</w:t>
            </w:r>
          </w:p>
        </w:tc>
        <w:tc>
          <w:tcPr>
            <w:tcW w:w="1666" w:type="pct"/>
            <w:tcBorders>
              <w:top w:val="double" w:sz="4" w:space="0" w:color="auto"/>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6 577 827.67</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2</w:t>
            </w:r>
          </w:p>
        </w:tc>
        <w:tc>
          <w:tcPr>
            <w:tcW w:w="1667" w:type="pct"/>
            <w:tcBorders>
              <w:left w:val="double" w:sz="4" w:space="0" w:color="auto"/>
            </w:tcBorders>
            <w:vAlign w:val="center"/>
          </w:tcPr>
          <w:p w:rsidR="00AB4843" w:rsidRPr="00AB4843" w:rsidRDefault="00AB4843" w:rsidP="00AF53FF">
            <w:pPr>
              <w:tabs>
                <w:tab w:val="center" w:pos="1437"/>
              </w:tabs>
              <w:jc w:val="center"/>
              <w:rPr>
                <w:rFonts w:asciiTheme="minorHAnsi" w:hAnsiTheme="minorHAnsi" w:cs="Calibri"/>
                <w:sz w:val="20"/>
                <w:szCs w:val="20"/>
              </w:rPr>
            </w:pPr>
            <w:r w:rsidRPr="00AB4843">
              <w:rPr>
                <w:rFonts w:asciiTheme="minorHAnsi" w:hAnsiTheme="minorHAnsi" w:cs="Calibri"/>
                <w:sz w:val="20"/>
                <w:szCs w:val="20"/>
              </w:rPr>
              <w:t>4 731 096.53</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6 577 817.14</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3</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4 731 117.69</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6 577 765.24</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4 731 150.92</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6 577 740.74</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5</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4 731 195.68</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6 577 725.44</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4 731 200.60</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6 577 712.04</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7</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4 731 204.44</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6 577 694.48</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8</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4 731 219.01</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6 577 681.19</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9</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4 731 232.13</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6 577 654.19</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10</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4 731 226.47</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6 577 626.29</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11</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4 731 198.87</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6 577 661.61</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12</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4 731 167.64</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6 577 659.87</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13</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4 731 145.00</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6 577 666.25</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14</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4 731 133.98</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6 577 673.60</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15</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4 731 098.88</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6 577 688.15</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16</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4 731 036.46</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6 577 721.27</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17</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4 731 023.54</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6 577 735.32</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righ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18</w:t>
            </w:r>
          </w:p>
        </w:tc>
        <w:tc>
          <w:tcPr>
            <w:tcW w:w="1667" w:type="pct"/>
            <w:tcBorders>
              <w:left w:val="double" w:sz="4"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4 731 008.80</w:t>
            </w:r>
          </w:p>
        </w:tc>
        <w:tc>
          <w:tcPr>
            <w:tcW w:w="1666" w:type="pct"/>
            <w:tcBorders>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6 577 762.30</w:t>
            </w:r>
          </w:p>
        </w:tc>
      </w:tr>
      <w:tr w:rsidR="00AB4843" w:rsidRPr="00AB4843" w:rsidTr="00CE0B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jc w:val="center"/>
        </w:trPr>
        <w:tc>
          <w:tcPr>
            <w:tcW w:w="1667" w:type="pct"/>
            <w:tcBorders>
              <w:left w:val="thinThickSmallGap" w:sz="18" w:space="0" w:color="auto"/>
              <w:bottom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19</w:t>
            </w:r>
          </w:p>
        </w:tc>
        <w:tc>
          <w:tcPr>
            <w:tcW w:w="1667" w:type="pct"/>
            <w:tcBorders>
              <w:bottom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4 730 990.97</w:t>
            </w:r>
          </w:p>
        </w:tc>
        <w:tc>
          <w:tcPr>
            <w:tcW w:w="1666" w:type="pct"/>
            <w:tcBorders>
              <w:bottom w:val="thinThickSmallGap" w:sz="18" w:space="0" w:color="auto"/>
              <w:right w:val="thinThickSmallGap" w:sz="18" w:space="0" w:color="auto"/>
            </w:tcBorders>
            <w:vAlign w:val="center"/>
          </w:tcPr>
          <w:p w:rsidR="00AB4843" w:rsidRPr="00AB4843" w:rsidRDefault="00AB4843" w:rsidP="00AF53FF">
            <w:pPr>
              <w:jc w:val="center"/>
              <w:rPr>
                <w:rFonts w:asciiTheme="minorHAnsi" w:hAnsiTheme="minorHAnsi" w:cs="Calibri"/>
                <w:sz w:val="20"/>
                <w:szCs w:val="20"/>
              </w:rPr>
            </w:pPr>
            <w:r w:rsidRPr="00AB4843">
              <w:rPr>
                <w:rFonts w:asciiTheme="minorHAnsi" w:hAnsiTheme="minorHAnsi" w:cs="Calibri"/>
                <w:sz w:val="20"/>
                <w:szCs w:val="20"/>
              </w:rPr>
              <w:t>6 577 779.81</w:t>
            </w:r>
          </w:p>
        </w:tc>
      </w:tr>
    </w:tbl>
    <w:p w:rsidR="00AB4843" w:rsidRDefault="00AB4843" w:rsidP="00403695">
      <w:pPr>
        <w:jc w:val="both"/>
        <w:rPr>
          <w:rFonts w:asciiTheme="minorHAnsi" w:hAnsiTheme="minorHAnsi" w:cs="Calibri"/>
          <w:sz w:val="20"/>
          <w:szCs w:val="20"/>
          <w:lang w:val="sv-SE"/>
        </w:rPr>
      </w:pPr>
      <w:r w:rsidRPr="003B150E">
        <w:rPr>
          <w:rFonts w:asciiTheme="minorHAnsi" w:hAnsiTheme="minorHAnsi" w:cs="Calibri"/>
          <w:sz w:val="20"/>
          <w:szCs w:val="20"/>
          <w:lang w:val="sv-SE"/>
        </w:rPr>
        <w:t>Ukupna površina traženog prostora za dodjelu koncesije iznosi 18.362 m</w:t>
      </w:r>
      <w:r w:rsidRPr="003B150E">
        <w:rPr>
          <w:rFonts w:asciiTheme="minorHAnsi" w:hAnsiTheme="minorHAnsi" w:cs="Calibri"/>
          <w:sz w:val="20"/>
          <w:szCs w:val="20"/>
          <w:vertAlign w:val="superscript"/>
          <w:lang w:val="sv-SE"/>
        </w:rPr>
        <w:t>2</w:t>
      </w:r>
      <w:r w:rsidRPr="003B150E">
        <w:rPr>
          <w:rFonts w:asciiTheme="minorHAnsi" w:hAnsiTheme="minorHAnsi" w:cs="Calibri"/>
          <w:sz w:val="20"/>
          <w:szCs w:val="20"/>
          <w:lang w:val="sv-SE"/>
        </w:rPr>
        <w:t xml:space="preserve"> (1,84 ha).</w:t>
      </w:r>
    </w:p>
    <w:p w:rsidR="005F0BE9" w:rsidRDefault="005F0BE9" w:rsidP="00403695">
      <w:pPr>
        <w:jc w:val="both"/>
        <w:rPr>
          <w:rFonts w:asciiTheme="minorHAnsi" w:hAnsiTheme="minorHAnsi" w:cs="Calibri"/>
          <w:sz w:val="20"/>
          <w:szCs w:val="20"/>
          <w:lang w:val="sv-SE"/>
        </w:rPr>
      </w:pPr>
    </w:p>
    <w:p w:rsidR="00FB5224" w:rsidRDefault="00FB5224" w:rsidP="00403695">
      <w:pPr>
        <w:jc w:val="both"/>
        <w:rPr>
          <w:rFonts w:asciiTheme="minorHAnsi" w:hAnsiTheme="minorHAnsi" w:cstheme="minorHAnsi"/>
          <w:b/>
          <w:sz w:val="20"/>
          <w:szCs w:val="20"/>
          <w:lang w:val="sr-Latn-CS"/>
        </w:rPr>
      </w:pPr>
      <w:r>
        <w:rPr>
          <w:rFonts w:asciiTheme="minorHAnsi" w:hAnsiTheme="minorHAnsi" w:cstheme="minorHAnsi"/>
          <w:b/>
          <w:sz w:val="20"/>
          <w:szCs w:val="20"/>
          <w:lang w:val="sr-Latn-CS"/>
        </w:rPr>
        <w:t>12. „Jagnjilo“ (cementni laporac), o</w:t>
      </w:r>
      <w:r w:rsidRPr="00EC7830">
        <w:rPr>
          <w:rFonts w:asciiTheme="minorHAnsi" w:hAnsiTheme="minorHAnsi" w:cstheme="minorHAnsi"/>
          <w:b/>
          <w:sz w:val="20"/>
          <w:szCs w:val="20"/>
          <w:lang w:val="sr-Latn-CS"/>
        </w:rPr>
        <w:t>pština Pljevlja</w:t>
      </w:r>
    </w:p>
    <w:p w:rsidR="00FB5224" w:rsidRPr="00F038A3" w:rsidRDefault="00FB5224" w:rsidP="00403695">
      <w:pPr>
        <w:jc w:val="both"/>
        <w:rPr>
          <w:rFonts w:asciiTheme="minorHAnsi" w:hAnsiTheme="minorHAnsi" w:cstheme="minorHAnsi"/>
          <w:sz w:val="20"/>
          <w:szCs w:val="20"/>
          <w:lang w:val="sr-Latn-CS"/>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Lokalnost ''Jagnjilo'', na kojoj se nalazi odlagalište cementnog laporca, nalazi se u blizini grada Pljevalja, na padinama Rajčevog brda (1121 m.n.m.) u istočno-jugoistočnom dijelu. Od centra grada, vazdušnom linijom, udaljeno je oko 2,5 km. U neposrednoj blizini prolazi magistralni put Pljevlja-Prijepolje, kao i raskrsnica kod Slijepac mosta za regionalni put Pljevlja-Jadransko more.</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 xml:space="preserve">Odlagalište, odnosno, istražno-eksploatacioni prostor ''Jagnjilo'' nalazi se sjeveroistočno, na oko 1 km od aktivnog površinskog kopa ležišta uglja ''Potrlica''. Iz ovog kopa se u redovnoj proizvodnji laporac i laporoviti krečnjak iz krovinskog dijela glavnog ugljenog sloja, usitnjavanjem i sistemom trakastog transporta, doprema na odlagalište prema ustaljenoj tehnologiji. Odlagalište ''Jagnjilo'' je formirano po etažnom sistemu gdje se poštuju uslovi shodno fizičko-mehaničkim osobinama materijala, koji je dopreman i morfologiji samog terena. </w:t>
      </w:r>
    </w:p>
    <w:p w:rsidR="00FB5224" w:rsidRPr="00F038A3" w:rsidRDefault="00FB5224"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ab/>
      </w:r>
      <w:r>
        <w:rPr>
          <w:rFonts w:asciiTheme="minorHAnsi" w:hAnsiTheme="minorHAnsi" w:cstheme="minorHAnsi"/>
          <w:sz w:val="20"/>
          <w:szCs w:val="20"/>
          <w:lang w:val="hr-HR"/>
        </w:rPr>
        <w:tab/>
      </w:r>
      <w:r>
        <w:rPr>
          <w:rFonts w:asciiTheme="minorHAnsi" w:hAnsiTheme="minorHAnsi" w:cstheme="minorHAnsi"/>
          <w:sz w:val="20"/>
          <w:szCs w:val="20"/>
          <w:lang w:val="hr-HR"/>
        </w:rPr>
        <w:tab/>
      </w:r>
      <w:r>
        <w:rPr>
          <w:rFonts w:asciiTheme="minorHAnsi" w:hAnsiTheme="minorHAnsi" w:cstheme="minorHAnsi"/>
          <w:sz w:val="20"/>
          <w:szCs w:val="20"/>
          <w:lang w:val="hr-HR"/>
        </w:rPr>
        <w:tab/>
      </w:r>
      <w:r>
        <w:rPr>
          <w:rFonts w:asciiTheme="minorHAnsi" w:hAnsiTheme="minorHAnsi" w:cstheme="minorHAnsi"/>
          <w:sz w:val="20"/>
          <w:szCs w:val="20"/>
          <w:lang w:val="hr-HR"/>
        </w:rPr>
        <w:tab/>
      </w:r>
      <w:r>
        <w:rPr>
          <w:rFonts w:asciiTheme="minorHAnsi" w:hAnsiTheme="minorHAnsi" w:cstheme="minorHAnsi"/>
          <w:sz w:val="20"/>
          <w:szCs w:val="20"/>
          <w:lang w:val="hr-HR"/>
        </w:rPr>
        <w:tab/>
      </w:r>
      <w:r>
        <w:rPr>
          <w:rFonts w:asciiTheme="minorHAnsi" w:hAnsiTheme="minorHAnsi" w:cstheme="minorHAnsi"/>
          <w:sz w:val="20"/>
          <w:szCs w:val="20"/>
          <w:lang w:val="hr-HR"/>
        </w:rPr>
        <w:tab/>
      </w:r>
      <w:r>
        <w:rPr>
          <w:rFonts w:asciiTheme="minorHAnsi" w:hAnsiTheme="minorHAnsi" w:cstheme="minorHAnsi"/>
          <w:sz w:val="20"/>
          <w:szCs w:val="20"/>
          <w:lang w:val="hr-HR"/>
        </w:rPr>
        <w:tab/>
      </w:r>
      <w:r>
        <w:rPr>
          <w:rFonts w:asciiTheme="minorHAnsi" w:hAnsiTheme="minorHAnsi" w:cstheme="minorHAnsi"/>
          <w:sz w:val="20"/>
          <w:szCs w:val="20"/>
          <w:lang w:val="hr-HR"/>
        </w:rPr>
        <w:tab/>
      </w:r>
      <w:r>
        <w:rPr>
          <w:rFonts w:asciiTheme="minorHAnsi" w:hAnsiTheme="minorHAnsi" w:cstheme="minorHAnsi"/>
          <w:sz w:val="20"/>
          <w:szCs w:val="20"/>
          <w:lang w:val="hr-HR"/>
        </w:rPr>
        <w:tab/>
      </w:r>
      <w:r>
        <w:rPr>
          <w:rFonts w:asciiTheme="minorHAnsi" w:hAnsiTheme="minorHAnsi" w:cstheme="minorHAnsi"/>
          <w:sz w:val="20"/>
          <w:szCs w:val="20"/>
          <w:lang w:val="hr-HR"/>
        </w:rPr>
        <w:tab/>
      </w: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Odlagalište je jedno izduženo prizmatično tijelo pružanja jugoistok-sjeverozapad. Njegove dimenzije su oko 1400 m po pružanju i oko 400 - 500 m po širini. Hipsometrijski se nalazi između 980 i 1070 m.n.m.</w:t>
      </w: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 xml:space="preserve">Sa zapadne, sjeveroistočne i jugoistočne strane odlagališta nalaze se seoska domaćinstva na udaljenosti od oko 0,5-1,0 km. Nema stalnih vodenih tokova ni izvora. Okolni teren je kamenit, karstifikovan i obrastao listopadnom i četinarskom šumom. U blizini odlagališta postoji niskonaponska električna mreža. </w:t>
      </w:r>
    </w:p>
    <w:p w:rsidR="00FB5224" w:rsidRPr="00F038A3" w:rsidRDefault="00FB5224" w:rsidP="00403695">
      <w:pPr>
        <w:jc w:val="both"/>
        <w:rPr>
          <w:rFonts w:asciiTheme="minorHAnsi" w:hAnsiTheme="minorHAnsi" w:cstheme="minorHAnsi"/>
          <w:sz w:val="20"/>
          <w:szCs w:val="20"/>
          <w:lang w:val="hr-HR"/>
        </w:rPr>
      </w:pPr>
    </w:p>
    <w:p w:rsidR="00FB5224" w:rsidRPr="00026DA7"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Odlagalište, odnosno, istražno-eksploatacioni prostor ''Jagnjilo'' zahvata površinu od oko 90 ha</w:t>
      </w:r>
      <w:r w:rsidRPr="00E61807">
        <w:rPr>
          <w:rFonts w:asciiTheme="minorHAnsi" w:hAnsiTheme="minorHAnsi" w:cstheme="minorHAnsi"/>
          <w:sz w:val="20"/>
          <w:szCs w:val="20"/>
          <w:lang w:val="hr-HR"/>
        </w:rPr>
        <w:t xml:space="preserve"> </w:t>
      </w:r>
      <w:r w:rsidRPr="00EC7830">
        <w:rPr>
          <w:rFonts w:asciiTheme="minorHAnsi" w:hAnsiTheme="minorHAnsi" w:cstheme="minorHAnsi"/>
          <w:sz w:val="20"/>
          <w:szCs w:val="20"/>
        </w:rPr>
        <w:t>u</w:t>
      </w:r>
      <w:r w:rsidRPr="00E61807">
        <w:rPr>
          <w:rFonts w:asciiTheme="minorHAnsi" w:hAnsiTheme="minorHAnsi" w:cstheme="minorHAnsi"/>
          <w:sz w:val="20"/>
          <w:szCs w:val="20"/>
          <w:lang w:val="hr-HR"/>
        </w:rPr>
        <w:t xml:space="preserve"> </w:t>
      </w:r>
      <w:r w:rsidRPr="00EC7830">
        <w:rPr>
          <w:rFonts w:asciiTheme="minorHAnsi" w:hAnsiTheme="minorHAnsi" w:cstheme="minorHAnsi"/>
          <w:sz w:val="20"/>
          <w:szCs w:val="20"/>
        </w:rPr>
        <w:t>koordinatama</w:t>
      </w:r>
      <w:r>
        <w:rPr>
          <w:rFonts w:asciiTheme="minorHAnsi" w:hAnsiTheme="minorHAnsi" w:cstheme="minorHAnsi"/>
          <w:sz w:val="20"/>
          <w:szCs w:val="20"/>
          <w:lang w:val="hr-HR"/>
        </w:rPr>
        <w:t xml:space="preserve"> </w:t>
      </w:r>
      <w:r w:rsidRPr="00EC7830">
        <w:rPr>
          <w:rFonts w:asciiTheme="minorHAnsi" w:hAnsiTheme="minorHAnsi" w:cstheme="minorHAnsi"/>
          <w:sz w:val="20"/>
          <w:szCs w:val="20"/>
        </w:rPr>
        <w:t>ugaonih</w:t>
      </w:r>
      <w:r w:rsidRPr="00E61807">
        <w:rPr>
          <w:rFonts w:asciiTheme="minorHAnsi" w:hAnsiTheme="minorHAnsi" w:cstheme="minorHAnsi"/>
          <w:sz w:val="20"/>
          <w:szCs w:val="20"/>
          <w:lang w:val="hr-HR"/>
        </w:rPr>
        <w:t xml:space="preserve"> </w:t>
      </w:r>
      <w:r w:rsidRPr="00EC7830">
        <w:rPr>
          <w:rFonts w:asciiTheme="minorHAnsi" w:hAnsiTheme="minorHAnsi" w:cstheme="minorHAnsi"/>
          <w:sz w:val="20"/>
          <w:szCs w:val="20"/>
        </w:rPr>
        <w:t>ta</w:t>
      </w:r>
      <w:r w:rsidRPr="00E61807">
        <w:rPr>
          <w:rFonts w:asciiTheme="minorHAnsi" w:hAnsiTheme="minorHAnsi" w:cstheme="minorHAnsi"/>
          <w:sz w:val="20"/>
          <w:szCs w:val="20"/>
          <w:lang w:val="hr-HR"/>
        </w:rPr>
        <w:t>č</w:t>
      </w:r>
      <w:r w:rsidRPr="00EC7830">
        <w:rPr>
          <w:rFonts w:asciiTheme="minorHAnsi" w:hAnsiTheme="minorHAnsi" w:cstheme="minorHAnsi"/>
          <w:sz w:val="20"/>
          <w:szCs w:val="20"/>
        </w:rPr>
        <w:t>aka</w:t>
      </w:r>
      <w:r w:rsidRPr="00E61807">
        <w:rPr>
          <w:rFonts w:asciiTheme="minorHAnsi" w:hAnsiTheme="minorHAnsi" w:cstheme="minorHAnsi"/>
          <w:sz w:val="20"/>
          <w:szCs w:val="20"/>
          <w:lang w:val="hr-HR"/>
        </w:rPr>
        <w:t xml:space="preserve"> </w:t>
      </w:r>
      <w:r w:rsidRPr="00EC7830">
        <w:rPr>
          <w:rFonts w:asciiTheme="minorHAnsi" w:hAnsiTheme="minorHAnsi" w:cstheme="minorHAnsi"/>
          <w:sz w:val="20"/>
          <w:szCs w:val="20"/>
        </w:rPr>
        <w:t>kako</w:t>
      </w:r>
      <w:r w:rsidRPr="00E61807">
        <w:rPr>
          <w:rFonts w:asciiTheme="minorHAnsi" w:hAnsiTheme="minorHAnsi" w:cstheme="minorHAnsi"/>
          <w:sz w:val="20"/>
          <w:szCs w:val="20"/>
          <w:lang w:val="hr-HR"/>
        </w:rPr>
        <w:t xml:space="preserve"> </w:t>
      </w:r>
      <w:r w:rsidRPr="00EC7830">
        <w:rPr>
          <w:rFonts w:asciiTheme="minorHAnsi" w:hAnsiTheme="minorHAnsi" w:cstheme="minorHAnsi"/>
          <w:sz w:val="20"/>
          <w:szCs w:val="20"/>
        </w:rPr>
        <w:t>je</w:t>
      </w:r>
      <w:r w:rsidRPr="00E61807">
        <w:rPr>
          <w:rFonts w:asciiTheme="minorHAnsi" w:hAnsiTheme="minorHAnsi" w:cstheme="minorHAnsi"/>
          <w:sz w:val="20"/>
          <w:szCs w:val="20"/>
          <w:lang w:val="hr-HR"/>
        </w:rPr>
        <w:t xml:space="preserve"> </w:t>
      </w:r>
      <w:r w:rsidRPr="00EC7830">
        <w:rPr>
          <w:rFonts w:asciiTheme="minorHAnsi" w:hAnsiTheme="minorHAnsi" w:cstheme="minorHAnsi"/>
          <w:sz w:val="20"/>
          <w:szCs w:val="20"/>
        </w:rPr>
        <w:t>dato</w:t>
      </w:r>
      <w:r w:rsidRPr="00E61807">
        <w:rPr>
          <w:rFonts w:asciiTheme="minorHAnsi" w:hAnsiTheme="minorHAnsi" w:cstheme="minorHAnsi"/>
          <w:sz w:val="20"/>
          <w:szCs w:val="20"/>
          <w:lang w:val="hr-HR"/>
        </w:rPr>
        <w:t xml:space="preserve"> </w:t>
      </w:r>
      <w:r w:rsidRPr="00EC7830">
        <w:rPr>
          <w:rFonts w:asciiTheme="minorHAnsi" w:hAnsiTheme="minorHAnsi" w:cstheme="minorHAnsi"/>
          <w:sz w:val="20"/>
          <w:szCs w:val="20"/>
        </w:rPr>
        <w:t>u</w:t>
      </w:r>
      <w:r w:rsidRPr="00E61807">
        <w:rPr>
          <w:rFonts w:asciiTheme="minorHAnsi" w:hAnsiTheme="minorHAnsi" w:cstheme="minorHAnsi"/>
          <w:sz w:val="20"/>
          <w:szCs w:val="20"/>
          <w:lang w:val="hr-HR"/>
        </w:rPr>
        <w:t xml:space="preserve"> </w:t>
      </w:r>
      <w:r w:rsidRPr="00EC7830">
        <w:rPr>
          <w:rFonts w:asciiTheme="minorHAnsi" w:hAnsiTheme="minorHAnsi" w:cstheme="minorHAnsi"/>
          <w:sz w:val="20"/>
          <w:szCs w:val="20"/>
        </w:rPr>
        <w:t>narednoj</w:t>
      </w:r>
      <w:r w:rsidRPr="00E61807">
        <w:rPr>
          <w:rFonts w:asciiTheme="minorHAnsi" w:hAnsiTheme="minorHAnsi" w:cstheme="minorHAnsi"/>
          <w:sz w:val="20"/>
          <w:szCs w:val="20"/>
          <w:lang w:val="hr-HR"/>
        </w:rPr>
        <w:t xml:space="preserve"> </w:t>
      </w:r>
      <w:r w:rsidRPr="00EC7830">
        <w:rPr>
          <w:rFonts w:asciiTheme="minorHAnsi" w:hAnsiTheme="minorHAnsi" w:cstheme="minorHAnsi"/>
          <w:sz w:val="20"/>
          <w:szCs w:val="20"/>
        </w:rPr>
        <w:t>tabeli</w:t>
      </w:r>
      <w:r w:rsidRPr="00026DA7">
        <w:rPr>
          <w:rFonts w:asciiTheme="minorHAnsi" w:hAnsiTheme="minorHAnsi" w:cstheme="minorHAnsi"/>
          <w:sz w:val="20"/>
          <w:szCs w:val="20"/>
          <w:lang w:val="hr-HR"/>
        </w:rPr>
        <w:t>:</w:t>
      </w:r>
    </w:p>
    <w:p w:rsidR="00FB5224" w:rsidRDefault="00FB5224" w:rsidP="00403695">
      <w:pPr>
        <w:jc w:val="both"/>
        <w:rPr>
          <w:rFonts w:asciiTheme="minorHAnsi" w:hAnsiTheme="minorHAnsi" w:cstheme="minorHAnsi"/>
          <w:sz w:val="20"/>
          <w:szCs w:val="20"/>
          <w:lang w:val="hr-HR"/>
        </w:rPr>
      </w:pPr>
    </w:p>
    <w:tbl>
      <w:tblPr>
        <w:tblW w:w="5000" w:type="pct"/>
        <w:tblLook w:val="04A0" w:firstRow="1" w:lastRow="0" w:firstColumn="1" w:lastColumn="0" w:noHBand="0" w:noVBand="1"/>
      </w:tblPr>
      <w:tblGrid>
        <w:gridCol w:w="2519"/>
        <w:gridCol w:w="2353"/>
        <w:gridCol w:w="2352"/>
        <w:gridCol w:w="2352"/>
      </w:tblGrid>
      <w:tr w:rsidR="00CE0BFE" w:rsidTr="00CE0BFE">
        <w:trPr>
          <w:trHeight w:val="288"/>
        </w:trPr>
        <w:tc>
          <w:tcPr>
            <w:tcW w:w="1315" w:type="pct"/>
            <w:vMerge w:val="restart"/>
            <w:tcBorders>
              <w:top w:val="double" w:sz="4" w:space="0" w:color="auto"/>
              <w:left w:val="double" w:sz="4" w:space="0" w:color="auto"/>
              <w:right w:val="double" w:sz="4" w:space="0" w:color="auto"/>
            </w:tcBorders>
            <w:shd w:val="clear" w:color="auto" w:fill="92D050"/>
            <w:vAlign w:val="center"/>
          </w:tcPr>
          <w:p w:rsidR="00CE0BFE" w:rsidRPr="00CC5B14" w:rsidRDefault="00CE0BFE" w:rsidP="00AF53FF">
            <w:pPr>
              <w:jc w:val="center"/>
              <w:rPr>
                <w:rFonts w:asciiTheme="minorHAnsi" w:hAnsiTheme="minorHAnsi" w:cstheme="minorHAnsi"/>
                <w:b/>
                <w:sz w:val="20"/>
                <w:szCs w:val="20"/>
                <w:lang w:val="hr-HR"/>
              </w:rPr>
            </w:pPr>
            <w:r w:rsidRPr="00CC5B14">
              <w:rPr>
                <w:rFonts w:asciiTheme="minorHAnsi" w:hAnsiTheme="minorHAnsi" w:cstheme="minorHAnsi"/>
                <w:b/>
                <w:sz w:val="20"/>
                <w:szCs w:val="20"/>
                <w:lang w:val="hr-HR"/>
              </w:rPr>
              <w:t>T J E M E N A</w:t>
            </w:r>
          </w:p>
          <w:p w:rsidR="00CE0BFE" w:rsidRDefault="00CE0BFE" w:rsidP="00AF53FF">
            <w:pPr>
              <w:jc w:val="center"/>
              <w:rPr>
                <w:rFonts w:asciiTheme="minorHAnsi" w:hAnsiTheme="minorHAnsi" w:cstheme="minorHAnsi"/>
                <w:sz w:val="20"/>
                <w:szCs w:val="20"/>
                <w:lang w:val="hr-HR"/>
              </w:rPr>
            </w:pPr>
            <w:r w:rsidRPr="00CC5B14">
              <w:rPr>
                <w:rFonts w:asciiTheme="minorHAnsi" w:hAnsiTheme="minorHAnsi" w:cstheme="minorHAnsi"/>
                <w:b/>
                <w:sz w:val="20"/>
                <w:szCs w:val="20"/>
                <w:lang w:val="hr-HR"/>
              </w:rPr>
              <w:t>T A Č K A</w:t>
            </w:r>
          </w:p>
        </w:tc>
        <w:tc>
          <w:tcPr>
            <w:tcW w:w="2456" w:type="pct"/>
            <w:gridSpan w:val="2"/>
            <w:tcBorders>
              <w:top w:val="double" w:sz="4" w:space="0" w:color="auto"/>
              <w:left w:val="double" w:sz="4" w:space="0" w:color="auto"/>
              <w:bottom w:val="single" w:sz="4" w:space="0" w:color="auto"/>
              <w:right w:val="double" w:sz="4" w:space="0" w:color="auto"/>
            </w:tcBorders>
            <w:shd w:val="clear" w:color="auto" w:fill="92D050"/>
            <w:vAlign w:val="center"/>
          </w:tcPr>
          <w:p w:rsidR="00CE0BFE" w:rsidRPr="00781D4F" w:rsidRDefault="00CE0BFE" w:rsidP="00AF53FF">
            <w:pPr>
              <w:jc w:val="center"/>
              <w:rPr>
                <w:rFonts w:asciiTheme="minorHAnsi" w:hAnsiTheme="minorHAnsi" w:cstheme="minorHAnsi"/>
                <w:b/>
                <w:sz w:val="20"/>
                <w:szCs w:val="20"/>
                <w:lang w:val="hr-HR"/>
              </w:rPr>
            </w:pPr>
            <w:r w:rsidRPr="00781D4F">
              <w:rPr>
                <w:rFonts w:asciiTheme="minorHAnsi" w:hAnsiTheme="minorHAnsi" w:cstheme="minorHAnsi"/>
                <w:b/>
                <w:sz w:val="20"/>
                <w:szCs w:val="20"/>
                <w:lang w:val="hr-HR"/>
              </w:rPr>
              <w:t>K O O R D I N A T E</w:t>
            </w:r>
          </w:p>
        </w:tc>
        <w:tc>
          <w:tcPr>
            <w:tcW w:w="1228" w:type="pct"/>
            <w:vMerge w:val="restart"/>
            <w:tcBorders>
              <w:top w:val="double" w:sz="4" w:space="0" w:color="auto"/>
              <w:left w:val="double" w:sz="4" w:space="0" w:color="auto"/>
              <w:right w:val="double" w:sz="4" w:space="0" w:color="auto"/>
            </w:tcBorders>
            <w:shd w:val="clear" w:color="auto" w:fill="92D050"/>
            <w:vAlign w:val="center"/>
          </w:tcPr>
          <w:p w:rsidR="00CE0BFE" w:rsidRPr="00781D4F" w:rsidRDefault="00CE0BFE" w:rsidP="00AF53FF">
            <w:pPr>
              <w:jc w:val="center"/>
              <w:rPr>
                <w:rFonts w:asciiTheme="minorHAnsi" w:hAnsiTheme="minorHAnsi" w:cstheme="minorHAnsi"/>
                <w:b/>
                <w:sz w:val="20"/>
                <w:szCs w:val="20"/>
                <w:lang w:val="hr-HR"/>
              </w:rPr>
            </w:pPr>
            <w:r w:rsidRPr="00781D4F">
              <w:rPr>
                <w:rFonts w:asciiTheme="minorHAnsi" w:hAnsiTheme="minorHAnsi" w:cstheme="minorHAnsi"/>
                <w:b/>
                <w:sz w:val="20"/>
                <w:szCs w:val="20"/>
                <w:lang w:val="hr-HR"/>
              </w:rPr>
              <w:t>D U Ž I N A</w:t>
            </w:r>
          </w:p>
          <w:p w:rsidR="00CE0BFE" w:rsidRDefault="00CE0BFE" w:rsidP="00AF53FF">
            <w:pPr>
              <w:jc w:val="center"/>
              <w:rPr>
                <w:rFonts w:asciiTheme="minorHAnsi" w:hAnsiTheme="minorHAnsi" w:cstheme="minorHAnsi"/>
                <w:sz w:val="20"/>
                <w:szCs w:val="20"/>
                <w:lang w:val="hr-HR"/>
              </w:rPr>
            </w:pPr>
            <w:r w:rsidRPr="00781D4F">
              <w:rPr>
                <w:rFonts w:asciiTheme="minorHAnsi" w:hAnsiTheme="minorHAnsi" w:cstheme="minorHAnsi"/>
                <w:b/>
                <w:sz w:val="20"/>
                <w:szCs w:val="20"/>
                <w:lang w:val="hr-HR"/>
              </w:rPr>
              <w:t>S T R A N A</w:t>
            </w:r>
          </w:p>
        </w:tc>
      </w:tr>
      <w:tr w:rsidR="00CE0BFE" w:rsidTr="00CE0BFE">
        <w:trPr>
          <w:trHeight w:val="225"/>
        </w:trPr>
        <w:tc>
          <w:tcPr>
            <w:tcW w:w="1315" w:type="pct"/>
            <w:vMerge/>
            <w:tcBorders>
              <w:left w:val="double" w:sz="4" w:space="0" w:color="auto"/>
              <w:bottom w:val="double" w:sz="4" w:space="0" w:color="auto"/>
              <w:right w:val="double" w:sz="4" w:space="0" w:color="auto"/>
            </w:tcBorders>
            <w:vAlign w:val="center"/>
          </w:tcPr>
          <w:p w:rsidR="00CE0BFE" w:rsidRPr="00CC5B14" w:rsidRDefault="00CE0BFE" w:rsidP="00AF53FF">
            <w:pPr>
              <w:jc w:val="center"/>
              <w:rPr>
                <w:rFonts w:asciiTheme="minorHAnsi" w:hAnsiTheme="minorHAnsi" w:cstheme="minorHAnsi"/>
                <w:b/>
                <w:sz w:val="20"/>
                <w:szCs w:val="20"/>
                <w:lang w:val="hr-HR"/>
              </w:rPr>
            </w:pPr>
          </w:p>
        </w:tc>
        <w:tc>
          <w:tcPr>
            <w:tcW w:w="1228" w:type="pct"/>
            <w:tcBorders>
              <w:top w:val="single" w:sz="4" w:space="0" w:color="auto"/>
              <w:left w:val="double" w:sz="4" w:space="0" w:color="auto"/>
              <w:bottom w:val="double" w:sz="4" w:space="0" w:color="auto"/>
              <w:right w:val="double" w:sz="4" w:space="0" w:color="auto"/>
            </w:tcBorders>
            <w:shd w:val="clear" w:color="auto" w:fill="92D050"/>
            <w:vAlign w:val="center"/>
          </w:tcPr>
          <w:p w:rsidR="00CE0BFE" w:rsidRPr="00320D9A" w:rsidRDefault="00CE0BFE" w:rsidP="00AF53FF">
            <w:pPr>
              <w:jc w:val="center"/>
              <w:rPr>
                <w:rFonts w:asciiTheme="minorHAnsi" w:hAnsiTheme="minorHAnsi" w:cstheme="minorHAnsi"/>
                <w:b/>
                <w:sz w:val="20"/>
                <w:szCs w:val="20"/>
                <w:lang w:val="hr-HR"/>
              </w:rPr>
            </w:pPr>
            <w:r w:rsidRPr="00320D9A">
              <w:rPr>
                <w:rFonts w:asciiTheme="minorHAnsi" w:hAnsiTheme="minorHAnsi" w:cstheme="minorHAnsi"/>
                <w:b/>
                <w:sz w:val="20"/>
                <w:szCs w:val="20"/>
                <w:lang w:val="hr-HR"/>
              </w:rPr>
              <w:t>X</w:t>
            </w:r>
          </w:p>
        </w:tc>
        <w:tc>
          <w:tcPr>
            <w:tcW w:w="1228" w:type="pct"/>
            <w:tcBorders>
              <w:top w:val="single" w:sz="4" w:space="0" w:color="auto"/>
              <w:left w:val="double" w:sz="4" w:space="0" w:color="auto"/>
              <w:bottom w:val="double" w:sz="4" w:space="0" w:color="auto"/>
              <w:right w:val="double" w:sz="4" w:space="0" w:color="auto"/>
            </w:tcBorders>
            <w:shd w:val="clear" w:color="auto" w:fill="92D050"/>
            <w:vAlign w:val="center"/>
          </w:tcPr>
          <w:p w:rsidR="00CE0BFE" w:rsidRPr="00320D9A" w:rsidRDefault="00CE0BFE" w:rsidP="00AF53FF">
            <w:pPr>
              <w:jc w:val="center"/>
              <w:rPr>
                <w:rFonts w:asciiTheme="minorHAnsi" w:hAnsiTheme="minorHAnsi" w:cstheme="minorHAnsi"/>
                <w:b/>
                <w:sz w:val="20"/>
                <w:szCs w:val="20"/>
                <w:lang w:val="hr-HR"/>
              </w:rPr>
            </w:pPr>
            <w:r w:rsidRPr="00320D9A">
              <w:rPr>
                <w:rFonts w:asciiTheme="minorHAnsi" w:hAnsiTheme="minorHAnsi" w:cstheme="minorHAnsi"/>
                <w:b/>
                <w:sz w:val="20"/>
                <w:szCs w:val="20"/>
                <w:lang w:val="hr-HR"/>
              </w:rPr>
              <w:t>Y</w:t>
            </w:r>
          </w:p>
        </w:tc>
        <w:tc>
          <w:tcPr>
            <w:tcW w:w="1228" w:type="pct"/>
            <w:vMerge/>
            <w:tcBorders>
              <w:left w:val="double" w:sz="4" w:space="0" w:color="auto"/>
              <w:bottom w:val="double" w:sz="4" w:space="0" w:color="auto"/>
              <w:right w:val="double" w:sz="4" w:space="0" w:color="auto"/>
            </w:tcBorders>
            <w:shd w:val="clear" w:color="auto" w:fill="92D050"/>
            <w:vAlign w:val="center"/>
          </w:tcPr>
          <w:p w:rsidR="00CE0BFE" w:rsidRDefault="00CE0BFE" w:rsidP="00AF53FF">
            <w:pPr>
              <w:jc w:val="center"/>
              <w:rPr>
                <w:rFonts w:asciiTheme="minorHAnsi" w:hAnsiTheme="minorHAnsi" w:cstheme="minorHAnsi"/>
                <w:sz w:val="20"/>
                <w:szCs w:val="20"/>
                <w:lang w:val="hr-HR"/>
              </w:rPr>
            </w:pPr>
          </w:p>
        </w:tc>
      </w:tr>
      <w:tr w:rsidR="00CE0BFE" w:rsidTr="00CE0BFE">
        <w:trPr>
          <w:trHeight w:val="262"/>
        </w:trPr>
        <w:tc>
          <w:tcPr>
            <w:tcW w:w="1315" w:type="pct"/>
            <w:tcBorders>
              <w:top w:val="double" w:sz="4" w:space="0" w:color="auto"/>
              <w:left w:val="double" w:sz="4" w:space="0" w:color="auto"/>
              <w:bottom w:val="single" w:sz="4" w:space="0" w:color="auto"/>
              <w:right w:val="double" w:sz="4" w:space="0" w:color="auto"/>
            </w:tcBorders>
            <w:vAlign w:val="center"/>
          </w:tcPr>
          <w:p w:rsidR="00CE0BFE" w:rsidRPr="00320D9A" w:rsidRDefault="00CE0BFE" w:rsidP="00AF53FF">
            <w:pPr>
              <w:jc w:val="center"/>
              <w:rPr>
                <w:rFonts w:asciiTheme="minorHAnsi" w:hAnsiTheme="minorHAnsi" w:cstheme="minorHAnsi"/>
                <w:b/>
                <w:sz w:val="20"/>
                <w:szCs w:val="20"/>
                <w:lang w:val="hr-HR"/>
              </w:rPr>
            </w:pPr>
            <w:r w:rsidRPr="00320D9A">
              <w:rPr>
                <w:rFonts w:asciiTheme="minorHAnsi" w:hAnsiTheme="minorHAnsi" w:cstheme="minorHAnsi"/>
                <w:b/>
                <w:sz w:val="20"/>
                <w:szCs w:val="20"/>
                <w:lang w:val="hr-HR"/>
              </w:rPr>
              <w:t>A</w:t>
            </w:r>
          </w:p>
        </w:tc>
        <w:tc>
          <w:tcPr>
            <w:tcW w:w="1228" w:type="pct"/>
            <w:tcBorders>
              <w:top w:val="double" w:sz="4" w:space="0" w:color="auto"/>
              <w:left w:val="double" w:sz="4" w:space="0" w:color="auto"/>
              <w:bottom w:val="sing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4 801 600</w:t>
            </w:r>
          </w:p>
        </w:tc>
        <w:tc>
          <w:tcPr>
            <w:tcW w:w="1228" w:type="pct"/>
            <w:tcBorders>
              <w:top w:val="double" w:sz="4" w:space="0" w:color="auto"/>
              <w:left w:val="double" w:sz="4" w:space="0" w:color="auto"/>
              <w:bottom w:val="sing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6 612 350</w:t>
            </w:r>
          </w:p>
        </w:tc>
        <w:tc>
          <w:tcPr>
            <w:tcW w:w="1228" w:type="pct"/>
            <w:tcBorders>
              <w:top w:val="double" w:sz="4" w:space="0" w:color="auto"/>
              <w:left w:val="double" w:sz="4" w:space="0" w:color="auto"/>
              <w:bottom w:val="sing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A – B</w:t>
            </w:r>
          </w:p>
        </w:tc>
      </w:tr>
      <w:tr w:rsidR="00CE0BFE" w:rsidTr="00CE0BFE">
        <w:trPr>
          <w:trHeight w:val="213"/>
        </w:trPr>
        <w:tc>
          <w:tcPr>
            <w:tcW w:w="1315" w:type="pct"/>
            <w:tcBorders>
              <w:top w:val="single" w:sz="4" w:space="0" w:color="auto"/>
              <w:left w:val="double" w:sz="4" w:space="0" w:color="auto"/>
              <w:bottom w:val="single" w:sz="4" w:space="0" w:color="auto"/>
              <w:right w:val="double" w:sz="4" w:space="0" w:color="auto"/>
            </w:tcBorders>
            <w:vAlign w:val="center"/>
          </w:tcPr>
          <w:p w:rsidR="00CE0BFE" w:rsidRPr="00320D9A" w:rsidRDefault="00CE0BFE" w:rsidP="00AF53FF">
            <w:pPr>
              <w:jc w:val="center"/>
              <w:rPr>
                <w:rFonts w:asciiTheme="minorHAnsi" w:hAnsiTheme="minorHAnsi" w:cstheme="minorHAnsi"/>
                <w:b/>
                <w:sz w:val="20"/>
                <w:szCs w:val="20"/>
                <w:lang w:val="hr-HR"/>
              </w:rPr>
            </w:pPr>
            <w:r w:rsidRPr="00320D9A">
              <w:rPr>
                <w:rFonts w:asciiTheme="minorHAnsi" w:hAnsiTheme="minorHAnsi" w:cstheme="minorHAnsi"/>
                <w:b/>
                <w:sz w:val="20"/>
                <w:szCs w:val="20"/>
                <w:lang w:val="hr-HR"/>
              </w:rPr>
              <w:t>B</w:t>
            </w:r>
          </w:p>
        </w:tc>
        <w:tc>
          <w:tcPr>
            <w:tcW w:w="1228" w:type="pct"/>
            <w:tcBorders>
              <w:top w:val="single" w:sz="4" w:space="0" w:color="auto"/>
              <w:left w:val="double" w:sz="4" w:space="0" w:color="auto"/>
              <w:bottom w:val="sing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4 801 000</w:t>
            </w:r>
          </w:p>
        </w:tc>
        <w:tc>
          <w:tcPr>
            <w:tcW w:w="1228" w:type="pct"/>
            <w:tcBorders>
              <w:top w:val="single" w:sz="4" w:space="0" w:color="auto"/>
              <w:left w:val="double" w:sz="4" w:space="0" w:color="auto"/>
              <w:bottom w:val="sing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6 613 000</w:t>
            </w:r>
          </w:p>
        </w:tc>
        <w:tc>
          <w:tcPr>
            <w:tcW w:w="1228" w:type="pct"/>
            <w:tcBorders>
              <w:top w:val="single" w:sz="4" w:space="0" w:color="auto"/>
              <w:left w:val="double" w:sz="4" w:space="0" w:color="auto"/>
              <w:bottom w:val="sing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B – C</w:t>
            </w:r>
          </w:p>
        </w:tc>
      </w:tr>
      <w:tr w:rsidR="00CE0BFE" w:rsidTr="00CE0BFE">
        <w:trPr>
          <w:trHeight w:val="225"/>
        </w:trPr>
        <w:tc>
          <w:tcPr>
            <w:tcW w:w="1315" w:type="pct"/>
            <w:tcBorders>
              <w:top w:val="single" w:sz="4" w:space="0" w:color="auto"/>
              <w:left w:val="double" w:sz="4" w:space="0" w:color="auto"/>
              <w:right w:val="double" w:sz="4" w:space="0" w:color="auto"/>
            </w:tcBorders>
            <w:vAlign w:val="center"/>
          </w:tcPr>
          <w:p w:rsidR="00CE0BFE" w:rsidRPr="00320D9A" w:rsidRDefault="00CE0BFE" w:rsidP="00AF53FF">
            <w:pPr>
              <w:jc w:val="center"/>
              <w:rPr>
                <w:rFonts w:asciiTheme="minorHAnsi" w:hAnsiTheme="minorHAnsi" w:cstheme="minorHAnsi"/>
                <w:b/>
                <w:sz w:val="20"/>
                <w:szCs w:val="20"/>
                <w:lang w:val="hr-HR"/>
              </w:rPr>
            </w:pPr>
            <w:r w:rsidRPr="00320D9A">
              <w:rPr>
                <w:rFonts w:asciiTheme="minorHAnsi" w:hAnsiTheme="minorHAnsi" w:cstheme="minorHAnsi"/>
                <w:b/>
                <w:sz w:val="20"/>
                <w:szCs w:val="20"/>
                <w:lang w:val="hr-HR"/>
              </w:rPr>
              <w:t>C</w:t>
            </w:r>
          </w:p>
        </w:tc>
        <w:tc>
          <w:tcPr>
            <w:tcW w:w="1228" w:type="pct"/>
            <w:tcBorders>
              <w:top w:val="single" w:sz="4" w:space="0" w:color="auto"/>
              <w:left w:val="doub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4 801 000</w:t>
            </w:r>
          </w:p>
        </w:tc>
        <w:tc>
          <w:tcPr>
            <w:tcW w:w="1228" w:type="pct"/>
            <w:tcBorders>
              <w:top w:val="single" w:sz="4" w:space="0" w:color="auto"/>
              <w:left w:val="doub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6 613 625</w:t>
            </w:r>
          </w:p>
        </w:tc>
        <w:tc>
          <w:tcPr>
            <w:tcW w:w="1228" w:type="pct"/>
            <w:tcBorders>
              <w:top w:val="single" w:sz="4" w:space="0" w:color="auto"/>
              <w:left w:val="doub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C – D</w:t>
            </w:r>
          </w:p>
        </w:tc>
      </w:tr>
      <w:tr w:rsidR="00CE0BFE" w:rsidTr="00CE0BFE">
        <w:tc>
          <w:tcPr>
            <w:tcW w:w="1315" w:type="pct"/>
            <w:tcBorders>
              <w:left w:val="double" w:sz="4" w:space="0" w:color="auto"/>
              <w:right w:val="double" w:sz="4" w:space="0" w:color="auto"/>
            </w:tcBorders>
            <w:vAlign w:val="center"/>
          </w:tcPr>
          <w:p w:rsidR="00CE0BFE" w:rsidRPr="00320D9A" w:rsidRDefault="00CE0BFE" w:rsidP="00AF53FF">
            <w:pPr>
              <w:jc w:val="center"/>
              <w:rPr>
                <w:rFonts w:asciiTheme="minorHAnsi" w:hAnsiTheme="minorHAnsi" w:cstheme="minorHAnsi"/>
                <w:b/>
                <w:sz w:val="20"/>
                <w:szCs w:val="20"/>
                <w:lang w:val="hr-HR"/>
              </w:rPr>
            </w:pPr>
            <w:r w:rsidRPr="00320D9A">
              <w:rPr>
                <w:rFonts w:asciiTheme="minorHAnsi" w:hAnsiTheme="minorHAnsi" w:cstheme="minorHAnsi"/>
                <w:b/>
                <w:sz w:val="20"/>
                <w:szCs w:val="20"/>
                <w:lang w:val="hr-HR"/>
              </w:rPr>
              <w:t>D</w:t>
            </w:r>
          </w:p>
        </w:tc>
        <w:tc>
          <w:tcPr>
            <w:tcW w:w="1228" w:type="pct"/>
            <w:tcBorders>
              <w:left w:val="doub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4 801 575</w:t>
            </w:r>
          </w:p>
        </w:tc>
        <w:tc>
          <w:tcPr>
            <w:tcW w:w="1228" w:type="pct"/>
            <w:tcBorders>
              <w:left w:val="doub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6 613 875</w:t>
            </w:r>
          </w:p>
        </w:tc>
        <w:tc>
          <w:tcPr>
            <w:tcW w:w="1228" w:type="pct"/>
            <w:tcBorders>
              <w:left w:val="doub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D – E</w:t>
            </w:r>
          </w:p>
        </w:tc>
      </w:tr>
      <w:tr w:rsidR="00CE0BFE" w:rsidTr="00CE0BFE">
        <w:tc>
          <w:tcPr>
            <w:tcW w:w="1315" w:type="pct"/>
            <w:tcBorders>
              <w:left w:val="double" w:sz="4" w:space="0" w:color="auto"/>
              <w:bottom w:val="double" w:sz="4" w:space="0" w:color="auto"/>
              <w:right w:val="double" w:sz="4" w:space="0" w:color="auto"/>
            </w:tcBorders>
            <w:vAlign w:val="center"/>
          </w:tcPr>
          <w:p w:rsidR="00CE0BFE" w:rsidRPr="00320D9A" w:rsidRDefault="00CE0BFE" w:rsidP="00AF53FF">
            <w:pPr>
              <w:jc w:val="center"/>
              <w:rPr>
                <w:rFonts w:asciiTheme="minorHAnsi" w:hAnsiTheme="minorHAnsi" w:cstheme="minorHAnsi"/>
                <w:b/>
                <w:sz w:val="20"/>
                <w:szCs w:val="20"/>
                <w:lang w:val="hr-HR"/>
              </w:rPr>
            </w:pPr>
            <w:r w:rsidRPr="00320D9A">
              <w:rPr>
                <w:rFonts w:asciiTheme="minorHAnsi" w:hAnsiTheme="minorHAnsi" w:cstheme="minorHAnsi"/>
                <w:b/>
                <w:sz w:val="20"/>
                <w:szCs w:val="20"/>
                <w:lang w:val="hr-HR"/>
              </w:rPr>
              <w:t>E</w:t>
            </w:r>
          </w:p>
        </w:tc>
        <w:tc>
          <w:tcPr>
            <w:tcW w:w="1228" w:type="pct"/>
            <w:tcBorders>
              <w:left w:val="double" w:sz="4" w:space="0" w:color="auto"/>
              <w:bottom w:val="doub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4 802 000</w:t>
            </w:r>
          </w:p>
        </w:tc>
        <w:tc>
          <w:tcPr>
            <w:tcW w:w="1228" w:type="pct"/>
            <w:tcBorders>
              <w:left w:val="double" w:sz="4" w:space="0" w:color="auto"/>
              <w:bottom w:val="doub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6 612 350</w:t>
            </w:r>
          </w:p>
        </w:tc>
        <w:tc>
          <w:tcPr>
            <w:tcW w:w="1228" w:type="pct"/>
            <w:tcBorders>
              <w:left w:val="double" w:sz="4" w:space="0" w:color="auto"/>
              <w:bottom w:val="double" w:sz="4" w:space="0" w:color="auto"/>
              <w:right w:val="double" w:sz="4" w:space="0" w:color="auto"/>
            </w:tcBorders>
            <w:vAlign w:val="center"/>
          </w:tcPr>
          <w:p w:rsidR="00CE0BFE" w:rsidRDefault="00CE0BFE" w:rsidP="00AF53FF">
            <w:pPr>
              <w:jc w:val="center"/>
              <w:rPr>
                <w:rFonts w:asciiTheme="minorHAnsi" w:hAnsiTheme="minorHAnsi" w:cstheme="minorHAnsi"/>
                <w:sz w:val="20"/>
                <w:szCs w:val="20"/>
                <w:lang w:val="hr-HR"/>
              </w:rPr>
            </w:pPr>
            <w:r>
              <w:rPr>
                <w:rFonts w:asciiTheme="minorHAnsi" w:hAnsiTheme="minorHAnsi" w:cstheme="minorHAnsi"/>
                <w:sz w:val="20"/>
                <w:szCs w:val="20"/>
                <w:lang w:val="hr-HR"/>
              </w:rPr>
              <w:t>E – A</w:t>
            </w:r>
          </w:p>
        </w:tc>
      </w:tr>
    </w:tbl>
    <w:p w:rsidR="00FB5224"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Prema informacijama iz AD Rudnika uglja - Pljevlja, lokacija na kojoj se nalazi odlagalište ''Jagnjilo'' je u vlasništvu istog.</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S obzirom da je odlagalište još uvijek u funkciji deponovanja otkrivke iz ležišta ''Potrlica'', do njega i na gornjoj etaži postoje mašine i uređaji za dopremu i raspored deponovanja drobljenog laporca. Prema dinamici proizvodnje uglja i otkrivke iz ležišta ''Potrlica'', za period 2007-2010. godine (iz ''Strategije restrukturiranja Rudnika uglja - Pljevlja''), korišćenje ovog odlagališta planirano je do kraja 2010. godine.</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Odlagalište, kao tehnogeno ležište, nije bilo predmet geoloških istraživanja sa ciljem utvrđivanja kvaliteta, količina i bilansnosti rezervi laporaca, kao sirovine za proizvodnju cementa, koji je više od 15 godina, iz krovine glavnog ugljenog sloja ležišta ''Potrlica'', deponovan na ovu lokalnost.</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Uže područje odlagališta bilo je predmet istraživanja kroz izradu Osnovne geološke karte i detaljnih geoloških karata, 1: 100 000, 1: 25 000, 1: 10 000 i dr. u cilju sagledavanja opšte geološke građe i strukturnih odnosa šireg područja Pljevalja i upoznavanja geoloških, hidrogeoloških i geomehaničkih svojstava terena Pljevaljskog ugljonosnog basena i samog ležišta ''Potrlica''.</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Najpotpuniji podaci o litostratigrafskim i tektonskim odnosima oboda Pljevaljske kotline mogu se naći na karti i tumaču za detaljnu geološku kartu, 1: 10 000, Pljevaljskog ugljonosnog basena.</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lastRenderedPageBreak/>
        <w:t xml:space="preserve">U 1981. godini izvršena su najobimnija istraživanja ležišta ''Potrlica'' koja su rezultirala definisanjem krovinskih laporaca kao kvalitetne mineralne sirovine za proizvodnje portland cementa i izradom ''Elaborata o klasifikaciji, kategorizaciji i proračunu rezervi cementnog laporca Pljevaljskog basena, stanje 20.03.1982. godine''. </w:t>
      </w: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t xml:space="preserve">    </w:t>
      </w: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Dokazane su bilansne rezerve od oko 93 miliona tona A, B i C</w:t>
      </w:r>
      <w:r w:rsidRPr="00F038A3">
        <w:rPr>
          <w:rFonts w:asciiTheme="minorHAnsi" w:hAnsiTheme="minorHAnsi" w:cstheme="minorHAnsi"/>
          <w:sz w:val="20"/>
          <w:szCs w:val="20"/>
          <w:vertAlign w:val="subscript"/>
          <w:lang w:val="hr-HR"/>
        </w:rPr>
        <w:t>1</w:t>
      </w:r>
      <w:r w:rsidRPr="00F038A3">
        <w:rPr>
          <w:rFonts w:asciiTheme="minorHAnsi" w:hAnsiTheme="minorHAnsi" w:cstheme="minorHAnsi"/>
          <w:sz w:val="20"/>
          <w:szCs w:val="20"/>
          <w:lang w:val="hr-HR"/>
        </w:rPr>
        <w:t xml:space="preserve"> kategorije. U Elaboratu, za proizvodnju portland cementa, ocjenjivani su, kao korisna sirovina, tri gornja stratigrafska člana u ležištu. Najveći dio istraženog dijela ležišta otkopan je pri dosadašnjoj eksploataciji uglja i odložen na odlagalištima (unutrašnja: ''Potrlica'' i ''Kutlovača'' i spoljašnja: ''Jagnjilo'' i ''Grevo''), a manji dio je prerađen u bivšoj fabrici cementa. </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Kasnih 90-tih godina i u periodu 2001-2007. godine bilo je nekoliko radova, kompleksnih studija i izvještaja koji su, koristeći podatke iz prethodnih istraživanja cementnih laporaca u ležištu ''Potrlica'' i kroz potvrdu njihovog kvaliteta u proizvodnji portland cementa u toku rada fabrike, ukazivali na visoku potencijalnost krovinskih laporaca u ležištu ''Potrlica'' i spoljašnjeg odlagališta ''Jagnjilo'' kao mineralne sirovine u industriji cementa.</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 xml:space="preserve">Prosječna ukupna debljina krovinskih laporovitih sedimenata u ležištu ''Potrlica'' iznosi 100 m, sa odnosom učešća pojedinih srednjemiocenskih paketa  </w:t>
      </w:r>
      <w:r w:rsidRPr="00F038A3">
        <w:rPr>
          <w:rFonts w:asciiTheme="minorHAnsi" w:hAnsiTheme="minorHAnsi" w:cstheme="minorHAnsi"/>
          <w:sz w:val="20"/>
          <w:szCs w:val="20"/>
          <w:vertAlign w:val="superscript"/>
          <w:lang w:val="hr-HR"/>
        </w:rPr>
        <w:t>5</w:t>
      </w:r>
      <w:r w:rsidRPr="00F038A3">
        <w:rPr>
          <w:rFonts w:asciiTheme="minorHAnsi" w:hAnsiTheme="minorHAnsi" w:cstheme="minorHAnsi"/>
          <w:sz w:val="20"/>
          <w:szCs w:val="20"/>
          <w:lang w:val="hr-HR"/>
        </w:rPr>
        <w:t>M</w:t>
      </w:r>
      <w:r w:rsidRPr="00F038A3">
        <w:rPr>
          <w:rFonts w:asciiTheme="minorHAnsi" w:hAnsiTheme="minorHAnsi" w:cstheme="minorHAnsi"/>
          <w:sz w:val="20"/>
          <w:szCs w:val="20"/>
          <w:vertAlign w:val="subscript"/>
          <w:lang w:val="hr-HR"/>
        </w:rPr>
        <w:t>2</w:t>
      </w:r>
      <w:r w:rsidRPr="00F038A3">
        <w:rPr>
          <w:rFonts w:asciiTheme="minorHAnsi" w:hAnsiTheme="minorHAnsi" w:cstheme="minorHAnsi"/>
          <w:sz w:val="20"/>
          <w:szCs w:val="20"/>
          <w:lang w:val="hr-HR"/>
        </w:rPr>
        <w:t xml:space="preserve">: </w:t>
      </w:r>
      <w:r w:rsidRPr="00F038A3">
        <w:rPr>
          <w:rFonts w:asciiTheme="minorHAnsi" w:hAnsiTheme="minorHAnsi" w:cstheme="minorHAnsi"/>
          <w:sz w:val="20"/>
          <w:szCs w:val="20"/>
          <w:vertAlign w:val="superscript"/>
          <w:lang w:val="hr-HR"/>
        </w:rPr>
        <w:t>6</w:t>
      </w:r>
      <w:r w:rsidRPr="00F038A3">
        <w:rPr>
          <w:rFonts w:asciiTheme="minorHAnsi" w:hAnsiTheme="minorHAnsi" w:cstheme="minorHAnsi"/>
          <w:sz w:val="20"/>
          <w:szCs w:val="20"/>
          <w:lang w:val="hr-HR"/>
        </w:rPr>
        <w:t>M</w:t>
      </w:r>
      <w:r w:rsidRPr="00F038A3">
        <w:rPr>
          <w:rFonts w:asciiTheme="minorHAnsi" w:hAnsiTheme="minorHAnsi" w:cstheme="minorHAnsi"/>
          <w:sz w:val="20"/>
          <w:szCs w:val="20"/>
          <w:vertAlign w:val="subscript"/>
          <w:lang w:val="hr-HR"/>
        </w:rPr>
        <w:t xml:space="preserve">2 </w:t>
      </w:r>
      <w:r w:rsidRPr="00F038A3">
        <w:rPr>
          <w:rFonts w:asciiTheme="minorHAnsi" w:hAnsiTheme="minorHAnsi" w:cstheme="minorHAnsi"/>
          <w:sz w:val="20"/>
          <w:szCs w:val="20"/>
          <w:lang w:val="hr-HR"/>
        </w:rPr>
        <w:t xml:space="preserve">: </w:t>
      </w:r>
      <w:r w:rsidRPr="00F038A3">
        <w:rPr>
          <w:rFonts w:asciiTheme="minorHAnsi" w:hAnsiTheme="minorHAnsi" w:cstheme="minorHAnsi"/>
          <w:sz w:val="20"/>
          <w:szCs w:val="20"/>
          <w:vertAlign w:val="superscript"/>
          <w:lang w:val="hr-HR"/>
        </w:rPr>
        <w:t xml:space="preserve">7 </w:t>
      </w:r>
      <w:r w:rsidRPr="00F038A3">
        <w:rPr>
          <w:rFonts w:asciiTheme="minorHAnsi" w:hAnsiTheme="minorHAnsi" w:cstheme="minorHAnsi"/>
          <w:sz w:val="20"/>
          <w:szCs w:val="20"/>
          <w:lang w:val="hr-HR"/>
        </w:rPr>
        <w:t>M</w:t>
      </w:r>
      <w:r w:rsidRPr="00F038A3">
        <w:rPr>
          <w:rFonts w:asciiTheme="minorHAnsi" w:hAnsiTheme="minorHAnsi" w:cstheme="minorHAnsi"/>
          <w:sz w:val="20"/>
          <w:szCs w:val="20"/>
          <w:vertAlign w:val="subscript"/>
          <w:lang w:val="hr-HR"/>
        </w:rPr>
        <w:t>2</w:t>
      </w:r>
      <w:r w:rsidRPr="00F038A3">
        <w:rPr>
          <w:rFonts w:asciiTheme="minorHAnsi" w:hAnsiTheme="minorHAnsi" w:cstheme="minorHAnsi"/>
          <w:sz w:val="20"/>
          <w:szCs w:val="20"/>
          <w:lang w:val="hr-HR"/>
        </w:rPr>
        <w:t xml:space="preserve"> : </w:t>
      </w:r>
      <w:r w:rsidRPr="00F038A3">
        <w:rPr>
          <w:rFonts w:asciiTheme="minorHAnsi" w:hAnsiTheme="minorHAnsi" w:cstheme="minorHAnsi"/>
          <w:sz w:val="20"/>
          <w:szCs w:val="20"/>
          <w:vertAlign w:val="superscript"/>
          <w:lang w:val="hr-HR"/>
        </w:rPr>
        <w:t>8</w:t>
      </w:r>
      <w:r w:rsidRPr="00F038A3">
        <w:rPr>
          <w:rFonts w:asciiTheme="minorHAnsi" w:hAnsiTheme="minorHAnsi" w:cstheme="minorHAnsi"/>
          <w:sz w:val="20"/>
          <w:szCs w:val="20"/>
          <w:lang w:val="hr-HR"/>
        </w:rPr>
        <w:t>M</w:t>
      </w:r>
      <w:r w:rsidRPr="00F038A3">
        <w:rPr>
          <w:rFonts w:asciiTheme="minorHAnsi" w:hAnsiTheme="minorHAnsi" w:cstheme="minorHAnsi"/>
          <w:sz w:val="20"/>
          <w:szCs w:val="20"/>
          <w:vertAlign w:val="subscript"/>
          <w:lang w:val="hr-HR"/>
        </w:rPr>
        <w:t>2</w:t>
      </w:r>
      <w:r w:rsidRPr="00F038A3">
        <w:rPr>
          <w:rFonts w:asciiTheme="minorHAnsi" w:hAnsiTheme="minorHAnsi" w:cstheme="minorHAnsi"/>
          <w:sz w:val="20"/>
          <w:szCs w:val="20"/>
          <w:lang w:val="hr-HR"/>
        </w:rPr>
        <w:t xml:space="preserve"> = 26 : 45: 13: 16, pri čemu je odnos kvalitetne sirovine </w:t>
      </w: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(prirodni cementni laporci i ''visokoprocentni'' laporci) prema nekvalitetnoj (laporoviti krečnjaci) 74 : 26.</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Ukupno odložene količine otkrivke u periodu 1990-2007. godine na spoljašnje odlagalište ''Jagnjilo'' iznose 28.410. 948 m</w:t>
      </w:r>
      <w:r w:rsidRPr="00F038A3">
        <w:rPr>
          <w:rFonts w:asciiTheme="minorHAnsi" w:hAnsiTheme="minorHAnsi" w:cstheme="minorHAnsi"/>
          <w:sz w:val="20"/>
          <w:szCs w:val="20"/>
          <w:vertAlign w:val="superscript"/>
          <w:lang w:val="hr-HR"/>
        </w:rPr>
        <w:t>3</w:t>
      </w:r>
      <w:r w:rsidRPr="00F038A3">
        <w:rPr>
          <w:rFonts w:asciiTheme="minorHAnsi" w:hAnsiTheme="minorHAnsi" w:cstheme="minorHAnsi"/>
          <w:sz w:val="20"/>
          <w:szCs w:val="20"/>
          <w:lang w:val="hr-HR"/>
        </w:rPr>
        <w:t xml:space="preserve"> č.m., a na ''Grevo'' 4.460.282 m</w:t>
      </w:r>
      <w:r w:rsidRPr="00F038A3">
        <w:rPr>
          <w:rFonts w:asciiTheme="minorHAnsi" w:hAnsiTheme="minorHAnsi" w:cstheme="minorHAnsi"/>
          <w:sz w:val="20"/>
          <w:szCs w:val="20"/>
          <w:vertAlign w:val="superscript"/>
          <w:lang w:val="hr-HR"/>
        </w:rPr>
        <w:t>3</w:t>
      </w:r>
      <w:r w:rsidRPr="00F038A3">
        <w:rPr>
          <w:rFonts w:asciiTheme="minorHAnsi" w:hAnsiTheme="minorHAnsi" w:cstheme="minorHAnsi"/>
          <w:sz w:val="20"/>
          <w:szCs w:val="20"/>
          <w:lang w:val="hr-HR"/>
        </w:rPr>
        <w:t xml:space="preserve"> č.m., što čini ukupno na ova odlagališta 32.871.230 m</w:t>
      </w:r>
      <w:r w:rsidRPr="00F038A3">
        <w:rPr>
          <w:rFonts w:asciiTheme="minorHAnsi" w:hAnsiTheme="minorHAnsi" w:cstheme="minorHAnsi"/>
          <w:sz w:val="20"/>
          <w:szCs w:val="20"/>
          <w:vertAlign w:val="superscript"/>
          <w:lang w:val="hr-HR"/>
        </w:rPr>
        <w:t>3</w:t>
      </w:r>
      <w:r w:rsidRPr="00F038A3">
        <w:rPr>
          <w:rFonts w:asciiTheme="minorHAnsi" w:hAnsiTheme="minorHAnsi" w:cstheme="minorHAnsi"/>
          <w:sz w:val="20"/>
          <w:szCs w:val="20"/>
          <w:lang w:val="hr-HR"/>
        </w:rPr>
        <w:t xml:space="preserve"> č.m.</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Prema podacima iz procesa proizvodnje Rudnika uglja po godinama, pri eksploataciji uglja iz ležišta ''Potrlica'', ukupno odložene količine otkrivke na odlagalištima ''Jagnjilo'' i ''Grevo'' u periodu 1990-2007.</w:t>
      </w:r>
      <w:r>
        <w:rPr>
          <w:rFonts w:asciiTheme="minorHAnsi" w:hAnsiTheme="minorHAnsi" w:cstheme="minorHAnsi"/>
          <w:sz w:val="20"/>
          <w:szCs w:val="20"/>
          <w:lang w:val="hr-HR"/>
        </w:rPr>
        <w:t xml:space="preserve"> </w:t>
      </w:r>
      <w:r w:rsidRPr="00F038A3">
        <w:rPr>
          <w:rFonts w:asciiTheme="minorHAnsi" w:hAnsiTheme="minorHAnsi" w:cstheme="minorHAnsi"/>
          <w:sz w:val="20"/>
          <w:szCs w:val="20"/>
          <w:lang w:val="hr-HR"/>
        </w:rPr>
        <w:t>godine iznose oko 33. 000.000 m</w:t>
      </w:r>
      <w:r w:rsidRPr="00F038A3">
        <w:rPr>
          <w:rFonts w:asciiTheme="minorHAnsi" w:hAnsiTheme="minorHAnsi" w:cstheme="minorHAnsi"/>
          <w:sz w:val="20"/>
          <w:szCs w:val="20"/>
          <w:vertAlign w:val="superscript"/>
          <w:lang w:val="hr-HR"/>
        </w:rPr>
        <w:t>3</w:t>
      </w:r>
      <w:r w:rsidRPr="00F038A3">
        <w:rPr>
          <w:rFonts w:asciiTheme="minorHAnsi" w:hAnsiTheme="minorHAnsi" w:cstheme="minorHAnsi"/>
          <w:sz w:val="20"/>
          <w:szCs w:val="20"/>
          <w:lang w:val="hr-HR"/>
        </w:rPr>
        <w:t xml:space="preserve"> č.m. (zaokruženo), odnosno, oko 59.000.000 t (zaokruženo).</w:t>
      </w: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Prema istim, proizvođačkim, podacima - ukupno odložene količine otkrivke na odlagalište ''Jagnjilo'' iz ležišta ''Potrlica'' za period 1990-2007.godine iznose oko 28.411.000 m</w:t>
      </w:r>
      <w:r w:rsidRPr="00F038A3">
        <w:rPr>
          <w:rFonts w:asciiTheme="minorHAnsi" w:hAnsiTheme="minorHAnsi" w:cstheme="minorHAnsi"/>
          <w:sz w:val="20"/>
          <w:szCs w:val="20"/>
          <w:vertAlign w:val="superscript"/>
          <w:lang w:val="hr-HR"/>
        </w:rPr>
        <w:t>3</w:t>
      </w:r>
      <w:r w:rsidRPr="00F038A3">
        <w:rPr>
          <w:rFonts w:asciiTheme="minorHAnsi" w:hAnsiTheme="minorHAnsi" w:cstheme="minorHAnsi"/>
          <w:sz w:val="20"/>
          <w:szCs w:val="20"/>
          <w:lang w:val="hr-HR"/>
        </w:rPr>
        <w:t xml:space="preserve"> č.m. ili oko 50.855.000 t, a njegov projektovani kapacitet omogućava odlaganje još oko 20 miliona m</w:t>
      </w:r>
      <w:r w:rsidRPr="00F038A3">
        <w:rPr>
          <w:rFonts w:asciiTheme="minorHAnsi" w:hAnsiTheme="minorHAnsi" w:cstheme="minorHAnsi"/>
          <w:sz w:val="20"/>
          <w:szCs w:val="20"/>
          <w:vertAlign w:val="superscript"/>
          <w:lang w:val="hr-HR"/>
        </w:rPr>
        <w:t>3</w:t>
      </w:r>
      <w:r w:rsidRPr="00F038A3">
        <w:rPr>
          <w:rFonts w:asciiTheme="minorHAnsi" w:hAnsiTheme="minorHAnsi" w:cstheme="minorHAnsi"/>
          <w:sz w:val="20"/>
          <w:szCs w:val="20"/>
          <w:lang w:val="hr-HR"/>
        </w:rPr>
        <w:t xml:space="preserve"> č.m. do završetka odlaganja. </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U ovom momentu može se govoriti samo o navedenim 50.855.000 tona rezervi laporca i laporovitih krečnjaka,odnosno, 51.000.000 tona (zaokruženo) nedefinisanog rasporeda kvalitetnih i manje kvalitetnih masa u odlagalište koje će se, na osnovu prethodno urađenog Projekta detaljnih geoloških istraživanja, doistražiti.</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S obzirom da će odlagalište biti dopunjavano novim količinama krovinskih laporaca, koji će se otkopavati pri eksploataciji uglja iz ležišta ''Potrlica'', ove rezerve će se povećavati.</w:t>
      </w: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r w:rsidRPr="00F038A3">
        <w:rPr>
          <w:rFonts w:asciiTheme="minorHAnsi" w:hAnsiTheme="minorHAnsi" w:cstheme="minorHAnsi"/>
          <w:sz w:val="20"/>
          <w:szCs w:val="20"/>
          <w:lang w:val="hr-HR"/>
        </w:rPr>
        <w:tab/>
      </w: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Rezultati prosječnog hemijskog sadržaja po pojedinačnim litološkim članovima u ležištu ''Potrlica'' ukazuju da se odložena otkrivka može potpunije koristiti za proizvodnju cementa ako se koriguje laporcima iz dijelova sa nižim sadržajem CaCO</w:t>
      </w:r>
      <w:r w:rsidRPr="00F038A3">
        <w:rPr>
          <w:rFonts w:asciiTheme="minorHAnsi" w:hAnsiTheme="minorHAnsi" w:cstheme="minorHAnsi"/>
          <w:sz w:val="20"/>
          <w:szCs w:val="20"/>
          <w:vertAlign w:val="subscript"/>
          <w:lang w:val="hr-HR"/>
        </w:rPr>
        <w:t>3</w:t>
      </w:r>
      <w:r w:rsidRPr="00F038A3">
        <w:rPr>
          <w:rFonts w:asciiTheme="minorHAnsi" w:hAnsiTheme="minorHAnsi" w:cstheme="minorHAnsi"/>
          <w:sz w:val="20"/>
          <w:szCs w:val="20"/>
          <w:lang w:val="hr-HR"/>
        </w:rPr>
        <w:t xml:space="preserve"> (prosjek je 77, 92 %) iz ležišta ''Potrlica''.</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Selektivnim otkopavanjem i transportom krovinskih laporaca odgovarajućeg kvaliteta u ležištu ''Potrlica'' postoji i mogućnost korekcije kvaliteta rezervi na ''Jagnjilu'' i njihovog potpunijeg korišćenja, odnosno, korišćenja u cjelosti.</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Prema preliminarnim rješenjima i proračunima i pretpostavljenom kapacitetu eksploatacije, procijenjene rezerve od 51.000.000 t, pri procjenjenom iskorišćenju od 95 % (bez popravljanja kvalitetnom sirovinom), obezbjeđuju eksploatacione rezerve cementnog laporca od oko 48.450.000 t. Ove rezerve, sa godišnjim kapacitetom najmanje 1.500.000 t/god., omogućavaju vijek eksploatacije od oko 32 godine.</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Eksploatacija odlagališta cementnih laporaca sa ''Jagnjila'', u suštini, ima i povoljnih i nepovoljnih uticaja na životnu sredinu. Uklanjanjem ove deponije, značajan dio prostora u neposrednoj blizini Pljevalja se može privesti korisnijoj namjeni, zatim, dovešće do rasterećenja pritiska i eliminisanja mogućeg nastanka klizišta, odrona i drugih egzogenih pojava.</w:t>
      </w:r>
    </w:p>
    <w:p w:rsidR="00FB5224" w:rsidRPr="00F038A3" w:rsidRDefault="00FB5224" w:rsidP="00403695">
      <w:pPr>
        <w:jc w:val="both"/>
        <w:rPr>
          <w:rFonts w:asciiTheme="minorHAnsi" w:hAnsiTheme="minorHAnsi" w:cstheme="minorHAnsi"/>
          <w:sz w:val="20"/>
          <w:szCs w:val="20"/>
          <w:lang w:val="hr-HR"/>
        </w:rPr>
      </w:pPr>
    </w:p>
    <w:p w:rsidR="00FB5224" w:rsidRPr="00F038A3"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lastRenderedPageBreak/>
        <w:t xml:space="preserve">Nepovoljni uticaji su direktno vezani za sam čin otkopavanja, utovara i transporta sirovine sa svim posljedicama koje nastanu upotrebom mašina i opreme koje se koriste za te operacije. </w:t>
      </w:r>
    </w:p>
    <w:p w:rsidR="00FB5224" w:rsidRPr="00F038A3" w:rsidRDefault="00FB5224" w:rsidP="00403695">
      <w:pPr>
        <w:jc w:val="both"/>
        <w:rPr>
          <w:rFonts w:asciiTheme="minorHAnsi" w:hAnsiTheme="minorHAnsi" w:cstheme="minorHAnsi"/>
          <w:sz w:val="20"/>
          <w:szCs w:val="20"/>
          <w:lang w:val="hr-HR"/>
        </w:rPr>
      </w:pPr>
    </w:p>
    <w:p w:rsidR="00FB5224" w:rsidRDefault="00FB5224" w:rsidP="00403695">
      <w:pPr>
        <w:jc w:val="both"/>
        <w:rPr>
          <w:rFonts w:asciiTheme="minorHAnsi" w:hAnsiTheme="minorHAnsi" w:cstheme="minorHAnsi"/>
          <w:sz w:val="20"/>
          <w:szCs w:val="20"/>
          <w:lang w:val="hr-HR"/>
        </w:rPr>
      </w:pPr>
      <w:r w:rsidRPr="00F038A3">
        <w:rPr>
          <w:rFonts w:asciiTheme="minorHAnsi" w:hAnsiTheme="minorHAnsi" w:cstheme="minorHAnsi"/>
          <w:sz w:val="20"/>
          <w:szCs w:val="20"/>
          <w:lang w:val="hr-HR"/>
        </w:rPr>
        <w:t>Mogući povoljni i nepovoljni uticaji buduće eksploatacije laporaca sa odlagališta ''Jagnjilo'' na životnu sredinu definisaće se u skladu sa crnogorskim propisima, odnosno, izradom ''Elaborata o procjeni uticaja površinske eksploatacije, transporta sirovine i tehnologija njene prerade u finalni proizvod.'' Budući koncesionar je dužan da, prije otpočinjanja koncesione djelatnosti, uradi navedeni Elaborat, koji predstavlja jedan od bitnih uslova za izdavanje odobrenja za izvođenje radova i odobrenja za upotrebu rudarskih i drugih objekata od Ministarstva za ekonomski razvoj koje je nadležno za rudarstvo i geološka istraživanja.</w:t>
      </w:r>
    </w:p>
    <w:p w:rsidR="009762DA" w:rsidRDefault="009762DA" w:rsidP="00403695">
      <w:pPr>
        <w:jc w:val="both"/>
        <w:rPr>
          <w:rFonts w:asciiTheme="minorHAnsi" w:hAnsiTheme="minorHAnsi" w:cstheme="minorHAnsi"/>
          <w:sz w:val="20"/>
          <w:szCs w:val="20"/>
          <w:lang w:val="hr-HR"/>
        </w:rPr>
      </w:pPr>
    </w:p>
    <w:p w:rsidR="009762DA" w:rsidRPr="009762DA" w:rsidRDefault="009762DA" w:rsidP="00403695">
      <w:pPr>
        <w:jc w:val="both"/>
        <w:rPr>
          <w:rFonts w:asciiTheme="minorHAnsi" w:hAnsiTheme="minorHAnsi" w:cstheme="minorHAnsi"/>
          <w:b/>
          <w:sz w:val="20"/>
          <w:szCs w:val="20"/>
          <w:lang w:val="hr-HR"/>
        </w:rPr>
      </w:pPr>
      <w:r w:rsidRPr="009762DA">
        <w:rPr>
          <w:rFonts w:asciiTheme="minorHAnsi" w:hAnsiTheme="minorHAnsi" w:cstheme="minorHAnsi"/>
          <w:b/>
          <w:sz w:val="20"/>
          <w:szCs w:val="20"/>
          <w:lang w:val="hr-HR"/>
        </w:rPr>
        <w:t>13.</w:t>
      </w:r>
      <w:r w:rsidR="00403695">
        <w:rPr>
          <w:rFonts w:asciiTheme="minorHAnsi" w:hAnsiTheme="minorHAnsi" w:cstheme="minorHAnsi"/>
          <w:b/>
          <w:sz w:val="20"/>
          <w:szCs w:val="20"/>
          <w:lang w:val="hr-HR"/>
        </w:rPr>
        <w:t xml:space="preserve"> Ležišta </w:t>
      </w:r>
      <w:r w:rsidRPr="009762DA">
        <w:rPr>
          <w:rFonts w:asciiTheme="minorHAnsi" w:hAnsiTheme="minorHAnsi" w:cstheme="minorHAnsi"/>
          <w:b/>
          <w:sz w:val="20"/>
          <w:szCs w:val="20"/>
          <w:lang w:val="hr-HR"/>
        </w:rPr>
        <w:t xml:space="preserve"> </w:t>
      </w:r>
      <w:r w:rsidRPr="009762DA">
        <w:rPr>
          <w:rFonts w:asciiTheme="minorHAnsi" w:hAnsiTheme="minorHAnsi" w:cstheme="minorHAnsi"/>
          <w:b/>
          <w:sz w:val="20"/>
          <w:szCs w:val="20"/>
          <w:lang w:val="sr-Latn-CS"/>
        </w:rPr>
        <w:t>„Zagrad“, „Đurakov do II“, „Štitovo II“ i „Biočki stan“ (crveni boksiti), opština Nikšić</w:t>
      </w:r>
    </w:p>
    <w:p w:rsidR="00FB5224" w:rsidRPr="00FB5224" w:rsidRDefault="00FB5224" w:rsidP="00403695">
      <w:pPr>
        <w:jc w:val="both"/>
        <w:rPr>
          <w:rFonts w:asciiTheme="minorHAnsi" w:hAnsiTheme="minorHAnsi" w:cs="Calibri"/>
          <w:sz w:val="20"/>
          <w:szCs w:val="20"/>
          <w:lang w:val="hr-HR"/>
        </w:rPr>
      </w:pPr>
    </w:p>
    <w:p w:rsidR="009762DA" w:rsidRDefault="009762DA" w:rsidP="00403695">
      <w:pPr>
        <w:pStyle w:val="Heading2"/>
        <w:numPr>
          <w:ilvl w:val="1"/>
          <w:numId w:val="0"/>
        </w:numPr>
        <w:spacing w:before="0"/>
        <w:ind w:left="576" w:hanging="576"/>
        <w:rPr>
          <w:rFonts w:asciiTheme="minorHAnsi" w:hAnsiTheme="minorHAnsi" w:cstheme="minorHAnsi"/>
          <w:color w:val="auto"/>
          <w:sz w:val="20"/>
          <w:szCs w:val="20"/>
        </w:rPr>
      </w:pPr>
      <w:bookmarkStart w:id="1" w:name="_Toc416350567"/>
      <w:r w:rsidRPr="009762DA">
        <w:rPr>
          <w:rFonts w:asciiTheme="minorHAnsi" w:hAnsiTheme="minorHAnsi" w:cstheme="minorHAnsi"/>
          <w:color w:val="auto"/>
          <w:sz w:val="20"/>
          <w:szCs w:val="20"/>
        </w:rPr>
        <w:t>Položaj i opis lokacija ležišta</w:t>
      </w:r>
      <w:bookmarkEnd w:id="1"/>
    </w:p>
    <w:p w:rsidR="00403695" w:rsidRPr="00403695" w:rsidRDefault="00403695" w:rsidP="00403695"/>
    <w:p w:rsidR="009762DA" w:rsidRPr="009762DA" w:rsidRDefault="009762DA" w:rsidP="00403695">
      <w:pPr>
        <w:pStyle w:val="Heading3"/>
        <w:numPr>
          <w:ilvl w:val="2"/>
          <w:numId w:val="0"/>
        </w:numPr>
        <w:spacing w:before="0"/>
        <w:rPr>
          <w:rFonts w:asciiTheme="minorHAnsi" w:hAnsiTheme="minorHAnsi" w:cstheme="minorHAnsi"/>
          <w:color w:val="auto"/>
          <w:sz w:val="20"/>
          <w:szCs w:val="20"/>
        </w:rPr>
      </w:pPr>
      <w:bookmarkStart w:id="2" w:name="_Toc416350568"/>
      <w:r w:rsidRPr="009762DA">
        <w:rPr>
          <w:rFonts w:asciiTheme="minorHAnsi" w:hAnsiTheme="minorHAnsi" w:cstheme="minorHAnsi"/>
          <w:color w:val="auto"/>
          <w:sz w:val="20"/>
          <w:szCs w:val="20"/>
        </w:rPr>
        <w:t>Ležište „Zagrad”</w:t>
      </w:r>
      <w:bookmarkEnd w:id="2"/>
    </w:p>
    <w:p w:rsidR="009762DA" w:rsidRPr="009762DA" w:rsidRDefault="009762DA" w:rsidP="00403695">
      <w:pPr>
        <w:pStyle w:val="BodyText"/>
        <w:rPr>
          <w:rFonts w:asciiTheme="minorHAnsi" w:hAnsiTheme="minorHAnsi" w:cstheme="minorHAnsi"/>
          <w:b w:val="0"/>
          <w:sz w:val="20"/>
          <w:szCs w:val="20"/>
        </w:rPr>
      </w:pPr>
    </w:p>
    <w:p w:rsidR="009762DA" w:rsidRPr="009762DA" w:rsidRDefault="009762DA" w:rsidP="00403695">
      <w:pPr>
        <w:pStyle w:val="BodyText"/>
        <w:rPr>
          <w:rFonts w:asciiTheme="minorHAnsi" w:hAnsiTheme="minorHAnsi" w:cstheme="minorHAnsi"/>
          <w:sz w:val="20"/>
          <w:szCs w:val="20"/>
        </w:rPr>
      </w:pPr>
      <w:r w:rsidRPr="00AF7286">
        <w:rPr>
          <w:rFonts w:asciiTheme="minorHAnsi" w:hAnsiTheme="minorHAnsi" w:cstheme="minorHAnsi"/>
          <w:b w:val="0"/>
          <w:sz w:val="20"/>
          <w:szCs w:val="20"/>
        </w:rPr>
        <w:t>Ležište crvenog boksita „Zagrad</w:t>
      </w:r>
      <w:r w:rsidRPr="00AF7286">
        <w:rPr>
          <w:rFonts w:asciiTheme="minorHAnsi" w:hAnsiTheme="minorHAnsi" w:cstheme="minorHAnsi"/>
          <w:b w:val="0"/>
          <w:sz w:val="20"/>
          <w:szCs w:val="20"/>
          <w:lang w:val="sr-Cyrl-CS"/>
        </w:rPr>
        <w:t>”</w:t>
      </w:r>
      <w:r w:rsidRPr="00AF7286">
        <w:rPr>
          <w:rFonts w:asciiTheme="minorHAnsi" w:hAnsiTheme="minorHAnsi" w:cstheme="minorHAnsi"/>
          <w:b w:val="0"/>
          <w:sz w:val="20"/>
          <w:szCs w:val="20"/>
        </w:rPr>
        <w:t xml:space="preserve"> nalazi se 15 km istočno od Nikšića, u rejonu Nikšićke Župe. U geomorfološkom pogledu ovaj dio terena pripada jugozapadnim padinama planine Maganik, odnosno njegovim ograncima. Samo ležište je locirano u karstnoj uvali sela Oblatno, a gornjim dijelom i na prostoru, takođe, karstne uvale sela Zagrad, čija se nadmorska visina kreće između 860 i 970 m. Sa južne strane ležišta uzdiže se brdo Klobuk (1.045 m), a sa sjeverne Zmijinice (1.147 m) i Jaroša (1.141 m). Ležište crvenog boksita “Zagrad” je širokim asfaltnim putem povezano sa Nikšićem</w:t>
      </w:r>
      <w:r w:rsidRPr="009762DA">
        <w:rPr>
          <w:rFonts w:asciiTheme="minorHAnsi" w:hAnsiTheme="minorHAnsi" w:cstheme="minorHAnsi"/>
          <w:sz w:val="20"/>
          <w:szCs w:val="20"/>
        </w:rPr>
        <w:t>.</w:t>
      </w:r>
    </w:p>
    <w:p w:rsidR="009762DA" w:rsidRPr="009762DA" w:rsidRDefault="009762DA" w:rsidP="00403695">
      <w:pPr>
        <w:pStyle w:val="BodyText"/>
        <w:rPr>
          <w:rFonts w:asciiTheme="minorHAnsi" w:hAnsiTheme="minorHAnsi" w:cstheme="minorHAnsi"/>
          <w:sz w:val="20"/>
          <w:szCs w:val="20"/>
        </w:rPr>
      </w:pP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 xml:space="preserve">Koordinate graničnih tačaka, dužine strana i površina ležišta crvenog boksita </w:t>
      </w:r>
      <w:r w:rsidRPr="009762DA">
        <w:rPr>
          <w:rFonts w:asciiTheme="minorHAnsi" w:hAnsiTheme="minorHAnsi" w:cstheme="minorHAnsi"/>
          <w:sz w:val="20"/>
          <w:szCs w:val="20"/>
          <w:lang w:val="sr-Latn-CS"/>
        </w:rPr>
        <w:t>„</w:t>
      </w:r>
      <w:r w:rsidRPr="009762DA">
        <w:rPr>
          <w:rFonts w:asciiTheme="minorHAnsi" w:hAnsiTheme="minorHAnsi" w:cstheme="minorHAnsi"/>
          <w:sz w:val="20"/>
          <w:szCs w:val="20"/>
        </w:rPr>
        <w:t>Zagrad</w:t>
      </w:r>
      <w:r w:rsidRPr="009762DA">
        <w:rPr>
          <w:rFonts w:asciiTheme="minorHAnsi" w:hAnsiTheme="minorHAnsi" w:cstheme="minorHAnsi"/>
          <w:sz w:val="20"/>
          <w:szCs w:val="20"/>
          <w:lang w:val="sr-Cyrl-CS"/>
        </w:rPr>
        <w:t>”</w:t>
      </w:r>
      <w:r w:rsidRPr="009762DA">
        <w:rPr>
          <w:rFonts w:asciiTheme="minorHAnsi" w:hAnsiTheme="minorHAnsi" w:cstheme="minorHAnsi"/>
          <w:sz w:val="20"/>
          <w:szCs w:val="20"/>
          <w:lang w:val="sr-Latn-BA"/>
        </w:rPr>
        <w:t xml:space="preserve"> date su u sl</w:t>
      </w:r>
      <w:r w:rsidR="00AF7286">
        <w:rPr>
          <w:rFonts w:asciiTheme="minorHAnsi" w:hAnsiTheme="minorHAnsi" w:cstheme="minorHAnsi"/>
          <w:sz w:val="20"/>
          <w:szCs w:val="20"/>
          <w:lang w:val="sr-Latn-BA"/>
        </w:rPr>
        <w:t>j</w:t>
      </w:r>
      <w:r w:rsidRPr="009762DA">
        <w:rPr>
          <w:rFonts w:asciiTheme="minorHAnsi" w:hAnsiTheme="minorHAnsi" w:cstheme="minorHAnsi"/>
          <w:sz w:val="20"/>
          <w:szCs w:val="20"/>
          <w:lang w:val="sr-Latn-BA"/>
        </w:rPr>
        <w:t>edećoj tabeli</w:t>
      </w:r>
      <w:r w:rsidR="00403695">
        <w:rPr>
          <w:rFonts w:asciiTheme="minorHAnsi" w:hAnsiTheme="minorHAnsi" w:cstheme="minorHAnsi"/>
          <w:sz w:val="20"/>
          <w:szCs w:val="20"/>
        </w:rPr>
        <w:t>:</w:t>
      </w:r>
      <w:r w:rsidRPr="009762DA">
        <w:rPr>
          <w:rFonts w:asciiTheme="minorHAnsi" w:hAnsiTheme="minorHAnsi" w:cstheme="minorHAnsi"/>
          <w:sz w:val="20"/>
          <w:szCs w:val="20"/>
        </w:rPr>
        <w:t xml:space="preserve"> </w:t>
      </w:r>
    </w:p>
    <w:p w:rsidR="009762DA" w:rsidRPr="009762DA" w:rsidRDefault="009762DA" w:rsidP="00403695">
      <w:pPr>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2053"/>
        <w:gridCol w:w="1892"/>
        <w:gridCol w:w="2005"/>
        <w:gridCol w:w="2225"/>
      </w:tblGrid>
      <w:tr w:rsidR="009762DA" w:rsidRPr="009762DA" w:rsidTr="00AF53FF">
        <w:trPr>
          <w:trHeight w:val="172"/>
        </w:trPr>
        <w:tc>
          <w:tcPr>
            <w:tcW w:w="731" w:type="pct"/>
            <w:vMerge w:val="restart"/>
            <w:tcBorders>
              <w:top w:val="thinThickSmallGap" w:sz="12" w:space="0" w:color="auto"/>
              <w:left w:val="thinThickSmallGap" w:sz="12"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Tačka</w:t>
            </w:r>
          </w:p>
        </w:tc>
        <w:tc>
          <w:tcPr>
            <w:tcW w:w="2060" w:type="pct"/>
            <w:gridSpan w:val="2"/>
            <w:tcBorders>
              <w:top w:val="thinThickSmallGap" w:sz="12" w:space="0" w:color="auto"/>
              <w:left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Koordinate</w:t>
            </w:r>
          </w:p>
        </w:tc>
        <w:tc>
          <w:tcPr>
            <w:tcW w:w="1047" w:type="pct"/>
            <w:vMerge w:val="restart"/>
            <w:tcBorders>
              <w:top w:val="thinThickSmallGap" w:sz="12" w:space="0" w:color="auto"/>
              <w:left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Dužina strana (m)</w:t>
            </w:r>
          </w:p>
        </w:tc>
        <w:tc>
          <w:tcPr>
            <w:tcW w:w="1163" w:type="pct"/>
            <w:vMerge w:val="restart"/>
            <w:tcBorders>
              <w:top w:val="thinThickSmallGap" w:sz="12" w:space="0" w:color="auto"/>
              <w:left w:val="double" w:sz="4" w:space="0" w:color="auto"/>
              <w:right w:val="thinThickSmallGap" w:sz="12"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Površina</w:t>
            </w:r>
          </w:p>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(m</w:t>
            </w:r>
            <w:r w:rsidRPr="009762DA">
              <w:rPr>
                <w:rFonts w:asciiTheme="minorHAnsi" w:hAnsiTheme="minorHAnsi" w:cstheme="minorHAnsi"/>
                <w:b/>
                <w:sz w:val="20"/>
                <w:szCs w:val="20"/>
                <w:vertAlign w:val="superscript"/>
              </w:rPr>
              <w:t>2</w:t>
            </w:r>
            <w:r w:rsidRPr="009762DA">
              <w:rPr>
                <w:rFonts w:asciiTheme="minorHAnsi" w:hAnsiTheme="minorHAnsi" w:cstheme="minorHAnsi"/>
                <w:b/>
                <w:sz w:val="20"/>
                <w:szCs w:val="20"/>
              </w:rPr>
              <w:t>)</w:t>
            </w:r>
          </w:p>
        </w:tc>
      </w:tr>
      <w:tr w:rsidR="009762DA" w:rsidRPr="009762DA" w:rsidTr="00AF53FF">
        <w:trPr>
          <w:trHeight w:val="97"/>
        </w:trPr>
        <w:tc>
          <w:tcPr>
            <w:tcW w:w="731" w:type="pct"/>
            <w:vMerge/>
            <w:tcBorders>
              <w:left w:val="thinThickSmallGap" w:sz="12" w:space="0" w:color="auto"/>
              <w:bottom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p>
        </w:tc>
        <w:tc>
          <w:tcPr>
            <w:tcW w:w="1072" w:type="pct"/>
            <w:tcBorders>
              <w:left w:val="double" w:sz="4" w:space="0" w:color="auto"/>
              <w:bottom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x</w:t>
            </w:r>
          </w:p>
        </w:tc>
        <w:tc>
          <w:tcPr>
            <w:tcW w:w="988" w:type="pct"/>
            <w:tcBorders>
              <w:bottom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y</w:t>
            </w:r>
          </w:p>
        </w:tc>
        <w:tc>
          <w:tcPr>
            <w:tcW w:w="1047" w:type="pct"/>
            <w:vMerge/>
            <w:tcBorders>
              <w:left w:val="double" w:sz="4" w:space="0" w:color="auto"/>
              <w:bottom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p>
        </w:tc>
        <w:tc>
          <w:tcPr>
            <w:tcW w:w="1163" w:type="pct"/>
            <w:vMerge/>
            <w:tcBorders>
              <w:left w:val="double" w:sz="4" w:space="0" w:color="auto"/>
              <w:bottom w:val="double" w:sz="4" w:space="0" w:color="auto"/>
              <w:right w:val="thinThickSmallGap" w:sz="12"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1" w:type="pct"/>
            <w:tcBorders>
              <w:top w:val="double" w:sz="4" w:space="0" w:color="auto"/>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A</w:t>
            </w:r>
          </w:p>
        </w:tc>
        <w:tc>
          <w:tcPr>
            <w:tcW w:w="1072" w:type="pct"/>
            <w:tcBorders>
              <w:top w:val="double" w:sz="4" w:space="0" w:color="auto"/>
              <w:left w:val="doub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4 736 300</w:t>
            </w:r>
          </w:p>
        </w:tc>
        <w:tc>
          <w:tcPr>
            <w:tcW w:w="988" w:type="pct"/>
            <w:tcBorders>
              <w:top w:val="double" w:sz="4" w:space="0" w:color="auto"/>
              <w:left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6 588 100</w:t>
            </w:r>
          </w:p>
        </w:tc>
        <w:tc>
          <w:tcPr>
            <w:tcW w:w="1047" w:type="pct"/>
            <w:tcBorders>
              <w:top w:val="double" w:sz="4" w:space="0" w:color="auto"/>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AB=1.800</w:t>
            </w:r>
          </w:p>
        </w:tc>
        <w:tc>
          <w:tcPr>
            <w:tcW w:w="1163" w:type="pct"/>
            <w:vMerge w:val="restart"/>
            <w:tcBorders>
              <w:top w:val="double" w:sz="4" w:space="0" w:color="auto"/>
              <w:left w:val="double" w:sz="4" w:space="0" w:color="auto"/>
              <w:bottom w:val="nil"/>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1.980.000</w:t>
            </w: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1" w:type="pct"/>
            <w:tcBorders>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B</w:t>
            </w:r>
          </w:p>
        </w:tc>
        <w:tc>
          <w:tcPr>
            <w:tcW w:w="1072" w:type="pct"/>
            <w:tcBorders>
              <w:left w:val="doub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4 736 300</w:t>
            </w:r>
          </w:p>
        </w:tc>
        <w:tc>
          <w:tcPr>
            <w:tcW w:w="988" w:type="pct"/>
            <w:tcBorders>
              <w:left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6 589 900</w:t>
            </w:r>
          </w:p>
        </w:tc>
        <w:tc>
          <w:tcPr>
            <w:tcW w:w="1047" w:type="pct"/>
            <w:tcBorders>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BC=1.100</w:t>
            </w:r>
          </w:p>
        </w:tc>
        <w:tc>
          <w:tcPr>
            <w:tcW w:w="1163" w:type="pct"/>
            <w:vMerge/>
            <w:tcBorders>
              <w:left w:val="double" w:sz="4" w:space="0" w:color="auto"/>
              <w:bottom w:val="nil"/>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1" w:type="pct"/>
            <w:tcBorders>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C</w:t>
            </w:r>
          </w:p>
        </w:tc>
        <w:tc>
          <w:tcPr>
            <w:tcW w:w="1072" w:type="pct"/>
            <w:tcBorders>
              <w:left w:val="double" w:sz="4" w:space="0" w:color="auto"/>
              <w:bottom w:val="sing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4 735 200</w:t>
            </w:r>
          </w:p>
        </w:tc>
        <w:tc>
          <w:tcPr>
            <w:tcW w:w="988" w:type="pct"/>
            <w:tcBorders>
              <w:bottom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6 589 900</w:t>
            </w:r>
          </w:p>
        </w:tc>
        <w:tc>
          <w:tcPr>
            <w:tcW w:w="1047" w:type="pct"/>
            <w:tcBorders>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CD=1.800</w:t>
            </w:r>
          </w:p>
        </w:tc>
        <w:tc>
          <w:tcPr>
            <w:tcW w:w="1163" w:type="pct"/>
            <w:vMerge/>
            <w:tcBorders>
              <w:left w:val="double" w:sz="4" w:space="0" w:color="auto"/>
              <w:bottom w:val="nil"/>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1" w:type="pct"/>
            <w:tcBorders>
              <w:left w:val="thinThickSmallGap" w:sz="12"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D</w:t>
            </w:r>
          </w:p>
        </w:tc>
        <w:tc>
          <w:tcPr>
            <w:tcW w:w="1072" w:type="pct"/>
            <w:tcBorders>
              <w:top w:val="single" w:sz="4" w:space="0" w:color="auto"/>
              <w:left w:val="double" w:sz="4" w:space="0" w:color="auto"/>
              <w:bottom w:val="thinThickSmallGap" w:sz="12"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4 735 200</w:t>
            </w:r>
          </w:p>
        </w:tc>
        <w:tc>
          <w:tcPr>
            <w:tcW w:w="988" w:type="pct"/>
            <w:tcBorders>
              <w:top w:val="single" w:sz="4"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6 588 100</w:t>
            </w:r>
          </w:p>
        </w:tc>
        <w:tc>
          <w:tcPr>
            <w:tcW w:w="1047" w:type="pct"/>
            <w:tcBorders>
              <w:left w:val="double" w:sz="4"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DA=1.100</w:t>
            </w:r>
          </w:p>
        </w:tc>
        <w:tc>
          <w:tcPr>
            <w:tcW w:w="1163" w:type="pct"/>
            <w:vMerge/>
            <w:tcBorders>
              <w:left w:val="double" w:sz="4" w:space="0" w:color="auto"/>
              <w:bottom w:val="thinThickSmallGap" w:sz="12" w:space="0" w:color="auto"/>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r w:rsidR="009762DA" w:rsidRPr="009762DA" w:rsidTr="00AF53FF">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3837" w:type="pct"/>
          <w:trHeight w:val="100"/>
        </w:trPr>
        <w:tc>
          <w:tcPr>
            <w:tcW w:w="1163" w:type="pct"/>
            <w:vAlign w:val="center"/>
          </w:tcPr>
          <w:p w:rsidR="009762DA" w:rsidRPr="009762DA" w:rsidRDefault="009762DA" w:rsidP="00AF53FF">
            <w:pPr>
              <w:pStyle w:val="BodyText"/>
              <w:jc w:val="center"/>
              <w:rPr>
                <w:rFonts w:asciiTheme="minorHAnsi" w:hAnsiTheme="minorHAnsi" w:cstheme="minorHAnsi"/>
                <w:b w:val="0"/>
                <w:sz w:val="20"/>
                <w:szCs w:val="20"/>
              </w:rPr>
            </w:pPr>
          </w:p>
        </w:tc>
      </w:tr>
    </w:tbl>
    <w:p w:rsidR="009762DA" w:rsidRPr="009762DA" w:rsidRDefault="009762DA" w:rsidP="00403695">
      <w:pPr>
        <w:pStyle w:val="Heading3"/>
        <w:numPr>
          <w:ilvl w:val="2"/>
          <w:numId w:val="0"/>
        </w:numPr>
        <w:spacing w:before="0"/>
        <w:ind w:left="1170" w:hanging="720"/>
        <w:rPr>
          <w:rFonts w:asciiTheme="minorHAnsi" w:hAnsiTheme="minorHAnsi" w:cstheme="minorHAnsi"/>
          <w:color w:val="auto"/>
          <w:sz w:val="20"/>
          <w:szCs w:val="20"/>
        </w:rPr>
      </w:pPr>
      <w:bookmarkStart w:id="3" w:name="_Toc416350569"/>
      <w:r w:rsidRPr="009762DA">
        <w:rPr>
          <w:rFonts w:asciiTheme="minorHAnsi" w:hAnsiTheme="minorHAnsi" w:cstheme="minorHAnsi"/>
          <w:color w:val="auto"/>
          <w:sz w:val="20"/>
          <w:szCs w:val="20"/>
        </w:rPr>
        <w:t>Ležište “Đurakov do II”</w:t>
      </w:r>
      <w:bookmarkEnd w:id="3"/>
      <w:r w:rsidRPr="009762DA">
        <w:rPr>
          <w:rFonts w:asciiTheme="minorHAnsi" w:hAnsiTheme="minorHAnsi" w:cstheme="minorHAnsi"/>
          <w:color w:val="auto"/>
          <w:sz w:val="20"/>
          <w:szCs w:val="20"/>
        </w:rPr>
        <w:t xml:space="preserve"> </w:t>
      </w:r>
    </w:p>
    <w:p w:rsidR="009762DA" w:rsidRPr="009762DA" w:rsidRDefault="009762DA" w:rsidP="00403695">
      <w:pPr>
        <w:rPr>
          <w:rFonts w:asciiTheme="minorHAnsi" w:hAnsiTheme="minorHAnsi" w:cstheme="minorHAnsi"/>
          <w:sz w:val="20"/>
          <w:szCs w:val="20"/>
        </w:rPr>
      </w:pPr>
    </w:p>
    <w:p w:rsidR="009762DA" w:rsidRPr="0038134C" w:rsidRDefault="009762DA" w:rsidP="00403695">
      <w:pPr>
        <w:pStyle w:val="BodyText"/>
        <w:rPr>
          <w:rFonts w:asciiTheme="minorHAnsi" w:hAnsiTheme="minorHAnsi" w:cstheme="minorHAnsi"/>
          <w:b w:val="0"/>
          <w:sz w:val="20"/>
          <w:szCs w:val="20"/>
        </w:rPr>
      </w:pPr>
      <w:r w:rsidRPr="0038134C">
        <w:rPr>
          <w:rFonts w:asciiTheme="minorHAnsi" w:hAnsiTheme="minorHAnsi" w:cstheme="minorHAnsi"/>
          <w:b w:val="0"/>
          <w:sz w:val="20"/>
          <w:szCs w:val="20"/>
        </w:rPr>
        <w:t xml:space="preserve">Ležište boksita </w:t>
      </w:r>
      <w:r w:rsidRPr="0038134C">
        <w:rPr>
          <w:rFonts w:asciiTheme="minorHAnsi" w:hAnsiTheme="minorHAnsi" w:cstheme="minorHAnsi"/>
          <w:b w:val="0"/>
          <w:sz w:val="20"/>
          <w:szCs w:val="20"/>
          <w:lang w:val="sr-Cyrl-CS"/>
        </w:rPr>
        <w:t>“</w:t>
      </w:r>
      <w:r w:rsidRPr="0038134C">
        <w:rPr>
          <w:rFonts w:asciiTheme="minorHAnsi" w:hAnsiTheme="minorHAnsi" w:cstheme="minorHAnsi"/>
          <w:b w:val="0"/>
          <w:sz w:val="20"/>
          <w:szCs w:val="20"/>
        </w:rPr>
        <w:t>Đurakov do</w:t>
      </w:r>
      <w:r w:rsidRPr="0038134C">
        <w:rPr>
          <w:rFonts w:asciiTheme="minorHAnsi" w:hAnsiTheme="minorHAnsi" w:cstheme="minorHAnsi"/>
          <w:b w:val="0"/>
          <w:sz w:val="20"/>
          <w:szCs w:val="20"/>
          <w:lang w:val="sr-Cyrl-CS"/>
        </w:rPr>
        <w:t>”</w:t>
      </w:r>
      <w:r w:rsidRPr="0038134C">
        <w:rPr>
          <w:rFonts w:asciiTheme="minorHAnsi" w:hAnsiTheme="minorHAnsi" w:cstheme="minorHAnsi"/>
          <w:b w:val="0"/>
          <w:sz w:val="20"/>
          <w:szCs w:val="20"/>
        </w:rPr>
        <w:t xml:space="preserve"> nalazi se u sjeveroistočnom rejonu Nikšićke Župe, u sjeverozapadnom dijelu platoa Štitovo. Nadmorska visina površine terena u prostoru ležišta je između 1.500 i 1.550 m. Sa njegove sjeveroistočne strane uzdiže se greben Prisoja (1.861 m), a dalje u istom pravcu, na 2 do 5 km, nalaze se drugi ogranci planine Maganik, sa vrhovima visine do 2.104 m. Ležište se nalazi istočno od Nikšića, sa kojim je preko Seoca i Liverovića povezano kvalitetnim asfaltnim putem dužine 27 km. Ležište </w:t>
      </w:r>
      <w:r w:rsidRPr="0038134C">
        <w:rPr>
          <w:rFonts w:asciiTheme="minorHAnsi" w:hAnsiTheme="minorHAnsi" w:cstheme="minorHAnsi"/>
          <w:b w:val="0"/>
          <w:sz w:val="20"/>
          <w:szCs w:val="20"/>
          <w:lang w:val="sr-Cyrl-CS"/>
        </w:rPr>
        <w:t>“</w:t>
      </w:r>
      <w:r w:rsidRPr="0038134C">
        <w:rPr>
          <w:rFonts w:asciiTheme="minorHAnsi" w:hAnsiTheme="minorHAnsi" w:cstheme="minorHAnsi"/>
          <w:b w:val="0"/>
          <w:sz w:val="20"/>
          <w:szCs w:val="20"/>
        </w:rPr>
        <w:t>Đurakov do</w:t>
      </w:r>
      <w:r w:rsidRPr="0038134C">
        <w:rPr>
          <w:rFonts w:asciiTheme="minorHAnsi" w:hAnsiTheme="minorHAnsi" w:cstheme="minorHAnsi"/>
          <w:b w:val="0"/>
          <w:sz w:val="20"/>
          <w:szCs w:val="20"/>
          <w:lang w:val="sr-Cyrl-CS"/>
        </w:rPr>
        <w:t>”</w:t>
      </w:r>
      <w:r w:rsidRPr="0038134C">
        <w:rPr>
          <w:rFonts w:asciiTheme="minorHAnsi" w:hAnsiTheme="minorHAnsi" w:cstheme="minorHAnsi"/>
          <w:b w:val="0"/>
          <w:sz w:val="20"/>
          <w:szCs w:val="20"/>
        </w:rPr>
        <w:t xml:space="preserve"> sastoji se od pet rudnih tijela, koja su međusobno odvojena morfološkim oblicima paleoreljefa i postrudnom tektonikom. Označena su kao rudna tijela Đurakov do: I, II, III, IV i V. </w:t>
      </w:r>
    </w:p>
    <w:p w:rsidR="009762DA" w:rsidRPr="0038134C" w:rsidRDefault="009762DA" w:rsidP="00403695">
      <w:pPr>
        <w:jc w:val="both"/>
        <w:rPr>
          <w:rFonts w:asciiTheme="minorHAnsi" w:hAnsiTheme="minorHAnsi" w:cstheme="minorHAnsi"/>
          <w:sz w:val="20"/>
          <w:szCs w:val="20"/>
          <w:lang w:val="sr-Latn-CS"/>
        </w:rPr>
      </w:pPr>
      <w:r w:rsidRPr="0038134C">
        <w:rPr>
          <w:rFonts w:asciiTheme="minorHAnsi" w:hAnsiTheme="minorHAnsi" w:cstheme="minorHAnsi"/>
          <w:sz w:val="20"/>
          <w:szCs w:val="20"/>
          <w:lang w:val="sr-Latn-CS"/>
        </w:rPr>
        <w:t xml:space="preserve">Koordinate graničnih tačaka, dužine strana i površina ležišta crvenog boksita </w:t>
      </w:r>
      <w:r w:rsidRPr="009762DA">
        <w:rPr>
          <w:rFonts w:asciiTheme="minorHAnsi" w:hAnsiTheme="minorHAnsi" w:cstheme="minorHAnsi"/>
          <w:sz w:val="20"/>
          <w:szCs w:val="20"/>
          <w:lang w:val="sr-Latn-CS"/>
        </w:rPr>
        <w:t>„</w:t>
      </w:r>
      <w:r w:rsidRPr="0038134C">
        <w:rPr>
          <w:rFonts w:asciiTheme="minorHAnsi" w:hAnsiTheme="minorHAnsi" w:cstheme="minorHAnsi"/>
          <w:sz w:val="20"/>
          <w:szCs w:val="20"/>
          <w:lang w:val="sr-Latn-CS"/>
        </w:rPr>
        <w:t>Đurakov do II</w:t>
      </w:r>
      <w:r w:rsidRPr="009762DA">
        <w:rPr>
          <w:rFonts w:asciiTheme="minorHAnsi" w:hAnsiTheme="minorHAnsi" w:cstheme="minorHAnsi"/>
          <w:sz w:val="20"/>
          <w:szCs w:val="20"/>
          <w:lang w:val="sr-Cyrl-CS"/>
        </w:rPr>
        <w:t>”</w:t>
      </w:r>
      <w:r w:rsidRPr="009762DA">
        <w:rPr>
          <w:rFonts w:asciiTheme="minorHAnsi" w:hAnsiTheme="minorHAnsi" w:cstheme="minorHAnsi"/>
          <w:sz w:val="20"/>
          <w:szCs w:val="20"/>
          <w:lang w:val="sr-Latn-BA"/>
        </w:rPr>
        <w:t xml:space="preserve"> date su u sl</w:t>
      </w:r>
      <w:r w:rsidR="0038134C">
        <w:rPr>
          <w:rFonts w:asciiTheme="minorHAnsi" w:hAnsiTheme="minorHAnsi" w:cstheme="minorHAnsi"/>
          <w:sz w:val="20"/>
          <w:szCs w:val="20"/>
          <w:lang w:val="sr-Latn-BA"/>
        </w:rPr>
        <w:t>j</w:t>
      </w:r>
      <w:r w:rsidRPr="009762DA">
        <w:rPr>
          <w:rFonts w:asciiTheme="minorHAnsi" w:hAnsiTheme="minorHAnsi" w:cstheme="minorHAnsi"/>
          <w:sz w:val="20"/>
          <w:szCs w:val="20"/>
          <w:lang w:val="sr-Latn-BA"/>
        </w:rPr>
        <w:t>edećoj tabeli</w:t>
      </w:r>
      <w:r w:rsidR="00403695">
        <w:rPr>
          <w:rFonts w:asciiTheme="minorHAnsi" w:hAnsiTheme="minorHAnsi" w:cstheme="minorHAnsi"/>
          <w:sz w:val="20"/>
          <w:szCs w:val="20"/>
          <w:lang w:val="sr-Latn-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2"/>
        <w:gridCol w:w="2053"/>
        <w:gridCol w:w="1892"/>
        <w:gridCol w:w="2005"/>
        <w:gridCol w:w="2224"/>
      </w:tblGrid>
      <w:tr w:rsidR="009762DA" w:rsidRPr="009762DA" w:rsidTr="00CE0BFE">
        <w:trPr>
          <w:trHeight w:val="172"/>
        </w:trPr>
        <w:tc>
          <w:tcPr>
            <w:tcW w:w="732" w:type="pct"/>
            <w:vMerge w:val="restart"/>
            <w:tcBorders>
              <w:top w:val="thinThickSmallGap" w:sz="12" w:space="0" w:color="auto"/>
              <w:left w:val="thinThickSmallGap" w:sz="12"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Tačka</w:t>
            </w:r>
          </w:p>
        </w:tc>
        <w:tc>
          <w:tcPr>
            <w:tcW w:w="2060" w:type="pct"/>
            <w:gridSpan w:val="2"/>
            <w:tcBorders>
              <w:top w:val="thinThickSmallGap" w:sz="12" w:space="0" w:color="auto"/>
              <w:left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Koordinate</w:t>
            </w:r>
          </w:p>
        </w:tc>
        <w:tc>
          <w:tcPr>
            <w:tcW w:w="1047" w:type="pct"/>
            <w:vMerge w:val="restart"/>
            <w:tcBorders>
              <w:top w:val="thinThickSmallGap" w:sz="12" w:space="0" w:color="auto"/>
              <w:left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Dužina strana (m)</w:t>
            </w:r>
          </w:p>
        </w:tc>
        <w:tc>
          <w:tcPr>
            <w:tcW w:w="1162" w:type="pct"/>
            <w:vMerge w:val="restart"/>
            <w:tcBorders>
              <w:top w:val="thinThickSmallGap" w:sz="12" w:space="0" w:color="auto"/>
              <w:left w:val="double" w:sz="4" w:space="0" w:color="auto"/>
              <w:right w:val="thinThickSmallGap" w:sz="12"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Površina</w:t>
            </w:r>
          </w:p>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(m</w:t>
            </w:r>
            <w:r w:rsidRPr="009762DA">
              <w:rPr>
                <w:rFonts w:asciiTheme="minorHAnsi" w:hAnsiTheme="minorHAnsi" w:cstheme="minorHAnsi"/>
                <w:b/>
                <w:sz w:val="20"/>
                <w:szCs w:val="20"/>
                <w:vertAlign w:val="superscript"/>
              </w:rPr>
              <w:t>2</w:t>
            </w:r>
            <w:r w:rsidRPr="009762DA">
              <w:rPr>
                <w:rFonts w:asciiTheme="minorHAnsi" w:hAnsiTheme="minorHAnsi" w:cstheme="minorHAnsi"/>
                <w:b/>
                <w:sz w:val="20"/>
                <w:szCs w:val="20"/>
              </w:rPr>
              <w:t>)</w:t>
            </w:r>
          </w:p>
        </w:tc>
      </w:tr>
      <w:tr w:rsidR="009762DA" w:rsidRPr="009762DA" w:rsidTr="00CE0BFE">
        <w:trPr>
          <w:trHeight w:val="97"/>
        </w:trPr>
        <w:tc>
          <w:tcPr>
            <w:tcW w:w="732" w:type="pct"/>
            <w:vMerge/>
            <w:tcBorders>
              <w:left w:val="thinThickSmallGap" w:sz="12" w:space="0" w:color="auto"/>
              <w:bottom w:val="double" w:sz="4" w:space="0" w:color="auto"/>
              <w:right w:val="double" w:sz="4" w:space="0" w:color="auto"/>
            </w:tcBorders>
            <w:vAlign w:val="center"/>
          </w:tcPr>
          <w:p w:rsidR="009762DA" w:rsidRPr="009762DA" w:rsidRDefault="009762DA" w:rsidP="00AF53FF">
            <w:pPr>
              <w:ind w:left="108"/>
              <w:jc w:val="center"/>
              <w:rPr>
                <w:rFonts w:asciiTheme="minorHAnsi" w:hAnsiTheme="minorHAnsi" w:cstheme="minorHAnsi"/>
                <w:b/>
                <w:sz w:val="20"/>
                <w:szCs w:val="20"/>
              </w:rPr>
            </w:pPr>
          </w:p>
        </w:tc>
        <w:tc>
          <w:tcPr>
            <w:tcW w:w="1072" w:type="pct"/>
            <w:tcBorders>
              <w:left w:val="double" w:sz="4" w:space="0" w:color="auto"/>
              <w:bottom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x</w:t>
            </w:r>
          </w:p>
        </w:tc>
        <w:tc>
          <w:tcPr>
            <w:tcW w:w="988" w:type="pct"/>
            <w:tcBorders>
              <w:bottom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y</w:t>
            </w:r>
          </w:p>
        </w:tc>
        <w:tc>
          <w:tcPr>
            <w:tcW w:w="1047" w:type="pct"/>
            <w:vMerge/>
            <w:tcBorders>
              <w:left w:val="double" w:sz="4" w:space="0" w:color="auto"/>
              <w:bottom w:val="double" w:sz="4" w:space="0" w:color="auto"/>
              <w:right w:val="double" w:sz="4" w:space="0" w:color="auto"/>
            </w:tcBorders>
            <w:vAlign w:val="center"/>
          </w:tcPr>
          <w:p w:rsidR="009762DA" w:rsidRPr="009762DA" w:rsidRDefault="009762DA" w:rsidP="00AF53FF">
            <w:pPr>
              <w:ind w:left="108"/>
              <w:jc w:val="center"/>
              <w:rPr>
                <w:rFonts w:asciiTheme="minorHAnsi" w:hAnsiTheme="minorHAnsi" w:cstheme="minorHAnsi"/>
                <w:b/>
                <w:sz w:val="20"/>
                <w:szCs w:val="20"/>
              </w:rPr>
            </w:pPr>
          </w:p>
        </w:tc>
        <w:tc>
          <w:tcPr>
            <w:tcW w:w="1162" w:type="pct"/>
            <w:vMerge/>
            <w:tcBorders>
              <w:left w:val="double" w:sz="4" w:space="0" w:color="auto"/>
              <w:bottom w:val="double" w:sz="4" w:space="0" w:color="auto"/>
              <w:right w:val="thinThickSmallGap" w:sz="12" w:space="0" w:color="auto"/>
            </w:tcBorders>
            <w:vAlign w:val="center"/>
          </w:tcPr>
          <w:p w:rsidR="009762DA" w:rsidRPr="009762DA" w:rsidRDefault="009762DA" w:rsidP="00AF53FF">
            <w:pPr>
              <w:ind w:left="108"/>
              <w:jc w:val="center"/>
              <w:rPr>
                <w:rFonts w:asciiTheme="minorHAnsi" w:hAnsiTheme="minorHAnsi" w:cstheme="minorHAnsi"/>
                <w:b/>
                <w:sz w:val="20"/>
                <w:szCs w:val="20"/>
              </w:rPr>
            </w:pPr>
          </w:p>
        </w:tc>
      </w:tr>
      <w:tr w:rsidR="009762DA" w:rsidRPr="009762DA" w:rsidTr="00CE0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2" w:type="pct"/>
            <w:tcBorders>
              <w:top w:val="double" w:sz="4" w:space="0" w:color="auto"/>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A</w:t>
            </w:r>
          </w:p>
        </w:tc>
        <w:tc>
          <w:tcPr>
            <w:tcW w:w="1072" w:type="pct"/>
            <w:tcBorders>
              <w:top w:val="double" w:sz="4" w:space="0" w:color="auto"/>
              <w:left w:val="doub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4 736 200</w:t>
            </w:r>
          </w:p>
        </w:tc>
        <w:tc>
          <w:tcPr>
            <w:tcW w:w="988" w:type="pct"/>
            <w:tcBorders>
              <w:top w:val="double" w:sz="4" w:space="0" w:color="auto"/>
              <w:left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6 594 900</w:t>
            </w:r>
          </w:p>
        </w:tc>
        <w:tc>
          <w:tcPr>
            <w:tcW w:w="1047" w:type="pct"/>
            <w:tcBorders>
              <w:top w:val="double" w:sz="4" w:space="0" w:color="auto"/>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AB=1.000</w:t>
            </w:r>
          </w:p>
        </w:tc>
        <w:tc>
          <w:tcPr>
            <w:tcW w:w="1162" w:type="pct"/>
            <w:vMerge w:val="restart"/>
            <w:tcBorders>
              <w:top w:val="double" w:sz="4" w:space="0" w:color="auto"/>
              <w:left w:val="double" w:sz="4" w:space="0" w:color="auto"/>
              <w:bottom w:val="nil"/>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1.200.000</w:t>
            </w:r>
          </w:p>
        </w:tc>
      </w:tr>
      <w:tr w:rsidR="009762DA" w:rsidRPr="009762DA" w:rsidTr="00CE0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2" w:type="pct"/>
            <w:tcBorders>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B</w:t>
            </w:r>
          </w:p>
        </w:tc>
        <w:tc>
          <w:tcPr>
            <w:tcW w:w="1072" w:type="pct"/>
            <w:tcBorders>
              <w:left w:val="doub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4 736 200</w:t>
            </w:r>
          </w:p>
        </w:tc>
        <w:tc>
          <w:tcPr>
            <w:tcW w:w="988" w:type="pct"/>
            <w:tcBorders>
              <w:left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6 595 900</w:t>
            </w:r>
          </w:p>
        </w:tc>
        <w:tc>
          <w:tcPr>
            <w:tcW w:w="1047" w:type="pct"/>
            <w:tcBorders>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BC=1.200</w:t>
            </w:r>
          </w:p>
        </w:tc>
        <w:tc>
          <w:tcPr>
            <w:tcW w:w="1162" w:type="pct"/>
            <w:vMerge/>
            <w:tcBorders>
              <w:left w:val="double" w:sz="4" w:space="0" w:color="auto"/>
              <w:bottom w:val="nil"/>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r w:rsidR="009762DA" w:rsidRPr="009762DA" w:rsidTr="00CE0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2" w:type="pct"/>
            <w:tcBorders>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C</w:t>
            </w:r>
          </w:p>
        </w:tc>
        <w:tc>
          <w:tcPr>
            <w:tcW w:w="1072" w:type="pct"/>
            <w:tcBorders>
              <w:left w:val="double" w:sz="4" w:space="0" w:color="auto"/>
              <w:bottom w:val="sing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4 735 000</w:t>
            </w:r>
          </w:p>
        </w:tc>
        <w:tc>
          <w:tcPr>
            <w:tcW w:w="988" w:type="pct"/>
            <w:tcBorders>
              <w:bottom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6 595 900</w:t>
            </w:r>
          </w:p>
        </w:tc>
        <w:tc>
          <w:tcPr>
            <w:tcW w:w="1047" w:type="pct"/>
            <w:tcBorders>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CD=1.000</w:t>
            </w:r>
          </w:p>
        </w:tc>
        <w:tc>
          <w:tcPr>
            <w:tcW w:w="1162" w:type="pct"/>
            <w:vMerge/>
            <w:tcBorders>
              <w:left w:val="double" w:sz="4" w:space="0" w:color="auto"/>
              <w:bottom w:val="nil"/>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r w:rsidR="009762DA" w:rsidRPr="009762DA" w:rsidTr="00CE0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2" w:type="pct"/>
            <w:tcBorders>
              <w:left w:val="thinThickSmallGap" w:sz="12"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D</w:t>
            </w:r>
          </w:p>
        </w:tc>
        <w:tc>
          <w:tcPr>
            <w:tcW w:w="1072" w:type="pct"/>
            <w:tcBorders>
              <w:top w:val="single" w:sz="4" w:space="0" w:color="auto"/>
              <w:left w:val="double" w:sz="4" w:space="0" w:color="auto"/>
              <w:bottom w:val="thinThickSmallGap" w:sz="12"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4 735 000</w:t>
            </w:r>
          </w:p>
        </w:tc>
        <w:tc>
          <w:tcPr>
            <w:tcW w:w="988" w:type="pct"/>
            <w:tcBorders>
              <w:top w:val="single" w:sz="4"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6 594 900</w:t>
            </w:r>
          </w:p>
        </w:tc>
        <w:tc>
          <w:tcPr>
            <w:tcW w:w="1047" w:type="pct"/>
            <w:tcBorders>
              <w:left w:val="double" w:sz="4"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DA=1.200</w:t>
            </w:r>
          </w:p>
        </w:tc>
        <w:tc>
          <w:tcPr>
            <w:tcW w:w="1162" w:type="pct"/>
            <w:vMerge/>
            <w:tcBorders>
              <w:left w:val="double" w:sz="4" w:space="0" w:color="auto"/>
              <w:bottom w:val="thinThickSmallGap" w:sz="12" w:space="0" w:color="auto"/>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bl>
    <w:p w:rsidR="009762DA" w:rsidRPr="009762DA" w:rsidRDefault="009762DA" w:rsidP="00403695">
      <w:pPr>
        <w:rPr>
          <w:rFonts w:asciiTheme="minorHAnsi" w:hAnsiTheme="minorHAnsi" w:cstheme="minorHAnsi"/>
          <w:sz w:val="20"/>
          <w:szCs w:val="20"/>
        </w:rPr>
      </w:pPr>
    </w:p>
    <w:p w:rsidR="009762DA" w:rsidRPr="009762DA" w:rsidRDefault="00403695" w:rsidP="00403695">
      <w:pPr>
        <w:pStyle w:val="Heading3"/>
        <w:numPr>
          <w:ilvl w:val="2"/>
          <w:numId w:val="0"/>
        </w:numPr>
        <w:spacing w:before="0"/>
        <w:ind w:left="1170" w:hanging="720"/>
        <w:rPr>
          <w:rFonts w:asciiTheme="minorHAnsi" w:hAnsiTheme="minorHAnsi" w:cstheme="minorHAnsi"/>
          <w:color w:val="auto"/>
          <w:sz w:val="20"/>
          <w:szCs w:val="20"/>
        </w:rPr>
      </w:pPr>
      <w:bookmarkStart w:id="4" w:name="_Toc416350570"/>
      <w:r>
        <w:rPr>
          <w:rFonts w:asciiTheme="minorHAnsi" w:hAnsiTheme="minorHAnsi" w:cstheme="minorHAnsi"/>
          <w:color w:val="auto"/>
          <w:sz w:val="20"/>
          <w:szCs w:val="20"/>
        </w:rPr>
        <w:lastRenderedPageBreak/>
        <w:t xml:space="preserve"> </w:t>
      </w:r>
      <w:r w:rsidR="009762DA" w:rsidRPr="009762DA">
        <w:rPr>
          <w:rFonts w:asciiTheme="minorHAnsi" w:hAnsiTheme="minorHAnsi" w:cstheme="minorHAnsi"/>
          <w:color w:val="auto"/>
          <w:sz w:val="20"/>
          <w:szCs w:val="20"/>
        </w:rPr>
        <w:t>Ležište “Štitovo II”</w:t>
      </w:r>
      <w:bookmarkEnd w:id="4"/>
    </w:p>
    <w:p w:rsidR="009762DA" w:rsidRPr="0038134C" w:rsidRDefault="009762DA" w:rsidP="00403695">
      <w:pPr>
        <w:pStyle w:val="BodyText"/>
        <w:rPr>
          <w:rFonts w:asciiTheme="minorHAnsi" w:hAnsiTheme="minorHAnsi" w:cstheme="minorHAnsi"/>
          <w:b w:val="0"/>
          <w:sz w:val="20"/>
          <w:szCs w:val="20"/>
        </w:rPr>
      </w:pPr>
    </w:p>
    <w:p w:rsidR="009762DA" w:rsidRPr="0038134C" w:rsidRDefault="009762DA" w:rsidP="00403695">
      <w:pPr>
        <w:pStyle w:val="BodyText"/>
        <w:rPr>
          <w:rFonts w:asciiTheme="minorHAnsi" w:hAnsiTheme="minorHAnsi" w:cstheme="minorHAnsi"/>
          <w:b w:val="0"/>
          <w:sz w:val="20"/>
          <w:szCs w:val="20"/>
        </w:rPr>
      </w:pPr>
      <w:r w:rsidRPr="0038134C">
        <w:rPr>
          <w:rFonts w:asciiTheme="minorHAnsi" w:hAnsiTheme="minorHAnsi" w:cstheme="minorHAnsi"/>
          <w:b w:val="0"/>
          <w:sz w:val="20"/>
          <w:szCs w:val="20"/>
        </w:rPr>
        <w:t xml:space="preserve">Ležište boksita </w:t>
      </w:r>
      <w:r w:rsidRPr="0038134C">
        <w:rPr>
          <w:rFonts w:asciiTheme="minorHAnsi" w:hAnsiTheme="minorHAnsi" w:cstheme="minorHAnsi"/>
          <w:b w:val="0"/>
          <w:sz w:val="20"/>
          <w:szCs w:val="20"/>
          <w:lang w:val="sr-Cyrl-CS"/>
        </w:rPr>
        <w:t>“</w:t>
      </w:r>
      <w:r w:rsidRPr="0038134C">
        <w:rPr>
          <w:rFonts w:asciiTheme="minorHAnsi" w:hAnsiTheme="minorHAnsi" w:cstheme="minorHAnsi"/>
          <w:b w:val="0"/>
          <w:sz w:val="20"/>
          <w:szCs w:val="20"/>
        </w:rPr>
        <w:t>Štitovo II</w:t>
      </w:r>
      <w:r w:rsidRPr="0038134C">
        <w:rPr>
          <w:rFonts w:asciiTheme="minorHAnsi" w:hAnsiTheme="minorHAnsi" w:cstheme="minorHAnsi"/>
          <w:b w:val="0"/>
          <w:sz w:val="20"/>
          <w:szCs w:val="20"/>
          <w:lang w:val="sr-Cyrl-CS"/>
        </w:rPr>
        <w:t>”</w:t>
      </w:r>
      <w:r w:rsidRPr="0038134C">
        <w:rPr>
          <w:rFonts w:asciiTheme="minorHAnsi" w:hAnsiTheme="minorHAnsi" w:cstheme="minorHAnsi"/>
          <w:b w:val="0"/>
          <w:sz w:val="20"/>
          <w:szCs w:val="20"/>
        </w:rPr>
        <w:t xml:space="preserve"> nalazi se u sjeveroistočnom rejonu Nikšićke Župe, na karbonatnoj površi Štitova. Nadmorska visina prostora ležišta je između 1.460 i 1.500 m. Reljef užeg prostora ležišta obilježen je brdom Zamršten. Od ležišta </w:t>
      </w:r>
      <w:r w:rsidRPr="0038134C">
        <w:rPr>
          <w:rFonts w:asciiTheme="minorHAnsi" w:hAnsiTheme="minorHAnsi" w:cstheme="minorHAnsi"/>
          <w:b w:val="0"/>
          <w:sz w:val="20"/>
          <w:szCs w:val="20"/>
          <w:lang w:val="sr-Cyrl-CS"/>
        </w:rPr>
        <w:t>“</w:t>
      </w:r>
      <w:r w:rsidRPr="0038134C">
        <w:rPr>
          <w:rFonts w:asciiTheme="minorHAnsi" w:hAnsiTheme="minorHAnsi" w:cstheme="minorHAnsi"/>
          <w:b w:val="0"/>
          <w:sz w:val="20"/>
          <w:szCs w:val="20"/>
        </w:rPr>
        <w:t>Štitovo I</w:t>
      </w:r>
      <w:r w:rsidRPr="0038134C">
        <w:rPr>
          <w:rFonts w:asciiTheme="minorHAnsi" w:hAnsiTheme="minorHAnsi" w:cstheme="minorHAnsi"/>
          <w:b w:val="0"/>
          <w:sz w:val="20"/>
          <w:szCs w:val="20"/>
          <w:lang w:val="sr-Cyrl-CS"/>
        </w:rPr>
        <w:t>”</w:t>
      </w:r>
      <w:r w:rsidRPr="0038134C">
        <w:rPr>
          <w:rFonts w:asciiTheme="minorHAnsi" w:hAnsiTheme="minorHAnsi" w:cstheme="minorHAnsi"/>
          <w:b w:val="0"/>
          <w:sz w:val="20"/>
          <w:szCs w:val="20"/>
        </w:rPr>
        <w:t xml:space="preserve"> udaljeno je, prema jugoistoku, oko 500 m. Sa Nikšićem je ležište </w:t>
      </w:r>
      <w:r w:rsidRPr="0038134C">
        <w:rPr>
          <w:rFonts w:asciiTheme="minorHAnsi" w:hAnsiTheme="minorHAnsi" w:cstheme="minorHAnsi"/>
          <w:b w:val="0"/>
          <w:sz w:val="20"/>
          <w:szCs w:val="20"/>
          <w:lang w:val="sr-Cyrl-CS"/>
        </w:rPr>
        <w:t>“</w:t>
      </w:r>
      <w:r w:rsidRPr="0038134C">
        <w:rPr>
          <w:rFonts w:asciiTheme="minorHAnsi" w:hAnsiTheme="minorHAnsi" w:cstheme="minorHAnsi"/>
          <w:b w:val="0"/>
          <w:sz w:val="20"/>
          <w:szCs w:val="20"/>
        </w:rPr>
        <w:t>Štitovo II</w:t>
      </w:r>
      <w:r w:rsidRPr="0038134C">
        <w:rPr>
          <w:rFonts w:asciiTheme="minorHAnsi" w:hAnsiTheme="minorHAnsi" w:cstheme="minorHAnsi"/>
          <w:b w:val="0"/>
          <w:sz w:val="20"/>
          <w:szCs w:val="20"/>
          <w:lang w:val="sr-Cyrl-CS"/>
        </w:rPr>
        <w:t>”</w:t>
      </w:r>
      <w:r w:rsidRPr="0038134C">
        <w:rPr>
          <w:rFonts w:asciiTheme="minorHAnsi" w:hAnsiTheme="minorHAnsi" w:cstheme="minorHAnsi"/>
          <w:b w:val="0"/>
          <w:sz w:val="20"/>
          <w:szCs w:val="20"/>
        </w:rPr>
        <w:t xml:space="preserve"> povezano saobraćajnicom dužine 34 km, od čega je 29 km asfaltirano.</w:t>
      </w:r>
    </w:p>
    <w:p w:rsidR="009762DA" w:rsidRPr="009762DA" w:rsidRDefault="009762DA" w:rsidP="00403695">
      <w:pPr>
        <w:pStyle w:val="BodyText"/>
        <w:rPr>
          <w:rFonts w:asciiTheme="minorHAnsi" w:hAnsiTheme="minorHAnsi" w:cstheme="minorHAnsi"/>
          <w:sz w:val="20"/>
          <w:szCs w:val="20"/>
        </w:rPr>
      </w:pPr>
    </w:p>
    <w:p w:rsidR="009762DA" w:rsidRPr="0038134C" w:rsidRDefault="009762DA" w:rsidP="00403695">
      <w:pPr>
        <w:jc w:val="both"/>
        <w:rPr>
          <w:rFonts w:asciiTheme="minorHAnsi" w:hAnsiTheme="minorHAnsi" w:cstheme="minorHAnsi"/>
          <w:sz w:val="20"/>
          <w:szCs w:val="20"/>
          <w:lang w:val="sr-Latn-CS"/>
        </w:rPr>
      </w:pPr>
      <w:r w:rsidRPr="0038134C">
        <w:rPr>
          <w:rFonts w:asciiTheme="minorHAnsi" w:hAnsiTheme="minorHAnsi" w:cstheme="minorHAnsi"/>
          <w:sz w:val="20"/>
          <w:szCs w:val="20"/>
          <w:lang w:val="sr-Latn-CS"/>
        </w:rPr>
        <w:t xml:space="preserve">Koordinate graničnih tačaka, dužine strana i površina ležišta crvenog boksita </w:t>
      </w:r>
      <w:r w:rsidRPr="009762DA">
        <w:rPr>
          <w:rFonts w:asciiTheme="minorHAnsi" w:hAnsiTheme="minorHAnsi" w:cstheme="minorHAnsi"/>
          <w:sz w:val="20"/>
          <w:szCs w:val="20"/>
          <w:lang w:val="sr-Latn-CS"/>
        </w:rPr>
        <w:t>„</w:t>
      </w:r>
      <w:r w:rsidRPr="0038134C">
        <w:rPr>
          <w:rFonts w:asciiTheme="minorHAnsi" w:hAnsiTheme="minorHAnsi" w:cstheme="minorHAnsi"/>
          <w:sz w:val="20"/>
          <w:szCs w:val="20"/>
          <w:lang w:val="sr-Latn-CS"/>
        </w:rPr>
        <w:t>Štitovo II</w:t>
      </w:r>
      <w:r w:rsidRPr="009762DA">
        <w:rPr>
          <w:rFonts w:asciiTheme="minorHAnsi" w:hAnsiTheme="minorHAnsi" w:cstheme="minorHAnsi"/>
          <w:sz w:val="20"/>
          <w:szCs w:val="20"/>
          <w:lang w:val="sr-Cyrl-CS"/>
        </w:rPr>
        <w:t>”</w:t>
      </w:r>
      <w:r w:rsidRPr="009762DA">
        <w:rPr>
          <w:rFonts w:asciiTheme="minorHAnsi" w:hAnsiTheme="minorHAnsi" w:cstheme="minorHAnsi"/>
          <w:sz w:val="20"/>
          <w:szCs w:val="20"/>
          <w:lang w:val="sr-Latn-BA"/>
        </w:rPr>
        <w:t xml:space="preserve"> date su u sl</w:t>
      </w:r>
      <w:r w:rsidR="0038134C">
        <w:rPr>
          <w:rFonts w:asciiTheme="minorHAnsi" w:hAnsiTheme="minorHAnsi" w:cstheme="minorHAnsi"/>
          <w:sz w:val="20"/>
          <w:szCs w:val="20"/>
          <w:lang w:val="sr-Latn-BA"/>
        </w:rPr>
        <w:t>j</w:t>
      </w:r>
      <w:r w:rsidRPr="009762DA">
        <w:rPr>
          <w:rFonts w:asciiTheme="minorHAnsi" w:hAnsiTheme="minorHAnsi" w:cstheme="minorHAnsi"/>
          <w:sz w:val="20"/>
          <w:szCs w:val="20"/>
          <w:lang w:val="sr-Latn-BA"/>
        </w:rPr>
        <w:t>edećoj tabeli</w:t>
      </w:r>
      <w:r w:rsidR="00403695">
        <w:rPr>
          <w:rFonts w:asciiTheme="minorHAnsi" w:hAnsiTheme="minorHAnsi" w:cstheme="minorHAnsi"/>
          <w:sz w:val="20"/>
          <w:szCs w:val="20"/>
          <w:lang w:val="sr-Latn-CS"/>
        </w:rPr>
        <w:t>:</w:t>
      </w:r>
    </w:p>
    <w:p w:rsidR="009762DA" w:rsidRPr="0038134C" w:rsidRDefault="009762DA" w:rsidP="00403695">
      <w:pPr>
        <w:jc w:val="both"/>
        <w:rPr>
          <w:rFonts w:asciiTheme="minorHAnsi" w:hAnsiTheme="minorHAnsi" w:cstheme="minorHAnsi"/>
          <w:b/>
          <w:sz w:val="20"/>
          <w:szCs w:val="20"/>
          <w:lang w:val="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2053"/>
        <w:gridCol w:w="1892"/>
        <w:gridCol w:w="2005"/>
        <w:gridCol w:w="2225"/>
      </w:tblGrid>
      <w:tr w:rsidR="009762DA" w:rsidRPr="009762DA" w:rsidTr="00AF53FF">
        <w:trPr>
          <w:trHeight w:val="172"/>
        </w:trPr>
        <w:tc>
          <w:tcPr>
            <w:tcW w:w="731" w:type="pct"/>
            <w:vMerge w:val="restart"/>
            <w:tcBorders>
              <w:top w:val="thinThickSmallGap" w:sz="12" w:space="0" w:color="auto"/>
              <w:left w:val="thinThickSmallGap" w:sz="12"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Tačka</w:t>
            </w:r>
          </w:p>
        </w:tc>
        <w:tc>
          <w:tcPr>
            <w:tcW w:w="2060" w:type="pct"/>
            <w:gridSpan w:val="2"/>
            <w:tcBorders>
              <w:top w:val="thinThickSmallGap" w:sz="12" w:space="0" w:color="auto"/>
              <w:left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Koordinate</w:t>
            </w:r>
          </w:p>
        </w:tc>
        <w:tc>
          <w:tcPr>
            <w:tcW w:w="1047" w:type="pct"/>
            <w:vMerge w:val="restart"/>
            <w:tcBorders>
              <w:top w:val="thinThickSmallGap" w:sz="12" w:space="0" w:color="auto"/>
              <w:left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Dužina strana (m)</w:t>
            </w:r>
          </w:p>
        </w:tc>
        <w:tc>
          <w:tcPr>
            <w:tcW w:w="1163" w:type="pct"/>
            <w:vMerge w:val="restart"/>
            <w:tcBorders>
              <w:top w:val="thinThickSmallGap" w:sz="12" w:space="0" w:color="auto"/>
              <w:left w:val="double" w:sz="4" w:space="0" w:color="auto"/>
              <w:right w:val="thinThickSmallGap" w:sz="12"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Površina</w:t>
            </w:r>
          </w:p>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(m</w:t>
            </w:r>
            <w:r w:rsidRPr="009762DA">
              <w:rPr>
                <w:rFonts w:asciiTheme="minorHAnsi" w:hAnsiTheme="minorHAnsi" w:cstheme="minorHAnsi"/>
                <w:b/>
                <w:sz w:val="20"/>
                <w:szCs w:val="20"/>
                <w:vertAlign w:val="superscript"/>
              </w:rPr>
              <w:t>2</w:t>
            </w:r>
            <w:r w:rsidRPr="009762DA">
              <w:rPr>
                <w:rFonts w:asciiTheme="minorHAnsi" w:hAnsiTheme="minorHAnsi" w:cstheme="minorHAnsi"/>
                <w:b/>
                <w:sz w:val="20"/>
                <w:szCs w:val="20"/>
              </w:rPr>
              <w:t>)</w:t>
            </w:r>
          </w:p>
        </w:tc>
      </w:tr>
      <w:tr w:rsidR="009762DA" w:rsidRPr="009762DA" w:rsidTr="00AF53FF">
        <w:trPr>
          <w:trHeight w:val="97"/>
        </w:trPr>
        <w:tc>
          <w:tcPr>
            <w:tcW w:w="731" w:type="pct"/>
            <w:vMerge/>
            <w:tcBorders>
              <w:left w:val="thinThickSmallGap" w:sz="12" w:space="0" w:color="auto"/>
              <w:bottom w:val="double" w:sz="4" w:space="0" w:color="auto"/>
              <w:right w:val="double" w:sz="4" w:space="0" w:color="auto"/>
            </w:tcBorders>
            <w:vAlign w:val="center"/>
          </w:tcPr>
          <w:p w:rsidR="009762DA" w:rsidRPr="009762DA" w:rsidRDefault="009762DA" w:rsidP="00AF53FF">
            <w:pPr>
              <w:ind w:left="108"/>
              <w:jc w:val="center"/>
              <w:rPr>
                <w:rFonts w:asciiTheme="minorHAnsi" w:hAnsiTheme="minorHAnsi" w:cstheme="minorHAnsi"/>
                <w:b/>
                <w:sz w:val="20"/>
                <w:szCs w:val="20"/>
              </w:rPr>
            </w:pPr>
          </w:p>
        </w:tc>
        <w:tc>
          <w:tcPr>
            <w:tcW w:w="1072" w:type="pct"/>
            <w:tcBorders>
              <w:left w:val="double" w:sz="4" w:space="0" w:color="auto"/>
              <w:bottom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x</w:t>
            </w:r>
          </w:p>
        </w:tc>
        <w:tc>
          <w:tcPr>
            <w:tcW w:w="988" w:type="pct"/>
            <w:tcBorders>
              <w:bottom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y</w:t>
            </w:r>
          </w:p>
        </w:tc>
        <w:tc>
          <w:tcPr>
            <w:tcW w:w="1047" w:type="pct"/>
            <w:vMerge/>
            <w:tcBorders>
              <w:left w:val="double" w:sz="4" w:space="0" w:color="auto"/>
              <w:bottom w:val="double" w:sz="4" w:space="0" w:color="auto"/>
              <w:right w:val="double" w:sz="4" w:space="0" w:color="auto"/>
            </w:tcBorders>
            <w:vAlign w:val="center"/>
          </w:tcPr>
          <w:p w:rsidR="009762DA" w:rsidRPr="009762DA" w:rsidRDefault="009762DA" w:rsidP="00AF53FF">
            <w:pPr>
              <w:ind w:left="108"/>
              <w:jc w:val="center"/>
              <w:rPr>
                <w:rFonts w:asciiTheme="minorHAnsi" w:hAnsiTheme="minorHAnsi" w:cstheme="minorHAnsi"/>
                <w:b/>
                <w:sz w:val="20"/>
                <w:szCs w:val="20"/>
              </w:rPr>
            </w:pPr>
          </w:p>
        </w:tc>
        <w:tc>
          <w:tcPr>
            <w:tcW w:w="1163" w:type="pct"/>
            <w:vMerge/>
            <w:tcBorders>
              <w:left w:val="double" w:sz="4" w:space="0" w:color="auto"/>
              <w:bottom w:val="double" w:sz="4" w:space="0" w:color="auto"/>
              <w:right w:val="thinThickSmallGap" w:sz="12" w:space="0" w:color="auto"/>
            </w:tcBorders>
            <w:vAlign w:val="center"/>
          </w:tcPr>
          <w:p w:rsidR="009762DA" w:rsidRPr="009762DA" w:rsidRDefault="009762DA" w:rsidP="00AF53FF">
            <w:pPr>
              <w:ind w:left="108"/>
              <w:jc w:val="center"/>
              <w:rPr>
                <w:rFonts w:asciiTheme="minorHAnsi" w:hAnsiTheme="minorHAnsi" w:cstheme="minorHAnsi"/>
                <w:b/>
                <w:sz w:val="20"/>
                <w:szCs w:val="20"/>
              </w:rPr>
            </w:pP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1" w:type="pct"/>
            <w:tcBorders>
              <w:top w:val="double" w:sz="4" w:space="0" w:color="auto"/>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A</w:t>
            </w:r>
          </w:p>
        </w:tc>
        <w:tc>
          <w:tcPr>
            <w:tcW w:w="1072" w:type="pct"/>
            <w:tcBorders>
              <w:top w:val="double" w:sz="4" w:space="0" w:color="auto"/>
              <w:left w:val="doub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4 733 500</w:t>
            </w:r>
          </w:p>
        </w:tc>
        <w:tc>
          <w:tcPr>
            <w:tcW w:w="988" w:type="pct"/>
            <w:tcBorders>
              <w:top w:val="double" w:sz="4" w:space="0" w:color="auto"/>
              <w:left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6 595 900</w:t>
            </w:r>
          </w:p>
        </w:tc>
        <w:tc>
          <w:tcPr>
            <w:tcW w:w="1047" w:type="pct"/>
            <w:tcBorders>
              <w:top w:val="double" w:sz="4" w:space="0" w:color="auto"/>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AB=950</w:t>
            </w:r>
          </w:p>
        </w:tc>
        <w:tc>
          <w:tcPr>
            <w:tcW w:w="1163" w:type="pct"/>
            <w:vMerge w:val="restart"/>
            <w:tcBorders>
              <w:top w:val="double" w:sz="4" w:space="0" w:color="auto"/>
              <w:left w:val="double" w:sz="4" w:space="0" w:color="auto"/>
              <w:bottom w:val="nil"/>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950.000</w:t>
            </w: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1" w:type="pct"/>
            <w:tcBorders>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B</w:t>
            </w:r>
          </w:p>
        </w:tc>
        <w:tc>
          <w:tcPr>
            <w:tcW w:w="1072" w:type="pct"/>
            <w:tcBorders>
              <w:left w:val="doub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4 733 500</w:t>
            </w:r>
          </w:p>
        </w:tc>
        <w:tc>
          <w:tcPr>
            <w:tcW w:w="988" w:type="pct"/>
            <w:tcBorders>
              <w:left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6 596 850</w:t>
            </w:r>
          </w:p>
        </w:tc>
        <w:tc>
          <w:tcPr>
            <w:tcW w:w="1047" w:type="pct"/>
            <w:tcBorders>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BC=1.000</w:t>
            </w:r>
          </w:p>
        </w:tc>
        <w:tc>
          <w:tcPr>
            <w:tcW w:w="1163" w:type="pct"/>
            <w:vMerge/>
            <w:tcBorders>
              <w:left w:val="double" w:sz="4" w:space="0" w:color="auto"/>
              <w:bottom w:val="nil"/>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1" w:type="pct"/>
            <w:tcBorders>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C</w:t>
            </w:r>
          </w:p>
        </w:tc>
        <w:tc>
          <w:tcPr>
            <w:tcW w:w="1072" w:type="pct"/>
            <w:tcBorders>
              <w:left w:val="double" w:sz="4" w:space="0" w:color="auto"/>
              <w:bottom w:val="sing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4 732 500</w:t>
            </w:r>
          </w:p>
        </w:tc>
        <w:tc>
          <w:tcPr>
            <w:tcW w:w="988" w:type="pct"/>
            <w:tcBorders>
              <w:bottom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6 596 850</w:t>
            </w:r>
          </w:p>
        </w:tc>
        <w:tc>
          <w:tcPr>
            <w:tcW w:w="1047" w:type="pct"/>
            <w:tcBorders>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CD=950</w:t>
            </w:r>
          </w:p>
        </w:tc>
        <w:tc>
          <w:tcPr>
            <w:tcW w:w="1163" w:type="pct"/>
            <w:vMerge/>
            <w:tcBorders>
              <w:left w:val="double" w:sz="4" w:space="0" w:color="auto"/>
              <w:bottom w:val="nil"/>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1" w:type="pct"/>
            <w:tcBorders>
              <w:left w:val="thinThickSmallGap" w:sz="12"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D</w:t>
            </w:r>
          </w:p>
        </w:tc>
        <w:tc>
          <w:tcPr>
            <w:tcW w:w="1072" w:type="pct"/>
            <w:tcBorders>
              <w:top w:val="single" w:sz="4" w:space="0" w:color="auto"/>
              <w:left w:val="double" w:sz="4" w:space="0" w:color="auto"/>
              <w:bottom w:val="thinThickSmallGap" w:sz="12"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4 732 500</w:t>
            </w:r>
          </w:p>
        </w:tc>
        <w:tc>
          <w:tcPr>
            <w:tcW w:w="988" w:type="pct"/>
            <w:tcBorders>
              <w:top w:val="single" w:sz="4"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6 595 900</w:t>
            </w:r>
          </w:p>
        </w:tc>
        <w:tc>
          <w:tcPr>
            <w:tcW w:w="1047" w:type="pct"/>
            <w:tcBorders>
              <w:left w:val="double" w:sz="4"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DA=1.000</w:t>
            </w:r>
          </w:p>
        </w:tc>
        <w:tc>
          <w:tcPr>
            <w:tcW w:w="1163" w:type="pct"/>
            <w:vMerge/>
            <w:tcBorders>
              <w:left w:val="double" w:sz="4" w:space="0" w:color="auto"/>
              <w:bottom w:val="thinThickSmallGap" w:sz="12" w:space="0" w:color="auto"/>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bl>
    <w:p w:rsidR="009762DA" w:rsidRPr="009762DA" w:rsidRDefault="009762DA" w:rsidP="00403695">
      <w:pPr>
        <w:rPr>
          <w:rFonts w:asciiTheme="minorHAnsi" w:hAnsiTheme="minorHAnsi" w:cstheme="minorHAnsi"/>
          <w:sz w:val="20"/>
          <w:szCs w:val="20"/>
        </w:rPr>
      </w:pPr>
    </w:p>
    <w:p w:rsidR="009762DA" w:rsidRPr="009762DA" w:rsidRDefault="009762DA" w:rsidP="00403695">
      <w:pPr>
        <w:pStyle w:val="Heading3"/>
        <w:numPr>
          <w:ilvl w:val="2"/>
          <w:numId w:val="0"/>
        </w:numPr>
        <w:spacing w:before="0"/>
        <w:ind w:left="1170" w:hanging="720"/>
        <w:rPr>
          <w:rFonts w:asciiTheme="minorHAnsi" w:hAnsiTheme="minorHAnsi" w:cstheme="minorHAnsi"/>
          <w:color w:val="auto"/>
          <w:sz w:val="20"/>
          <w:szCs w:val="20"/>
        </w:rPr>
      </w:pPr>
      <w:bookmarkStart w:id="5" w:name="_Toc416350571"/>
      <w:r w:rsidRPr="009762DA">
        <w:rPr>
          <w:rFonts w:asciiTheme="minorHAnsi" w:hAnsiTheme="minorHAnsi" w:cstheme="minorHAnsi"/>
          <w:color w:val="auto"/>
          <w:sz w:val="20"/>
          <w:szCs w:val="20"/>
        </w:rPr>
        <w:t>Ležište  "Biočki stan"</w:t>
      </w:r>
      <w:bookmarkEnd w:id="5"/>
      <w:r w:rsidRPr="009762DA">
        <w:rPr>
          <w:rFonts w:asciiTheme="minorHAnsi" w:hAnsiTheme="minorHAnsi" w:cstheme="minorHAnsi"/>
          <w:color w:val="auto"/>
          <w:sz w:val="20"/>
          <w:szCs w:val="20"/>
        </w:rPr>
        <w:t xml:space="preserve"> </w:t>
      </w:r>
    </w:p>
    <w:p w:rsidR="009762DA" w:rsidRPr="009762DA" w:rsidRDefault="009762DA" w:rsidP="00403695">
      <w:pPr>
        <w:pStyle w:val="BodyText"/>
        <w:rPr>
          <w:rFonts w:asciiTheme="minorHAnsi" w:hAnsiTheme="minorHAnsi" w:cstheme="minorHAnsi"/>
          <w:sz w:val="20"/>
          <w:szCs w:val="20"/>
        </w:rPr>
      </w:pPr>
    </w:p>
    <w:p w:rsidR="009762DA" w:rsidRPr="0038134C" w:rsidRDefault="009762DA" w:rsidP="00403695">
      <w:pPr>
        <w:pStyle w:val="BodyText"/>
        <w:rPr>
          <w:rFonts w:asciiTheme="minorHAnsi" w:hAnsiTheme="minorHAnsi" w:cstheme="minorHAnsi"/>
          <w:b w:val="0"/>
          <w:sz w:val="20"/>
          <w:szCs w:val="20"/>
        </w:rPr>
      </w:pPr>
      <w:r w:rsidRPr="0038134C">
        <w:rPr>
          <w:rFonts w:asciiTheme="minorHAnsi" w:hAnsiTheme="minorHAnsi" w:cstheme="minorHAnsi"/>
          <w:b w:val="0"/>
          <w:sz w:val="20"/>
          <w:szCs w:val="20"/>
          <w:lang w:val="sr-Cyrl-CS"/>
        </w:rPr>
        <w:t xml:space="preserve">Ležište boksita “Biočki </w:t>
      </w:r>
      <w:r w:rsidRPr="0038134C">
        <w:rPr>
          <w:rFonts w:asciiTheme="minorHAnsi" w:hAnsiTheme="minorHAnsi" w:cstheme="minorHAnsi"/>
          <w:b w:val="0"/>
          <w:sz w:val="20"/>
          <w:szCs w:val="20"/>
          <w:lang w:val="sr-Latn-BA"/>
        </w:rPr>
        <w:t>s</w:t>
      </w:r>
      <w:r w:rsidRPr="0038134C">
        <w:rPr>
          <w:rFonts w:asciiTheme="minorHAnsi" w:hAnsiTheme="minorHAnsi" w:cstheme="minorHAnsi"/>
          <w:b w:val="0"/>
          <w:sz w:val="20"/>
          <w:szCs w:val="20"/>
          <w:lang w:val="sr-Cyrl-CS"/>
        </w:rPr>
        <w:t xml:space="preserve">tan” nalazi se u sjevernom rejonu Nikšićke Župe, na platou Štitova. Reljef bliže okoline posebno je obilježen brdom Siljevac (1.716 m), na čijim </w:t>
      </w:r>
      <w:r w:rsidRPr="0038134C">
        <w:rPr>
          <w:rFonts w:asciiTheme="minorHAnsi" w:hAnsiTheme="minorHAnsi" w:cstheme="minorHAnsi"/>
          <w:b w:val="0"/>
          <w:sz w:val="20"/>
          <w:szCs w:val="20"/>
        </w:rPr>
        <w:t xml:space="preserve">je sjeverozapadnim padinama otkriveno ovo ležište. Nadmorska visina površine terena ležišta je između kota 1.550 i 1.630 m. Sa Nikšićem je povezano asfaltnim putem dužine 28 km do izdanaka ležišta, odnosno asfaltnim putem dužine 24 km i potkopom “Seoca” dužine 3 km do dubljih delova ležišta. </w:t>
      </w:r>
    </w:p>
    <w:p w:rsidR="009762DA" w:rsidRPr="009762DA" w:rsidRDefault="009762DA" w:rsidP="00403695">
      <w:pPr>
        <w:pStyle w:val="BodyText"/>
        <w:rPr>
          <w:rFonts w:asciiTheme="minorHAnsi" w:hAnsiTheme="minorHAnsi" w:cstheme="minorHAnsi"/>
          <w:sz w:val="20"/>
          <w:szCs w:val="20"/>
        </w:rPr>
      </w:pPr>
    </w:p>
    <w:p w:rsidR="009762DA" w:rsidRPr="0038134C"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 xml:space="preserve">Koordinate graničnih tačaka, dužine strana i površina ležišta crvenog boksita </w:t>
      </w:r>
      <w:r w:rsidRPr="009762DA">
        <w:rPr>
          <w:rFonts w:asciiTheme="minorHAnsi" w:hAnsiTheme="minorHAnsi" w:cstheme="minorHAnsi"/>
          <w:sz w:val="20"/>
          <w:szCs w:val="20"/>
          <w:lang w:val="sr-Latn-CS"/>
        </w:rPr>
        <w:t>„</w:t>
      </w:r>
      <w:r w:rsidRPr="009762DA">
        <w:rPr>
          <w:rFonts w:asciiTheme="minorHAnsi" w:hAnsiTheme="minorHAnsi" w:cstheme="minorHAnsi"/>
          <w:sz w:val="20"/>
          <w:szCs w:val="20"/>
        </w:rPr>
        <w:t>Biočki stan</w:t>
      </w:r>
      <w:r w:rsidRPr="009762DA">
        <w:rPr>
          <w:rFonts w:asciiTheme="minorHAnsi" w:hAnsiTheme="minorHAnsi" w:cstheme="minorHAnsi"/>
          <w:sz w:val="20"/>
          <w:szCs w:val="20"/>
          <w:lang w:val="sr-Cyrl-CS"/>
        </w:rPr>
        <w:t>”</w:t>
      </w:r>
      <w:r w:rsidRPr="009762DA">
        <w:rPr>
          <w:rFonts w:asciiTheme="minorHAnsi" w:hAnsiTheme="minorHAnsi" w:cstheme="minorHAnsi"/>
          <w:sz w:val="20"/>
          <w:szCs w:val="20"/>
          <w:lang w:val="sr-Latn-BA"/>
        </w:rPr>
        <w:t xml:space="preserve"> date su u sl</w:t>
      </w:r>
      <w:r w:rsidR="0038134C">
        <w:rPr>
          <w:rFonts w:asciiTheme="minorHAnsi" w:hAnsiTheme="minorHAnsi" w:cstheme="minorHAnsi"/>
          <w:sz w:val="20"/>
          <w:szCs w:val="20"/>
          <w:lang w:val="sr-Latn-BA"/>
        </w:rPr>
        <w:t>j</w:t>
      </w:r>
      <w:r w:rsidRPr="009762DA">
        <w:rPr>
          <w:rFonts w:asciiTheme="minorHAnsi" w:hAnsiTheme="minorHAnsi" w:cstheme="minorHAnsi"/>
          <w:sz w:val="20"/>
          <w:szCs w:val="20"/>
          <w:lang w:val="sr-Latn-BA"/>
        </w:rPr>
        <w:t>edećoj tabeli</w:t>
      </w:r>
      <w:r w:rsidR="00403695">
        <w:rPr>
          <w:rFonts w:asciiTheme="minorHAnsi" w:hAnsiTheme="minorHAnsi" w:cs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2053"/>
        <w:gridCol w:w="1892"/>
        <w:gridCol w:w="2005"/>
        <w:gridCol w:w="2225"/>
      </w:tblGrid>
      <w:tr w:rsidR="009762DA" w:rsidRPr="009762DA" w:rsidTr="00AF53FF">
        <w:trPr>
          <w:trHeight w:val="172"/>
        </w:trPr>
        <w:tc>
          <w:tcPr>
            <w:tcW w:w="731" w:type="pct"/>
            <w:vMerge w:val="restart"/>
            <w:tcBorders>
              <w:top w:val="thinThickSmallGap" w:sz="12" w:space="0" w:color="auto"/>
              <w:left w:val="thinThickSmallGap" w:sz="12"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Tačka</w:t>
            </w:r>
          </w:p>
        </w:tc>
        <w:tc>
          <w:tcPr>
            <w:tcW w:w="2060" w:type="pct"/>
            <w:gridSpan w:val="2"/>
            <w:tcBorders>
              <w:top w:val="thinThickSmallGap" w:sz="12" w:space="0" w:color="auto"/>
              <w:left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Koordinate</w:t>
            </w:r>
          </w:p>
        </w:tc>
        <w:tc>
          <w:tcPr>
            <w:tcW w:w="1047" w:type="pct"/>
            <w:vMerge w:val="restart"/>
            <w:tcBorders>
              <w:top w:val="thinThickSmallGap" w:sz="12" w:space="0" w:color="auto"/>
              <w:left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Dužina strana (m)</w:t>
            </w:r>
          </w:p>
        </w:tc>
        <w:tc>
          <w:tcPr>
            <w:tcW w:w="1163" w:type="pct"/>
            <w:vMerge w:val="restart"/>
            <w:tcBorders>
              <w:top w:val="thinThickSmallGap" w:sz="12" w:space="0" w:color="auto"/>
              <w:left w:val="double" w:sz="4" w:space="0" w:color="auto"/>
              <w:right w:val="thinThickSmallGap" w:sz="12"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Površina</w:t>
            </w:r>
          </w:p>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(m</w:t>
            </w:r>
            <w:r w:rsidRPr="009762DA">
              <w:rPr>
                <w:rFonts w:asciiTheme="minorHAnsi" w:hAnsiTheme="minorHAnsi" w:cstheme="minorHAnsi"/>
                <w:b/>
                <w:sz w:val="20"/>
                <w:szCs w:val="20"/>
                <w:vertAlign w:val="superscript"/>
              </w:rPr>
              <w:t>2</w:t>
            </w:r>
            <w:r w:rsidRPr="009762DA">
              <w:rPr>
                <w:rFonts w:asciiTheme="minorHAnsi" w:hAnsiTheme="minorHAnsi" w:cstheme="minorHAnsi"/>
                <w:b/>
                <w:sz w:val="20"/>
                <w:szCs w:val="20"/>
              </w:rPr>
              <w:t>)</w:t>
            </w:r>
          </w:p>
        </w:tc>
      </w:tr>
      <w:tr w:rsidR="009762DA" w:rsidRPr="009762DA" w:rsidTr="00AF53FF">
        <w:trPr>
          <w:trHeight w:val="97"/>
        </w:trPr>
        <w:tc>
          <w:tcPr>
            <w:tcW w:w="731" w:type="pct"/>
            <w:vMerge/>
            <w:tcBorders>
              <w:left w:val="thinThickSmallGap" w:sz="12" w:space="0" w:color="auto"/>
              <w:bottom w:val="double" w:sz="4" w:space="0" w:color="auto"/>
              <w:right w:val="double" w:sz="4" w:space="0" w:color="auto"/>
            </w:tcBorders>
            <w:vAlign w:val="center"/>
          </w:tcPr>
          <w:p w:rsidR="009762DA" w:rsidRPr="009762DA" w:rsidRDefault="009762DA" w:rsidP="00AF53FF">
            <w:pPr>
              <w:ind w:left="108"/>
              <w:jc w:val="center"/>
              <w:rPr>
                <w:rFonts w:asciiTheme="minorHAnsi" w:hAnsiTheme="minorHAnsi" w:cstheme="minorHAnsi"/>
                <w:b/>
                <w:sz w:val="20"/>
                <w:szCs w:val="20"/>
              </w:rPr>
            </w:pPr>
          </w:p>
        </w:tc>
        <w:tc>
          <w:tcPr>
            <w:tcW w:w="1072" w:type="pct"/>
            <w:tcBorders>
              <w:left w:val="double" w:sz="4" w:space="0" w:color="auto"/>
              <w:bottom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x</w:t>
            </w:r>
          </w:p>
        </w:tc>
        <w:tc>
          <w:tcPr>
            <w:tcW w:w="988" w:type="pct"/>
            <w:tcBorders>
              <w:bottom w:val="double" w:sz="4" w:space="0" w:color="auto"/>
              <w:right w:val="double" w:sz="4" w:space="0" w:color="auto"/>
            </w:tcBorders>
            <w:shd w:val="clear" w:color="auto" w:fill="92D050"/>
            <w:vAlign w:val="center"/>
          </w:tcPr>
          <w:p w:rsidR="009762DA" w:rsidRPr="009762DA" w:rsidRDefault="009762DA" w:rsidP="00AF53FF">
            <w:pPr>
              <w:ind w:left="108"/>
              <w:jc w:val="center"/>
              <w:rPr>
                <w:rFonts w:asciiTheme="minorHAnsi" w:hAnsiTheme="minorHAnsi" w:cstheme="minorHAnsi"/>
                <w:b/>
                <w:sz w:val="20"/>
                <w:szCs w:val="20"/>
              </w:rPr>
            </w:pPr>
            <w:r w:rsidRPr="009762DA">
              <w:rPr>
                <w:rFonts w:asciiTheme="minorHAnsi" w:hAnsiTheme="minorHAnsi" w:cstheme="minorHAnsi"/>
                <w:b/>
                <w:sz w:val="20"/>
                <w:szCs w:val="20"/>
              </w:rPr>
              <w:t>y</w:t>
            </w:r>
          </w:p>
        </w:tc>
        <w:tc>
          <w:tcPr>
            <w:tcW w:w="1047" w:type="pct"/>
            <w:vMerge/>
            <w:tcBorders>
              <w:left w:val="double" w:sz="4" w:space="0" w:color="auto"/>
              <w:bottom w:val="double" w:sz="4" w:space="0" w:color="auto"/>
              <w:right w:val="double" w:sz="4" w:space="0" w:color="auto"/>
            </w:tcBorders>
            <w:vAlign w:val="center"/>
          </w:tcPr>
          <w:p w:rsidR="009762DA" w:rsidRPr="009762DA" w:rsidRDefault="009762DA" w:rsidP="00AF53FF">
            <w:pPr>
              <w:ind w:left="108"/>
              <w:jc w:val="center"/>
              <w:rPr>
                <w:rFonts w:asciiTheme="minorHAnsi" w:hAnsiTheme="minorHAnsi" w:cstheme="minorHAnsi"/>
                <w:b/>
                <w:sz w:val="20"/>
                <w:szCs w:val="20"/>
              </w:rPr>
            </w:pPr>
          </w:p>
        </w:tc>
        <w:tc>
          <w:tcPr>
            <w:tcW w:w="1163" w:type="pct"/>
            <w:vMerge/>
            <w:tcBorders>
              <w:left w:val="double" w:sz="4" w:space="0" w:color="auto"/>
              <w:bottom w:val="double" w:sz="4" w:space="0" w:color="auto"/>
              <w:right w:val="thinThickSmallGap" w:sz="12" w:space="0" w:color="auto"/>
            </w:tcBorders>
            <w:vAlign w:val="center"/>
          </w:tcPr>
          <w:p w:rsidR="009762DA" w:rsidRPr="009762DA" w:rsidRDefault="009762DA" w:rsidP="00AF53FF">
            <w:pPr>
              <w:ind w:left="108"/>
              <w:jc w:val="center"/>
              <w:rPr>
                <w:rFonts w:asciiTheme="minorHAnsi" w:hAnsiTheme="minorHAnsi" w:cstheme="minorHAnsi"/>
                <w:b/>
                <w:sz w:val="20"/>
                <w:szCs w:val="20"/>
              </w:rPr>
            </w:pP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1" w:type="pct"/>
            <w:tcBorders>
              <w:top w:val="double" w:sz="4" w:space="0" w:color="auto"/>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A</w:t>
            </w:r>
          </w:p>
        </w:tc>
        <w:tc>
          <w:tcPr>
            <w:tcW w:w="1072" w:type="pct"/>
            <w:tcBorders>
              <w:top w:val="double" w:sz="4" w:space="0" w:color="auto"/>
              <w:left w:val="doub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4 735 400</w:t>
            </w:r>
          </w:p>
        </w:tc>
        <w:tc>
          <w:tcPr>
            <w:tcW w:w="988" w:type="pct"/>
            <w:tcBorders>
              <w:top w:val="double" w:sz="4" w:space="0" w:color="auto"/>
              <w:left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6 593 500</w:t>
            </w:r>
          </w:p>
        </w:tc>
        <w:tc>
          <w:tcPr>
            <w:tcW w:w="1047" w:type="pct"/>
            <w:tcBorders>
              <w:top w:val="double" w:sz="4" w:space="0" w:color="auto"/>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AB=3.600</w:t>
            </w:r>
          </w:p>
        </w:tc>
        <w:tc>
          <w:tcPr>
            <w:tcW w:w="1163" w:type="pct"/>
            <w:vMerge w:val="restart"/>
            <w:tcBorders>
              <w:top w:val="double" w:sz="4" w:space="0" w:color="auto"/>
              <w:left w:val="double" w:sz="4" w:space="0" w:color="auto"/>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4.740.000</w:t>
            </w: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1" w:type="pct"/>
            <w:tcBorders>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B</w:t>
            </w:r>
          </w:p>
        </w:tc>
        <w:tc>
          <w:tcPr>
            <w:tcW w:w="1072" w:type="pct"/>
            <w:tcBorders>
              <w:left w:val="doub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4 735 400</w:t>
            </w:r>
          </w:p>
        </w:tc>
        <w:tc>
          <w:tcPr>
            <w:tcW w:w="988" w:type="pct"/>
            <w:tcBorders>
              <w:left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6 597 100</w:t>
            </w:r>
          </w:p>
        </w:tc>
        <w:tc>
          <w:tcPr>
            <w:tcW w:w="1047" w:type="pct"/>
            <w:tcBorders>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BC=900</w:t>
            </w:r>
          </w:p>
        </w:tc>
        <w:tc>
          <w:tcPr>
            <w:tcW w:w="1163" w:type="pct"/>
            <w:vMerge/>
            <w:tcBorders>
              <w:left w:val="double" w:sz="4" w:space="0" w:color="auto"/>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1" w:type="pct"/>
            <w:tcBorders>
              <w:left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C</w:t>
            </w:r>
          </w:p>
        </w:tc>
        <w:tc>
          <w:tcPr>
            <w:tcW w:w="1072" w:type="pct"/>
            <w:tcBorders>
              <w:left w:val="double" w:sz="4" w:space="0" w:color="auto"/>
              <w:bottom w:val="sing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4 734 500</w:t>
            </w:r>
          </w:p>
        </w:tc>
        <w:tc>
          <w:tcPr>
            <w:tcW w:w="988" w:type="pct"/>
            <w:tcBorders>
              <w:bottom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6 597 100</w:t>
            </w:r>
          </w:p>
        </w:tc>
        <w:tc>
          <w:tcPr>
            <w:tcW w:w="1047" w:type="pct"/>
            <w:tcBorders>
              <w:left w:val="doub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CD=2.100</w:t>
            </w:r>
          </w:p>
        </w:tc>
        <w:tc>
          <w:tcPr>
            <w:tcW w:w="1163" w:type="pct"/>
            <w:vMerge/>
            <w:tcBorders>
              <w:left w:val="double" w:sz="4" w:space="0" w:color="auto"/>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3"/>
        </w:trPr>
        <w:tc>
          <w:tcPr>
            <w:tcW w:w="731" w:type="pct"/>
            <w:tcBorders>
              <w:left w:val="thinThickSmallGap" w:sz="12" w:space="0" w:color="auto"/>
              <w:bottom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D</w:t>
            </w:r>
          </w:p>
        </w:tc>
        <w:tc>
          <w:tcPr>
            <w:tcW w:w="1072" w:type="pct"/>
            <w:tcBorders>
              <w:top w:val="single" w:sz="4" w:space="0" w:color="auto"/>
              <w:left w:val="double" w:sz="4" w:space="0" w:color="auto"/>
              <w:bottom w:val="sing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4 734 500</w:t>
            </w:r>
          </w:p>
        </w:tc>
        <w:tc>
          <w:tcPr>
            <w:tcW w:w="988" w:type="pct"/>
            <w:tcBorders>
              <w:top w:val="single" w:sz="4" w:space="0" w:color="auto"/>
              <w:bottom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6 595 000</w:t>
            </w:r>
          </w:p>
        </w:tc>
        <w:tc>
          <w:tcPr>
            <w:tcW w:w="1047" w:type="pct"/>
            <w:tcBorders>
              <w:left w:val="double" w:sz="4" w:space="0" w:color="auto"/>
              <w:bottom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DE=1.000</w:t>
            </w:r>
          </w:p>
        </w:tc>
        <w:tc>
          <w:tcPr>
            <w:tcW w:w="1163" w:type="pct"/>
            <w:vMerge/>
            <w:tcBorders>
              <w:left w:val="double" w:sz="4" w:space="0" w:color="auto"/>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731" w:type="pct"/>
            <w:tcBorders>
              <w:top w:val="single" w:sz="4" w:space="0" w:color="auto"/>
              <w:left w:val="thinThickSmallGap" w:sz="12" w:space="0" w:color="auto"/>
              <w:bottom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E</w:t>
            </w:r>
          </w:p>
        </w:tc>
        <w:tc>
          <w:tcPr>
            <w:tcW w:w="1072" w:type="pct"/>
            <w:tcBorders>
              <w:top w:val="single" w:sz="4" w:space="0" w:color="auto"/>
              <w:left w:val="double" w:sz="4" w:space="0" w:color="auto"/>
              <w:bottom w:val="single" w:sz="4"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4 733 500</w:t>
            </w:r>
          </w:p>
        </w:tc>
        <w:tc>
          <w:tcPr>
            <w:tcW w:w="988" w:type="pct"/>
            <w:tcBorders>
              <w:top w:val="single" w:sz="4" w:space="0" w:color="auto"/>
              <w:bottom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6 595 000</w:t>
            </w:r>
          </w:p>
        </w:tc>
        <w:tc>
          <w:tcPr>
            <w:tcW w:w="1047" w:type="pct"/>
            <w:tcBorders>
              <w:top w:val="single" w:sz="4" w:space="0" w:color="auto"/>
              <w:left w:val="double" w:sz="4" w:space="0" w:color="auto"/>
              <w:bottom w:val="single" w:sz="4"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EF=1.500</w:t>
            </w:r>
          </w:p>
        </w:tc>
        <w:tc>
          <w:tcPr>
            <w:tcW w:w="1163" w:type="pct"/>
            <w:vMerge/>
            <w:tcBorders>
              <w:left w:val="double" w:sz="4" w:space="0" w:color="auto"/>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r w:rsidR="009762DA" w:rsidRPr="009762DA" w:rsidTr="00AF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5"/>
        </w:trPr>
        <w:tc>
          <w:tcPr>
            <w:tcW w:w="731" w:type="pct"/>
            <w:tcBorders>
              <w:top w:val="single" w:sz="4" w:space="0" w:color="auto"/>
              <w:left w:val="thinThickSmallGap" w:sz="12"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F</w:t>
            </w:r>
          </w:p>
        </w:tc>
        <w:tc>
          <w:tcPr>
            <w:tcW w:w="1072" w:type="pct"/>
            <w:tcBorders>
              <w:top w:val="single" w:sz="4" w:space="0" w:color="auto"/>
              <w:left w:val="double" w:sz="4" w:space="0" w:color="auto"/>
              <w:bottom w:val="thinThickSmallGap" w:sz="12" w:space="0" w:color="auto"/>
              <w:right w:val="sing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4 733 500</w:t>
            </w:r>
          </w:p>
        </w:tc>
        <w:tc>
          <w:tcPr>
            <w:tcW w:w="988" w:type="pct"/>
            <w:tcBorders>
              <w:top w:val="single" w:sz="4"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6 593 500</w:t>
            </w:r>
          </w:p>
        </w:tc>
        <w:tc>
          <w:tcPr>
            <w:tcW w:w="1047" w:type="pct"/>
            <w:tcBorders>
              <w:top w:val="single" w:sz="4" w:space="0" w:color="auto"/>
              <w:left w:val="double" w:sz="4" w:space="0" w:color="auto"/>
              <w:bottom w:val="thinThickSmallGap" w:sz="12" w:space="0" w:color="auto"/>
              <w:right w:val="double" w:sz="4" w:space="0" w:color="auto"/>
            </w:tcBorders>
            <w:vAlign w:val="center"/>
          </w:tcPr>
          <w:p w:rsidR="009762DA" w:rsidRPr="009762DA" w:rsidRDefault="009762DA" w:rsidP="00AF53FF">
            <w:pPr>
              <w:pStyle w:val="BodyText"/>
              <w:jc w:val="center"/>
              <w:rPr>
                <w:rFonts w:asciiTheme="minorHAnsi" w:hAnsiTheme="minorHAnsi" w:cstheme="minorHAnsi"/>
                <w:b w:val="0"/>
                <w:sz w:val="20"/>
                <w:szCs w:val="20"/>
              </w:rPr>
            </w:pPr>
            <w:r w:rsidRPr="009762DA">
              <w:rPr>
                <w:rFonts w:asciiTheme="minorHAnsi" w:hAnsiTheme="minorHAnsi" w:cstheme="minorHAnsi"/>
                <w:sz w:val="20"/>
                <w:szCs w:val="20"/>
              </w:rPr>
              <w:t>FA=1.900</w:t>
            </w:r>
          </w:p>
        </w:tc>
        <w:tc>
          <w:tcPr>
            <w:tcW w:w="1163" w:type="pct"/>
            <w:vMerge/>
            <w:tcBorders>
              <w:left w:val="double" w:sz="4" w:space="0" w:color="auto"/>
              <w:bottom w:val="thinThickSmallGap" w:sz="12" w:space="0" w:color="auto"/>
              <w:right w:val="thinThickSmallGap" w:sz="12" w:space="0" w:color="auto"/>
            </w:tcBorders>
            <w:shd w:val="clear" w:color="auto" w:fill="auto"/>
            <w:vAlign w:val="center"/>
          </w:tcPr>
          <w:p w:rsidR="009762DA" w:rsidRPr="009762DA" w:rsidRDefault="009762DA" w:rsidP="00AF53FF">
            <w:pPr>
              <w:jc w:val="center"/>
              <w:rPr>
                <w:rFonts w:asciiTheme="minorHAnsi" w:hAnsiTheme="minorHAnsi" w:cstheme="minorHAnsi"/>
                <w:b/>
                <w:sz w:val="20"/>
                <w:szCs w:val="20"/>
              </w:rPr>
            </w:pPr>
          </w:p>
        </w:tc>
      </w:tr>
    </w:tbl>
    <w:p w:rsidR="009762DA" w:rsidRPr="009762DA" w:rsidRDefault="009762DA" w:rsidP="00403695">
      <w:pPr>
        <w:rPr>
          <w:rFonts w:asciiTheme="minorHAnsi" w:hAnsiTheme="minorHAnsi" w:cstheme="minorHAnsi"/>
          <w:sz w:val="20"/>
          <w:szCs w:val="20"/>
        </w:rPr>
      </w:pPr>
    </w:p>
    <w:p w:rsidR="009762DA" w:rsidRDefault="009762DA" w:rsidP="00403695">
      <w:pPr>
        <w:pStyle w:val="Heading2"/>
        <w:numPr>
          <w:ilvl w:val="1"/>
          <w:numId w:val="0"/>
        </w:numPr>
        <w:spacing w:before="0"/>
        <w:ind w:left="576" w:hanging="576"/>
        <w:rPr>
          <w:rFonts w:asciiTheme="minorHAnsi" w:hAnsiTheme="minorHAnsi" w:cstheme="minorHAnsi"/>
          <w:color w:val="auto"/>
          <w:sz w:val="20"/>
          <w:szCs w:val="20"/>
        </w:rPr>
      </w:pPr>
      <w:bookmarkStart w:id="6" w:name="_Toc416350572"/>
      <w:r w:rsidRPr="009762DA">
        <w:rPr>
          <w:rFonts w:asciiTheme="minorHAnsi" w:hAnsiTheme="minorHAnsi" w:cstheme="minorHAnsi"/>
          <w:color w:val="auto"/>
          <w:sz w:val="20"/>
          <w:szCs w:val="20"/>
        </w:rPr>
        <w:t>Podaci o imovinsko-pravnim odnosima</w:t>
      </w:r>
      <w:bookmarkEnd w:id="6"/>
      <w:r w:rsidRPr="009762DA">
        <w:rPr>
          <w:rFonts w:asciiTheme="minorHAnsi" w:hAnsiTheme="minorHAnsi" w:cstheme="minorHAnsi"/>
          <w:color w:val="auto"/>
          <w:sz w:val="20"/>
          <w:szCs w:val="20"/>
        </w:rPr>
        <w:t xml:space="preserve"> </w:t>
      </w:r>
    </w:p>
    <w:p w:rsidR="0038134C" w:rsidRPr="0038134C" w:rsidRDefault="0038134C" w:rsidP="00403695"/>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Ležišta „Zagrad“, „Đurakov do II“, „Štitovo II“ i „Biočki stan“, administativno pripadaju opština Nikšić. Prema podacima dobijenim od Uprave za nekretnine P.J. Nikšić (akt broj 958-103-205/14 od 16.03.2015.godine), prostor koji je okonturen granicama ležišta nalazi se u svojini fizičkih lica i Rudnika boksita AD - Nikšić.</w:t>
      </w: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 xml:space="preserve">Shodno članu 44 Zakona o koncesijama, ako se u vezi sa korišćenjem koncesije mora izvršiti eksproprijacija nepokretnosti, odnosno uređenje građevinskog zemljišta, troškovi, način i rokovi plaćanja naknade za eksproprijaciju nepokretnosti, odnosno uređenja građevinskog zemljišta, utvrđuju se i sprovode u skladu sa zakonom. Ukoliko je vlasnik zemljišta koncedent, ne vrši se eksproprijacija već se smatra da je koncesionar dobijanjem koncesije dobio saglasnost za njegovo korišćenje. </w:t>
      </w: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Međutim, budući da Zakonom o rudarstvu (“Sl. list CG”, br. 65/08, 74/10 i 40/11), eksploatacija mineralnih sirovina nije definisana kao javni interes, odnosno da shodno Zakonu o eksprorijaciji (“Sl. list Sl. list RCG", br. 55/00; 12/02, 28/06 i “Sl. list CG”, br. 21/08) korisnici eksproprijacije ne mogu biti privatna lica, ne postoji zakonska mogućnost vršenja eksproprijacije prostora obuhvaćenih predmetnim ležištima, a u cilju vršenja eksploatacije rude crvenih boksita.</w:t>
      </w:r>
    </w:p>
    <w:p w:rsid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lastRenderedPageBreak/>
        <w:t>Stoga je isključiva odgovornost i obaveza budućeg koncesionara da u cilju vršenja eksploatacije mineralnih sirovina riješi imovinsko pravne odnose prostora ob</w:t>
      </w:r>
      <w:r w:rsidR="00A23A61">
        <w:rPr>
          <w:rFonts w:asciiTheme="minorHAnsi" w:hAnsiTheme="minorHAnsi" w:cstheme="minorHAnsi"/>
          <w:sz w:val="20"/>
          <w:szCs w:val="20"/>
        </w:rPr>
        <w:t>uhvaćenih predmetnim ležištima.</w:t>
      </w:r>
    </w:p>
    <w:p w:rsidR="00403695" w:rsidRPr="0038134C" w:rsidRDefault="00403695" w:rsidP="00403695">
      <w:pPr>
        <w:jc w:val="both"/>
        <w:rPr>
          <w:rFonts w:asciiTheme="minorHAnsi" w:hAnsiTheme="minorHAnsi" w:cstheme="minorHAnsi"/>
          <w:sz w:val="20"/>
          <w:szCs w:val="20"/>
        </w:rPr>
      </w:pPr>
    </w:p>
    <w:p w:rsidR="009762DA" w:rsidRPr="009762DA" w:rsidRDefault="00403695" w:rsidP="00403695">
      <w:pPr>
        <w:pStyle w:val="Heading2"/>
        <w:numPr>
          <w:ilvl w:val="1"/>
          <w:numId w:val="0"/>
        </w:numPr>
        <w:spacing w:before="0"/>
        <w:ind w:left="576" w:hanging="576"/>
        <w:rPr>
          <w:rFonts w:asciiTheme="minorHAnsi" w:hAnsiTheme="minorHAnsi" w:cstheme="minorHAnsi"/>
          <w:color w:val="auto"/>
          <w:sz w:val="20"/>
          <w:szCs w:val="20"/>
        </w:rPr>
      </w:pPr>
      <w:bookmarkStart w:id="7" w:name="_Toc416350573"/>
      <w:r>
        <w:rPr>
          <w:rFonts w:asciiTheme="minorHAnsi" w:hAnsiTheme="minorHAnsi" w:cstheme="minorHAnsi"/>
          <w:color w:val="auto"/>
          <w:sz w:val="20"/>
          <w:szCs w:val="20"/>
        </w:rPr>
        <w:t>Podaci iz p</w:t>
      </w:r>
      <w:r w:rsidR="009762DA" w:rsidRPr="009762DA">
        <w:rPr>
          <w:rFonts w:asciiTheme="minorHAnsi" w:hAnsiTheme="minorHAnsi" w:cstheme="minorHAnsi"/>
          <w:color w:val="auto"/>
          <w:sz w:val="20"/>
          <w:szCs w:val="20"/>
        </w:rPr>
        <w:t>rostorno-planske dokumentacije</w:t>
      </w:r>
      <w:bookmarkEnd w:id="7"/>
      <w:r w:rsidR="009762DA" w:rsidRPr="009762DA">
        <w:rPr>
          <w:rFonts w:asciiTheme="minorHAnsi" w:hAnsiTheme="minorHAnsi" w:cstheme="minorHAnsi"/>
          <w:color w:val="auto"/>
          <w:sz w:val="20"/>
          <w:szCs w:val="20"/>
        </w:rPr>
        <w:t xml:space="preserve"> </w:t>
      </w:r>
    </w:p>
    <w:p w:rsidR="009762DA" w:rsidRPr="009762DA" w:rsidRDefault="009762DA" w:rsidP="00403695">
      <w:pPr>
        <w:rPr>
          <w:rFonts w:asciiTheme="minorHAnsi" w:hAnsiTheme="minorHAnsi" w:cstheme="minorHAnsi"/>
          <w:sz w:val="20"/>
          <w:szCs w:val="20"/>
        </w:rPr>
      </w:pPr>
    </w:p>
    <w:p w:rsidR="009762DA" w:rsidRDefault="009762DA" w:rsidP="00403695">
      <w:pPr>
        <w:autoSpaceDE w:val="0"/>
        <w:autoSpaceDN w:val="0"/>
        <w:adjustRightInd w:val="0"/>
        <w:jc w:val="both"/>
        <w:rPr>
          <w:rFonts w:asciiTheme="minorHAnsi" w:hAnsiTheme="minorHAnsi" w:cstheme="minorHAnsi"/>
          <w:sz w:val="20"/>
          <w:szCs w:val="20"/>
        </w:rPr>
      </w:pPr>
      <w:r w:rsidRPr="009762DA">
        <w:rPr>
          <w:rFonts w:asciiTheme="minorHAnsi" w:hAnsiTheme="minorHAnsi" w:cstheme="minorHAnsi"/>
          <w:sz w:val="20"/>
          <w:szCs w:val="20"/>
        </w:rPr>
        <w:t>Prostornim planom Crne Gore iz 2008. godine, u sekciji 3.2.2. Mineralne sirovine, je definisano da je u terenima Crne Gore otkriveno preko 90 pojava i ležišta crvenih boksita. Najbrojnija i najbogatija ležišta su u karstnim terenima zone Visokog krša, kojoj pripadaju i ležišta „Zagrad“, „Đurakov do II“, „Štitovo II“ i „Biočki stan“. Takođe, predmetna ležišta su obrađena i u predlogu PUP Nikšić koji je u fazi donošenja (</w:t>
      </w:r>
      <w:hyperlink r:id="rId9" w:history="1">
        <w:r w:rsidRPr="009762DA">
          <w:rPr>
            <w:rStyle w:val="Hyperlink"/>
            <w:rFonts w:asciiTheme="minorHAnsi" w:hAnsiTheme="minorHAnsi" w:cstheme="minorHAnsi"/>
            <w:color w:val="auto"/>
            <w:sz w:val="20"/>
            <w:szCs w:val="20"/>
          </w:rPr>
          <w:t>http://niksic.me/javna-rasprava-na-nacrt-prostorno-urbanistickog-plana-opstine/</w:t>
        </w:r>
      </w:hyperlink>
      <w:r w:rsidRPr="009762DA">
        <w:rPr>
          <w:rFonts w:asciiTheme="minorHAnsi" w:hAnsiTheme="minorHAnsi" w:cstheme="minorHAnsi"/>
          <w:sz w:val="20"/>
          <w:szCs w:val="20"/>
        </w:rPr>
        <w:t xml:space="preserve">). </w:t>
      </w:r>
    </w:p>
    <w:p w:rsidR="00FC5732" w:rsidRPr="009762DA" w:rsidRDefault="00FC5732" w:rsidP="00403695">
      <w:pPr>
        <w:autoSpaceDE w:val="0"/>
        <w:autoSpaceDN w:val="0"/>
        <w:adjustRightInd w:val="0"/>
        <w:jc w:val="both"/>
        <w:rPr>
          <w:rFonts w:asciiTheme="minorHAnsi" w:hAnsiTheme="minorHAnsi" w:cstheme="minorHAnsi"/>
          <w:sz w:val="20"/>
          <w:szCs w:val="20"/>
        </w:rPr>
      </w:pPr>
    </w:p>
    <w:p w:rsidR="009762DA" w:rsidRDefault="009762DA" w:rsidP="00403695">
      <w:pPr>
        <w:pStyle w:val="Heading3"/>
        <w:numPr>
          <w:ilvl w:val="0"/>
          <w:numId w:val="16"/>
        </w:numPr>
        <w:spacing w:before="0"/>
        <w:rPr>
          <w:rFonts w:asciiTheme="minorHAnsi" w:hAnsiTheme="minorHAnsi" w:cstheme="minorHAnsi"/>
          <w:color w:val="auto"/>
          <w:sz w:val="20"/>
          <w:szCs w:val="20"/>
          <w:lang w:val="sr-Latn-CS"/>
        </w:rPr>
      </w:pPr>
      <w:bookmarkStart w:id="8" w:name="_Toc416350576"/>
      <w:r w:rsidRPr="009762DA">
        <w:rPr>
          <w:rFonts w:asciiTheme="minorHAnsi" w:hAnsiTheme="minorHAnsi" w:cstheme="minorHAnsi"/>
          <w:color w:val="auto"/>
          <w:sz w:val="20"/>
          <w:szCs w:val="20"/>
          <w:lang w:val="sr-Latn-CS"/>
        </w:rPr>
        <w:t>Ležište "Zagrad"</w:t>
      </w:r>
      <w:bookmarkEnd w:id="8"/>
    </w:p>
    <w:p w:rsidR="00FC5732" w:rsidRPr="00FC5732" w:rsidRDefault="00FC5732" w:rsidP="00FC5732">
      <w:pPr>
        <w:rPr>
          <w:lang w:val="sr-Latn-CS"/>
        </w:rPr>
      </w:pPr>
    </w:p>
    <w:p w:rsidR="009762DA" w:rsidRPr="009762DA" w:rsidRDefault="009762DA" w:rsidP="00403695">
      <w:pPr>
        <w:pStyle w:val="Heading4"/>
        <w:numPr>
          <w:ilvl w:val="3"/>
          <w:numId w:val="0"/>
        </w:numPr>
        <w:spacing w:before="0"/>
        <w:ind w:left="864" w:hanging="864"/>
        <w:rPr>
          <w:rFonts w:asciiTheme="minorHAnsi" w:hAnsiTheme="minorHAnsi" w:cstheme="minorHAnsi"/>
          <w:color w:val="auto"/>
          <w:sz w:val="20"/>
          <w:szCs w:val="20"/>
          <w:lang w:val="sr-Latn-CS"/>
        </w:rPr>
      </w:pPr>
      <w:r w:rsidRPr="009762DA">
        <w:rPr>
          <w:rFonts w:asciiTheme="minorHAnsi" w:hAnsiTheme="minorHAnsi" w:cstheme="minorHAnsi"/>
          <w:color w:val="auto"/>
          <w:sz w:val="20"/>
          <w:szCs w:val="20"/>
          <w:lang w:val="sr-Latn-CS"/>
        </w:rPr>
        <w:t>Geološka građa</w:t>
      </w:r>
    </w:p>
    <w:p w:rsidR="009762DA" w:rsidRPr="009762DA" w:rsidRDefault="009762DA" w:rsidP="00403695">
      <w:pPr>
        <w:jc w:val="both"/>
        <w:rPr>
          <w:rFonts w:asciiTheme="minorHAnsi" w:hAnsiTheme="minorHAnsi" w:cstheme="minorHAnsi"/>
          <w:b/>
          <w:sz w:val="20"/>
          <w:szCs w:val="20"/>
          <w:lang w:val="sr-Latn-CS"/>
        </w:rPr>
      </w:pP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lang w:val="sr-Latn-CS"/>
        </w:rPr>
        <w:t xml:space="preserve">U geološkom sastavu šireg područja Zagrada učestvuju karbonatni sedimenti trijasa, jure i krede i kvartarni sedimenti. Trijas je predstavljen retskim masivnim krečnjacima sa megalodonima. Krajem gornjeg trijasa nastupila je regresija. </w:t>
      </w:r>
      <w:r w:rsidRPr="009762DA">
        <w:rPr>
          <w:rFonts w:asciiTheme="minorHAnsi" w:hAnsiTheme="minorHAnsi" w:cstheme="minorHAnsi"/>
          <w:sz w:val="20"/>
          <w:szCs w:val="20"/>
        </w:rPr>
        <w:t>Tokom kopnene faze, koja je trajala do titona, stvarani su crveni jurski boksiti. Transgresivni gornjojurski sedimenti su predstavljeni slojevitim krečnjacima sa laporovito-glinovitim proslojcima u nižim djelovima stuba. Jursko-kredni kompleks izgrađuju krečnjaci, dolomitisani krečnjaci i dolomiti. Morenski materijal, izgrađen od pijeska, šljunka, krupnih oblutaka i krečnjačkih blokova većih dimenzija zauzima veliki prostor, a debljine je i do 100 m. Područje Zagrada u tektonskom pogledu karakterišu, uglavnom, rupturni oblici – rasjedi, gravitacionog tipa.</w:t>
      </w:r>
    </w:p>
    <w:p w:rsidR="009762DA" w:rsidRPr="007F3B69" w:rsidRDefault="009762DA" w:rsidP="007F3B69">
      <w:pPr>
        <w:pStyle w:val="ListParagraph"/>
        <w:ind w:left="0"/>
        <w:jc w:val="both"/>
        <w:rPr>
          <w:rFonts w:asciiTheme="minorHAnsi" w:hAnsiTheme="minorHAnsi" w:cstheme="minorHAnsi"/>
          <w:b/>
          <w:vanish/>
          <w:sz w:val="20"/>
          <w:szCs w:val="20"/>
        </w:rPr>
      </w:pPr>
    </w:p>
    <w:p w:rsidR="009762DA" w:rsidRPr="00403695" w:rsidRDefault="0074328A" w:rsidP="00403695">
      <w:pPr>
        <w:pStyle w:val="ListParagraph"/>
        <w:numPr>
          <w:ilvl w:val="3"/>
          <w:numId w:val="0"/>
        </w:numPr>
        <w:jc w:val="both"/>
        <w:rPr>
          <w:rFonts w:asciiTheme="minorHAnsi" w:hAnsiTheme="minorHAnsi" w:cstheme="minorHAnsi"/>
          <w:b/>
          <w:i/>
          <w:sz w:val="20"/>
          <w:szCs w:val="20"/>
        </w:rPr>
      </w:pPr>
      <w:r w:rsidRPr="00403695">
        <w:rPr>
          <w:rFonts w:asciiTheme="minorHAnsi" w:hAnsiTheme="minorHAnsi" w:cstheme="minorHAnsi"/>
          <w:b/>
          <w:i/>
          <w:sz w:val="20"/>
          <w:szCs w:val="20"/>
        </w:rPr>
        <w:t>Kvalitet</w:t>
      </w:r>
      <w:r w:rsidR="009762DA" w:rsidRPr="00403695">
        <w:rPr>
          <w:rFonts w:asciiTheme="minorHAnsi" w:hAnsiTheme="minorHAnsi" w:cstheme="minorHAnsi"/>
          <w:b/>
          <w:i/>
          <w:sz w:val="20"/>
          <w:szCs w:val="20"/>
        </w:rPr>
        <w:t xml:space="preserve"> boksita</w:t>
      </w:r>
    </w:p>
    <w:p w:rsidR="009762DA" w:rsidRPr="009762DA" w:rsidRDefault="009762DA" w:rsidP="00403695">
      <w:pPr>
        <w:jc w:val="both"/>
        <w:rPr>
          <w:rFonts w:asciiTheme="minorHAnsi" w:hAnsiTheme="minorHAnsi" w:cstheme="minorHAnsi"/>
          <w:sz w:val="20"/>
          <w:szCs w:val="20"/>
        </w:rPr>
      </w:pP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U mineralnom sastavu boksita učestvuju: bemit (65,57%), kaolinit (10,36%), hematit (19,13%), kalcit (2,93%) i anatas (2,88%). Na osnovu ovih ispitivanja konstatovano je da boksiti ležišta “Zagrad” pripadaju I vrsti monohidratnih crvenih boksita bemitskog tipa.</w:t>
      </w:r>
    </w:p>
    <w:p w:rsidR="009762DA" w:rsidRPr="009762DA" w:rsidRDefault="009762DA" w:rsidP="00403695">
      <w:pPr>
        <w:jc w:val="both"/>
        <w:rPr>
          <w:rFonts w:asciiTheme="minorHAnsi" w:hAnsiTheme="minorHAnsi" w:cstheme="minorHAnsi"/>
          <w:sz w:val="20"/>
          <w:szCs w:val="20"/>
        </w:rPr>
      </w:pP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Prema podacima ranijih istraživanja boksiti ležišta “Zagrad” sadrže brojne mikroelemente sa sadržajima u ppm: Pb-36, Ga-30, V-180, Cu-25, Y-50, Zn-600, Zr-330, Ni-120, Co-22, Cs-42, Cr-450, La-100, Ba-14, Sr-37, Li-12, Rb-10, U-6 i Th-58.</w:t>
      </w:r>
    </w:p>
    <w:p w:rsidR="009762DA" w:rsidRPr="009762DA" w:rsidRDefault="009762DA" w:rsidP="00403695">
      <w:pPr>
        <w:jc w:val="both"/>
        <w:rPr>
          <w:rFonts w:asciiTheme="minorHAnsi" w:hAnsiTheme="minorHAnsi" w:cstheme="minorHAnsi"/>
          <w:sz w:val="20"/>
          <w:szCs w:val="20"/>
        </w:rPr>
      </w:pP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Zapreminska i specifična masa boksita ležišta “Zagrad” je ispitivana na 20 uzoraka. Srednja aritmetička vrijednost zapreminske mase boksita iznosi 2,65 t/m</w:t>
      </w:r>
      <w:r w:rsidRPr="009762DA">
        <w:rPr>
          <w:rFonts w:asciiTheme="minorHAnsi" w:hAnsiTheme="minorHAnsi" w:cstheme="minorHAnsi"/>
          <w:sz w:val="20"/>
          <w:szCs w:val="20"/>
          <w:vertAlign w:val="superscript"/>
        </w:rPr>
        <w:t>3</w:t>
      </w:r>
      <w:r w:rsidRPr="009762DA">
        <w:rPr>
          <w:rFonts w:asciiTheme="minorHAnsi" w:hAnsiTheme="minorHAnsi" w:cstheme="minorHAnsi"/>
          <w:sz w:val="20"/>
          <w:szCs w:val="20"/>
        </w:rPr>
        <w:t>.</w:t>
      </w:r>
    </w:p>
    <w:p w:rsidR="009762DA" w:rsidRPr="009762DA" w:rsidRDefault="009762DA" w:rsidP="00403695">
      <w:pPr>
        <w:jc w:val="both"/>
        <w:rPr>
          <w:rFonts w:asciiTheme="minorHAnsi" w:hAnsiTheme="minorHAnsi" w:cstheme="minorHAnsi"/>
          <w:sz w:val="20"/>
          <w:szCs w:val="20"/>
        </w:rPr>
      </w:pP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Mineraloške i kvalitativne karakteristike boksita ležišta “Zagrad” omogućavaju preradu Bajerovim postupkom za dobijanje aluminijuma. Sirovina se može koristiti i za proizvodnju elektrokorunda i drugih abrazivnih materijala.</w:t>
      </w:r>
    </w:p>
    <w:p w:rsidR="009762DA" w:rsidRPr="009762DA" w:rsidRDefault="0074328A" w:rsidP="00403695">
      <w:pPr>
        <w:pStyle w:val="Heading4"/>
        <w:numPr>
          <w:ilvl w:val="3"/>
          <w:numId w:val="0"/>
        </w:numPr>
        <w:spacing w:before="0"/>
        <w:rPr>
          <w:rFonts w:asciiTheme="minorHAnsi" w:hAnsiTheme="minorHAnsi" w:cstheme="minorHAnsi"/>
          <w:color w:val="auto"/>
          <w:sz w:val="20"/>
          <w:szCs w:val="20"/>
        </w:rPr>
      </w:pPr>
      <w:r>
        <w:rPr>
          <w:rFonts w:asciiTheme="minorHAnsi" w:hAnsiTheme="minorHAnsi" w:cstheme="minorHAnsi"/>
          <w:color w:val="auto"/>
          <w:sz w:val="20"/>
          <w:szCs w:val="20"/>
        </w:rPr>
        <w:t xml:space="preserve">Rezerve  </w:t>
      </w:r>
      <w:r w:rsidR="009762DA" w:rsidRPr="009762DA">
        <w:rPr>
          <w:rFonts w:asciiTheme="minorHAnsi" w:hAnsiTheme="minorHAnsi" w:cstheme="minorHAnsi"/>
          <w:color w:val="auto"/>
          <w:sz w:val="20"/>
          <w:szCs w:val="20"/>
        </w:rPr>
        <w:t xml:space="preserve">boksita </w:t>
      </w:r>
    </w:p>
    <w:p w:rsidR="009762DA" w:rsidRPr="009762DA" w:rsidRDefault="009762DA" w:rsidP="00403695">
      <w:pPr>
        <w:jc w:val="both"/>
        <w:rPr>
          <w:rFonts w:asciiTheme="minorHAnsi" w:hAnsiTheme="minorHAnsi" w:cstheme="minorHAnsi"/>
          <w:sz w:val="20"/>
          <w:szCs w:val="20"/>
        </w:rPr>
      </w:pPr>
    </w:p>
    <w:p w:rsidR="00CE0BFE"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Posljednji proračun rezervi crvenog boksita ležišta “Zagrad” je izvršen u okviru Elaborata o klasifikaciji, kategorizaciji i proračunu rezervi crvenog boksita u ležištima Nikšićke Župe: Zagrad, Biočki stan, Đurakov do, Štitovo II i Borovnik, stanje 31.12.2006. godine, metodom paralelnih vertikalnih profila. Ležište ima visok stepen istraženosti (A:B:C</w:t>
      </w:r>
      <w:r w:rsidRPr="009762DA">
        <w:rPr>
          <w:rFonts w:asciiTheme="minorHAnsi" w:hAnsiTheme="minorHAnsi" w:cstheme="minorHAnsi"/>
          <w:sz w:val="20"/>
          <w:szCs w:val="20"/>
          <w:vertAlign w:val="subscript"/>
        </w:rPr>
        <w:t>1</w:t>
      </w:r>
      <w:r w:rsidRPr="009762DA">
        <w:rPr>
          <w:rFonts w:asciiTheme="minorHAnsi" w:hAnsiTheme="minorHAnsi" w:cstheme="minorHAnsi"/>
          <w:sz w:val="20"/>
          <w:szCs w:val="20"/>
        </w:rPr>
        <w:t>=67</w:t>
      </w:r>
      <w:r w:rsidRPr="009762DA">
        <w:rPr>
          <w:rFonts w:asciiTheme="minorHAnsi" w:hAnsiTheme="minorHAnsi" w:cstheme="minorHAnsi"/>
          <w:sz w:val="20"/>
          <w:szCs w:val="20"/>
          <w:lang w:val="sr-Latn-CS"/>
        </w:rPr>
        <w:t>%</w:t>
      </w:r>
      <w:r w:rsidRPr="009762DA">
        <w:rPr>
          <w:rFonts w:asciiTheme="minorHAnsi" w:hAnsiTheme="minorHAnsi" w:cstheme="minorHAnsi"/>
          <w:sz w:val="20"/>
          <w:szCs w:val="20"/>
        </w:rPr>
        <w:t>:23</w:t>
      </w:r>
      <w:r w:rsidRPr="009762DA">
        <w:rPr>
          <w:rFonts w:asciiTheme="minorHAnsi" w:hAnsiTheme="minorHAnsi" w:cstheme="minorHAnsi"/>
          <w:sz w:val="20"/>
          <w:szCs w:val="20"/>
          <w:lang w:val="sr-Latn-CS"/>
        </w:rPr>
        <w:t>%</w:t>
      </w:r>
      <w:r w:rsidRPr="009762DA">
        <w:rPr>
          <w:rFonts w:asciiTheme="minorHAnsi" w:hAnsiTheme="minorHAnsi" w:cstheme="minorHAnsi"/>
          <w:sz w:val="20"/>
          <w:szCs w:val="20"/>
        </w:rPr>
        <w:t>:10</w:t>
      </w:r>
      <w:r w:rsidRPr="009762DA">
        <w:rPr>
          <w:rFonts w:asciiTheme="minorHAnsi" w:hAnsiTheme="minorHAnsi" w:cstheme="minorHAnsi"/>
          <w:sz w:val="20"/>
          <w:szCs w:val="20"/>
          <w:lang w:val="sr-Latn-CS"/>
        </w:rPr>
        <w:t>%</w:t>
      </w:r>
      <w:r w:rsidRPr="009762DA">
        <w:rPr>
          <w:rFonts w:asciiTheme="minorHAnsi" w:hAnsiTheme="minorHAnsi" w:cstheme="minorHAnsi"/>
          <w:sz w:val="20"/>
          <w:szCs w:val="20"/>
        </w:rPr>
        <w:t xml:space="preserve">). Elaborat nije ovjeren </w:t>
      </w:r>
      <w:proofErr w:type="gramStart"/>
      <w:r w:rsidRPr="009762DA">
        <w:rPr>
          <w:rFonts w:asciiTheme="minorHAnsi" w:hAnsiTheme="minorHAnsi" w:cstheme="minorHAnsi"/>
          <w:sz w:val="20"/>
          <w:szCs w:val="20"/>
        </w:rPr>
        <w:t>od</w:t>
      </w:r>
      <w:proofErr w:type="gramEnd"/>
      <w:r w:rsidRPr="009762DA">
        <w:rPr>
          <w:rFonts w:asciiTheme="minorHAnsi" w:hAnsiTheme="minorHAnsi" w:cstheme="minorHAnsi"/>
          <w:sz w:val="20"/>
          <w:szCs w:val="20"/>
        </w:rPr>
        <w:t xml:space="preserve"> strane nadležnog Ministarstva.</w:t>
      </w:r>
    </w:p>
    <w:p w:rsidR="00CE0BFE" w:rsidRDefault="00CE0BFE">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rsidR="009762DA" w:rsidRDefault="009762DA" w:rsidP="00403695">
      <w:pPr>
        <w:jc w:val="both"/>
        <w:rPr>
          <w:rFonts w:asciiTheme="minorHAnsi" w:hAnsiTheme="minorHAnsi" w:cstheme="minorHAnsi"/>
          <w:sz w:val="20"/>
          <w:szCs w:val="20"/>
        </w:rPr>
      </w:pPr>
    </w:p>
    <w:p w:rsidR="009762DA" w:rsidRPr="009762DA" w:rsidRDefault="00FC5732" w:rsidP="00403695">
      <w:pPr>
        <w:pStyle w:val="Caption"/>
        <w:spacing w:before="0" w:after="0"/>
        <w:jc w:val="both"/>
        <w:rPr>
          <w:rFonts w:asciiTheme="minorHAnsi" w:hAnsiTheme="minorHAnsi" w:cstheme="minorHAnsi"/>
          <w:i w:val="0"/>
          <w:sz w:val="20"/>
        </w:rPr>
      </w:pPr>
      <w:bookmarkStart w:id="9" w:name="_Toc169875154"/>
      <w:r>
        <w:rPr>
          <w:rFonts w:asciiTheme="minorHAnsi" w:hAnsiTheme="minorHAnsi" w:cstheme="minorHAnsi"/>
          <w:i w:val="0"/>
          <w:sz w:val="20"/>
        </w:rPr>
        <w:t xml:space="preserve">                   </w:t>
      </w:r>
      <w:proofErr w:type="gramStart"/>
      <w:r w:rsidR="009762DA" w:rsidRPr="009762DA">
        <w:rPr>
          <w:rFonts w:asciiTheme="minorHAnsi" w:hAnsiTheme="minorHAnsi" w:cstheme="minorHAnsi"/>
          <w:i w:val="0"/>
          <w:sz w:val="20"/>
        </w:rPr>
        <w:t xml:space="preserve">Bilansne geološke rezerve crvenog boksita u ležištu </w:t>
      </w:r>
      <w:bookmarkEnd w:id="9"/>
      <w:r w:rsidR="009762DA" w:rsidRPr="009762DA">
        <w:rPr>
          <w:rFonts w:asciiTheme="minorHAnsi" w:hAnsiTheme="minorHAnsi" w:cstheme="minorHAnsi"/>
          <w:i w:val="0"/>
          <w:sz w:val="20"/>
        </w:rPr>
        <w:t>“Zagrad”, stanje 31.12.2006.</w:t>
      </w:r>
      <w:proofErr w:type="gramEnd"/>
      <w:r w:rsidR="009762DA" w:rsidRPr="009762DA">
        <w:rPr>
          <w:rFonts w:asciiTheme="minorHAnsi" w:hAnsiTheme="minorHAnsi" w:cstheme="minorHAnsi"/>
          <w:i w:val="0"/>
          <w:sz w:val="20"/>
        </w:rPr>
        <w:t xml:space="preserve"> godine</w:t>
      </w:r>
    </w:p>
    <w:p w:rsidR="009762DA" w:rsidRPr="009762DA" w:rsidRDefault="009762DA" w:rsidP="00403695">
      <w:pPr>
        <w:rPr>
          <w:rFonts w:asciiTheme="minorHAnsi" w:hAnsiTheme="minorHAnsi"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2503"/>
        <w:gridCol w:w="992"/>
        <w:gridCol w:w="841"/>
        <w:gridCol w:w="994"/>
        <w:gridCol w:w="841"/>
        <w:gridCol w:w="841"/>
        <w:gridCol w:w="994"/>
      </w:tblGrid>
      <w:tr w:rsidR="009762DA" w:rsidRPr="009762DA" w:rsidTr="00AF53FF">
        <w:trPr>
          <w:trHeight w:val="284"/>
          <w:jc w:val="center"/>
        </w:trPr>
        <w:tc>
          <w:tcPr>
            <w:tcW w:w="820" w:type="pct"/>
            <w:vMerge w:val="restart"/>
            <w:tcBorders>
              <w:top w:val="thinThickSmallGap" w:sz="12" w:space="0" w:color="auto"/>
              <w:lef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Kategorija</w:t>
            </w:r>
          </w:p>
        </w:tc>
        <w:tc>
          <w:tcPr>
            <w:tcW w:w="1307" w:type="pct"/>
            <w:vMerge w:val="restart"/>
            <w:tcBorders>
              <w:top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Bilansne geološke</w:t>
            </w:r>
          </w:p>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rezerve (t)</w:t>
            </w:r>
          </w:p>
        </w:tc>
        <w:tc>
          <w:tcPr>
            <w:tcW w:w="2873" w:type="pct"/>
            <w:gridSpan w:val="6"/>
            <w:tcBorders>
              <w:top w:val="thinThickSmallGap" w:sz="12" w:space="0" w:color="auto"/>
              <w:left w:val="double" w:sz="4" w:space="0" w:color="auto"/>
              <w:righ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Srednji sadržaj %</w:t>
            </w:r>
          </w:p>
        </w:tc>
      </w:tr>
      <w:tr w:rsidR="009762DA" w:rsidRPr="009762DA" w:rsidTr="00AF53FF">
        <w:trPr>
          <w:trHeight w:val="284"/>
          <w:jc w:val="center"/>
        </w:trPr>
        <w:tc>
          <w:tcPr>
            <w:tcW w:w="820" w:type="pct"/>
            <w:vMerge/>
            <w:tcBorders>
              <w:left w:val="thinThickSmallGap" w:sz="12" w:space="0" w:color="auto"/>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p>
        </w:tc>
        <w:tc>
          <w:tcPr>
            <w:tcW w:w="1307" w:type="pct"/>
            <w:vMerge/>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p>
        </w:tc>
        <w:tc>
          <w:tcPr>
            <w:tcW w:w="518" w:type="pct"/>
            <w:tcBorders>
              <w:left w:val="double" w:sz="4" w:space="0" w:color="auto"/>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Al</w:t>
            </w:r>
            <w:r w:rsidRPr="009762DA">
              <w:rPr>
                <w:rFonts w:asciiTheme="minorHAnsi" w:hAnsiTheme="minorHAnsi" w:cstheme="minorHAnsi"/>
                <w:b/>
                <w:szCs w:val="20"/>
                <w:vertAlign w:val="subscript"/>
              </w:rPr>
              <w:t>2</w:t>
            </w:r>
            <w:r w:rsidRPr="009762DA">
              <w:rPr>
                <w:rFonts w:asciiTheme="minorHAnsi" w:hAnsiTheme="minorHAnsi" w:cstheme="minorHAnsi"/>
                <w:b/>
                <w:szCs w:val="20"/>
              </w:rPr>
              <w:t>O</w:t>
            </w:r>
            <w:r w:rsidRPr="009762DA">
              <w:rPr>
                <w:rFonts w:asciiTheme="minorHAnsi" w:hAnsiTheme="minorHAnsi" w:cstheme="minorHAnsi"/>
                <w:b/>
                <w:szCs w:val="20"/>
                <w:vertAlign w:val="subscript"/>
              </w:rPr>
              <w:t>3</w:t>
            </w:r>
          </w:p>
        </w:tc>
        <w:tc>
          <w:tcPr>
            <w:tcW w:w="439"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SiO</w:t>
            </w:r>
            <w:r w:rsidRPr="009762DA">
              <w:rPr>
                <w:rFonts w:asciiTheme="minorHAnsi" w:hAnsiTheme="minorHAnsi" w:cstheme="minorHAnsi"/>
                <w:b/>
                <w:szCs w:val="20"/>
                <w:vertAlign w:val="subscript"/>
              </w:rPr>
              <w:t>2</w:t>
            </w:r>
          </w:p>
        </w:tc>
        <w:tc>
          <w:tcPr>
            <w:tcW w:w="519"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Fe</w:t>
            </w:r>
            <w:r w:rsidRPr="009762DA">
              <w:rPr>
                <w:rFonts w:asciiTheme="minorHAnsi" w:hAnsiTheme="minorHAnsi" w:cstheme="minorHAnsi"/>
                <w:b/>
                <w:szCs w:val="20"/>
                <w:vertAlign w:val="subscript"/>
              </w:rPr>
              <w:t>2</w:t>
            </w:r>
            <w:r w:rsidRPr="009762DA">
              <w:rPr>
                <w:rFonts w:asciiTheme="minorHAnsi" w:hAnsiTheme="minorHAnsi" w:cstheme="minorHAnsi"/>
                <w:b/>
                <w:szCs w:val="20"/>
              </w:rPr>
              <w:t>O</w:t>
            </w:r>
            <w:r w:rsidRPr="009762DA">
              <w:rPr>
                <w:rFonts w:asciiTheme="minorHAnsi" w:hAnsiTheme="minorHAnsi" w:cstheme="minorHAnsi"/>
                <w:b/>
                <w:szCs w:val="20"/>
                <w:vertAlign w:val="subscript"/>
              </w:rPr>
              <w:t>3</w:t>
            </w:r>
          </w:p>
        </w:tc>
        <w:tc>
          <w:tcPr>
            <w:tcW w:w="439"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TiO</w:t>
            </w:r>
            <w:r w:rsidRPr="009762DA">
              <w:rPr>
                <w:rFonts w:asciiTheme="minorHAnsi" w:hAnsiTheme="minorHAnsi" w:cstheme="minorHAnsi"/>
                <w:b/>
                <w:szCs w:val="20"/>
                <w:vertAlign w:val="subscript"/>
              </w:rPr>
              <w:t>2</w:t>
            </w:r>
          </w:p>
        </w:tc>
        <w:tc>
          <w:tcPr>
            <w:tcW w:w="439"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CaO</w:t>
            </w:r>
          </w:p>
        </w:tc>
        <w:tc>
          <w:tcPr>
            <w:tcW w:w="518" w:type="pct"/>
            <w:tcBorders>
              <w:bottom w:val="double" w:sz="4" w:space="0" w:color="auto"/>
              <w:righ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G.Ž.</w:t>
            </w:r>
          </w:p>
        </w:tc>
      </w:tr>
      <w:tr w:rsidR="009762DA" w:rsidRPr="009762DA" w:rsidTr="00AF53FF">
        <w:trPr>
          <w:trHeight w:val="204"/>
          <w:jc w:val="center"/>
        </w:trPr>
        <w:tc>
          <w:tcPr>
            <w:tcW w:w="5000" w:type="pct"/>
            <w:gridSpan w:val="8"/>
            <w:tcBorders>
              <w:top w:val="double" w:sz="4" w:space="0" w:color="auto"/>
              <w:left w:val="thinThickSmallGap" w:sz="12" w:space="0" w:color="auto"/>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i/>
                <w:szCs w:val="20"/>
              </w:rPr>
            </w:pPr>
            <w:r w:rsidRPr="009762DA">
              <w:rPr>
                <w:rFonts w:asciiTheme="minorHAnsi" w:hAnsiTheme="minorHAnsi" w:cstheme="minorHAnsi"/>
                <w:b/>
                <w:i/>
                <w:szCs w:val="20"/>
              </w:rPr>
              <w:t>Rudno tijelo Zagrad III</w:t>
            </w:r>
          </w:p>
        </w:tc>
      </w:tr>
      <w:tr w:rsidR="009762DA" w:rsidRPr="009762DA" w:rsidTr="00AF53FF">
        <w:trPr>
          <w:trHeight w:val="284"/>
          <w:jc w:val="center"/>
        </w:trPr>
        <w:tc>
          <w:tcPr>
            <w:tcW w:w="820" w:type="pct"/>
            <w:tcBorders>
              <w:top w:val="double" w:sz="4" w:space="0" w:color="auto"/>
              <w:lef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w:t>
            </w:r>
          </w:p>
        </w:tc>
        <w:tc>
          <w:tcPr>
            <w:tcW w:w="1307" w:type="pct"/>
            <w:tcBorders>
              <w:top w:val="double" w:sz="4"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2.533.283</w:t>
            </w:r>
          </w:p>
        </w:tc>
        <w:tc>
          <w:tcPr>
            <w:tcW w:w="518" w:type="pct"/>
            <w:tcBorders>
              <w:top w:val="double" w:sz="4" w:space="0" w:color="auto"/>
              <w:left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60,19</w:t>
            </w:r>
          </w:p>
        </w:tc>
        <w:tc>
          <w:tcPr>
            <w:tcW w:w="43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2,13</w:t>
            </w:r>
          </w:p>
        </w:tc>
        <w:tc>
          <w:tcPr>
            <w:tcW w:w="51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20,97</w:t>
            </w:r>
          </w:p>
        </w:tc>
        <w:tc>
          <w:tcPr>
            <w:tcW w:w="43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2,99</w:t>
            </w:r>
          </w:p>
        </w:tc>
        <w:tc>
          <w:tcPr>
            <w:tcW w:w="43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0,68</w:t>
            </w:r>
          </w:p>
        </w:tc>
        <w:tc>
          <w:tcPr>
            <w:tcW w:w="518" w:type="pct"/>
            <w:tcBorders>
              <w:top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12,88</w:t>
            </w:r>
          </w:p>
        </w:tc>
      </w:tr>
      <w:tr w:rsidR="009762DA" w:rsidRPr="009762DA" w:rsidTr="00AF53FF">
        <w:trPr>
          <w:trHeight w:val="284"/>
          <w:jc w:val="center"/>
        </w:trPr>
        <w:tc>
          <w:tcPr>
            <w:tcW w:w="820" w:type="pct"/>
            <w:tcBorders>
              <w:left w:val="thinThickSmallGap" w:sz="12"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B</w:t>
            </w:r>
          </w:p>
        </w:tc>
        <w:tc>
          <w:tcPr>
            <w:tcW w:w="1307"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869.206</w:t>
            </w:r>
          </w:p>
        </w:tc>
        <w:tc>
          <w:tcPr>
            <w:tcW w:w="518" w:type="pct"/>
            <w:tcBorders>
              <w:left w:val="double" w:sz="4"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59,65</w:t>
            </w:r>
          </w:p>
        </w:tc>
        <w:tc>
          <w:tcPr>
            <w:tcW w:w="43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2,58</w:t>
            </w:r>
          </w:p>
        </w:tc>
        <w:tc>
          <w:tcPr>
            <w:tcW w:w="51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20,81</w:t>
            </w:r>
          </w:p>
        </w:tc>
        <w:tc>
          <w:tcPr>
            <w:tcW w:w="43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2,98</w:t>
            </w:r>
          </w:p>
        </w:tc>
        <w:tc>
          <w:tcPr>
            <w:tcW w:w="43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0,60</w:t>
            </w:r>
          </w:p>
        </w:tc>
        <w:tc>
          <w:tcPr>
            <w:tcW w:w="518" w:type="pct"/>
            <w:tcBorders>
              <w:bottom w:val="sing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12.87</w:t>
            </w:r>
          </w:p>
        </w:tc>
      </w:tr>
      <w:tr w:rsidR="009762DA" w:rsidRPr="009762DA" w:rsidTr="00AF53FF">
        <w:trPr>
          <w:trHeight w:val="284"/>
          <w:jc w:val="center"/>
        </w:trPr>
        <w:tc>
          <w:tcPr>
            <w:tcW w:w="820" w:type="pct"/>
            <w:tcBorders>
              <w:left w:val="thinThickSmallGap" w:sz="12"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C</w:t>
            </w:r>
            <w:r w:rsidRPr="009762DA">
              <w:rPr>
                <w:rFonts w:asciiTheme="minorHAnsi" w:hAnsiTheme="minorHAnsi" w:cstheme="minorHAnsi"/>
                <w:b/>
                <w:szCs w:val="20"/>
                <w:vertAlign w:val="subscript"/>
              </w:rPr>
              <w:t>1</w:t>
            </w:r>
          </w:p>
        </w:tc>
        <w:tc>
          <w:tcPr>
            <w:tcW w:w="1307"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297.205</w:t>
            </w:r>
          </w:p>
        </w:tc>
        <w:tc>
          <w:tcPr>
            <w:tcW w:w="518" w:type="pct"/>
            <w:tcBorders>
              <w:left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58,21</w:t>
            </w:r>
          </w:p>
        </w:tc>
        <w:tc>
          <w:tcPr>
            <w:tcW w:w="43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4,22</w:t>
            </w:r>
          </w:p>
        </w:tc>
        <w:tc>
          <w:tcPr>
            <w:tcW w:w="51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20,16</w:t>
            </w:r>
          </w:p>
        </w:tc>
        <w:tc>
          <w:tcPr>
            <w:tcW w:w="43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2,93</w:t>
            </w:r>
          </w:p>
        </w:tc>
        <w:tc>
          <w:tcPr>
            <w:tcW w:w="43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0,66</w:t>
            </w:r>
          </w:p>
        </w:tc>
        <w:tc>
          <w:tcPr>
            <w:tcW w:w="518" w:type="pct"/>
            <w:tcBorders>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13,04</w:t>
            </w:r>
          </w:p>
        </w:tc>
      </w:tr>
      <w:tr w:rsidR="009762DA" w:rsidRPr="009762DA" w:rsidTr="00AF53FF">
        <w:trPr>
          <w:trHeight w:val="284"/>
          <w:jc w:val="center"/>
        </w:trPr>
        <w:tc>
          <w:tcPr>
            <w:tcW w:w="820" w:type="pct"/>
            <w:tcBorders>
              <w:top w:val="single" w:sz="4" w:space="0" w:color="auto"/>
              <w:left w:val="thinThickSmallGap" w:sz="12"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A+B+C</w:t>
            </w:r>
            <w:r w:rsidRPr="009762DA">
              <w:rPr>
                <w:rFonts w:asciiTheme="minorHAnsi" w:hAnsiTheme="minorHAnsi" w:cstheme="minorHAnsi"/>
                <w:b/>
                <w:szCs w:val="20"/>
                <w:vertAlign w:val="subscript"/>
              </w:rPr>
              <w:t>1</w:t>
            </w:r>
          </w:p>
        </w:tc>
        <w:tc>
          <w:tcPr>
            <w:tcW w:w="1307" w:type="pct"/>
            <w:tcBorders>
              <w:top w:val="sing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3.699.694</w:t>
            </w:r>
          </w:p>
        </w:tc>
        <w:tc>
          <w:tcPr>
            <w:tcW w:w="518" w:type="pct"/>
            <w:tcBorders>
              <w:top w:val="single" w:sz="4" w:space="0" w:color="auto"/>
              <w:left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59,53</w:t>
            </w:r>
          </w:p>
        </w:tc>
        <w:tc>
          <w:tcPr>
            <w:tcW w:w="439" w:type="pct"/>
            <w:tcBorders>
              <w:top w:val="sing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2,38</w:t>
            </w:r>
          </w:p>
        </w:tc>
        <w:tc>
          <w:tcPr>
            <w:tcW w:w="519" w:type="pct"/>
            <w:tcBorders>
              <w:top w:val="sing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20,74</w:t>
            </w:r>
          </w:p>
        </w:tc>
        <w:tc>
          <w:tcPr>
            <w:tcW w:w="439" w:type="pct"/>
            <w:tcBorders>
              <w:top w:val="sing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2,96</w:t>
            </w:r>
          </w:p>
        </w:tc>
        <w:tc>
          <w:tcPr>
            <w:tcW w:w="439" w:type="pct"/>
            <w:tcBorders>
              <w:top w:val="sing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0,66</w:t>
            </w:r>
          </w:p>
        </w:tc>
        <w:tc>
          <w:tcPr>
            <w:tcW w:w="518" w:type="pct"/>
            <w:tcBorders>
              <w:top w:val="single" w:sz="4" w:space="0" w:color="auto"/>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12,81</w:t>
            </w:r>
          </w:p>
        </w:tc>
      </w:tr>
      <w:tr w:rsidR="009762DA" w:rsidRPr="009762DA" w:rsidTr="00AF53FF">
        <w:trPr>
          <w:trHeight w:val="204"/>
          <w:jc w:val="center"/>
        </w:trPr>
        <w:tc>
          <w:tcPr>
            <w:tcW w:w="5000" w:type="pct"/>
            <w:gridSpan w:val="8"/>
            <w:tcBorders>
              <w:top w:val="double" w:sz="4" w:space="0" w:color="auto"/>
              <w:left w:val="thinThickSmallGap" w:sz="12" w:space="0" w:color="auto"/>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i/>
                <w:szCs w:val="20"/>
              </w:rPr>
            </w:pPr>
            <w:r w:rsidRPr="009762DA">
              <w:rPr>
                <w:rFonts w:asciiTheme="minorHAnsi" w:hAnsiTheme="minorHAnsi" w:cstheme="minorHAnsi"/>
                <w:b/>
                <w:i/>
                <w:szCs w:val="20"/>
              </w:rPr>
              <w:t>Rudno tijelo Zagrad IV</w:t>
            </w:r>
          </w:p>
        </w:tc>
      </w:tr>
      <w:tr w:rsidR="009762DA" w:rsidRPr="009762DA" w:rsidTr="00AF53FF">
        <w:trPr>
          <w:trHeight w:val="284"/>
          <w:jc w:val="center"/>
        </w:trPr>
        <w:tc>
          <w:tcPr>
            <w:tcW w:w="820" w:type="pct"/>
            <w:tcBorders>
              <w:top w:val="double" w:sz="4" w:space="0" w:color="auto"/>
              <w:lef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w:t>
            </w:r>
          </w:p>
        </w:tc>
        <w:tc>
          <w:tcPr>
            <w:tcW w:w="1307" w:type="pct"/>
            <w:tcBorders>
              <w:top w:val="double" w:sz="4"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89.724</w:t>
            </w:r>
          </w:p>
        </w:tc>
        <w:tc>
          <w:tcPr>
            <w:tcW w:w="518" w:type="pct"/>
            <w:tcBorders>
              <w:top w:val="double" w:sz="4" w:space="0" w:color="auto"/>
              <w:left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59.28</w:t>
            </w:r>
          </w:p>
        </w:tc>
        <w:tc>
          <w:tcPr>
            <w:tcW w:w="43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3.53</w:t>
            </w:r>
          </w:p>
        </w:tc>
        <w:tc>
          <w:tcPr>
            <w:tcW w:w="51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20.20</w:t>
            </w:r>
          </w:p>
        </w:tc>
        <w:tc>
          <w:tcPr>
            <w:tcW w:w="43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2.96</w:t>
            </w:r>
          </w:p>
        </w:tc>
        <w:tc>
          <w:tcPr>
            <w:tcW w:w="43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0.62</w:t>
            </w:r>
          </w:p>
        </w:tc>
        <w:tc>
          <w:tcPr>
            <w:tcW w:w="518" w:type="pct"/>
            <w:tcBorders>
              <w:top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13.01</w:t>
            </w:r>
          </w:p>
        </w:tc>
      </w:tr>
      <w:tr w:rsidR="009762DA" w:rsidRPr="009762DA" w:rsidTr="00AF53FF">
        <w:trPr>
          <w:trHeight w:val="284"/>
          <w:jc w:val="center"/>
        </w:trPr>
        <w:tc>
          <w:tcPr>
            <w:tcW w:w="820" w:type="pct"/>
            <w:tcBorders>
              <w:left w:val="thinThickSmallGap" w:sz="12"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B</w:t>
            </w:r>
          </w:p>
        </w:tc>
        <w:tc>
          <w:tcPr>
            <w:tcW w:w="1307"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73.850</w:t>
            </w:r>
          </w:p>
        </w:tc>
        <w:tc>
          <w:tcPr>
            <w:tcW w:w="518" w:type="pct"/>
            <w:tcBorders>
              <w:left w:val="double" w:sz="4"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58.67</w:t>
            </w:r>
          </w:p>
        </w:tc>
        <w:tc>
          <w:tcPr>
            <w:tcW w:w="43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4.36</w:t>
            </w:r>
          </w:p>
        </w:tc>
        <w:tc>
          <w:tcPr>
            <w:tcW w:w="51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19.54</w:t>
            </w:r>
          </w:p>
        </w:tc>
        <w:tc>
          <w:tcPr>
            <w:tcW w:w="43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2.93</w:t>
            </w:r>
          </w:p>
        </w:tc>
        <w:tc>
          <w:tcPr>
            <w:tcW w:w="43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0.75</w:t>
            </w:r>
          </w:p>
        </w:tc>
        <w:tc>
          <w:tcPr>
            <w:tcW w:w="518" w:type="pct"/>
            <w:tcBorders>
              <w:bottom w:val="sing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13.29</w:t>
            </w:r>
          </w:p>
        </w:tc>
      </w:tr>
      <w:tr w:rsidR="009762DA" w:rsidRPr="009762DA" w:rsidTr="00AF53FF">
        <w:trPr>
          <w:trHeight w:val="284"/>
          <w:jc w:val="center"/>
        </w:trPr>
        <w:tc>
          <w:tcPr>
            <w:tcW w:w="820" w:type="pct"/>
            <w:tcBorders>
              <w:left w:val="thinThickSmallGap" w:sz="12"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C</w:t>
            </w:r>
            <w:r w:rsidRPr="009762DA">
              <w:rPr>
                <w:rFonts w:asciiTheme="minorHAnsi" w:hAnsiTheme="minorHAnsi" w:cstheme="minorHAnsi"/>
                <w:b/>
                <w:szCs w:val="20"/>
                <w:vertAlign w:val="subscript"/>
              </w:rPr>
              <w:t>1</w:t>
            </w:r>
          </w:p>
        </w:tc>
        <w:tc>
          <w:tcPr>
            <w:tcW w:w="1307"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71.545</w:t>
            </w:r>
          </w:p>
        </w:tc>
        <w:tc>
          <w:tcPr>
            <w:tcW w:w="518" w:type="pct"/>
            <w:tcBorders>
              <w:left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59.13</w:t>
            </w:r>
          </w:p>
        </w:tc>
        <w:tc>
          <w:tcPr>
            <w:tcW w:w="43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4.96</w:t>
            </w:r>
          </w:p>
        </w:tc>
        <w:tc>
          <w:tcPr>
            <w:tcW w:w="51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20.14</w:t>
            </w:r>
          </w:p>
        </w:tc>
        <w:tc>
          <w:tcPr>
            <w:tcW w:w="43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2.92</w:t>
            </w:r>
          </w:p>
        </w:tc>
        <w:tc>
          <w:tcPr>
            <w:tcW w:w="43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0.55</w:t>
            </w:r>
          </w:p>
        </w:tc>
        <w:tc>
          <w:tcPr>
            <w:tcW w:w="518" w:type="pct"/>
            <w:tcBorders>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12.94</w:t>
            </w:r>
          </w:p>
        </w:tc>
      </w:tr>
      <w:tr w:rsidR="009762DA" w:rsidRPr="009762DA" w:rsidTr="00AF53FF">
        <w:trPr>
          <w:trHeight w:val="284"/>
          <w:jc w:val="center"/>
        </w:trPr>
        <w:tc>
          <w:tcPr>
            <w:tcW w:w="820" w:type="pct"/>
            <w:tcBorders>
              <w:top w:val="double" w:sz="4" w:space="0" w:color="auto"/>
              <w:left w:val="thinThickSmallGap" w:sz="12"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A+B+C</w:t>
            </w:r>
            <w:r w:rsidRPr="009762DA">
              <w:rPr>
                <w:rFonts w:asciiTheme="minorHAnsi" w:hAnsiTheme="minorHAnsi" w:cstheme="minorHAnsi"/>
                <w:b/>
                <w:szCs w:val="20"/>
                <w:vertAlign w:val="subscript"/>
              </w:rPr>
              <w:t>1</w:t>
            </w:r>
          </w:p>
        </w:tc>
        <w:tc>
          <w:tcPr>
            <w:tcW w:w="1307" w:type="pct"/>
            <w:tcBorders>
              <w:top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235.119</w:t>
            </w:r>
          </w:p>
        </w:tc>
        <w:tc>
          <w:tcPr>
            <w:tcW w:w="518" w:type="pct"/>
            <w:tcBorders>
              <w:top w:val="double" w:sz="4" w:space="0" w:color="auto"/>
              <w:left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58,74</w:t>
            </w:r>
          </w:p>
        </w:tc>
        <w:tc>
          <w:tcPr>
            <w:tcW w:w="439" w:type="pct"/>
            <w:tcBorders>
              <w:top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4,22</w:t>
            </w:r>
          </w:p>
        </w:tc>
        <w:tc>
          <w:tcPr>
            <w:tcW w:w="519" w:type="pct"/>
            <w:tcBorders>
              <w:top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19,97</w:t>
            </w:r>
          </w:p>
        </w:tc>
        <w:tc>
          <w:tcPr>
            <w:tcW w:w="439" w:type="pct"/>
            <w:tcBorders>
              <w:top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2,94</w:t>
            </w:r>
          </w:p>
        </w:tc>
        <w:tc>
          <w:tcPr>
            <w:tcW w:w="439" w:type="pct"/>
            <w:tcBorders>
              <w:top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0,64</w:t>
            </w:r>
          </w:p>
        </w:tc>
        <w:tc>
          <w:tcPr>
            <w:tcW w:w="518" w:type="pct"/>
            <w:tcBorders>
              <w:top w:val="double" w:sz="4" w:space="0" w:color="auto"/>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13,08</w:t>
            </w:r>
          </w:p>
        </w:tc>
      </w:tr>
      <w:tr w:rsidR="009762DA" w:rsidRPr="009762DA" w:rsidTr="00AF53FF">
        <w:trPr>
          <w:trHeight w:val="204"/>
          <w:jc w:val="center"/>
        </w:trPr>
        <w:tc>
          <w:tcPr>
            <w:tcW w:w="5000" w:type="pct"/>
            <w:gridSpan w:val="8"/>
            <w:tcBorders>
              <w:top w:val="double" w:sz="4" w:space="0" w:color="auto"/>
              <w:left w:val="thinThickSmallGap" w:sz="12" w:space="0" w:color="auto"/>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i/>
                <w:szCs w:val="20"/>
              </w:rPr>
            </w:pPr>
            <w:r w:rsidRPr="009762DA">
              <w:rPr>
                <w:rFonts w:asciiTheme="minorHAnsi" w:hAnsiTheme="minorHAnsi" w:cstheme="minorHAnsi"/>
                <w:b/>
                <w:i/>
                <w:szCs w:val="20"/>
              </w:rPr>
              <w:t>UKUPNO ZAGRAD</w:t>
            </w:r>
          </w:p>
        </w:tc>
      </w:tr>
      <w:tr w:rsidR="009762DA" w:rsidRPr="009762DA" w:rsidTr="00AF53FF">
        <w:trPr>
          <w:trHeight w:val="284"/>
          <w:jc w:val="center"/>
        </w:trPr>
        <w:tc>
          <w:tcPr>
            <w:tcW w:w="820" w:type="pct"/>
            <w:tcBorders>
              <w:top w:val="double" w:sz="4" w:space="0" w:color="auto"/>
              <w:lef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w:t>
            </w:r>
          </w:p>
        </w:tc>
        <w:tc>
          <w:tcPr>
            <w:tcW w:w="1307"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2.623.007</w:t>
            </w:r>
          </w:p>
        </w:tc>
        <w:tc>
          <w:tcPr>
            <w:tcW w:w="518" w:type="pct"/>
            <w:tcBorders>
              <w:top w:val="double" w:sz="4" w:space="0" w:color="auto"/>
              <w:left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60,16</w:t>
            </w:r>
          </w:p>
        </w:tc>
        <w:tc>
          <w:tcPr>
            <w:tcW w:w="43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2,18</w:t>
            </w:r>
          </w:p>
        </w:tc>
        <w:tc>
          <w:tcPr>
            <w:tcW w:w="51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20,94</w:t>
            </w:r>
          </w:p>
        </w:tc>
        <w:tc>
          <w:tcPr>
            <w:tcW w:w="43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2,99</w:t>
            </w:r>
          </w:p>
        </w:tc>
        <w:tc>
          <w:tcPr>
            <w:tcW w:w="439"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0,68</w:t>
            </w:r>
          </w:p>
        </w:tc>
        <w:tc>
          <w:tcPr>
            <w:tcW w:w="518" w:type="pct"/>
            <w:tcBorders>
              <w:top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12,88</w:t>
            </w:r>
          </w:p>
        </w:tc>
      </w:tr>
      <w:tr w:rsidR="009762DA" w:rsidRPr="009762DA" w:rsidTr="00AF53FF">
        <w:trPr>
          <w:trHeight w:val="284"/>
          <w:jc w:val="center"/>
        </w:trPr>
        <w:tc>
          <w:tcPr>
            <w:tcW w:w="820" w:type="pct"/>
            <w:tcBorders>
              <w:left w:val="thinThickSmallGap" w:sz="12"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B</w:t>
            </w:r>
          </w:p>
        </w:tc>
        <w:tc>
          <w:tcPr>
            <w:tcW w:w="1307"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943.056</w:t>
            </w:r>
          </w:p>
        </w:tc>
        <w:tc>
          <w:tcPr>
            <w:tcW w:w="518" w:type="pct"/>
            <w:tcBorders>
              <w:left w:val="double" w:sz="4"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59,57</w:t>
            </w:r>
          </w:p>
        </w:tc>
        <w:tc>
          <w:tcPr>
            <w:tcW w:w="43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2,72</w:t>
            </w:r>
          </w:p>
        </w:tc>
        <w:tc>
          <w:tcPr>
            <w:tcW w:w="51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20,71</w:t>
            </w:r>
          </w:p>
        </w:tc>
        <w:tc>
          <w:tcPr>
            <w:tcW w:w="43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2,98</w:t>
            </w:r>
          </w:p>
        </w:tc>
        <w:tc>
          <w:tcPr>
            <w:tcW w:w="439"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0,61</w:t>
            </w:r>
          </w:p>
        </w:tc>
        <w:tc>
          <w:tcPr>
            <w:tcW w:w="518" w:type="pct"/>
            <w:tcBorders>
              <w:bottom w:val="sing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13,29</w:t>
            </w:r>
          </w:p>
        </w:tc>
      </w:tr>
      <w:tr w:rsidR="009762DA" w:rsidRPr="009762DA" w:rsidTr="00AF53FF">
        <w:trPr>
          <w:trHeight w:val="284"/>
          <w:jc w:val="center"/>
        </w:trPr>
        <w:tc>
          <w:tcPr>
            <w:tcW w:w="820" w:type="pct"/>
            <w:tcBorders>
              <w:left w:val="thinThickSmallGap" w:sz="12"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C</w:t>
            </w:r>
            <w:r w:rsidRPr="009762DA">
              <w:rPr>
                <w:rFonts w:asciiTheme="minorHAnsi" w:hAnsiTheme="minorHAnsi" w:cstheme="minorHAnsi"/>
                <w:b/>
                <w:szCs w:val="20"/>
                <w:vertAlign w:val="subscript"/>
              </w:rPr>
              <w:t>1</w:t>
            </w:r>
          </w:p>
        </w:tc>
        <w:tc>
          <w:tcPr>
            <w:tcW w:w="1307"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368.750</w:t>
            </w:r>
          </w:p>
        </w:tc>
        <w:tc>
          <w:tcPr>
            <w:tcW w:w="518" w:type="pct"/>
            <w:tcBorders>
              <w:left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58,21</w:t>
            </w:r>
          </w:p>
        </w:tc>
        <w:tc>
          <w:tcPr>
            <w:tcW w:w="43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4,22</w:t>
            </w:r>
          </w:p>
        </w:tc>
        <w:tc>
          <w:tcPr>
            <w:tcW w:w="51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20,16</w:t>
            </w:r>
          </w:p>
        </w:tc>
        <w:tc>
          <w:tcPr>
            <w:tcW w:w="43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2,93</w:t>
            </w:r>
          </w:p>
        </w:tc>
        <w:tc>
          <w:tcPr>
            <w:tcW w:w="439"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0,66</w:t>
            </w:r>
          </w:p>
        </w:tc>
        <w:tc>
          <w:tcPr>
            <w:tcW w:w="518" w:type="pct"/>
            <w:tcBorders>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13,04</w:t>
            </w:r>
          </w:p>
        </w:tc>
      </w:tr>
      <w:tr w:rsidR="009762DA" w:rsidRPr="009762DA" w:rsidTr="00AF53FF">
        <w:trPr>
          <w:trHeight w:val="284"/>
          <w:jc w:val="center"/>
        </w:trPr>
        <w:tc>
          <w:tcPr>
            <w:tcW w:w="820" w:type="pct"/>
            <w:tcBorders>
              <w:top w:val="double" w:sz="4" w:space="0" w:color="auto"/>
              <w:left w:val="thinThickSmallGap" w:sz="12" w:space="0" w:color="auto"/>
              <w:bottom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A+B+C</w:t>
            </w:r>
            <w:r w:rsidRPr="009762DA">
              <w:rPr>
                <w:rFonts w:asciiTheme="minorHAnsi" w:hAnsiTheme="minorHAnsi" w:cstheme="minorHAnsi"/>
                <w:b/>
                <w:szCs w:val="20"/>
                <w:vertAlign w:val="subscript"/>
              </w:rPr>
              <w:t>1</w:t>
            </w:r>
          </w:p>
        </w:tc>
        <w:tc>
          <w:tcPr>
            <w:tcW w:w="1307" w:type="pct"/>
            <w:tcBorders>
              <w:top w:val="double" w:sz="4" w:space="0" w:color="auto"/>
              <w:bottom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3.934.813</w:t>
            </w:r>
          </w:p>
        </w:tc>
        <w:tc>
          <w:tcPr>
            <w:tcW w:w="518" w:type="pct"/>
            <w:tcBorders>
              <w:top w:val="double" w:sz="4" w:space="0" w:color="auto"/>
              <w:left w:val="double" w:sz="4" w:space="0" w:color="auto"/>
              <w:bottom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59,48</w:t>
            </w:r>
          </w:p>
        </w:tc>
        <w:tc>
          <w:tcPr>
            <w:tcW w:w="439" w:type="pct"/>
            <w:tcBorders>
              <w:top w:val="double" w:sz="4" w:space="0" w:color="auto"/>
              <w:bottom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2,49</w:t>
            </w:r>
          </w:p>
        </w:tc>
        <w:tc>
          <w:tcPr>
            <w:tcW w:w="519" w:type="pct"/>
            <w:tcBorders>
              <w:top w:val="double" w:sz="4" w:space="0" w:color="auto"/>
              <w:bottom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20,69</w:t>
            </w:r>
          </w:p>
        </w:tc>
        <w:tc>
          <w:tcPr>
            <w:tcW w:w="439" w:type="pct"/>
            <w:tcBorders>
              <w:top w:val="double" w:sz="4" w:space="0" w:color="auto"/>
              <w:bottom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2,96</w:t>
            </w:r>
          </w:p>
        </w:tc>
        <w:tc>
          <w:tcPr>
            <w:tcW w:w="439" w:type="pct"/>
            <w:tcBorders>
              <w:top w:val="double" w:sz="4" w:space="0" w:color="auto"/>
              <w:bottom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0,66</w:t>
            </w:r>
          </w:p>
        </w:tc>
        <w:tc>
          <w:tcPr>
            <w:tcW w:w="518" w:type="pct"/>
            <w:tcBorders>
              <w:top w:val="double" w:sz="4" w:space="0" w:color="auto"/>
              <w:bottom w:val="thinThickSmallGap" w:sz="12"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12,83</w:t>
            </w:r>
          </w:p>
        </w:tc>
      </w:tr>
    </w:tbl>
    <w:p w:rsidR="009762DA" w:rsidRPr="009762DA" w:rsidRDefault="009762DA" w:rsidP="00403695">
      <w:pPr>
        <w:jc w:val="both"/>
        <w:rPr>
          <w:rFonts w:asciiTheme="minorHAnsi" w:hAnsiTheme="minorHAnsi" w:cstheme="minorHAnsi"/>
          <w:sz w:val="20"/>
          <w:szCs w:val="20"/>
        </w:rPr>
      </w:pPr>
    </w:p>
    <w:p w:rsidR="009762DA" w:rsidRPr="00403695" w:rsidRDefault="009762DA" w:rsidP="00403695">
      <w:pPr>
        <w:jc w:val="both"/>
        <w:rPr>
          <w:rFonts w:asciiTheme="minorHAnsi" w:hAnsiTheme="minorHAnsi" w:cstheme="minorHAnsi"/>
          <w:sz w:val="20"/>
          <w:szCs w:val="20"/>
        </w:rPr>
      </w:pPr>
      <w:r w:rsidRPr="00403695">
        <w:rPr>
          <w:rFonts w:asciiTheme="minorHAnsi" w:hAnsiTheme="minorHAnsi" w:cstheme="minorHAnsi"/>
          <w:sz w:val="20"/>
          <w:szCs w:val="20"/>
        </w:rPr>
        <w:t>U periodu od 01.01.2007. godine do vrem</w:t>
      </w:r>
      <w:r w:rsidR="00A23A61" w:rsidRPr="00403695">
        <w:rPr>
          <w:rFonts w:asciiTheme="minorHAnsi" w:hAnsiTheme="minorHAnsi" w:cstheme="minorHAnsi"/>
          <w:sz w:val="20"/>
          <w:szCs w:val="20"/>
        </w:rPr>
        <w:t>ena izrade ovog Plana</w:t>
      </w:r>
      <w:r w:rsidRPr="00403695">
        <w:rPr>
          <w:rFonts w:asciiTheme="minorHAnsi" w:hAnsiTheme="minorHAnsi" w:cstheme="minorHAnsi"/>
          <w:sz w:val="20"/>
          <w:szCs w:val="20"/>
        </w:rPr>
        <w:t xml:space="preserve">, prema podacima dobijenim od AD Rudnici boksita </w:t>
      </w:r>
      <w:r w:rsidR="0074328A" w:rsidRPr="00403695">
        <w:rPr>
          <w:rFonts w:asciiTheme="minorHAnsi" w:hAnsiTheme="minorHAnsi" w:cstheme="minorHAnsi"/>
          <w:sz w:val="20"/>
          <w:szCs w:val="20"/>
        </w:rPr>
        <w:t>– Nikšić, iz ležišta “Zagrad”  otkopane</w:t>
      </w:r>
      <w:r w:rsidRPr="00403695">
        <w:rPr>
          <w:rFonts w:asciiTheme="minorHAnsi" w:hAnsiTheme="minorHAnsi" w:cstheme="minorHAnsi"/>
          <w:sz w:val="20"/>
          <w:szCs w:val="20"/>
        </w:rPr>
        <w:t xml:space="preserve"> količine crvenog b</w:t>
      </w:r>
      <w:r w:rsidR="0074328A" w:rsidRPr="00403695">
        <w:rPr>
          <w:rFonts w:asciiTheme="minorHAnsi" w:hAnsiTheme="minorHAnsi" w:cstheme="minorHAnsi"/>
          <w:sz w:val="20"/>
          <w:szCs w:val="20"/>
        </w:rPr>
        <w:t xml:space="preserve">oksita iznose  i jalovine iznose ukupno </w:t>
      </w:r>
      <w:r w:rsidR="0074328A" w:rsidRPr="00403695">
        <w:rPr>
          <w:rFonts w:asciiTheme="minorHAnsi" w:hAnsiTheme="minorHAnsi" w:cstheme="minorHAnsi"/>
          <w:b/>
          <w:sz w:val="20"/>
          <w:szCs w:val="20"/>
        </w:rPr>
        <w:t>901.454 t</w:t>
      </w:r>
      <w:r w:rsidR="0074328A" w:rsidRPr="00403695">
        <w:rPr>
          <w:rFonts w:asciiTheme="minorHAnsi" w:hAnsiTheme="minorHAnsi" w:cstheme="minorHAnsi"/>
          <w:sz w:val="20"/>
          <w:szCs w:val="20"/>
        </w:rPr>
        <w:t xml:space="preserve"> i jalovine ukupno </w:t>
      </w:r>
      <w:r w:rsidR="0074328A" w:rsidRPr="00403695">
        <w:rPr>
          <w:rFonts w:asciiTheme="minorHAnsi" w:hAnsiTheme="minorHAnsi" w:cstheme="minorHAnsi"/>
          <w:b/>
          <w:sz w:val="20"/>
          <w:szCs w:val="20"/>
        </w:rPr>
        <w:t>2.879.520 m</w:t>
      </w:r>
      <w:r w:rsidR="0074328A" w:rsidRPr="00403695">
        <w:rPr>
          <w:rFonts w:asciiTheme="minorHAnsi" w:hAnsiTheme="minorHAnsi" w:cstheme="minorHAnsi"/>
          <w:b/>
          <w:sz w:val="20"/>
          <w:szCs w:val="20"/>
          <w:vertAlign w:val="superscript"/>
        </w:rPr>
        <w:t>3</w:t>
      </w:r>
      <w:r w:rsidR="00403695">
        <w:rPr>
          <w:rFonts w:asciiTheme="minorHAnsi" w:hAnsiTheme="minorHAnsi" w:cstheme="minorHAnsi"/>
          <w:b/>
          <w:sz w:val="20"/>
          <w:szCs w:val="20"/>
        </w:rPr>
        <w:t>.</w:t>
      </w:r>
    </w:p>
    <w:p w:rsidR="009762DA" w:rsidRPr="009762DA" w:rsidRDefault="009762DA" w:rsidP="00403695">
      <w:pPr>
        <w:jc w:val="both"/>
        <w:rPr>
          <w:rFonts w:asciiTheme="minorHAnsi" w:hAnsiTheme="minorHAnsi" w:cstheme="minorHAnsi"/>
          <w:sz w:val="20"/>
          <w:szCs w:val="20"/>
        </w:rPr>
      </w:pP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U cilju utvrđivanja stanja rezervi i kvaliteta preostale mineralne sirovine u ležištu, neophodno je uraditi novi Elaborat o klasifikaciji, kategorizaciji i proračunu rezervi crvenog boksita u ležištu “Zagrad”, u skladu sa zakonom.</w:t>
      </w:r>
    </w:p>
    <w:p w:rsidR="009762DA" w:rsidRPr="009762DA" w:rsidRDefault="009762DA" w:rsidP="00403695">
      <w:pPr>
        <w:jc w:val="both"/>
        <w:rPr>
          <w:rFonts w:asciiTheme="minorHAnsi" w:hAnsiTheme="minorHAnsi" w:cstheme="minorHAnsi"/>
          <w:sz w:val="20"/>
          <w:szCs w:val="20"/>
        </w:rPr>
      </w:pPr>
    </w:p>
    <w:p w:rsidR="009762DA" w:rsidRDefault="0074328A" w:rsidP="00403695">
      <w:pPr>
        <w:pStyle w:val="Heading4"/>
        <w:numPr>
          <w:ilvl w:val="0"/>
          <w:numId w:val="16"/>
        </w:numPr>
        <w:spacing w:before="0"/>
        <w:rPr>
          <w:rFonts w:asciiTheme="minorHAnsi" w:hAnsiTheme="minorHAnsi" w:cstheme="minorHAnsi"/>
          <w:i w:val="0"/>
          <w:color w:val="auto"/>
          <w:sz w:val="20"/>
          <w:szCs w:val="20"/>
        </w:rPr>
      </w:pPr>
      <w:r w:rsidRPr="0074328A">
        <w:rPr>
          <w:rFonts w:asciiTheme="minorHAnsi" w:hAnsiTheme="minorHAnsi" w:cstheme="minorHAnsi"/>
          <w:i w:val="0"/>
          <w:color w:val="auto"/>
          <w:sz w:val="20"/>
          <w:szCs w:val="20"/>
        </w:rPr>
        <w:t>Ležište “Đurakov do</w:t>
      </w:r>
      <w:r w:rsidR="00403695">
        <w:rPr>
          <w:rFonts w:asciiTheme="minorHAnsi" w:hAnsiTheme="minorHAnsi" w:cstheme="minorHAnsi"/>
          <w:i w:val="0"/>
          <w:color w:val="auto"/>
          <w:sz w:val="20"/>
          <w:szCs w:val="20"/>
        </w:rPr>
        <w:t xml:space="preserve"> II</w:t>
      </w:r>
      <w:r w:rsidRPr="0074328A">
        <w:rPr>
          <w:rFonts w:asciiTheme="minorHAnsi" w:hAnsiTheme="minorHAnsi" w:cstheme="minorHAnsi"/>
          <w:i w:val="0"/>
          <w:color w:val="auto"/>
          <w:sz w:val="20"/>
          <w:szCs w:val="20"/>
        </w:rPr>
        <w:t>”</w:t>
      </w:r>
    </w:p>
    <w:p w:rsidR="00FC5732" w:rsidRPr="00FC5732" w:rsidRDefault="00FC5732" w:rsidP="00FC5732"/>
    <w:p w:rsidR="009762DA" w:rsidRPr="009762DA" w:rsidRDefault="009762DA" w:rsidP="00403695">
      <w:pPr>
        <w:pStyle w:val="Heading4"/>
        <w:numPr>
          <w:ilvl w:val="3"/>
          <w:numId w:val="0"/>
        </w:numPr>
        <w:spacing w:before="0"/>
        <w:rPr>
          <w:rFonts w:asciiTheme="minorHAnsi" w:hAnsiTheme="minorHAnsi" w:cstheme="minorHAnsi"/>
          <w:color w:val="auto"/>
          <w:sz w:val="20"/>
          <w:szCs w:val="20"/>
        </w:rPr>
      </w:pPr>
      <w:r w:rsidRPr="009762DA">
        <w:rPr>
          <w:rFonts w:asciiTheme="minorHAnsi" w:hAnsiTheme="minorHAnsi" w:cstheme="minorHAnsi"/>
          <w:color w:val="auto"/>
          <w:sz w:val="20"/>
          <w:szCs w:val="20"/>
        </w:rPr>
        <w:t>Geološka građa</w:t>
      </w:r>
    </w:p>
    <w:p w:rsidR="009762DA" w:rsidRPr="00472F12" w:rsidRDefault="009762DA" w:rsidP="00403695">
      <w:pPr>
        <w:pStyle w:val="BodyText"/>
        <w:rPr>
          <w:rFonts w:asciiTheme="minorHAnsi" w:hAnsiTheme="minorHAnsi" w:cstheme="minorHAnsi"/>
          <w:b w:val="0"/>
          <w:sz w:val="20"/>
          <w:szCs w:val="20"/>
        </w:rPr>
      </w:pPr>
    </w:p>
    <w:p w:rsidR="009762DA" w:rsidRPr="009762DA" w:rsidRDefault="009762DA" w:rsidP="00403695">
      <w:pPr>
        <w:pStyle w:val="BodyText"/>
        <w:rPr>
          <w:rFonts w:asciiTheme="minorHAnsi" w:hAnsiTheme="minorHAnsi" w:cstheme="minorHAnsi"/>
          <w:sz w:val="20"/>
          <w:szCs w:val="20"/>
        </w:rPr>
      </w:pPr>
      <w:r w:rsidRPr="00472F12">
        <w:rPr>
          <w:rFonts w:asciiTheme="minorHAnsi" w:hAnsiTheme="minorHAnsi" w:cstheme="minorHAnsi"/>
          <w:b w:val="0"/>
          <w:sz w:val="20"/>
          <w:szCs w:val="20"/>
        </w:rPr>
        <w:t xml:space="preserve">Širi prostor ležišta </w:t>
      </w:r>
      <w:r w:rsidRPr="00472F12">
        <w:rPr>
          <w:rFonts w:asciiTheme="minorHAnsi" w:hAnsiTheme="minorHAnsi" w:cstheme="minorHAnsi"/>
          <w:b w:val="0"/>
          <w:sz w:val="20"/>
          <w:szCs w:val="20"/>
          <w:lang w:val="sr-Cyrl-CS"/>
        </w:rPr>
        <w:t>“</w:t>
      </w:r>
      <w:r w:rsidRPr="00472F12">
        <w:rPr>
          <w:rFonts w:asciiTheme="minorHAnsi" w:hAnsiTheme="minorHAnsi" w:cstheme="minorHAnsi"/>
          <w:b w:val="0"/>
          <w:sz w:val="20"/>
          <w:szCs w:val="20"/>
        </w:rPr>
        <w:t>Đurakov do</w:t>
      </w:r>
      <w:r w:rsidRPr="00472F12">
        <w:rPr>
          <w:rFonts w:asciiTheme="minorHAnsi" w:hAnsiTheme="minorHAnsi" w:cstheme="minorHAnsi"/>
          <w:b w:val="0"/>
          <w:sz w:val="20"/>
          <w:szCs w:val="20"/>
          <w:lang w:val="sr-Cyrl-CS"/>
        </w:rPr>
        <w:t>”</w:t>
      </w:r>
      <w:r w:rsidRPr="00472F12">
        <w:rPr>
          <w:rFonts w:asciiTheme="minorHAnsi" w:hAnsiTheme="minorHAnsi" w:cstheme="minorHAnsi"/>
          <w:b w:val="0"/>
          <w:sz w:val="20"/>
          <w:szCs w:val="20"/>
        </w:rPr>
        <w:t xml:space="preserve"> izgradjuju karbonatni sedimenti trijasa, jure i krede. U kopnenoj fazi koja je bila između gornjeg trijasa (ret) i gornje jure (titon) stvoreno je više rudnih tijela crvenih boksita. Podina crvenih boksita izgrađena je od gornjetrijaskih – retskih megalodonskih, bankovitih i masivnih krečnjaka koji se javljaju u jugozapadnom obodnom dijelu ležišta. Ovi krečnjaci su intenzivno karstifikovani i ispucali na kontaktu sa boksitima, uočava se i paleo i neokarstifikacija. Najčešći paleokarstni oblici su vrtače, uvale, škrape i dr., kao i pozitivni oblici "piramide", visine i do 15 m. U građi boksitnih tijela ističe se izvjesna zonarnost, sa postepenim prelazima: u donjem dijelu stuba su masivni boksiti bez oolita i pizolita, iznad su crveni masivni, zrnasti boksiti sa sitnim oolitima i nepravilnim nagomilanjima pizolita, a pri vrhu su tamnocrveni, kompaktni pizolitični boksiti. Takođ</w:t>
      </w:r>
      <w:r w:rsidR="00676BA0">
        <w:rPr>
          <w:rFonts w:asciiTheme="minorHAnsi" w:hAnsiTheme="minorHAnsi" w:cstheme="minorHAnsi"/>
          <w:b w:val="0"/>
          <w:sz w:val="20"/>
          <w:szCs w:val="20"/>
        </w:rPr>
        <w:t>,</w:t>
      </w:r>
      <w:r w:rsidRPr="00472F12">
        <w:rPr>
          <w:rFonts w:asciiTheme="minorHAnsi" w:hAnsiTheme="minorHAnsi" w:cstheme="minorHAnsi"/>
          <w:b w:val="0"/>
          <w:sz w:val="20"/>
          <w:szCs w:val="20"/>
        </w:rPr>
        <w:t xml:space="preserve"> ističe </w:t>
      </w:r>
      <w:r w:rsidR="00676BA0">
        <w:rPr>
          <w:rFonts w:asciiTheme="minorHAnsi" w:hAnsiTheme="minorHAnsi" w:cstheme="minorHAnsi"/>
          <w:b w:val="0"/>
          <w:sz w:val="20"/>
          <w:szCs w:val="20"/>
        </w:rPr>
        <w:t xml:space="preserve">se </w:t>
      </w:r>
      <w:r w:rsidRPr="00472F12">
        <w:rPr>
          <w:rFonts w:asciiTheme="minorHAnsi" w:hAnsiTheme="minorHAnsi" w:cstheme="minorHAnsi"/>
          <w:b w:val="0"/>
          <w:sz w:val="20"/>
          <w:szCs w:val="20"/>
        </w:rPr>
        <w:t>da se kvalitet boksita povećava od povlate prema podini i da je boksitizacija izvršena na mjestu. U neposrednoj krovini boksita nalazi se glina debljine 1 do 2 m. Preko ovih glina i krečnjaka gornjeg trijasa (tamo gdje izostaje boksit), transgresivno, leže slojeviti, sivi ili žućkasti krečnjaci titona sa clypeina-ma, koji se nalaze u prvom povlatnom sloju. Ovi krečnjaci, naviše, prelaze u krečnjačko-dolomitske sedimente donje krede</w:t>
      </w:r>
      <w:r w:rsidRPr="009762DA">
        <w:rPr>
          <w:rFonts w:asciiTheme="minorHAnsi" w:hAnsiTheme="minorHAnsi" w:cstheme="minorHAnsi"/>
          <w:sz w:val="20"/>
          <w:szCs w:val="20"/>
        </w:rPr>
        <w:t xml:space="preserve">. </w:t>
      </w:r>
    </w:p>
    <w:p w:rsidR="009762DA" w:rsidRPr="009762DA" w:rsidRDefault="00676BA0" w:rsidP="00403695">
      <w:pPr>
        <w:pStyle w:val="Heading4"/>
        <w:numPr>
          <w:ilvl w:val="3"/>
          <w:numId w:val="0"/>
        </w:numPr>
        <w:spacing w:before="0"/>
        <w:rPr>
          <w:rFonts w:asciiTheme="minorHAnsi" w:hAnsiTheme="minorHAnsi" w:cstheme="minorHAnsi"/>
          <w:color w:val="auto"/>
          <w:sz w:val="20"/>
          <w:szCs w:val="20"/>
          <w:lang w:val="sr-Latn-CS"/>
        </w:rPr>
      </w:pPr>
      <w:r>
        <w:rPr>
          <w:rFonts w:asciiTheme="minorHAnsi" w:eastAsia="Times New Roman" w:hAnsiTheme="minorHAnsi" w:cstheme="minorHAnsi"/>
          <w:bCs w:val="0"/>
          <w:i w:val="0"/>
          <w:iCs w:val="0"/>
          <w:color w:val="auto"/>
          <w:sz w:val="20"/>
          <w:szCs w:val="20"/>
          <w:lang w:val="sr-Latn-CS"/>
        </w:rPr>
        <w:t>K</w:t>
      </w:r>
      <w:r>
        <w:rPr>
          <w:rFonts w:asciiTheme="minorHAnsi" w:hAnsiTheme="minorHAnsi" w:cstheme="minorHAnsi"/>
          <w:color w:val="auto"/>
          <w:sz w:val="20"/>
          <w:szCs w:val="20"/>
          <w:lang w:val="sr-Latn-CS"/>
        </w:rPr>
        <w:t>valitet</w:t>
      </w:r>
      <w:r w:rsidR="009762DA" w:rsidRPr="009762DA">
        <w:rPr>
          <w:rFonts w:asciiTheme="minorHAnsi" w:hAnsiTheme="minorHAnsi" w:cstheme="minorHAnsi"/>
          <w:color w:val="auto"/>
          <w:sz w:val="20"/>
          <w:szCs w:val="20"/>
          <w:lang w:val="sr-Latn-CS"/>
        </w:rPr>
        <w:t xml:space="preserve"> boksita</w:t>
      </w:r>
    </w:p>
    <w:p w:rsidR="009762DA" w:rsidRPr="009762DA" w:rsidRDefault="009762DA" w:rsidP="00403695">
      <w:pPr>
        <w:pStyle w:val="BodyText"/>
        <w:rPr>
          <w:rFonts w:asciiTheme="minorHAnsi" w:hAnsiTheme="minorHAnsi" w:cstheme="minorHAnsi"/>
          <w:b w:val="0"/>
          <w:sz w:val="20"/>
          <w:szCs w:val="20"/>
        </w:rPr>
      </w:pPr>
    </w:p>
    <w:p w:rsidR="009762DA" w:rsidRPr="00676BA0" w:rsidRDefault="009762DA" w:rsidP="00403695">
      <w:pPr>
        <w:pStyle w:val="BodyText"/>
        <w:rPr>
          <w:rFonts w:asciiTheme="minorHAnsi" w:hAnsiTheme="minorHAnsi" w:cstheme="minorHAnsi"/>
          <w:b w:val="0"/>
          <w:sz w:val="20"/>
          <w:szCs w:val="20"/>
        </w:rPr>
      </w:pPr>
      <w:r w:rsidRPr="00676BA0">
        <w:rPr>
          <w:rFonts w:asciiTheme="minorHAnsi" w:hAnsiTheme="minorHAnsi" w:cstheme="minorHAnsi"/>
          <w:b w:val="0"/>
          <w:sz w:val="20"/>
          <w:szCs w:val="20"/>
        </w:rPr>
        <w:t xml:space="preserve">Glavni minerali su: bemit – 64,24%; kaolinit – 11,89%; hematit – 19,18%; kalcit – 2,54% i anatas – 2,88%. Prema mineraloškom sastavu boksit ovog ležišta pripada prvoj vrsti monohidratnih crvenih boksita bemitskog tipa. </w:t>
      </w:r>
      <w:r w:rsidRPr="00676BA0">
        <w:rPr>
          <w:rFonts w:asciiTheme="minorHAnsi" w:hAnsiTheme="minorHAnsi" w:cstheme="minorHAnsi"/>
          <w:b w:val="0"/>
          <w:sz w:val="20"/>
          <w:szCs w:val="20"/>
        </w:rPr>
        <w:lastRenderedPageBreak/>
        <w:t xml:space="preserve">Sporedni minerali čine manje od 1% ukupnog mineralnog sastava (pirit, markasit, magnetit, cirkon, ilmenit, kvarc i dr.). </w:t>
      </w:r>
    </w:p>
    <w:p w:rsidR="009762DA" w:rsidRPr="00676BA0" w:rsidRDefault="009762DA" w:rsidP="00403695">
      <w:pPr>
        <w:pStyle w:val="BodyText"/>
        <w:rPr>
          <w:rFonts w:asciiTheme="minorHAnsi" w:hAnsiTheme="minorHAnsi" w:cstheme="minorHAnsi"/>
          <w:b w:val="0"/>
          <w:sz w:val="20"/>
          <w:szCs w:val="20"/>
        </w:rPr>
      </w:pPr>
    </w:p>
    <w:p w:rsidR="009762DA" w:rsidRPr="00676BA0" w:rsidRDefault="009762DA" w:rsidP="00403695">
      <w:pPr>
        <w:pStyle w:val="BodyText"/>
        <w:rPr>
          <w:rFonts w:asciiTheme="minorHAnsi" w:hAnsiTheme="minorHAnsi" w:cstheme="minorHAnsi"/>
          <w:b w:val="0"/>
          <w:sz w:val="20"/>
          <w:szCs w:val="20"/>
        </w:rPr>
      </w:pPr>
      <w:r w:rsidRPr="00676BA0">
        <w:rPr>
          <w:rFonts w:asciiTheme="minorHAnsi" w:hAnsiTheme="minorHAnsi" w:cstheme="minorHAnsi"/>
          <w:b w:val="0"/>
          <w:sz w:val="20"/>
          <w:szCs w:val="20"/>
        </w:rPr>
        <w:t xml:space="preserve">Prema podacima ranijih istraživanja boksiti ležišta “Đurakov do” sadrže brojne mikroelemente sa sadržajima u ppm: Pb-50; Ga-17; V-180; Cu-70; Y-30; Zn-90; Zr-200; Ni-80; Co-15; Sc-14; Cr-300; La-80; Sr-15; Li-50; U-6,1 i Th-42. </w:t>
      </w:r>
    </w:p>
    <w:p w:rsidR="009762DA" w:rsidRPr="00676BA0" w:rsidRDefault="009762DA" w:rsidP="00403695">
      <w:pPr>
        <w:pStyle w:val="BodyText"/>
        <w:rPr>
          <w:rFonts w:asciiTheme="minorHAnsi" w:hAnsiTheme="minorHAnsi" w:cstheme="minorHAnsi"/>
          <w:b w:val="0"/>
          <w:sz w:val="20"/>
          <w:szCs w:val="20"/>
        </w:rPr>
      </w:pPr>
    </w:p>
    <w:p w:rsidR="009762DA" w:rsidRPr="00676BA0" w:rsidRDefault="009762DA" w:rsidP="00403695">
      <w:pPr>
        <w:pStyle w:val="BodyText"/>
        <w:rPr>
          <w:rFonts w:asciiTheme="minorHAnsi" w:hAnsiTheme="minorHAnsi" w:cstheme="minorHAnsi"/>
          <w:b w:val="0"/>
          <w:sz w:val="20"/>
          <w:szCs w:val="20"/>
        </w:rPr>
      </w:pPr>
      <w:r w:rsidRPr="00676BA0">
        <w:rPr>
          <w:rFonts w:asciiTheme="minorHAnsi" w:hAnsiTheme="minorHAnsi" w:cstheme="minorHAnsi"/>
          <w:b w:val="0"/>
          <w:sz w:val="20"/>
          <w:szCs w:val="20"/>
        </w:rPr>
        <w:t>Na osnovu ispitivanja zapreminske mase na 20 uzoraka izračunata je aritmetička vrijednost zapreminske mase boksita ovog ležišta od 2,75 t/m</w:t>
      </w:r>
      <w:r w:rsidRPr="00676BA0">
        <w:rPr>
          <w:rFonts w:asciiTheme="minorHAnsi" w:hAnsiTheme="minorHAnsi" w:cstheme="minorHAnsi"/>
          <w:b w:val="0"/>
          <w:sz w:val="20"/>
          <w:szCs w:val="20"/>
          <w:vertAlign w:val="superscript"/>
        </w:rPr>
        <w:t>3</w:t>
      </w:r>
      <w:r w:rsidRPr="00676BA0">
        <w:rPr>
          <w:rFonts w:asciiTheme="minorHAnsi" w:hAnsiTheme="minorHAnsi" w:cstheme="minorHAnsi"/>
          <w:b w:val="0"/>
          <w:sz w:val="20"/>
          <w:szCs w:val="20"/>
        </w:rPr>
        <w:t>.</w:t>
      </w:r>
    </w:p>
    <w:p w:rsidR="009762DA" w:rsidRPr="009762DA" w:rsidRDefault="009762DA" w:rsidP="00403695">
      <w:pPr>
        <w:pStyle w:val="BodyText"/>
        <w:rPr>
          <w:rFonts w:asciiTheme="minorHAnsi" w:eastAsiaTheme="minorEastAsia" w:hAnsiTheme="minorHAnsi" w:cstheme="minorHAnsi"/>
          <w:sz w:val="20"/>
          <w:szCs w:val="20"/>
        </w:rPr>
      </w:pPr>
    </w:p>
    <w:p w:rsidR="009762DA" w:rsidRPr="009762DA" w:rsidRDefault="00CE0BFE" w:rsidP="00403695">
      <w:pPr>
        <w:pStyle w:val="Heading4"/>
        <w:numPr>
          <w:ilvl w:val="3"/>
          <w:numId w:val="0"/>
        </w:numPr>
        <w:spacing w:before="0"/>
        <w:ind w:left="864" w:hanging="864"/>
        <w:rPr>
          <w:rFonts w:asciiTheme="minorHAnsi" w:hAnsiTheme="minorHAnsi" w:cstheme="minorHAnsi"/>
          <w:color w:val="auto"/>
          <w:sz w:val="20"/>
          <w:szCs w:val="20"/>
          <w:lang w:val="sr-Latn-CS"/>
        </w:rPr>
      </w:pPr>
      <w:r>
        <w:rPr>
          <w:rFonts w:asciiTheme="minorHAnsi" w:hAnsiTheme="minorHAnsi" w:cstheme="minorHAnsi"/>
          <w:color w:val="auto"/>
          <w:sz w:val="20"/>
          <w:szCs w:val="20"/>
          <w:lang w:val="sr-Latn-CS"/>
        </w:rPr>
        <w:t xml:space="preserve">Rezerve </w:t>
      </w:r>
      <w:r w:rsidR="009762DA" w:rsidRPr="009762DA">
        <w:rPr>
          <w:rFonts w:asciiTheme="minorHAnsi" w:hAnsiTheme="minorHAnsi" w:cstheme="minorHAnsi"/>
          <w:color w:val="auto"/>
          <w:sz w:val="20"/>
          <w:szCs w:val="20"/>
          <w:lang w:val="sr-Latn-CS"/>
        </w:rPr>
        <w:t xml:space="preserve">boksita </w:t>
      </w:r>
    </w:p>
    <w:p w:rsidR="009762DA" w:rsidRPr="009762DA" w:rsidRDefault="009762DA" w:rsidP="00403695">
      <w:pPr>
        <w:jc w:val="both"/>
        <w:rPr>
          <w:rFonts w:asciiTheme="minorHAnsi" w:hAnsiTheme="minorHAnsi" w:cstheme="minorHAnsi"/>
          <w:sz w:val="20"/>
          <w:szCs w:val="20"/>
          <w:lang w:val="sr-Latn-CS"/>
        </w:rPr>
      </w:pP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lang w:val="sr-Latn-CS"/>
        </w:rPr>
        <w:t xml:space="preserve">Posljednji proračun rezervi crvenog boksita ležišta “Đurakov do” je izvršen u okviru Elaborata o klasifikaciji, kategorizaciji i proračunu rezervi crvenog boksita u ležištima Nikšićke Župe: Zagrad, Biočki stan, Đurakov do, Štitovo II i Borovnik, stanje 31.12.2006. godine, metodom paralelnih vertikalnih profila. </w:t>
      </w:r>
      <w:r w:rsidRPr="009762DA">
        <w:rPr>
          <w:rFonts w:asciiTheme="minorHAnsi" w:hAnsiTheme="minorHAnsi" w:cstheme="minorHAnsi"/>
          <w:sz w:val="20"/>
          <w:szCs w:val="20"/>
        </w:rPr>
        <w:t>Ostatak neotkopanih rezervi ima visok stepen istraženosti (A:B=75</w:t>
      </w:r>
      <w:r w:rsidRPr="009762DA">
        <w:rPr>
          <w:rFonts w:asciiTheme="minorHAnsi" w:hAnsiTheme="minorHAnsi" w:cstheme="minorHAnsi"/>
          <w:sz w:val="20"/>
          <w:szCs w:val="20"/>
          <w:lang w:val="sr-Latn-CS"/>
        </w:rPr>
        <w:t>%</w:t>
      </w:r>
      <w:r w:rsidRPr="009762DA">
        <w:rPr>
          <w:rFonts w:asciiTheme="minorHAnsi" w:hAnsiTheme="minorHAnsi" w:cstheme="minorHAnsi"/>
          <w:sz w:val="20"/>
          <w:szCs w:val="20"/>
        </w:rPr>
        <w:t>:25</w:t>
      </w:r>
      <w:r w:rsidRPr="009762DA">
        <w:rPr>
          <w:rFonts w:asciiTheme="minorHAnsi" w:hAnsiTheme="minorHAnsi" w:cstheme="minorHAnsi"/>
          <w:sz w:val="20"/>
          <w:szCs w:val="20"/>
          <w:lang w:val="sr-Latn-CS"/>
        </w:rPr>
        <w:t>%</w:t>
      </w:r>
      <w:r w:rsidRPr="009762DA">
        <w:rPr>
          <w:rFonts w:asciiTheme="minorHAnsi" w:hAnsiTheme="minorHAnsi" w:cstheme="minorHAnsi"/>
          <w:sz w:val="20"/>
          <w:szCs w:val="20"/>
        </w:rPr>
        <w:t>). Elaborat nije ovjeren od strane nadležnog Ministarstva.</w:t>
      </w:r>
    </w:p>
    <w:p w:rsidR="009762DA" w:rsidRPr="009762DA" w:rsidRDefault="009762DA" w:rsidP="00403695">
      <w:pPr>
        <w:jc w:val="both"/>
        <w:rPr>
          <w:rFonts w:asciiTheme="minorHAnsi" w:hAnsiTheme="minorHAnsi" w:cstheme="minorHAnsi"/>
          <w:i/>
          <w:sz w:val="20"/>
          <w:szCs w:val="20"/>
        </w:rPr>
      </w:pPr>
    </w:p>
    <w:p w:rsidR="009762DA" w:rsidRPr="009762DA" w:rsidRDefault="009762DA" w:rsidP="00403695">
      <w:pPr>
        <w:jc w:val="both"/>
        <w:rPr>
          <w:rFonts w:asciiTheme="minorHAnsi" w:hAnsiTheme="minorHAnsi" w:cstheme="minorHAnsi"/>
          <w:b/>
          <w:sz w:val="20"/>
          <w:szCs w:val="20"/>
        </w:rPr>
      </w:pPr>
      <w:r w:rsidRPr="009762DA">
        <w:rPr>
          <w:rFonts w:asciiTheme="minorHAnsi" w:hAnsiTheme="minorHAnsi" w:cstheme="minorHAnsi"/>
          <w:b/>
          <w:sz w:val="20"/>
          <w:szCs w:val="20"/>
        </w:rPr>
        <w:t>Bilansne geološke i eksploatacione rezerve crvenog boksita u ležištu “Đurakov do”, Rudno tijelo II, stanje 31.12.2006. godine</w:t>
      </w:r>
    </w:p>
    <w:p w:rsidR="009762DA" w:rsidRPr="009762DA" w:rsidRDefault="009762DA" w:rsidP="00403695">
      <w:pPr>
        <w:jc w:val="both"/>
        <w:rPr>
          <w:rFonts w:asciiTheme="minorHAnsi" w:hAnsiTheme="minorHAnsi"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2505"/>
        <w:gridCol w:w="992"/>
        <w:gridCol w:w="843"/>
        <w:gridCol w:w="992"/>
        <w:gridCol w:w="843"/>
        <w:gridCol w:w="843"/>
        <w:gridCol w:w="988"/>
      </w:tblGrid>
      <w:tr w:rsidR="009762DA" w:rsidRPr="009762DA" w:rsidTr="00AF53FF">
        <w:trPr>
          <w:trHeight w:val="284"/>
          <w:jc w:val="center"/>
        </w:trPr>
        <w:tc>
          <w:tcPr>
            <w:tcW w:w="820" w:type="pct"/>
            <w:vMerge w:val="restart"/>
            <w:tcBorders>
              <w:top w:val="thinThickSmallGap" w:sz="12" w:space="0" w:color="auto"/>
              <w:lef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Kategorija</w:t>
            </w:r>
          </w:p>
        </w:tc>
        <w:tc>
          <w:tcPr>
            <w:tcW w:w="1308" w:type="pct"/>
            <w:vMerge w:val="restart"/>
            <w:tcBorders>
              <w:top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Bilansne geološke</w:t>
            </w:r>
          </w:p>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rezerve (t)</w:t>
            </w:r>
          </w:p>
        </w:tc>
        <w:tc>
          <w:tcPr>
            <w:tcW w:w="2872" w:type="pct"/>
            <w:gridSpan w:val="6"/>
            <w:tcBorders>
              <w:top w:val="thinThickSmallGap" w:sz="12" w:space="0" w:color="auto"/>
              <w:left w:val="double" w:sz="4" w:space="0" w:color="auto"/>
              <w:righ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Srednji sadržaj %</w:t>
            </w:r>
          </w:p>
        </w:tc>
      </w:tr>
      <w:tr w:rsidR="009762DA" w:rsidRPr="009762DA" w:rsidTr="00AF53FF">
        <w:trPr>
          <w:trHeight w:val="284"/>
          <w:jc w:val="center"/>
        </w:trPr>
        <w:tc>
          <w:tcPr>
            <w:tcW w:w="820" w:type="pct"/>
            <w:vMerge/>
            <w:tcBorders>
              <w:left w:val="thinThickSmallGap" w:sz="12" w:space="0" w:color="auto"/>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p>
        </w:tc>
        <w:tc>
          <w:tcPr>
            <w:tcW w:w="1308" w:type="pct"/>
            <w:vMerge/>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p>
        </w:tc>
        <w:tc>
          <w:tcPr>
            <w:tcW w:w="518" w:type="pct"/>
            <w:tcBorders>
              <w:left w:val="double" w:sz="4" w:space="0" w:color="auto"/>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Al</w:t>
            </w:r>
            <w:r w:rsidRPr="009762DA">
              <w:rPr>
                <w:rFonts w:asciiTheme="minorHAnsi" w:hAnsiTheme="minorHAnsi" w:cstheme="minorHAnsi"/>
                <w:szCs w:val="20"/>
                <w:vertAlign w:val="subscript"/>
              </w:rPr>
              <w:t>2</w:t>
            </w:r>
            <w:r w:rsidRPr="009762DA">
              <w:rPr>
                <w:rFonts w:asciiTheme="minorHAnsi" w:hAnsiTheme="minorHAnsi" w:cstheme="minorHAnsi"/>
                <w:szCs w:val="20"/>
              </w:rPr>
              <w:t>O</w:t>
            </w:r>
            <w:r w:rsidRPr="009762DA">
              <w:rPr>
                <w:rFonts w:asciiTheme="minorHAnsi" w:hAnsiTheme="minorHAnsi" w:cstheme="minorHAnsi"/>
                <w:szCs w:val="20"/>
                <w:vertAlign w:val="subscript"/>
              </w:rPr>
              <w:t>3</w:t>
            </w:r>
          </w:p>
        </w:tc>
        <w:tc>
          <w:tcPr>
            <w:tcW w:w="440"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SiO</w:t>
            </w:r>
            <w:r w:rsidRPr="009762DA">
              <w:rPr>
                <w:rFonts w:asciiTheme="minorHAnsi" w:hAnsiTheme="minorHAnsi" w:cstheme="minorHAnsi"/>
                <w:szCs w:val="20"/>
                <w:vertAlign w:val="subscript"/>
              </w:rPr>
              <w:t>2</w:t>
            </w:r>
          </w:p>
        </w:tc>
        <w:tc>
          <w:tcPr>
            <w:tcW w:w="518"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Fe</w:t>
            </w:r>
            <w:r w:rsidRPr="009762DA">
              <w:rPr>
                <w:rFonts w:asciiTheme="minorHAnsi" w:hAnsiTheme="minorHAnsi" w:cstheme="minorHAnsi"/>
                <w:szCs w:val="20"/>
                <w:vertAlign w:val="subscript"/>
              </w:rPr>
              <w:t>2</w:t>
            </w:r>
            <w:r w:rsidRPr="009762DA">
              <w:rPr>
                <w:rFonts w:asciiTheme="minorHAnsi" w:hAnsiTheme="minorHAnsi" w:cstheme="minorHAnsi"/>
                <w:szCs w:val="20"/>
              </w:rPr>
              <w:t>O</w:t>
            </w:r>
            <w:r w:rsidRPr="009762DA">
              <w:rPr>
                <w:rFonts w:asciiTheme="minorHAnsi" w:hAnsiTheme="minorHAnsi" w:cstheme="minorHAnsi"/>
                <w:szCs w:val="20"/>
                <w:vertAlign w:val="subscript"/>
              </w:rPr>
              <w:t>3</w:t>
            </w:r>
          </w:p>
        </w:tc>
        <w:tc>
          <w:tcPr>
            <w:tcW w:w="440"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TiO</w:t>
            </w:r>
            <w:r w:rsidRPr="009762DA">
              <w:rPr>
                <w:rFonts w:asciiTheme="minorHAnsi" w:hAnsiTheme="minorHAnsi" w:cstheme="minorHAnsi"/>
                <w:szCs w:val="20"/>
                <w:vertAlign w:val="subscript"/>
              </w:rPr>
              <w:t>2</w:t>
            </w:r>
          </w:p>
        </w:tc>
        <w:tc>
          <w:tcPr>
            <w:tcW w:w="440"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CaO</w:t>
            </w:r>
          </w:p>
        </w:tc>
        <w:tc>
          <w:tcPr>
            <w:tcW w:w="518" w:type="pct"/>
            <w:tcBorders>
              <w:bottom w:val="double" w:sz="4" w:space="0" w:color="auto"/>
              <w:righ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G.Ž.</w:t>
            </w:r>
          </w:p>
        </w:tc>
      </w:tr>
      <w:tr w:rsidR="009762DA" w:rsidRPr="009762DA" w:rsidTr="00AF53FF">
        <w:trPr>
          <w:trHeight w:val="284"/>
          <w:jc w:val="center"/>
        </w:trPr>
        <w:tc>
          <w:tcPr>
            <w:tcW w:w="820" w:type="pct"/>
            <w:tcBorders>
              <w:top w:val="double" w:sz="4" w:space="0" w:color="auto"/>
              <w:lef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w:t>
            </w:r>
          </w:p>
        </w:tc>
        <w:tc>
          <w:tcPr>
            <w:tcW w:w="1308" w:type="pct"/>
            <w:tcBorders>
              <w:top w:val="double" w:sz="4"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313.058</w:t>
            </w:r>
          </w:p>
        </w:tc>
        <w:tc>
          <w:tcPr>
            <w:tcW w:w="518" w:type="pct"/>
            <w:tcBorders>
              <w:top w:val="double" w:sz="4" w:space="0" w:color="auto"/>
              <w:left w:val="double" w:sz="4"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59,80</w:t>
            </w:r>
          </w:p>
        </w:tc>
        <w:tc>
          <w:tcPr>
            <w:tcW w:w="440"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3,32</w:t>
            </w:r>
          </w:p>
        </w:tc>
        <w:tc>
          <w:tcPr>
            <w:tcW w:w="518"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20,92</w:t>
            </w:r>
          </w:p>
        </w:tc>
        <w:tc>
          <w:tcPr>
            <w:tcW w:w="440"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2,93</w:t>
            </w:r>
          </w:p>
        </w:tc>
        <w:tc>
          <w:tcPr>
            <w:tcW w:w="440"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0,35</w:t>
            </w:r>
          </w:p>
        </w:tc>
        <w:tc>
          <w:tcPr>
            <w:tcW w:w="518" w:type="pct"/>
            <w:tcBorders>
              <w:top w:val="double" w:sz="4" w:space="0" w:color="auto"/>
              <w:right w:val="thinThickSmallGap" w:sz="12"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12,47</w:t>
            </w:r>
          </w:p>
        </w:tc>
      </w:tr>
      <w:tr w:rsidR="009762DA" w:rsidRPr="009762DA" w:rsidTr="00AF53FF">
        <w:trPr>
          <w:trHeight w:val="284"/>
          <w:jc w:val="center"/>
        </w:trPr>
        <w:tc>
          <w:tcPr>
            <w:tcW w:w="820" w:type="pct"/>
            <w:tcBorders>
              <w:left w:val="thinThickSmallGap" w:sz="12"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B</w:t>
            </w:r>
          </w:p>
        </w:tc>
        <w:tc>
          <w:tcPr>
            <w:tcW w:w="1308" w:type="pct"/>
            <w:tcBorders>
              <w:bottom w:val="single" w:sz="4"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102.086</w:t>
            </w:r>
          </w:p>
        </w:tc>
        <w:tc>
          <w:tcPr>
            <w:tcW w:w="518" w:type="pct"/>
            <w:tcBorders>
              <w:left w:val="double" w:sz="4" w:space="0" w:color="auto"/>
              <w:bottom w:val="single" w:sz="4"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58,99</w:t>
            </w:r>
          </w:p>
        </w:tc>
        <w:tc>
          <w:tcPr>
            <w:tcW w:w="440"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4,75</w:t>
            </w:r>
          </w:p>
        </w:tc>
        <w:tc>
          <w:tcPr>
            <w:tcW w:w="518"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20,24</w:t>
            </w:r>
          </w:p>
        </w:tc>
        <w:tc>
          <w:tcPr>
            <w:tcW w:w="440"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3,74</w:t>
            </w:r>
          </w:p>
        </w:tc>
        <w:tc>
          <w:tcPr>
            <w:tcW w:w="440"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0,33</w:t>
            </w:r>
          </w:p>
        </w:tc>
        <w:tc>
          <w:tcPr>
            <w:tcW w:w="518" w:type="pct"/>
            <w:tcBorders>
              <w:bottom w:val="single" w:sz="4" w:space="0" w:color="auto"/>
              <w:right w:val="thinThickSmallGap" w:sz="12" w:space="0" w:color="auto"/>
            </w:tcBorders>
            <w:vAlign w:val="center"/>
          </w:tcPr>
          <w:p w:rsidR="009762DA" w:rsidRPr="009762DA" w:rsidRDefault="009762DA" w:rsidP="00AF53FF">
            <w:pPr>
              <w:jc w:val="center"/>
              <w:rPr>
                <w:rFonts w:asciiTheme="minorHAnsi" w:hAnsiTheme="minorHAnsi" w:cstheme="minorHAnsi"/>
                <w:sz w:val="20"/>
                <w:szCs w:val="20"/>
              </w:rPr>
            </w:pPr>
            <w:r w:rsidRPr="009762DA">
              <w:rPr>
                <w:rFonts w:asciiTheme="minorHAnsi" w:hAnsiTheme="minorHAnsi" w:cstheme="minorHAnsi"/>
                <w:sz w:val="20"/>
                <w:szCs w:val="20"/>
              </w:rPr>
              <w:t>12,48</w:t>
            </w:r>
          </w:p>
        </w:tc>
      </w:tr>
      <w:tr w:rsidR="009762DA" w:rsidRPr="009762DA" w:rsidTr="00AF53FF">
        <w:trPr>
          <w:trHeight w:val="284"/>
          <w:jc w:val="center"/>
        </w:trPr>
        <w:tc>
          <w:tcPr>
            <w:tcW w:w="820" w:type="pct"/>
            <w:tcBorders>
              <w:top w:val="double" w:sz="4" w:space="0" w:color="auto"/>
              <w:left w:val="thinThickSmallGap" w:sz="12" w:space="0" w:color="auto"/>
              <w:bottom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A+B+C</w:t>
            </w:r>
            <w:r w:rsidRPr="009762DA">
              <w:rPr>
                <w:rFonts w:asciiTheme="minorHAnsi" w:hAnsiTheme="minorHAnsi" w:cstheme="minorHAnsi"/>
                <w:b/>
                <w:szCs w:val="20"/>
                <w:vertAlign w:val="subscript"/>
              </w:rPr>
              <w:t>1</w:t>
            </w:r>
          </w:p>
        </w:tc>
        <w:tc>
          <w:tcPr>
            <w:tcW w:w="1308"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415.144</w:t>
            </w:r>
          </w:p>
        </w:tc>
        <w:tc>
          <w:tcPr>
            <w:tcW w:w="518" w:type="pct"/>
            <w:tcBorders>
              <w:top w:val="double" w:sz="4" w:space="0" w:color="auto"/>
              <w:left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59,60</w:t>
            </w:r>
          </w:p>
        </w:tc>
        <w:tc>
          <w:tcPr>
            <w:tcW w:w="440"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3,67</w:t>
            </w:r>
          </w:p>
        </w:tc>
        <w:tc>
          <w:tcPr>
            <w:tcW w:w="518"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20,75</w:t>
            </w:r>
          </w:p>
        </w:tc>
        <w:tc>
          <w:tcPr>
            <w:tcW w:w="440"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3,13</w:t>
            </w:r>
          </w:p>
        </w:tc>
        <w:tc>
          <w:tcPr>
            <w:tcW w:w="440"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0,35</w:t>
            </w:r>
          </w:p>
        </w:tc>
        <w:tc>
          <w:tcPr>
            <w:tcW w:w="518" w:type="pct"/>
            <w:tcBorders>
              <w:top w:val="double" w:sz="4" w:space="0" w:color="auto"/>
              <w:bottom w:val="thinThickSmallGap" w:sz="12" w:space="0" w:color="auto"/>
              <w:right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12,47</w:t>
            </w:r>
          </w:p>
        </w:tc>
      </w:tr>
    </w:tbl>
    <w:p w:rsidR="009762DA" w:rsidRPr="009762DA" w:rsidRDefault="009762DA" w:rsidP="00403695">
      <w:pPr>
        <w:jc w:val="both"/>
        <w:rPr>
          <w:rFonts w:asciiTheme="minorHAnsi" w:hAnsiTheme="minorHAnsi" w:cstheme="minorHAnsi"/>
          <w:sz w:val="20"/>
          <w:szCs w:val="20"/>
        </w:rPr>
      </w:pPr>
    </w:p>
    <w:p w:rsidR="009762DA" w:rsidRPr="00F80192"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U periodu od 01.01.2007. godine do vremena izrade o</w:t>
      </w:r>
      <w:r w:rsidR="00676BA0">
        <w:rPr>
          <w:rFonts w:asciiTheme="minorHAnsi" w:hAnsiTheme="minorHAnsi" w:cstheme="minorHAnsi"/>
          <w:sz w:val="20"/>
          <w:szCs w:val="20"/>
        </w:rPr>
        <w:t>vog Plana</w:t>
      </w:r>
      <w:r w:rsidRPr="009762DA">
        <w:rPr>
          <w:rFonts w:asciiTheme="minorHAnsi" w:hAnsiTheme="minorHAnsi" w:cstheme="minorHAnsi"/>
          <w:sz w:val="20"/>
          <w:szCs w:val="20"/>
        </w:rPr>
        <w:t>, prema podacima dobijenim od AD Rudnici boksita – Nikšić, iz ležišta “Đ</w:t>
      </w:r>
      <w:r w:rsidR="00676BA0">
        <w:rPr>
          <w:rFonts w:asciiTheme="minorHAnsi" w:hAnsiTheme="minorHAnsi" w:cstheme="minorHAnsi"/>
          <w:sz w:val="20"/>
          <w:szCs w:val="20"/>
        </w:rPr>
        <w:t xml:space="preserve">urakov do” – Rudno tijelo II </w:t>
      </w:r>
      <w:r w:rsidRPr="009762DA">
        <w:rPr>
          <w:rFonts w:asciiTheme="minorHAnsi" w:hAnsiTheme="minorHAnsi" w:cstheme="minorHAnsi"/>
          <w:sz w:val="20"/>
          <w:szCs w:val="20"/>
        </w:rPr>
        <w:t xml:space="preserve">otkopane </w:t>
      </w:r>
      <w:r w:rsidR="00676BA0">
        <w:rPr>
          <w:rFonts w:asciiTheme="minorHAnsi" w:hAnsiTheme="minorHAnsi" w:cstheme="minorHAnsi"/>
          <w:sz w:val="20"/>
          <w:szCs w:val="20"/>
        </w:rPr>
        <w:t xml:space="preserve">su ukupne </w:t>
      </w:r>
      <w:r w:rsidRPr="009762DA">
        <w:rPr>
          <w:rFonts w:asciiTheme="minorHAnsi" w:hAnsiTheme="minorHAnsi" w:cstheme="minorHAnsi"/>
          <w:sz w:val="20"/>
          <w:szCs w:val="20"/>
        </w:rPr>
        <w:t>količine crvenog boksita</w:t>
      </w:r>
      <w:r w:rsidR="00676BA0">
        <w:rPr>
          <w:rFonts w:asciiTheme="minorHAnsi" w:hAnsiTheme="minorHAnsi" w:cstheme="minorHAnsi"/>
          <w:sz w:val="20"/>
          <w:szCs w:val="20"/>
        </w:rPr>
        <w:t xml:space="preserve"> od </w:t>
      </w:r>
      <w:r w:rsidR="00FC3D80" w:rsidRPr="009762DA">
        <w:rPr>
          <w:rFonts w:asciiTheme="minorHAnsi" w:hAnsiTheme="minorHAnsi" w:cstheme="minorHAnsi"/>
          <w:b/>
          <w:sz w:val="20"/>
          <w:szCs w:val="20"/>
        </w:rPr>
        <w:t>170.453</w:t>
      </w:r>
      <w:r w:rsidR="00FC3D80">
        <w:rPr>
          <w:rFonts w:asciiTheme="minorHAnsi" w:hAnsiTheme="minorHAnsi" w:cstheme="minorHAnsi"/>
          <w:b/>
          <w:sz w:val="20"/>
          <w:szCs w:val="20"/>
        </w:rPr>
        <w:t xml:space="preserve"> t</w:t>
      </w:r>
      <w:r w:rsidRPr="009762DA">
        <w:rPr>
          <w:rFonts w:asciiTheme="minorHAnsi" w:hAnsiTheme="minorHAnsi" w:cstheme="minorHAnsi"/>
          <w:i/>
          <w:sz w:val="20"/>
          <w:szCs w:val="20"/>
        </w:rPr>
        <w:t xml:space="preserve"> </w:t>
      </w:r>
      <w:r w:rsidRPr="009762DA">
        <w:rPr>
          <w:rFonts w:asciiTheme="minorHAnsi" w:hAnsiTheme="minorHAnsi" w:cstheme="minorHAnsi"/>
          <w:sz w:val="20"/>
          <w:szCs w:val="20"/>
        </w:rPr>
        <w:t>i jalovin</w:t>
      </w:r>
      <w:r w:rsidR="00F80192">
        <w:rPr>
          <w:rFonts w:asciiTheme="minorHAnsi" w:hAnsiTheme="minorHAnsi" w:cstheme="minorHAnsi"/>
          <w:sz w:val="20"/>
          <w:szCs w:val="20"/>
        </w:rPr>
        <w:t>e</w:t>
      </w:r>
      <w:r w:rsidR="00FC3D80">
        <w:rPr>
          <w:rFonts w:asciiTheme="minorHAnsi" w:hAnsiTheme="minorHAnsi" w:cstheme="minorHAnsi"/>
          <w:sz w:val="20"/>
          <w:szCs w:val="20"/>
        </w:rPr>
        <w:t xml:space="preserve"> ukupno</w:t>
      </w:r>
      <w:r w:rsidRPr="009762DA">
        <w:rPr>
          <w:rFonts w:asciiTheme="minorHAnsi" w:hAnsiTheme="minorHAnsi" w:cstheme="minorHAnsi"/>
          <w:i/>
          <w:sz w:val="20"/>
          <w:szCs w:val="20"/>
        </w:rPr>
        <w:t xml:space="preserve"> </w:t>
      </w:r>
      <w:r w:rsidR="00F80192" w:rsidRPr="009762DA">
        <w:rPr>
          <w:rFonts w:asciiTheme="minorHAnsi" w:hAnsiTheme="minorHAnsi" w:cstheme="minorHAnsi"/>
          <w:b/>
          <w:sz w:val="20"/>
          <w:szCs w:val="20"/>
        </w:rPr>
        <w:t>545.796</w:t>
      </w:r>
      <w:r w:rsidR="00F80192">
        <w:rPr>
          <w:rFonts w:asciiTheme="minorHAnsi" w:hAnsiTheme="minorHAnsi" w:cstheme="minorHAnsi"/>
          <w:b/>
          <w:sz w:val="20"/>
          <w:szCs w:val="20"/>
        </w:rPr>
        <w:t xml:space="preserve"> m</w:t>
      </w:r>
      <w:r w:rsidR="00F80192">
        <w:rPr>
          <w:rFonts w:asciiTheme="minorHAnsi" w:hAnsiTheme="minorHAnsi" w:cstheme="minorHAnsi"/>
          <w:b/>
          <w:sz w:val="20"/>
          <w:szCs w:val="20"/>
          <w:vertAlign w:val="superscript"/>
        </w:rPr>
        <w:t>3</w:t>
      </w:r>
      <w:r w:rsidR="00F80192">
        <w:rPr>
          <w:rFonts w:asciiTheme="minorHAnsi" w:hAnsiTheme="minorHAnsi" w:cstheme="minorHAnsi"/>
          <w:b/>
          <w:sz w:val="20"/>
          <w:szCs w:val="20"/>
        </w:rPr>
        <w:t>.</w:t>
      </w:r>
    </w:p>
    <w:p w:rsidR="009762DA" w:rsidRPr="009762DA" w:rsidRDefault="009762DA" w:rsidP="00403695">
      <w:pPr>
        <w:jc w:val="both"/>
        <w:rPr>
          <w:rFonts w:asciiTheme="minorHAnsi" w:hAnsiTheme="minorHAnsi" w:cstheme="minorHAnsi"/>
          <w:sz w:val="20"/>
          <w:szCs w:val="20"/>
        </w:rPr>
      </w:pPr>
    </w:p>
    <w:p w:rsidR="00403695"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U cilju utvrđivanja stanja rezervi i kvaliteta preostale mineralne sirovine u ležištu, neophodno je uraditi novi Elaborat o klasifikaciji, kategorizaciji i proračunu rezervi crvenog boksita u ležištu “Đurakov do II”, u skladu sa zakonom.</w:t>
      </w:r>
    </w:p>
    <w:p w:rsidR="00403695" w:rsidRDefault="00403695" w:rsidP="00403695">
      <w:pPr>
        <w:jc w:val="both"/>
        <w:rPr>
          <w:rFonts w:asciiTheme="minorHAnsi" w:hAnsiTheme="minorHAnsi" w:cstheme="minorHAnsi"/>
          <w:sz w:val="20"/>
          <w:szCs w:val="20"/>
        </w:rPr>
      </w:pPr>
    </w:p>
    <w:p w:rsidR="009762DA" w:rsidRPr="009762DA" w:rsidRDefault="009762DA" w:rsidP="00403695">
      <w:pPr>
        <w:pStyle w:val="Heading3"/>
        <w:numPr>
          <w:ilvl w:val="0"/>
          <w:numId w:val="16"/>
        </w:numPr>
        <w:spacing w:before="0"/>
        <w:rPr>
          <w:rFonts w:asciiTheme="minorHAnsi" w:hAnsiTheme="minorHAnsi" w:cstheme="minorHAnsi"/>
          <w:color w:val="auto"/>
          <w:sz w:val="20"/>
          <w:szCs w:val="20"/>
        </w:rPr>
      </w:pPr>
      <w:bookmarkStart w:id="10" w:name="_Toc416350578"/>
      <w:r w:rsidRPr="009762DA">
        <w:rPr>
          <w:rFonts w:asciiTheme="minorHAnsi" w:hAnsiTheme="minorHAnsi" w:cstheme="minorHAnsi"/>
          <w:color w:val="auto"/>
          <w:sz w:val="20"/>
          <w:szCs w:val="20"/>
        </w:rPr>
        <w:t>Ležište  “Štitovo II”</w:t>
      </w:r>
      <w:bookmarkEnd w:id="10"/>
    </w:p>
    <w:p w:rsidR="009762DA" w:rsidRPr="00F80192" w:rsidRDefault="009762DA" w:rsidP="00403695">
      <w:pPr>
        <w:jc w:val="both"/>
        <w:rPr>
          <w:rFonts w:asciiTheme="minorHAnsi" w:hAnsiTheme="minorHAnsi" w:cstheme="minorHAnsi"/>
          <w:b/>
          <w:sz w:val="20"/>
          <w:szCs w:val="20"/>
        </w:rPr>
      </w:pPr>
      <w:r w:rsidRPr="009762DA">
        <w:rPr>
          <w:rFonts w:asciiTheme="minorHAnsi" w:hAnsiTheme="minorHAnsi" w:cstheme="minorHAnsi"/>
          <w:b/>
          <w:sz w:val="20"/>
          <w:szCs w:val="20"/>
        </w:rPr>
        <w:t xml:space="preserve"> </w:t>
      </w:r>
    </w:p>
    <w:p w:rsidR="009762DA" w:rsidRPr="009762DA" w:rsidRDefault="009762DA" w:rsidP="00403695">
      <w:pPr>
        <w:pStyle w:val="Heading4"/>
        <w:numPr>
          <w:ilvl w:val="3"/>
          <w:numId w:val="0"/>
        </w:numPr>
        <w:spacing w:before="0"/>
        <w:ind w:left="864" w:hanging="864"/>
        <w:rPr>
          <w:rFonts w:asciiTheme="minorHAnsi" w:hAnsiTheme="minorHAnsi" w:cstheme="minorHAnsi"/>
          <w:color w:val="auto"/>
          <w:sz w:val="20"/>
          <w:szCs w:val="20"/>
          <w:lang w:val="sr-Latn-CS"/>
        </w:rPr>
      </w:pPr>
      <w:r w:rsidRPr="009762DA">
        <w:rPr>
          <w:rFonts w:asciiTheme="minorHAnsi" w:hAnsiTheme="minorHAnsi" w:cstheme="minorHAnsi"/>
          <w:color w:val="auto"/>
          <w:sz w:val="20"/>
          <w:szCs w:val="20"/>
          <w:lang w:val="sr-Latn-CS"/>
        </w:rPr>
        <w:t>Geološka građa</w:t>
      </w:r>
    </w:p>
    <w:p w:rsidR="009762DA" w:rsidRPr="00F80192" w:rsidRDefault="009762DA" w:rsidP="00403695">
      <w:pPr>
        <w:pStyle w:val="BodyText"/>
        <w:rPr>
          <w:rFonts w:asciiTheme="minorHAnsi" w:hAnsiTheme="minorHAnsi" w:cstheme="minorHAnsi"/>
          <w:b w:val="0"/>
          <w:sz w:val="20"/>
          <w:szCs w:val="20"/>
        </w:rPr>
      </w:pPr>
    </w:p>
    <w:p w:rsidR="009762DA" w:rsidRPr="00F80192" w:rsidRDefault="009762DA" w:rsidP="00403695">
      <w:pPr>
        <w:pStyle w:val="BodyText"/>
        <w:rPr>
          <w:rFonts w:asciiTheme="minorHAnsi" w:hAnsiTheme="minorHAnsi" w:cstheme="minorHAnsi"/>
          <w:b w:val="0"/>
          <w:sz w:val="20"/>
          <w:szCs w:val="20"/>
        </w:rPr>
      </w:pPr>
      <w:r w:rsidRPr="00F80192">
        <w:rPr>
          <w:rFonts w:asciiTheme="minorHAnsi" w:hAnsiTheme="minorHAnsi" w:cstheme="minorHAnsi"/>
          <w:b w:val="0"/>
          <w:sz w:val="20"/>
          <w:szCs w:val="20"/>
        </w:rPr>
        <w:t xml:space="preserve">Ležište </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Štitovo II</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 xml:space="preserve"> izgrađuju krečnjaci, dolomiti, dolomitični krečnjaci, glacijalne tvorevine i crveni boksiti. Po vremenu nastanka pripadaju gornjem trijasu, titonu, donjoj kredi i kvartaru. Karbonatni sedimenti gornjeg trijasa, u području ležišta, pripadaju retskom katu. Izgrađuju neposrednu podinu i obod ležišta. Predstavljeni su bijelim i rumenim prekristalisalim krečnjacima, bankovitim i masivnim, sa čestim fosilnim ostacima megalodona. Za vrijeme kontinentalne faze, od reta do titona, izvršena je karstifikacija ovih trijaskih stijena, koja je uslovila vrlo razuđen reljef podine sa kavernama, pukotinama i dr. Crveni boksiti se na više mjesta, u okviru ovog ležišta, javljaju u vidu prirodnih i vještački otkrivenih profila. Boksiti su kompaktni, tamnocrveni, mjestimično pizolitični. U krovini boksita su žute boksitične gline, debljine do 25 cm.</w:t>
      </w:r>
    </w:p>
    <w:p w:rsidR="009762DA" w:rsidRPr="00F80192" w:rsidRDefault="009762DA" w:rsidP="00403695">
      <w:pPr>
        <w:pStyle w:val="BodyText"/>
        <w:rPr>
          <w:rFonts w:asciiTheme="minorHAnsi" w:hAnsiTheme="minorHAnsi" w:cstheme="minorHAnsi"/>
          <w:b w:val="0"/>
          <w:sz w:val="20"/>
          <w:szCs w:val="20"/>
        </w:rPr>
      </w:pPr>
    </w:p>
    <w:p w:rsidR="009762DA" w:rsidRPr="00F80192" w:rsidRDefault="009762DA" w:rsidP="00403695">
      <w:pPr>
        <w:pStyle w:val="BodyText"/>
        <w:rPr>
          <w:rFonts w:asciiTheme="minorHAnsi" w:hAnsiTheme="minorHAnsi" w:cstheme="minorHAnsi"/>
          <w:b w:val="0"/>
          <w:sz w:val="20"/>
          <w:szCs w:val="20"/>
        </w:rPr>
      </w:pPr>
      <w:r w:rsidRPr="00F80192">
        <w:rPr>
          <w:rFonts w:asciiTheme="minorHAnsi" w:hAnsiTheme="minorHAnsi" w:cstheme="minorHAnsi"/>
          <w:b w:val="0"/>
          <w:sz w:val="20"/>
          <w:szCs w:val="20"/>
        </w:rPr>
        <w:t>Po veličini ležište “Štitovo II” pripada velikim ležištima crvenih boksita, ali zbog relativno visokog sadržaja SiO</w:t>
      </w:r>
      <w:r w:rsidRPr="00F80192">
        <w:rPr>
          <w:rFonts w:asciiTheme="minorHAnsi" w:hAnsiTheme="minorHAnsi" w:cstheme="minorHAnsi"/>
          <w:b w:val="0"/>
          <w:sz w:val="20"/>
          <w:szCs w:val="20"/>
          <w:vertAlign w:val="subscript"/>
        </w:rPr>
        <w:t>2</w:t>
      </w:r>
      <w:r w:rsidRPr="00F80192">
        <w:rPr>
          <w:rFonts w:asciiTheme="minorHAnsi" w:hAnsiTheme="minorHAnsi" w:cstheme="minorHAnsi"/>
          <w:b w:val="0"/>
          <w:sz w:val="20"/>
          <w:szCs w:val="20"/>
        </w:rPr>
        <w:t xml:space="preserve"> – ima drugorazredni značaj za Al – industriju. Ovo ležište čine dva rudna tijela, međusobno odvojena rasjedima i paleoreljefom, označena kao primarno (autohtono) i sekundarno (alohtono).</w:t>
      </w:r>
      <w:r w:rsidR="00F80192" w:rsidRPr="00F80192">
        <w:rPr>
          <w:rFonts w:asciiTheme="minorHAnsi" w:hAnsiTheme="minorHAnsi" w:cstheme="minorHAnsi"/>
          <w:b w:val="0"/>
          <w:sz w:val="20"/>
          <w:szCs w:val="20"/>
        </w:rPr>
        <w:t xml:space="preserve"> </w:t>
      </w:r>
    </w:p>
    <w:p w:rsidR="009762DA" w:rsidRPr="009762DA" w:rsidRDefault="00F80192" w:rsidP="00403695">
      <w:pPr>
        <w:pStyle w:val="Heading4"/>
        <w:numPr>
          <w:ilvl w:val="3"/>
          <w:numId w:val="0"/>
        </w:numPr>
        <w:spacing w:before="0"/>
        <w:rPr>
          <w:rFonts w:asciiTheme="minorHAnsi" w:hAnsiTheme="minorHAnsi" w:cstheme="minorHAnsi"/>
          <w:color w:val="auto"/>
          <w:sz w:val="20"/>
          <w:szCs w:val="20"/>
        </w:rPr>
      </w:pPr>
      <w:r>
        <w:rPr>
          <w:rFonts w:asciiTheme="minorHAnsi" w:hAnsiTheme="minorHAnsi" w:cstheme="minorHAnsi"/>
          <w:color w:val="auto"/>
          <w:sz w:val="20"/>
          <w:szCs w:val="20"/>
        </w:rPr>
        <w:lastRenderedPageBreak/>
        <w:t>Kkvalitet</w:t>
      </w:r>
      <w:r w:rsidR="009762DA" w:rsidRPr="009762DA">
        <w:rPr>
          <w:rFonts w:asciiTheme="minorHAnsi" w:hAnsiTheme="minorHAnsi" w:cstheme="minorHAnsi"/>
          <w:color w:val="auto"/>
          <w:sz w:val="20"/>
          <w:szCs w:val="20"/>
        </w:rPr>
        <w:t xml:space="preserve"> boksita</w:t>
      </w:r>
    </w:p>
    <w:p w:rsidR="009762DA" w:rsidRPr="009762DA" w:rsidRDefault="009762DA" w:rsidP="00403695">
      <w:pPr>
        <w:pStyle w:val="BodyText"/>
        <w:rPr>
          <w:rFonts w:asciiTheme="minorHAnsi" w:hAnsiTheme="minorHAnsi" w:cstheme="minorHAnsi"/>
          <w:b w:val="0"/>
          <w:sz w:val="20"/>
          <w:szCs w:val="20"/>
        </w:rPr>
      </w:pPr>
    </w:p>
    <w:p w:rsidR="009762DA" w:rsidRPr="00F80192" w:rsidRDefault="009762DA" w:rsidP="00403695">
      <w:pPr>
        <w:pStyle w:val="BodyText"/>
        <w:rPr>
          <w:rFonts w:asciiTheme="minorHAnsi" w:hAnsiTheme="minorHAnsi" w:cstheme="minorHAnsi"/>
          <w:b w:val="0"/>
          <w:sz w:val="20"/>
          <w:szCs w:val="20"/>
        </w:rPr>
      </w:pPr>
      <w:r w:rsidRPr="00F80192">
        <w:rPr>
          <w:rFonts w:asciiTheme="minorHAnsi" w:hAnsiTheme="minorHAnsi" w:cstheme="minorHAnsi"/>
          <w:b w:val="0"/>
          <w:sz w:val="20"/>
          <w:szCs w:val="20"/>
        </w:rPr>
        <w:t xml:space="preserve">Mineralni sastav primarnih boksita ležišta </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Štitovo II</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 xml:space="preserve"> je: 58,85% bemita, 26,73% kaolinita, 18,08% hematita, 2,45% kalcita i 2,74% anatasa. Od akcesornih minerala dokazani su: pirit, markasit, magnetit, cirkon, ilmenit, kvarc, rutil, sfern, piroksen, amfibol, biotit i hlorit. Takođe su prikazani i rezultati geohemijskih ispitivanja. </w:t>
      </w:r>
    </w:p>
    <w:p w:rsidR="009762DA" w:rsidRPr="00F80192" w:rsidRDefault="009762DA" w:rsidP="00403695">
      <w:pPr>
        <w:pStyle w:val="BodyText"/>
        <w:rPr>
          <w:rFonts w:asciiTheme="minorHAnsi" w:hAnsiTheme="minorHAnsi" w:cstheme="minorHAnsi"/>
          <w:b w:val="0"/>
          <w:sz w:val="20"/>
          <w:szCs w:val="20"/>
        </w:rPr>
      </w:pPr>
    </w:p>
    <w:p w:rsidR="009762DA" w:rsidRPr="00F80192" w:rsidRDefault="009762DA" w:rsidP="00403695">
      <w:pPr>
        <w:pStyle w:val="BodyText"/>
        <w:rPr>
          <w:rFonts w:asciiTheme="minorHAnsi" w:hAnsiTheme="minorHAnsi" w:cstheme="minorHAnsi"/>
          <w:b w:val="0"/>
          <w:sz w:val="20"/>
          <w:szCs w:val="20"/>
        </w:rPr>
      </w:pPr>
      <w:r w:rsidRPr="00F80192">
        <w:rPr>
          <w:rFonts w:asciiTheme="minorHAnsi" w:hAnsiTheme="minorHAnsi" w:cstheme="minorHAnsi"/>
          <w:b w:val="0"/>
          <w:sz w:val="20"/>
          <w:szCs w:val="20"/>
        </w:rPr>
        <w:t>Zapreminska masa boksita ovog ležišta iznosi 2,73 t/m</w:t>
      </w:r>
      <w:r w:rsidRPr="00F80192">
        <w:rPr>
          <w:rFonts w:asciiTheme="minorHAnsi" w:hAnsiTheme="minorHAnsi" w:cstheme="minorHAnsi"/>
          <w:b w:val="0"/>
          <w:sz w:val="20"/>
          <w:szCs w:val="20"/>
          <w:vertAlign w:val="superscript"/>
        </w:rPr>
        <w:t>3</w:t>
      </w:r>
      <w:r w:rsidRPr="00F80192">
        <w:rPr>
          <w:rFonts w:asciiTheme="minorHAnsi" w:hAnsiTheme="minorHAnsi" w:cstheme="minorHAnsi"/>
          <w:b w:val="0"/>
          <w:sz w:val="20"/>
          <w:szCs w:val="20"/>
        </w:rPr>
        <w:t>.</w:t>
      </w:r>
    </w:p>
    <w:p w:rsidR="009762DA" w:rsidRPr="00F80192" w:rsidRDefault="009762DA" w:rsidP="00403695">
      <w:pPr>
        <w:pStyle w:val="BodyText"/>
        <w:rPr>
          <w:rFonts w:asciiTheme="minorHAnsi" w:hAnsiTheme="minorHAnsi" w:cstheme="minorHAnsi"/>
          <w:b w:val="0"/>
          <w:sz w:val="20"/>
          <w:szCs w:val="20"/>
        </w:rPr>
      </w:pPr>
    </w:p>
    <w:p w:rsidR="009762DA" w:rsidRPr="00F80192" w:rsidRDefault="009762DA" w:rsidP="00403695">
      <w:pPr>
        <w:pStyle w:val="BodyText"/>
        <w:rPr>
          <w:rFonts w:asciiTheme="minorHAnsi" w:hAnsiTheme="minorHAnsi" w:cstheme="minorHAnsi"/>
          <w:b w:val="0"/>
          <w:sz w:val="20"/>
          <w:szCs w:val="20"/>
        </w:rPr>
      </w:pPr>
      <w:r w:rsidRPr="00F80192">
        <w:rPr>
          <w:rFonts w:asciiTheme="minorHAnsi" w:hAnsiTheme="minorHAnsi" w:cstheme="minorHAnsi"/>
          <w:b w:val="0"/>
          <w:sz w:val="20"/>
          <w:szCs w:val="20"/>
        </w:rPr>
        <w:t xml:space="preserve">Za proizvodnju glinice i dobijanje aluminijuma </w:t>
      </w:r>
      <w:r w:rsidRPr="00F80192">
        <w:rPr>
          <w:rFonts w:asciiTheme="minorHAnsi" w:hAnsiTheme="minorHAnsi" w:cstheme="minorHAnsi"/>
          <w:b w:val="0"/>
          <w:sz w:val="20"/>
          <w:szCs w:val="20"/>
          <w:lang w:val="pl-PL"/>
        </w:rPr>
        <w:t>Bajerovim postupkom</w:t>
      </w:r>
      <w:r w:rsidRPr="00F80192">
        <w:rPr>
          <w:rFonts w:asciiTheme="minorHAnsi" w:hAnsiTheme="minorHAnsi" w:cstheme="minorHAnsi"/>
          <w:b w:val="0"/>
          <w:sz w:val="20"/>
          <w:szCs w:val="20"/>
        </w:rPr>
        <w:t xml:space="preserve"> u Kombinatu aluminijuma - Podgorica koristili su se crveni boksiti sa najmanje 55% Al</w:t>
      </w:r>
      <w:r w:rsidRPr="00F80192">
        <w:rPr>
          <w:rFonts w:asciiTheme="minorHAnsi" w:hAnsiTheme="minorHAnsi" w:cstheme="minorHAnsi"/>
          <w:b w:val="0"/>
          <w:sz w:val="20"/>
          <w:szCs w:val="20"/>
          <w:vertAlign w:val="subscript"/>
        </w:rPr>
        <w:t>2</w:t>
      </w:r>
      <w:r w:rsidRPr="00F80192">
        <w:rPr>
          <w:rFonts w:asciiTheme="minorHAnsi" w:hAnsiTheme="minorHAnsi" w:cstheme="minorHAnsi"/>
          <w:b w:val="0"/>
          <w:sz w:val="20"/>
          <w:szCs w:val="20"/>
        </w:rPr>
        <w:t>O</w:t>
      </w:r>
      <w:r w:rsidRPr="00F80192">
        <w:rPr>
          <w:rFonts w:asciiTheme="minorHAnsi" w:hAnsiTheme="minorHAnsi" w:cstheme="minorHAnsi"/>
          <w:b w:val="0"/>
          <w:sz w:val="20"/>
          <w:szCs w:val="20"/>
          <w:vertAlign w:val="subscript"/>
        </w:rPr>
        <w:t>3</w:t>
      </w:r>
      <w:r w:rsidRPr="00F80192">
        <w:rPr>
          <w:rFonts w:asciiTheme="minorHAnsi" w:hAnsiTheme="minorHAnsi" w:cstheme="minorHAnsi"/>
          <w:b w:val="0"/>
          <w:sz w:val="20"/>
          <w:szCs w:val="20"/>
        </w:rPr>
        <w:t>, do 6% SiO</w:t>
      </w:r>
      <w:r w:rsidRPr="00F80192">
        <w:rPr>
          <w:rFonts w:asciiTheme="minorHAnsi" w:hAnsiTheme="minorHAnsi" w:cstheme="minorHAnsi"/>
          <w:b w:val="0"/>
          <w:sz w:val="20"/>
          <w:szCs w:val="20"/>
          <w:vertAlign w:val="subscript"/>
        </w:rPr>
        <w:t>2</w:t>
      </w:r>
      <w:r w:rsidRPr="00F80192">
        <w:rPr>
          <w:rFonts w:asciiTheme="minorHAnsi" w:hAnsiTheme="minorHAnsi" w:cstheme="minorHAnsi"/>
          <w:b w:val="0"/>
          <w:sz w:val="20"/>
          <w:szCs w:val="20"/>
        </w:rPr>
        <w:t xml:space="preserve"> i do 1% CaO. Boksiti ležišta </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Štitovo II</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 xml:space="preserve">, međutim, zbog lošijeg hemijskog sastava ne mogu se samostalno rentabilno prerađivati ovom tehnologijom. Ovaj se problem u Rudnicima boksita – Nikšić rješavao na taj način što se visokokvalitetnoj rudi iz drugih ležišta (uglavnom iz ležišta </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Zagrad</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 xml:space="preserve">) u određenoj proporciji dodavala ruda iz ležišta </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Štitovo II</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 tako da dobijena smješa ima sadržaj SiO</w:t>
      </w:r>
      <w:r w:rsidRPr="00F80192">
        <w:rPr>
          <w:rFonts w:asciiTheme="minorHAnsi" w:hAnsiTheme="minorHAnsi" w:cstheme="minorHAnsi"/>
          <w:b w:val="0"/>
          <w:sz w:val="20"/>
          <w:szCs w:val="20"/>
          <w:vertAlign w:val="subscript"/>
        </w:rPr>
        <w:t>2</w:t>
      </w:r>
      <w:r w:rsidRPr="00F80192">
        <w:rPr>
          <w:rFonts w:asciiTheme="minorHAnsi" w:hAnsiTheme="minorHAnsi" w:cstheme="minorHAnsi"/>
          <w:b w:val="0"/>
          <w:sz w:val="20"/>
          <w:szCs w:val="20"/>
        </w:rPr>
        <w:t xml:space="preserve"> od 5,5 do 6,0%.</w:t>
      </w:r>
    </w:p>
    <w:p w:rsidR="009762DA" w:rsidRPr="009762DA" w:rsidRDefault="009762DA" w:rsidP="00403695">
      <w:pPr>
        <w:pStyle w:val="BodyText"/>
        <w:rPr>
          <w:rFonts w:asciiTheme="minorHAnsi" w:hAnsiTheme="minorHAnsi" w:cstheme="minorHAnsi"/>
          <w:sz w:val="20"/>
          <w:szCs w:val="20"/>
        </w:rPr>
      </w:pPr>
    </w:p>
    <w:p w:rsidR="009762DA" w:rsidRPr="009762DA" w:rsidRDefault="00F80192" w:rsidP="00403695">
      <w:pPr>
        <w:pStyle w:val="Heading4"/>
        <w:numPr>
          <w:ilvl w:val="3"/>
          <w:numId w:val="0"/>
        </w:numPr>
        <w:spacing w:before="0"/>
        <w:ind w:left="864" w:hanging="864"/>
        <w:rPr>
          <w:rFonts w:asciiTheme="minorHAnsi" w:hAnsiTheme="minorHAnsi" w:cstheme="minorHAnsi"/>
          <w:color w:val="auto"/>
          <w:sz w:val="20"/>
          <w:szCs w:val="20"/>
          <w:lang w:val="sr-Latn-CS"/>
        </w:rPr>
      </w:pPr>
      <w:r>
        <w:rPr>
          <w:rFonts w:asciiTheme="minorHAnsi" w:hAnsiTheme="minorHAnsi" w:cstheme="minorHAnsi"/>
          <w:color w:val="auto"/>
          <w:sz w:val="20"/>
          <w:szCs w:val="20"/>
          <w:lang w:val="sr-Latn-CS"/>
        </w:rPr>
        <w:t xml:space="preserve">Rezerve </w:t>
      </w:r>
      <w:r w:rsidR="009762DA" w:rsidRPr="009762DA">
        <w:rPr>
          <w:rFonts w:asciiTheme="minorHAnsi" w:hAnsiTheme="minorHAnsi" w:cstheme="minorHAnsi"/>
          <w:color w:val="auto"/>
          <w:sz w:val="20"/>
          <w:szCs w:val="20"/>
          <w:lang w:val="sr-Latn-CS"/>
        </w:rPr>
        <w:t xml:space="preserve"> boksita </w:t>
      </w:r>
    </w:p>
    <w:p w:rsidR="00AF7286" w:rsidRDefault="009762DA" w:rsidP="00FC5732">
      <w:pPr>
        <w:pStyle w:val="BodyText"/>
        <w:rPr>
          <w:rFonts w:asciiTheme="minorHAnsi" w:hAnsiTheme="minorHAnsi" w:cstheme="minorHAnsi"/>
          <w:b w:val="0"/>
          <w:sz w:val="20"/>
          <w:szCs w:val="20"/>
        </w:rPr>
      </w:pPr>
      <w:r w:rsidRPr="00F80192">
        <w:rPr>
          <w:rFonts w:asciiTheme="minorHAnsi" w:hAnsiTheme="minorHAnsi" w:cstheme="minorHAnsi"/>
          <w:b w:val="0"/>
          <w:sz w:val="20"/>
          <w:szCs w:val="20"/>
        </w:rPr>
        <w:t xml:space="preserve">Posljednji proračun rezervi crvenog boksita ležišta </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Štitovo II</w:t>
      </w:r>
      <w:r w:rsidRPr="00F80192">
        <w:rPr>
          <w:rFonts w:asciiTheme="minorHAnsi" w:hAnsiTheme="minorHAnsi" w:cstheme="minorHAnsi"/>
          <w:b w:val="0"/>
          <w:sz w:val="20"/>
          <w:szCs w:val="20"/>
          <w:lang w:val="sr-Cyrl-CS"/>
        </w:rPr>
        <w:t>”</w:t>
      </w:r>
      <w:r w:rsidRPr="00F80192">
        <w:rPr>
          <w:rFonts w:asciiTheme="minorHAnsi" w:hAnsiTheme="minorHAnsi" w:cstheme="minorHAnsi"/>
          <w:b w:val="0"/>
          <w:sz w:val="20"/>
          <w:szCs w:val="20"/>
        </w:rPr>
        <w:t xml:space="preserve"> je izvršen u okviru Elaborata o klasifikaciji, kategorizaciji i proračunu rezervi crvenog boksita u ležištima Nikšićke Župe: Zagrad, Biočki stan, Đurakov do, Štitovo II i Borovnik, stanje 31.12.2006. godine, metodom paralelnih vertikalnih profila. Ležište ima visok stepen istraženosti (A:B:C</w:t>
      </w:r>
      <w:r w:rsidRPr="00F80192">
        <w:rPr>
          <w:rFonts w:asciiTheme="minorHAnsi" w:hAnsiTheme="minorHAnsi" w:cstheme="minorHAnsi"/>
          <w:b w:val="0"/>
          <w:sz w:val="20"/>
          <w:szCs w:val="20"/>
          <w:vertAlign w:val="subscript"/>
        </w:rPr>
        <w:t>1</w:t>
      </w:r>
      <w:r w:rsidRPr="00F80192">
        <w:rPr>
          <w:rFonts w:asciiTheme="minorHAnsi" w:hAnsiTheme="minorHAnsi" w:cstheme="minorHAnsi"/>
          <w:b w:val="0"/>
          <w:sz w:val="20"/>
          <w:szCs w:val="20"/>
        </w:rPr>
        <w:t>=28%:50%:22%). Elaborat nije ovjeren od strane nadležnog Ministarstva</w:t>
      </w:r>
      <w:r w:rsidR="00F80192" w:rsidRPr="00F80192">
        <w:rPr>
          <w:rFonts w:asciiTheme="minorHAnsi" w:hAnsiTheme="minorHAnsi" w:cstheme="minorHAnsi"/>
          <w:b w:val="0"/>
          <w:sz w:val="20"/>
          <w:szCs w:val="20"/>
        </w:rPr>
        <w:t>.</w:t>
      </w:r>
    </w:p>
    <w:p w:rsidR="009762DA" w:rsidRPr="009762DA" w:rsidRDefault="009762DA" w:rsidP="00403695">
      <w:pPr>
        <w:pStyle w:val="Caption"/>
        <w:spacing w:before="0" w:after="0"/>
        <w:jc w:val="both"/>
        <w:rPr>
          <w:rFonts w:asciiTheme="minorHAnsi" w:hAnsiTheme="minorHAnsi" w:cstheme="minorHAnsi"/>
          <w:i w:val="0"/>
          <w:sz w:val="20"/>
        </w:rPr>
      </w:pPr>
      <w:proofErr w:type="gramStart"/>
      <w:r w:rsidRPr="009762DA">
        <w:rPr>
          <w:rFonts w:asciiTheme="minorHAnsi" w:hAnsiTheme="minorHAnsi" w:cstheme="minorHAnsi"/>
          <w:i w:val="0"/>
          <w:sz w:val="20"/>
        </w:rPr>
        <w:t>Uslovno-bilansne geološke i eksploatacione rezerve crvenog boksita u ležištu “Štitovo II”, stanje 31.12.2006.</w:t>
      </w:r>
      <w:proofErr w:type="gramEnd"/>
      <w:r w:rsidRPr="009762DA">
        <w:rPr>
          <w:rFonts w:asciiTheme="minorHAnsi" w:hAnsiTheme="minorHAnsi" w:cstheme="minorHAnsi"/>
          <w:i w:val="0"/>
          <w:sz w:val="20"/>
        </w:rPr>
        <w:t xml:space="preserve"> godine</w:t>
      </w:r>
    </w:p>
    <w:p w:rsidR="009762DA" w:rsidRPr="009762DA" w:rsidRDefault="009762DA" w:rsidP="00403695">
      <w:pPr>
        <w:rPr>
          <w:rFonts w:asciiTheme="minorHAnsi" w:hAnsiTheme="minorHAnsi"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0"/>
        <w:gridCol w:w="2404"/>
        <w:gridCol w:w="873"/>
        <w:gridCol w:w="873"/>
        <w:gridCol w:w="873"/>
        <w:gridCol w:w="741"/>
        <w:gridCol w:w="741"/>
        <w:gridCol w:w="871"/>
      </w:tblGrid>
      <w:tr w:rsidR="009762DA" w:rsidRPr="009762DA" w:rsidTr="00AF53FF">
        <w:trPr>
          <w:trHeight w:val="284"/>
          <w:jc w:val="center"/>
        </w:trPr>
        <w:tc>
          <w:tcPr>
            <w:tcW w:w="1148" w:type="pct"/>
            <w:vMerge w:val="restart"/>
            <w:tcBorders>
              <w:top w:val="thinThickSmallGap" w:sz="12" w:space="0" w:color="auto"/>
              <w:lef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Kategorija</w:t>
            </w:r>
          </w:p>
        </w:tc>
        <w:tc>
          <w:tcPr>
            <w:tcW w:w="1255" w:type="pct"/>
            <w:vMerge w:val="restart"/>
            <w:tcBorders>
              <w:top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Uslovno-bilansne</w:t>
            </w:r>
          </w:p>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geološke rezerve (t)</w:t>
            </w:r>
          </w:p>
        </w:tc>
        <w:tc>
          <w:tcPr>
            <w:tcW w:w="2597" w:type="pct"/>
            <w:gridSpan w:val="6"/>
            <w:tcBorders>
              <w:top w:val="thinThickSmallGap" w:sz="12" w:space="0" w:color="auto"/>
              <w:left w:val="double" w:sz="4" w:space="0" w:color="auto"/>
              <w:righ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Srednji sadržaj %</w:t>
            </w:r>
          </w:p>
        </w:tc>
      </w:tr>
      <w:tr w:rsidR="009762DA" w:rsidRPr="009762DA" w:rsidTr="00AF53FF">
        <w:trPr>
          <w:trHeight w:val="284"/>
          <w:jc w:val="center"/>
        </w:trPr>
        <w:tc>
          <w:tcPr>
            <w:tcW w:w="1148" w:type="pct"/>
            <w:vMerge/>
            <w:tcBorders>
              <w:left w:val="thinThickSmallGap" w:sz="12" w:space="0" w:color="auto"/>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p>
        </w:tc>
        <w:tc>
          <w:tcPr>
            <w:tcW w:w="1255" w:type="pct"/>
            <w:vMerge/>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p>
        </w:tc>
        <w:tc>
          <w:tcPr>
            <w:tcW w:w="456" w:type="pct"/>
            <w:tcBorders>
              <w:left w:val="double" w:sz="4" w:space="0" w:color="auto"/>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Al</w:t>
            </w:r>
            <w:r w:rsidRPr="009762DA">
              <w:rPr>
                <w:rFonts w:asciiTheme="minorHAnsi" w:hAnsiTheme="minorHAnsi" w:cstheme="minorHAnsi"/>
                <w:szCs w:val="20"/>
                <w:vertAlign w:val="subscript"/>
              </w:rPr>
              <w:t>2</w:t>
            </w:r>
            <w:r w:rsidRPr="009762DA">
              <w:rPr>
                <w:rFonts w:asciiTheme="minorHAnsi" w:hAnsiTheme="minorHAnsi" w:cstheme="minorHAnsi"/>
                <w:szCs w:val="20"/>
              </w:rPr>
              <w:t>O</w:t>
            </w:r>
            <w:r w:rsidRPr="009762DA">
              <w:rPr>
                <w:rFonts w:asciiTheme="minorHAnsi" w:hAnsiTheme="minorHAnsi" w:cstheme="minorHAnsi"/>
                <w:szCs w:val="20"/>
                <w:vertAlign w:val="subscript"/>
              </w:rPr>
              <w:t>3</w:t>
            </w:r>
          </w:p>
        </w:tc>
        <w:tc>
          <w:tcPr>
            <w:tcW w:w="456"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SiO</w:t>
            </w:r>
            <w:r w:rsidRPr="009762DA">
              <w:rPr>
                <w:rFonts w:asciiTheme="minorHAnsi" w:hAnsiTheme="minorHAnsi" w:cstheme="minorHAnsi"/>
                <w:szCs w:val="20"/>
                <w:vertAlign w:val="subscript"/>
              </w:rPr>
              <w:t>2</w:t>
            </w:r>
          </w:p>
        </w:tc>
        <w:tc>
          <w:tcPr>
            <w:tcW w:w="456"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Fe</w:t>
            </w:r>
            <w:r w:rsidRPr="009762DA">
              <w:rPr>
                <w:rFonts w:asciiTheme="minorHAnsi" w:hAnsiTheme="minorHAnsi" w:cstheme="minorHAnsi"/>
                <w:szCs w:val="20"/>
                <w:vertAlign w:val="subscript"/>
              </w:rPr>
              <w:t>2</w:t>
            </w:r>
            <w:r w:rsidRPr="009762DA">
              <w:rPr>
                <w:rFonts w:asciiTheme="minorHAnsi" w:hAnsiTheme="minorHAnsi" w:cstheme="minorHAnsi"/>
                <w:szCs w:val="20"/>
              </w:rPr>
              <w:t>O</w:t>
            </w:r>
            <w:r w:rsidRPr="009762DA">
              <w:rPr>
                <w:rFonts w:asciiTheme="minorHAnsi" w:hAnsiTheme="minorHAnsi" w:cstheme="minorHAnsi"/>
                <w:szCs w:val="20"/>
                <w:vertAlign w:val="subscript"/>
              </w:rPr>
              <w:t>3</w:t>
            </w:r>
          </w:p>
        </w:tc>
        <w:tc>
          <w:tcPr>
            <w:tcW w:w="387"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TiO</w:t>
            </w:r>
            <w:r w:rsidRPr="009762DA">
              <w:rPr>
                <w:rFonts w:asciiTheme="minorHAnsi" w:hAnsiTheme="minorHAnsi" w:cstheme="minorHAnsi"/>
                <w:szCs w:val="20"/>
                <w:vertAlign w:val="subscript"/>
              </w:rPr>
              <w:t>2</w:t>
            </w:r>
          </w:p>
        </w:tc>
        <w:tc>
          <w:tcPr>
            <w:tcW w:w="387"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CaO</w:t>
            </w:r>
          </w:p>
        </w:tc>
        <w:tc>
          <w:tcPr>
            <w:tcW w:w="456" w:type="pct"/>
            <w:tcBorders>
              <w:bottom w:val="double" w:sz="4" w:space="0" w:color="auto"/>
              <w:righ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G.Ž.</w:t>
            </w:r>
          </w:p>
        </w:tc>
      </w:tr>
      <w:tr w:rsidR="009762DA" w:rsidRPr="009762DA" w:rsidTr="00AF53FF">
        <w:trPr>
          <w:trHeight w:val="204"/>
          <w:jc w:val="center"/>
        </w:trPr>
        <w:tc>
          <w:tcPr>
            <w:tcW w:w="5000" w:type="pct"/>
            <w:gridSpan w:val="8"/>
            <w:tcBorders>
              <w:top w:val="double" w:sz="4" w:space="0" w:color="auto"/>
              <w:left w:val="thinThickSmallGap" w:sz="12" w:space="0" w:color="auto"/>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i/>
                <w:szCs w:val="20"/>
              </w:rPr>
            </w:pPr>
            <w:r w:rsidRPr="009762DA">
              <w:rPr>
                <w:rFonts w:asciiTheme="minorHAnsi" w:hAnsiTheme="minorHAnsi" w:cstheme="minorHAnsi"/>
                <w:b/>
                <w:i/>
                <w:szCs w:val="20"/>
              </w:rPr>
              <w:t>Primarni dio ležišta</w:t>
            </w:r>
          </w:p>
        </w:tc>
      </w:tr>
      <w:tr w:rsidR="009762DA" w:rsidRPr="009762DA" w:rsidTr="00AF53FF">
        <w:trPr>
          <w:trHeight w:val="284"/>
          <w:jc w:val="center"/>
        </w:trPr>
        <w:tc>
          <w:tcPr>
            <w:tcW w:w="1148" w:type="pct"/>
            <w:tcBorders>
              <w:top w:val="double" w:sz="4" w:space="0" w:color="auto"/>
              <w:lef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w:t>
            </w:r>
          </w:p>
        </w:tc>
        <w:tc>
          <w:tcPr>
            <w:tcW w:w="1255" w:type="pct"/>
            <w:tcBorders>
              <w:top w:val="double" w:sz="4" w:space="0" w:color="auto"/>
            </w:tcBorders>
            <w:vAlign w:val="center"/>
          </w:tcPr>
          <w:p w:rsidR="009762DA" w:rsidRPr="009762DA" w:rsidRDefault="009762DA" w:rsidP="00AF53FF">
            <w:pPr>
              <w:jc w:val="center"/>
              <w:rPr>
                <w:rFonts w:asciiTheme="minorHAnsi" w:hAnsiTheme="minorHAnsi" w:cstheme="minorHAnsi"/>
                <w:b/>
                <w:sz w:val="20"/>
                <w:szCs w:val="20"/>
              </w:rPr>
            </w:pPr>
            <w:r w:rsidRPr="009762DA">
              <w:rPr>
                <w:rFonts w:asciiTheme="minorHAnsi" w:hAnsiTheme="minorHAnsi" w:cstheme="minorHAnsi"/>
                <w:b/>
                <w:sz w:val="20"/>
                <w:szCs w:val="20"/>
              </w:rPr>
              <w:t>1.298.666</w:t>
            </w:r>
          </w:p>
        </w:tc>
        <w:tc>
          <w:tcPr>
            <w:tcW w:w="456" w:type="pct"/>
            <w:tcBorders>
              <w:top w:val="double" w:sz="4" w:space="0" w:color="auto"/>
              <w:left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53,12</w:t>
            </w:r>
          </w:p>
        </w:tc>
        <w:tc>
          <w:tcPr>
            <w:tcW w:w="456"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12,62</w:t>
            </w:r>
          </w:p>
        </w:tc>
        <w:tc>
          <w:tcPr>
            <w:tcW w:w="456"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18,62</w:t>
            </w:r>
          </w:p>
        </w:tc>
        <w:tc>
          <w:tcPr>
            <w:tcW w:w="387"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2,58</w:t>
            </w:r>
          </w:p>
        </w:tc>
        <w:tc>
          <w:tcPr>
            <w:tcW w:w="387"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0,30</w:t>
            </w:r>
          </w:p>
        </w:tc>
        <w:tc>
          <w:tcPr>
            <w:tcW w:w="456" w:type="pct"/>
            <w:tcBorders>
              <w:top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12,72</w:t>
            </w:r>
          </w:p>
        </w:tc>
      </w:tr>
      <w:tr w:rsidR="009762DA" w:rsidRPr="009762DA" w:rsidTr="00AF53FF">
        <w:trPr>
          <w:trHeight w:val="284"/>
          <w:jc w:val="center"/>
        </w:trPr>
        <w:tc>
          <w:tcPr>
            <w:tcW w:w="1148" w:type="pct"/>
            <w:tcBorders>
              <w:left w:val="thinThickSmallGap" w:sz="12"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B</w:t>
            </w:r>
          </w:p>
        </w:tc>
        <w:tc>
          <w:tcPr>
            <w:tcW w:w="1255"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2.162.375</w:t>
            </w:r>
          </w:p>
        </w:tc>
        <w:tc>
          <w:tcPr>
            <w:tcW w:w="456" w:type="pct"/>
            <w:tcBorders>
              <w:left w:val="double" w:sz="4"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52,68</w:t>
            </w:r>
          </w:p>
        </w:tc>
        <w:tc>
          <w:tcPr>
            <w:tcW w:w="456"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12,89</w:t>
            </w:r>
          </w:p>
        </w:tc>
        <w:tc>
          <w:tcPr>
            <w:tcW w:w="456"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18,76</w:t>
            </w:r>
          </w:p>
        </w:tc>
        <w:tc>
          <w:tcPr>
            <w:tcW w:w="387"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2,48</w:t>
            </w:r>
          </w:p>
        </w:tc>
        <w:tc>
          <w:tcPr>
            <w:tcW w:w="387"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0,42</w:t>
            </w:r>
          </w:p>
        </w:tc>
        <w:tc>
          <w:tcPr>
            <w:tcW w:w="456" w:type="pct"/>
            <w:tcBorders>
              <w:bottom w:val="sing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12,17</w:t>
            </w:r>
          </w:p>
        </w:tc>
      </w:tr>
      <w:tr w:rsidR="009762DA" w:rsidRPr="009762DA" w:rsidTr="00AF53FF">
        <w:trPr>
          <w:trHeight w:val="284"/>
          <w:jc w:val="center"/>
        </w:trPr>
        <w:tc>
          <w:tcPr>
            <w:tcW w:w="1148" w:type="pct"/>
            <w:tcBorders>
              <w:left w:val="thinThickSmallGap" w:sz="12"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C</w:t>
            </w:r>
            <w:r w:rsidRPr="009762DA">
              <w:rPr>
                <w:rFonts w:asciiTheme="minorHAnsi" w:hAnsiTheme="minorHAnsi" w:cstheme="minorHAnsi"/>
                <w:b/>
                <w:szCs w:val="20"/>
                <w:vertAlign w:val="subscript"/>
              </w:rPr>
              <w:t>1</w:t>
            </w:r>
          </w:p>
        </w:tc>
        <w:tc>
          <w:tcPr>
            <w:tcW w:w="1255"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699.114</w:t>
            </w:r>
          </w:p>
        </w:tc>
        <w:tc>
          <w:tcPr>
            <w:tcW w:w="456" w:type="pct"/>
            <w:tcBorders>
              <w:left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54,25</w:t>
            </w:r>
          </w:p>
        </w:tc>
        <w:tc>
          <w:tcPr>
            <w:tcW w:w="456"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12,43</w:t>
            </w:r>
          </w:p>
        </w:tc>
        <w:tc>
          <w:tcPr>
            <w:tcW w:w="456"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18,86</w:t>
            </w:r>
          </w:p>
        </w:tc>
        <w:tc>
          <w:tcPr>
            <w:tcW w:w="387"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2,53</w:t>
            </w:r>
          </w:p>
        </w:tc>
        <w:tc>
          <w:tcPr>
            <w:tcW w:w="387"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0,41</w:t>
            </w:r>
          </w:p>
        </w:tc>
        <w:tc>
          <w:tcPr>
            <w:tcW w:w="456" w:type="pct"/>
            <w:tcBorders>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12,73</w:t>
            </w:r>
          </w:p>
        </w:tc>
      </w:tr>
      <w:tr w:rsidR="009762DA" w:rsidRPr="009762DA" w:rsidTr="00AF53FF">
        <w:trPr>
          <w:trHeight w:val="284"/>
          <w:jc w:val="center"/>
        </w:trPr>
        <w:tc>
          <w:tcPr>
            <w:tcW w:w="1148" w:type="pct"/>
            <w:tcBorders>
              <w:top w:val="single" w:sz="4" w:space="0" w:color="auto"/>
              <w:left w:val="thinThickSmallGap" w:sz="12"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A+B+C</w:t>
            </w:r>
            <w:r w:rsidRPr="009762DA">
              <w:rPr>
                <w:rFonts w:asciiTheme="minorHAnsi" w:hAnsiTheme="minorHAnsi" w:cstheme="minorHAnsi"/>
                <w:b/>
                <w:szCs w:val="20"/>
                <w:vertAlign w:val="subscript"/>
              </w:rPr>
              <w:t>1</w:t>
            </w:r>
          </w:p>
        </w:tc>
        <w:tc>
          <w:tcPr>
            <w:tcW w:w="1255" w:type="pct"/>
            <w:tcBorders>
              <w:top w:val="sing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4.160.155</w:t>
            </w:r>
          </w:p>
        </w:tc>
        <w:tc>
          <w:tcPr>
            <w:tcW w:w="456" w:type="pct"/>
            <w:tcBorders>
              <w:top w:val="single" w:sz="4" w:space="0" w:color="auto"/>
              <w:left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53,08</w:t>
            </w:r>
          </w:p>
        </w:tc>
        <w:tc>
          <w:tcPr>
            <w:tcW w:w="456" w:type="pct"/>
            <w:tcBorders>
              <w:top w:val="sing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12,72</w:t>
            </w:r>
          </w:p>
        </w:tc>
        <w:tc>
          <w:tcPr>
            <w:tcW w:w="456" w:type="pct"/>
            <w:tcBorders>
              <w:top w:val="sing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18,73</w:t>
            </w:r>
          </w:p>
        </w:tc>
        <w:tc>
          <w:tcPr>
            <w:tcW w:w="387" w:type="pct"/>
            <w:tcBorders>
              <w:top w:val="sing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2,51</w:t>
            </w:r>
          </w:p>
        </w:tc>
        <w:tc>
          <w:tcPr>
            <w:tcW w:w="387" w:type="pct"/>
            <w:tcBorders>
              <w:top w:val="sing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0,38</w:t>
            </w:r>
          </w:p>
        </w:tc>
        <w:tc>
          <w:tcPr>
            <w:tcW w:w="456" w:type="pct"/>
            <w:tcBorders>
              <w:top w:val="single" w:sz="4" w:space="0" w:color="auto"/>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12,26</w:t>
            </w:r>
          </w:p>
        </w:tc>
      </w:tr>
      <w:tr w:rsidR="009762DA" w:rsidRPr="009762DA" w:rsidTr="00AF53FF">
        <w:trPr>
          <w:trHeight w:val="204"/>
          <w:jc w:val="center"/>
        </w:trPr>
        <w:tc>
          <w:tcPr>
            <w:tcW w:w="5000" w:type="pct"/>
            <w:gridSpan w:val="8"/>
            <w:tcBorders>
              <w:top w:val="double" w:sz="4" w:space="0" w:color="auto"/>
              <w:left w:val="thinThickSmallGap" w:sz="12" w:space="0" w:color="auto"/>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i/>
                <w:szCs w:val="20"/>
              </w:rPr>
            </w:pPr>
            <w:r w:rsidRPr="009762DA">
              <w:rPr>
                <w:rFonts w:asciiTheme="minorHAnsi" w:hAnsiTheme="minorHAnsi" w:cstheme="minorHAnsi"/>
                <w:b/>
                <w:i/>
                <w:szCs w:val="20"/>
              </w:rPr>
              <w:t>Sekundarni dio ležišta</w:t>
            </w:r>
          </w:p>
        </w:tc>
      </w:tr>
      <w:tr w:rsidR="009762DA" w:rsidRPr="009762DA" w:rsidTr="00AF53FF">
        <w:trPr>
          <w:trHeight w:val="284"/>
          <w:jc w:val="center"/>
        </w:trPr>
        <w:tc>
          <w:tcPr>
            <w:tcW w:w="1148" w:type="pct"/>
            <w:tcBorders>
              <w:top w:val="double" w:sz="4" w:space="0" w:color="auto"/>
              <w:lef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w:t>
            </w:r>
          </w:p>
        </w:tc>
        <w:tc>
          <w:tcPr>
            <w:tcW w:w="1255" w:type="pct"/>
            <w:tcBorders>
              <w:top w:val="double" w:sz="4" w:space="0" w:color="auto"/>
            </w:tcBorders>
            <w:vAlign w:val="center"/>
          </w:tcPr>
          <w:p w:rsidR="009762DA" w:rsidRPr="009762DA" w:rsidRDefault="009762DA" w:rsidP="00AF53FF">
            <w:pPr>
              <w:jc w:val="center"/>
              <w:rPr>
                <w:rFonts w:asciiTheme="minorHAnsi" w:hAnsiTheme="minorHAnsi" w:cstheme="minorHAnsi"/>
                <w:b/>
                <w:sz w:val="20"/>
                <w:szCs w:val="20"/>
                <w:lang w:val="pl-PL"/>
              </w:rPr>
            </w:pPr>
            <w:r w:rsidRPr="009762DA">
              <w:rPr>
                <w:rFonts w:asciiTheme="minorHAnsi" w:hAnsiTheme="minorHAnsi" w:cstheme="minorHAnsi"/>
                <w:b/>
                <w:sz w:val="20"/>
                <w:szCs w:val="20"/>
                <w:lang w:val="pl-PL"/>
              </w:rPr>
              <w:t>-</w:t>
            </w:r>
          </w:p>
        </w:tc>
        <w:tc>
          <w:tcPr>
            <w:tcW w:w="456" w:type="pct"/>
            <w:tcBorders>
              <w:top w:val="double" w:sz="4" w:space="0" w:color="auto"/>
              <w:left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w:t>
            </w:r>
          </w:p>
        </w:tc>
        <w:tc>
          <w:tcPr>
            <w:tcW w:w="456"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w:t>
            </w:r>
          </w:p>
        </w:tc>
        <w:tc>
          <w:tcPr>
            <w:tcW w:w="456"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w:t>
            </w:r>
          </w:p>
        </w:tc>
        <w:tc>
          <w:tcPr>
            <w:tcW w:w="387"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w:t>
            </w:r>
          </w:p>
        </w:tc>
        <w:tc>
          <w:tcPr>
            <w:tcW w:w="387" w:type="pct"/>
            <w:tcBorders>
              <w:top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w:t>
            </w:r>
          </w:p>
        </w:tc>
        <w:tc>
          <w:tcPr>
            <w:tcW w:w="456" w:type="pct"/>
            <w:tcBorders>
              <w:top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w:t>
            </w:r>
          </w:p>
        </w:tc>
      </w:tr>
      <w:tr w:rsidR="009762DA" w:rsidRPr="009762DA" w:rsidTr="00AF53FF">
        <w:trPr>
          <w:trHeight w:val="284"/>
          <w:jc w:val="center"/>
        </w:trPr>
        <w:tc>
          <w:tcPr>
            <w:tcW w:w="1148" w:type="pct"/>
            <w:tcBorders>
              <w:left w:val="thinThickSmallGap" w:sz="12"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B</w:t>
            </w:r>
          </w:p>
        </w:tc>
        <w:tc>
          <w:tcPr>
            <w:tcW w:w="1255"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105.518</w:t>
            </w:r>
          </w:p>
        </w:tc>
        <w:tc>
          <w:tcPr>
            <w:tcW w:w="456" w:type="pct"/>
            <w:tcBorders>
              <w:left w:val="double" w:sz="4"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56,15</w:t>
            </w:r>
          </w:p>
        </w:tc>
        <w:tc>
          <w:tcPr>
            <w:tcW w:w="456"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7,96</w:t>
            </w:r>
          </w:p>
        </w:tc>
        <w:tc>
          <w:tcPr>
            <w:tcW w:w="456"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20,16</w:t>
            </w:r>
          </w:p>
        </w:tc>
        <w:tc>
          <w:tcPr>
            <w:tcW w:w="387"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2,80</w:t>
            </w:r>
          </w:p>
        </w:tc>
        <w:tc>
          <w:tcPr>
            <w:tcW w:w="387" w:type="pct"/>
            <w:tcBorders>
              <w:bottom w:val="sing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0,27</w:t>
            </w:r>
          </w:p>
        </w:tc>
        <w:tc>
          <w:tcPr>
            <w:tcW w:w="456" w:type="pct"/>
            <w:tcBorders>
              <w:bottom w:val="sing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12,22</w:t>
            </w:r>
          </w:p>
        </w:tc>
      </w:tr>
      <w:tr w:rsidR="009762DA" w:rsidRPr="009762DA" w:rsidTr="00AF53FF">
        <w:trPr>
          <w:trHeight w:val="284"/>
          <w:jc w:val="center"/>
        </w:trPr>
        <w:tc>
          <w:tcPr>
            <w:tcW w:w="1148" w:type="pct"/>
            <w:tcBorders>
              <w:left w:val="thinThickSmallGap" w:sz="12"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C</w:t>
            </w:r>
            <w:r w:rsidRPr="009762DA">
              <w:rPr>
                <w:rFonts w:asciiTheme="minorHAnsi" w:hAnsiTheme="minorHAnsi" w:cstheme="minorHAnsi"/>
                <w:b/>
                <w:szCs w:val="20"/>
                <w:vertAlign w:val="subscript"/>
              </w:rPr>
              <w:t>1</w:t>
            </w:r>
          </w:p>
        </w:tc>
        <w:tc>
          <w:tcPr>
            <w:tcW w:w="1255"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327.042</w:t>
            </w:r>
          </w:p>
        </w:tc>
        <w:tc>
          <w:tcPr>
            <w:tcW w:w="456" w:type="pct"/>
            <w:tcBorders>
              <w:left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56,58</w:t>
            </w:r>
          </w:p>
        </w:tc>
        <w:tc>
          <w:tcPr>
            <w:tcW w:w="456"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7,49</w:t>
            </w:r>
          </w:p>
        </w:tc>
        <w:tc>
          <w:tcPr>
            <w:tcW w:w="456"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20,10</w:t>
            </w:r>
          </w:p>
        </w:tc>
        <w:tc>
          <w:tcPr>
            <w:tcW w:w="387"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2,80</w:t>
            </w:r>
          </w:p>
        </w:tc>
        <w:tc>
          <w:tcPr>
            <w:tcW w:w="387" w:type="pct"/>
            <w:tcBorders>
              <w:bottom w:val="double" w:sz="4"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0,26</w:t>
            </w:r>
          </w:p>
        </w:tc>
        <w:tc>
          <w:tcPr>
            <w:tcW w:w="456" w:type="pct"/>
            <w:tcBorders>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11,96</w:t>
            </w:r>
          </w:p>
        </w:tc>
      </w:tr>
      <w:tr w:rsidR="009762DA" w:rsidRPr="009762DA" w:rsidTr="00AF53FF">
        <w:trPr>
          <w:trHeight w:val="284"/>
          <w:jc w:val="center"/>
        </w:trPr>
        <w:tc>
          <w:tcPr>
            <w:tcW w:w="1148" w:type="pct"/>
            <w:tcBorders>
              <w:top w:val="double" w:sz="4" w:space="0" w:color="auto"/>
              <w:left w:val="thinThickSmallGap" w:sz="12"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A+B+C</w:t>
            </w:r>
            <w:r w:rsidRPr="009762DA">
              <w:rPr>
                <w:rFonts w:asciiTheme="minorHAnsi" w:hAnsiTheme="minorHAnsi" w:cstheme="minorHAnsi"/>
                <w:b/>
                <w:szCs w:val="20"/>
                <w:vertAlign w:val="subscript"/>
              </w:rPr>
              <w:t>1</w:t>
            </w:r>
          </w:p>
        </w:tc>
        <w:tc>
          <w:tcPr>
            <w:tcW w:w="1255" w:type="pct"/>
            <w:tcBorders>
              <w:top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432.560</w:t>
            </w:r>
          </w:p>
        </w:tc>
        <w:tc>
          <w:tcPr>
            <w:tcW w:w="456" w:type="pct"/>
            <w:tcBorders>
              <w:top w:val="double" w:sz="4" w:space="0" w:color="auto"/>
              <w:left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56,47</w:t>
            </w:r>
          </w:p>
        </w:tc>
        <w:tc>
          <w:tcPr>
            <w:tcW w:w="456" w:type="pct"/>
            <w:tcBorders>
              <w:top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7,60</w:t>
            </w:r>
          </w:p>
        </w:tc>
        <w:tc>
          <w:tcPr>
            <w:tcW w:w="456" w:type="pct"/>
            <w:tcBorders>
              <w:top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20,11</w:t>
            </w:r>
          </w:p>
        </w:tc>
        <w:tc>
          <w:tcPr>
            <w:tcW w:w="387" w:type="pct"/>
            <w:tcBorders>
              <w:top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2,80</w:t>
            </w:r>
          </w:p>
        </w:tc>
        <w:tc>
          <w:tcPr>
            <w:tcW w:w="387" w:type="pct"/>
            <w:tcBorders>
              <w:top w:val="double" w:sz="4"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0,26</w:t>
            </w:r>
          </w:p>
        </w:tc>
        <w:tc>
          <w:tcPr>
            <w:tcW w:w="456" w:type="pct"/>
            <w:tcBorders>
              <w:top w:val="double" w:sz="4" w:space="0" w:color="auto"/>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12,02</w:t>
            </w:r>
          </w:p>
        </w:tc>
      </w:tr>
      <w:tr w:rsidR="009762DA" w:rsidRPr="009762DA" w:rsidTr="00AF53FF">
        <w:trPr>
          <w:trHeight w:val="204"/>
          <w:jc w:val="center"/>
        </w:trPr>
        <w:tc>
          <w:tcPr>
            <w:tcW w:w="5000" w:type="pct"/>
            <w:gridSpan w:val="8"/>
            <w:tcBorders>
              <w:top w:val="double" w:sz="4" w:space="0" w:color="auto"/>
              <w:left w:val="thinThickSmallGap" w:sz="12" w:space="0" w:color="auto"/>
              <w:bottom w:val="double" w:sz="4" w:space="0" w:color="auto"/>
              <w:righ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i/>
                <w:szCs w:val="20"/>
              </w:rPr>
            </w:pPr>
            <w:r w:rsidRPr="009762DA">
              <w:rPr>
                <w:rFonts w:asciiTheme="minorHAnsi" w:hAnsiTheme="minorHAnsi" w:cstheme="minorHAnsi"/>
                <w:b/>
                <w:i/>
                <w:szCs w:val="20"/>
              </w:rPr>
              <w:t>UKUPNO</w:t>
            </w:r>
          </w:p>
        </w:tc>
      </w:tr>
      <w:tr w:rsidR="009762DA" w:rsidRPr="009762DA" w:rsidTr="00AF53FF">
        <w:trPr>
          <w:trHeight w:val="284"/>
          <w:jc w:val="center"/>
        </w:trPr>
        <w:tc>
          <w:tcPr>
            <w:tcW w:w="1148" w:type="pct"/>
            <w:tcBorders>
              <w:top w:val="double" w:sz="4" w:space="0" w:color="auto"/>
              <w:lef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w:t>
            </w:r>
          </w:p>
        </w:tc>
        <w:tc>
          <w:tcPr>
            <w:tcW w:w="1255" w:type="pct"/>
            <w:tcBorders>
              <w:top w:val="double" w:sz="4"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1.298.666</w:t>
            </w:r>
          </w:p>
        </w:tc>
        <w:tc>
          <w:tcPr>
            <w:tcW w:w="456" w:type="pct"/>
            <w:tcBorders>
              <w:top w:val="double" w:sz="4" w:space="0" w:color="auto"/>
              <w:left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53,12</w:t>
            </w:r>
          </w:p>
        </w:tc>
        <w:tc>
          <w:tcPr>
            <w:tcW w:w="456"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12,62</w:t>
            </w:r>
          </w:p>
        </w:tc>
        <w:tc>
          <w:tcPr>
            <w:tcW w:w="456"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18,62</w:t>
            </w:r>
          </w:p>
        </w:tc>
        <w:tc>
          <w:tcPr>
            <w:tcW w:w="387"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2,58</w:t>
            </w:r>
          </w:p>
        </w:tc>
        <w:tc>
          <w:tcPr>
            <w:tcW w:w="387"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0,30</w:t>
            </w:r>
          </w:p>
        </w:tc>
        <w:tc>
          <w:tcPr>
            <w:tcW w:w="456" w:type="pct"/>
            <w:tcBorders>
              <w:top w:val="double" w:sz="4" w:space="0" w:color="auto"/>
              <w:right w:val="thinThickSmallGap" w:sz="12"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12,17</w:t>
            </w:r>
          </w:p>
        </w:tc>
      </w:tr>
      <w:tr w:rsidR="009762DA" w:rsidRPr="009762DA" w:rsidTr="00AF53FF">
        <w:trPr>
          <w:trHeight w:val="284"/>
          <w:jc w:val="center"/>
        </w:trPr>
        <w:tc>
          <w:tcPr>
            <w:tcW w:w="1148" w:type="pct"/>
            <w:tcBorders>
              <w:left w:val="thinThickSmallGap" w:sz="12"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B</w:t>
            </w:r>
          </w:p>
        </w:tc>
        <w:tc>
          <w:tcPr>
            <w:tcW w:w="1255" w:type="pct"/>
            <w:tcBorders>
              <w:bottom w:val="single" w:sz="4"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2.267.893</w:t>
            </w:r>
          </w:p>
        </w:tc>
        <w:tc>
          <w:tcPr>
            <w:tcW w:w="456" w:type="pct"/>
            <w:tcBorders>
              <w:left w:val="double" w:sz="4" w:space="0" w:color="auto"/>
              <w:bottom w:val="sing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52,84</w:t>
            </w:r>
          </w:p>
        </w:tc>
        <w:tc>
          <w:tcPr>
            <w:tcW w:w="456"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12,66</w:t>
            </w:r>
          </w:p>
        </w:tc>
        <w:tc>
          <w:tcPr>
            <w:tcW w:w="456"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18,82</w:t>
            </w:r>
          </w:p>
        </w:tc>
        <w:tc>
          <w:tcPr>
            <w:tcW w:w="387"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2,49</w:t>
            </w:r>
          </w:p>
        </w:tc>
        <w:tc>
          <w:tcPr>
            <w:tcW w:w="387"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0,41</w:t>
            </w:r>
          </w:p>
        </w:tc>
        <w:tc>
          <w:tcPr>
            <w:tcW w:w="456" w:type="pct"/>
            <w:tcBorders>
              <w:bottom w:val="single" w:sz="4" w:space="0" w:color="auto"/>
              <w:right w:val="thinThickSmallGap" w:sz="12"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12,17</w:t>
            </w:r>
          </w:p>
        </w:tc>
      </w:tr>
      <w:tr w:rsidR="009762DA" w:rsidRPr="009762DA" w:rsidTr="00AF53FF">
        <w:trPr>
          <w:trHeight w:val="284"/>
          <w:jc w:val="center"/>
        </w:trPr>
        <w:tc>
          <w:tcPr>
            <w:tcW w:w="1148" w:type="pct"/>
            <w:tcBorders>
              <w:left w:val="thinThickSmallGap" w:sz="12"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C</w:t>
            </w:r>
            <w:r w:rsidRPr="009762DA">
              <w:rPr>
                <w:rFonts w:asciiTheme="minorHAnsi" w:hAnsiTheme="minorHAnsi" w:cstheme="minorHAnsi"/>
                <w:b/>
                <w:szCs w:val="20"/>
                <w:vertAlign w:val="subscript"/>
              </w:rPr>
              <w:t>1</w:t>
            </w:r>
          </w:p>
        </w:tc>
        <w:tc>
          <w:tcPr>
            <w:tcW w:w="1255" w:type="pct"/>
            <w:tcBorders>
              <w:bottom w:val="double" w:sz="4"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1.026.156</w:t>
            </w:r>
          </w:p>
        </w:tc>
        <w:tc>
          <w:tcPr>
            <w:tcW w:w="456" w:type="pct"/>
            <w:tcBorders>
              <w:left w:val="double" w:sz="4" w:space="0" w:color="auto"/>
              <w:bottom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54,99</w:t>
            </w:r>
          </w:p>
        </w:tc>
        <w:tc>
          <w:tcPr>
            <w:tcW w:w="456" w:type="pct"/>
            <w:tcBorders>
              <w:bottom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10,85</w:t>
            </w:r>
          </w:p>
        </w:tc>
        <w:tc>
          <w:tcPr>
            <w:tcW w:w="456" w:type="pct"/>
            <w:tcBorders>
              <w:bottom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19,25</w:t>
            </w:r>
          </w:p>
        </w:tc>
        <w:tc>
          <w:tcPr>
            <w:tcW w:w="387" w:type="pct"/>
            <w:tcBorders>
              <w:bottom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2,61</w:t>
            </w:r>
          </w:p>
        </w:tc>
        <w:tc>
          <w:tcPr>
            <w:tcW w:w="387" w:type="pct"/>
            <w:tcBorders>
              <w:bottom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0,36</w:t>
            </w:r>
          </w:p>
        </w:tc>
        <w:tc>
          <w:tcPr>
            <w:tcW w:w="456" w:type="pct"/>
            <w:tcBorders>
              <w:bottom w:val="double" w:sz="4" w:space="0" w:color="auto"/>
              <w:right w:val="thinThickSmallGap" w:sz="12"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12,48</w:t>
            </w:r>
          </w:p>
        </w:tc>
      </w:tr>
      <w:tr w:rsidR="009762DA" w:rsidRPr="009762DA" w:rsidTr="00AF53FF">
        <w:trPr>
          <w:trHeight w:val="284"/>
          <w:jc w:val="center"/>
        </w:trPr>
        <w:tc>
          <w:tcPr>
            <w:tcW w:w="1148" w:type="pct"/>
            <w:tcBorders>
              <w:top w:val="double" w:sz="4" w:space="0" w:color="auto"/>
              <w:left w:val="thinThickSmallGap" w:sz="12" w:space="0" w:color="auto"/>
              <w:bottom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A+B+C</w:t>
            </w:r>
            <w:r w:rsidRPr="009762DA">
              <w:rPr>
                <w:rFonts w:asciiTheme="minorHAnsi" w:hAnsiTheme="minorHAnsi" w:cstheme="minorHAnsi"/>
                <w:b/>
                <w:szCs w:val="20"/>
                <w:vertAlign w:val="subscript"/>
              </w:rPr>
              <w:t>1</w:t>
            </w:r>
          </w:p>
        </w:tc>
        <w:tc>
          <w:tcPr>
            <w:tcW w:w="1255"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4.592.715</w:t>
            </w:r>
          </w:p>
        </w:tc>
        <w:tc>
          <w:tcPr>
            <w:tcW w:w="456" w:type="pct"/>
            <w:tcBorders>
              <w:top w:val="double" w:sz="4" w:space="0" w:color="auto"/>
              <w:left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53,39</w:t>
            </w:r>
          </w:p>
        </w:tc>
        <w:tc>
          <w:tcPr>
            <w:tcW w:w="456"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12,24</w:t>
            </w:r>
          </w:p>
        </w:tc>
        <w:tc>
          <w:tcPr>
            <w:tcW w:w="456"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18,85</w:t>
            </w:r>
          </w:p>
        </w:tc>
        <w:tc>
          <w:tcPr>
            <w:tcW w:w="387"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2,54</w:t>
            </w:r>
          </w:p>
        </w:tc>
        <w:tc>
          <w:tcPr>
            <w:tcW w:w="387"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0,36</w:t>
            </w:r>
          </w:p>
        </w:tc>
        <w:tc>
          <w:tcPr>
            <w:tcW w:w="456" w:type="pct"/>
            <w:tcBorders>
              <w:top w:val="double" w:sz="4" w:space="0" w:color="auto"/>
              <w:bottom w:val="thinThickSmallGap" w:sz="12" w:space="0" w:color="auto"/>
              <w:right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12,23</w:t>
            </w:r>
          </w:p>
        </w:tc>
      </w:tr>
    </w:tbl>
    <w:p w:rsidR="009762DA" w:rsidRPr="009762DA" w:rsidRDefault="009762DA" w:rsidP="00403695">
      <w:pPr>
        <w:jc w:val="both"/>
        <w:rPr>
          <w:rFonts w:asciiTheme="minorHAnsi" w:hAnsiTheme="minorHAnsi" w:cstheme="minorHAnsi"/>
          <w:b/>
          <w:sz w:val="20"/>
          <w:szCs w:val="20"/>
        </w:rPr>
      </w:pPr>
    </w:p>
    <w:p w:rsidR="009762DA" w:rsidRPr="00F80192"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U periodu od 01.01.2007. godine do vrem</w:t>
      </w:r>
      <w:r w:rsidR="00F80192">
        <w:rPr>
          <w:rFonts w:asciiTheme="minorHAnsi" w:hAnsiTheme="minorHAnsi" w:cstheme="minorHAnsi"/>
          <w:sz w:val="20"/>
          <w:szCs w:val="20"/>
        </w:rPr>
        <w:t>ena izrade ovog Plana</w:t>
      </w:r>
      <w:r w:rsidRPr="009762DA">
        <w:rPr>
          <w:rFonts w:asciiTheme="minorHAnsi" w:hAnsiTheme="minorHAnsi" w:cstheme="minorHAnsi"/>
          <w:sz w:val="20"/>
          <w:szCs w:val="20"/>
        </w:rPr>
        <w:t>, prema podacima dobijenim od AD Rudnici boksita – Ni</w:t>
      </w:r>
      <w:r w:rsidR="00F80192">
        <w:rPr>
          <w:rFonts w:asciiTheme="minorHAnsi" w:hAnsiTheme="minorHAnsi" w:cstheme="minorHAnsi"/>
          <w:sz w:val="20"/>
          <w:szCs w:val="20"/>
        </w:rPr>
        <w:t xml:space="preserve">kšić, iz ležišta “Štitovo II” </w:t>
      </w:r>
      <w:r w:rsidRPr="009762DA">
        <w:rPr>
          <w:rFonts w:asciiTheme="minorHAnsi" w:hAnsiTheme="minorHAnsi" w:cstheme="minorHAnsi"/>
          <w:sz w:val="20"/>
          <w:szCs w:val="20"/>
        </w:rPr>
        <w:t xml:space="preserve"> otkopane </w:t>
      </w:r>
      <w:r w:rsidR="00F80192">
        <w:rPr>
          <w:rFonts w:asciiTheme="minorHAnsi" w:hAnsiTheme="minorHAnsi" w:cstheme="minorHAnsi"/>
          <w:sz w:val="20"/>
          <w:szCs w:val="20"/>
        </w:rPr>
        <w:t xml:space="preserve">su ukupne </w:t>
      </w:r>
      <w:r w:rsidRPr="009762DA">
        <w:rPr>
          <w:rFonts w:asciiTheme="minorHAnsi" w:hAnsiTheme="minorHAnsi" w:cstheme="minorHAnsi"/>
          <w:sz w:val="20"/>
          <w:szCs w:val="20"/>
        </w:rPr>
        <w:t>količine crvenog boksita</w:t>
      </w:r>
      <w:r w:rsidR="00F80192">
        <w:rPr>
          <w:rFonts w:asciiTheme="minorHAnsi" w:hAnsiTheme="minorHAnsi" w:cstheme="minorHAnsi"/>
          <w:sz w:val="20"/>
          <w:szCs w:val="20"/>
        </w:rPr>
        <w:t xml:space="preserve"> od </w:t>
      </w:r>
      <w:r w:rsidRPr="009762DA">
        <w:rPr>
          <w:rFonts w:asciiTheme="minorHAnsi" w:hAnsiTheme="minorHAnsi" w:cstheme="minorHAnsi"/>
          <w:sz w:val="20"/>
          <w:szCs w:val="20"/>
        </w:rPr>
        <w:t xml:space="preserve"> </w:t>
      </w:r>
      <w:r w:rsidR="00F80192" w:rsidRPr="009762DA">
        <w:rPr>
          <w:rFonts w:asciiTheme="minorHAnsi" w:hAnsiTheme="minorHAnsi" w:cstheme="minorHAnsi"/>
          <w:b/>
          <w:sz w:val="20"/>
          <w:szCs w:val="20"/>
        </w:rPr>
        <w:t>563.485</w:t>
      </w:r>
      <w:r w:rsidR="00F80192">
        <w:rPr>
          <w:rFonts w:asciiTheme="minorHAnsi" w:hAnsiTheme="minorHAnsi" w:cstheme="minorHAnsi"/>
          <w:b/>
          <w:sz w:val="20"/>
          <w:szCs w:val="20"/>
        </w:rPr>
        <w:t xml:space="preserve"> t </w:t>
      </w:r>
      <w:r w:rsidRPr="009762DA">
        <w:rPr>
          <w:rFonts w:asciiTheme="minorHAnsi" w:hAnsiTheme="minorHAnsi" w:cstheme="minorHAnsi"/>
          <w:sz w:val="20"/>
          <w:szCs w:val="20"/>
        </w:rPr>
        <w:t xml:space="preserve">i jalovine </w:t>
      </w:r>
      <w:r w:rsidR="00F80192" w:rsidRPr="009762DA">
        <w:rPr>
          <w:rFonts w:asciiTheme="minorHAnsi" w:hAnsiTheme="minorHAnsi" w:cstheme="minorHAnsi"/>
          <w:b/>
          <w:sz w:val="20"/>
          <w:szCs w:val="20"/>
        </w:rPr>
        <w:t>1.250.545</w:t>
      </w:r>
      <w:r w:rsidR="00F80192">
        <w:rPr>
          <w:rFonts w:asciiTheme="minorHAnsi" w:hAnsiTheme="minorHAnsi" w:cstheme="minorHAnsi"/>
          <w:b/>
          <w:sz w:val="20"/>
          <w:szCs w:val="20"/>
        </w:rPr>
        <w:t xml:space="preserve"> m</w:t>
      </w:r>
      <w:r w:rsidR="00F80192">
        <w:rPr>
          <w:rFonts w:asciiTheme="minorHAnsi" w:hAnsiTheme="minorHAnsi" w:cstheme="minorHAnsi"/>
          <w:b/>
          <w:sz w:val="20"/>
          <w:szCs w:val="20"/>
          <w:vertAlign w:val="superscript"/>
        </w:rPr>
        <w:t>3</w:t>
      </w:r>
      <w:r w:rsidR="00F80192">
        <w:rPr>
          <w:rFonts w:asciiTheme="minorHAnsi" w:hAnsiTheme="minorHAnsi" w:cstheme="minorHAnsi"/>
          <w:b/>
          <w:sz w:val="20"/>
          <w:szCs w:val="20"/>
        </w:rPr>
        <w:t>.</w:t>
      </w:r>
    </w:p>
    <w:p w:rsidR="009762DA" w:rsidRPr="009762DA" w:rsidRDefault="009762DA" w:rsidP="00403695">
      <w:pPr>
        <w:jc w:val="both"/>
        <w:rPr>
          <w:rFonts w:asciiTheme="minorHAnsi" w:hAnsiTheme="minorHAnsi" w:cstheme="minorHAnsi"/>
          <w:sz w:val="20"/>
          <w:szCs w:val="20"/>
        </w:rPr>
      </w:pPr>
    </w:p>
    <w:p w:rsidR="00403695"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U  cilju utvrđivanja stanja rezervi i kvaliteta preostale mineralne sirovine u ležištu, neophodno je uraditi novi Elaborat o klasifikaciji, kategorizaciji i proračunu rezervi crvenog boksita u ležištu “Štitovo II”, u skladu sa zakonom.</w:t>
      </w:r>
      <w:bookmarkStart w:id="11" w:name="_Toc416350579"/>
    </w:p>
    <w:p w:rsidR="009762DA" w:rsidRDefault="009762DA" w:rsidP="00403695">
      <w:pPr>
        <w:pStyle w:val="ListParagraph"/>
        <w:numPr>
          <w:ilvl w:val="0"/>
          <w:numId w:val="17"/>
        </w:numPr>
        <w:jc w:val="both"/>
        <w:rPr>
          <w:rFonts w:asciiTheme="minorHAnsi" w:hAnsiTheme="minorHAnsi" w:cstheme="minorHAnsi"/>
          <w:b/>
          <w:sz w:val="20"/>
          <w:szCs w:val="20"/>
        </w:rPr>
      </w:pPr>
      <w:r w:rsidRPr="00403695">
        <w:rPr>
          <w:rFonts w:asciiTheme="minorHAnsi" w:hAnsiTheme="minorHAnsi" w:cstheme="minorHAnsi"/>
          <w:b/>
          <w:sz w:val="20"/>
          <w:szCs w:val="20"/>
        </w:rPr>
        <w:t>Ležište  “Biočki stan”</w:t>
      </w:r>
      <w:bookmarkEnd w:id="11"/>
    </w:p>
    <w:p w:rsidR="00FC5732" w:rsidRPr="00403695" w:rsidRDefault="00FC5732" w:rsidP="00FC5732">
      <w:pPr>
        <w:pStyle w:val="ListParagraph"/>
        <w:jc w:val="both"/>
        <w:rPr>
          <w:rFonts w:asciiTheme="minorHAnsi" w:hAnsiTheme="minorHAnsi" w:cstheme="minorHAnsi"/>
          <w:b/>
          <w:sz w:val="20"/>
          <w:szCs w:val="20"/>
        </w:rPr>
      </w:pPr>
    </w:p>
    <w:p w:rsidR="009762DA" w:rsidRPr="009762DA" w:rsidRDefault="009762DA" w:rsidP="00403695">
      <w:pPr>
        <w:pStyle w:val="Heading4"/>
        <w:numPr>
          <w:ilvl w:val="3"/>
          <w:numId w:val="0"/>
        </w:numPr>
        <w:spacing w:before="0"/>
        <w:ind w:left="864" w:hanging="864"/>
        <w:rPr>
          <w:rFonts w:asciiTheme="minorHAnsi" w:hAnsiTheme="minorHAnsi" w:cstheme="minorHAnsi"/>
          <w:color w:val="auto"/>
          <w:sz w:val="20"/>
          <w:szCs w:val="20"/>
          <w:lang w:val="sr-Latn-CS"/>
        </w:rPr>
      </w:pPr>
      <w:r w:rsidRPr="009762DA">
        <w:rPr>
          <w:rFonts w:asciiTheme="minorHAnsi" w:hAnsiTheme="minorHAnsi" w:cstheme="minorHAnsi"/>
          <w:color w:val="auto"/>
          <w:sz w:val="20"/>
          <w:szCs w:val="20"/>
          <w:lang w:val="sr-Latn-CS"/>
        </w:rPr>
        <w:lastRenderedPageBreak/>
        <w:t>Geološka građa ležišta</w:t>
      </w:r>
    </w:p>
    <w:p w:rsidR="009762DA" w:rsidRPr="009762DA" w:rsidRDefault="009762DA" w:rsidP="00403695">
      <w:pPr>
        <w:pStyle w:val="BodyText"/>
        <w:rPr>
          <w:rFonts w:asciiTheme="minorHAnsi" w:hAnsiTheme="minorHAnsi" w:cstheme="minorHAnsi"/>
          <w:b w:val="0"/>
          <w:sz w:val="20"/>
          <w:szCs w:val="20"/>
        </w:rPr>
      </w:pPr>
    </w:p>
    <w:p w:rsidR="009762DA" w:rsidRPr="00F80192" w:rsidRDefault="009762DA" w:rsidP="00403695">
      <w:pPr>
        <w:pStyle w:val="BodyText"/>
        <w:rPr>
          <w:rFonts w:asciiTheme="minorHAnsi" w:hAnsiTheme="minorHAnsi" w:cstheme="minorHAnsi"/>
          <w:b w:val="0"/>
          <w:sz w:val="20"/>
          <w:szCs w:val="20"/>
        </w:rPr>
      </w:pPr>
      <w:r w:rsidRPr="00F80192">
        <w:rPr>
          <w:rFonts w:asciiTheme="minorHAnsi" w:hAnsiTheme="minorHAnsi" w:cstheme="minorHAnsi"/>
          <w:b w:val="0"/>
          <w:sz w:val="20"/>
          <w:szCs w:val="20"/>
        </w:rPr>
        <w:t>Širi prostor ležišta „Biočki stan“ izgrađuju sedimentne stijene gornjeg trijasa, jure i krede. Stijene gornjeg trijasa izgrađuju neposredni zapadni dio ležišnog prostora, kao i paleoreljef, tj. podinu boksita. Predstavljene su masivnim i bankovitim megalodonskim krečnjacima, koji su intenzivno karstifikovani. Ležište se na površini ispoljava sa dva izdanka na njegovom zapadnom obodu, koji su otkopani površinskim putem. Po dužini se pruža 1.600 m pravcem zapad-istok, a širina mu je od 100 do 600 m. Boksit je crvene i crveno-mrke boje, školjkastog preloma i relativno male tvrdine (oko 3). Strukture je afanitske, sa rijetkim pojavama pizolita. Mjestimično se na boksitima nalaze raznobojne plastične gline debljine 20 do 50 cm. Povlata boksita je transgresivna, predstavljena slojevitim, mjestimično laporovitim krečnjacima titona, čija je debljina od 5 do 20 m. Preko ovih sedimenata leže donjokredni bankoviti i slojeviti dolomiti i dolomitični krečnjaci, a podređeno se javljaju proslojci krečnjaka.</w:t>
      </w:r>
    </w:p>
    <w:p w:rsidR="009762DA" w:rsidRPr="00F80192" w:rsidRDefault="009762DA" w:rsidP="00403695">
      <w:pPr>
        <w:pStyle w:val="BodyText"/>
        <w:rPr>
          <w:rFonts w:asciiTheme="minorHAnsi" w:hAnsiTheme="minorHAnsi" w:cstheme="minorHAnsi"/>
          <w:b w:val="0"/>
          <w:sz w:val="20"/>
          <w:szCs w:val="20"/>
        </w:rPr>
      </w:pPr>
      <w:r w:rsidRPr="00F80192">
        <w:rPr>
          <w:rFonts w:asciiTheme="minorHAnsi" w:hAnsiTheme="minorHAnsi" w:cstheme="minorHAnsi"/>
          <w:b w:val="0"/>
          <w:sz w:val="20"/>
          <w:szCs w:val="20"/>
        </w:rPr>
        <w:t>U granicama konture, sa debljinom boksita od preko 1,8 m, površina ležišta „Biočki stan“ iznosi oko 600.000 m</w:t>
      </w:r>
      <w:r w:rsidRPr="00F80192">
        <w:rPr>
          <w:rFonts w:asciiTheme="minorHAnsi" w:hAnsiTheme="minorHAnsi" w:cstheme="minorHAnsi"/>
          <w:b w:val="0"/>
          <w:sz w:val="20"/>
          <w:szCs w:val="20"/>
          <w:vertAlign w:val="superscript"/>
        </w:rPr>
        <w:t>2</w:t>
      </w:r>
      <w:r w:rsidRPr="00F80192">
        <w:rPr>
          <w:rFonts w:asciiTheme="minorHAnsi" w:hAnsiTheme="minorHAnsi" w:cstheme="minorHAnsi"/>
          <w:b w:val="0"/>
          <w:sz w:val="20"/>
          <w:szCs w:val="20"/>
        </w:rPr>
        <w:t>. Boksit ovog ležišta ima nepravilno slojevit oblik, sa vrlo promjenljivom debljinom zbog izrazite morfologije paleoreljefa. Najveći dio boksita nalazi se na dubini od 100 do 300 m ispod površine terena, pa je zbog toga projektovano jamsko otkopavanje boksita. Tektonska građa ležišta „Biočki stan“ je složena i ogleda se u postrudnom razlamanju, pri čemu su formirane složene strukture rupturnog oblika.</w:t>
      </w:r>
    </w:p>
    <w:p w:rsidR="009762DA" w:rsidRPr="009762DA" w:rsidRDefault="009762DA" w:rsidP="00403695">
      <w:pPr>
        <w:pStyle w:val="BodyText"/>
        <w:rPr>
          <w:rFonts w:asciiTheme="minorHAnsi" w:hAnsiTheme="minorHAnsi" w:cstheme="minorHAnsi"/>
          <w:sz w:val="20"/>
          <w:szCs w:val="20"/>
        </w:rPr>
      </w:pPr>
    </w:p>
    <w:p w:rsidR="009762DA" w:rsidRPr="009762DA" w:rsidRDefault="009762DA" w:rsidP="00403695">
      <w:pPr>
        <w:pStyle w:val="BodyText"/>
        <w:rPr>
          <w:rFonts w:asciiTheme="minorHAnsi" w:hAnsiTheme="minorHAnsi" w:cstheme="minorHAnsi"/>
          <w:sz w:val="20"/>
          <w:szCs w:val="20"/>
        </w:rPr>
      </w:pPr>
      <w:r w:rsidRPr="009762DA">
        <w:rPr>
          <w:rFonts w:asciiTheme="minorHAnsi" w:hAnsiTheme="minorHAnsi" w:cstheme="minorHAnsi"/>
          <w:sz w:val="20"/>
          <w:szCs w:val="20"/>
        </w:rPr>
        <w:t>U prethodnom periodu otkopan je zapadni dio ležišta „Biočki stan“ iznad nivoa 1.406 mnm, kao i etaže 1.393, 1.381, 1.373, 1.364, 1.355,5 i 1.347, a u fazi eksploatacije 2007. godine je bio dio etaže 1.338 u središnjem dijelu ležišta. Ekploatacija u jami „Biočki stan“ je obustavljena krajem 2008. godine.</w:t>
      </w:r>
    </w:p>
    <w:p w:rsidR="009762DA" w:rsidRPr="00F80192" w:rsidRDefault="00F80192" w:rsidP="00403695">
      <w:pPr>
        <w:pStyle w:val="Heading4"/>
        <w:numPr>
          <w:ilvl w:val="3"/>
          <w:numId w:val="0"/>
        </w:numPr>
        <w:spacing w:before="0"/>
        <w:rPr>
          <w:rFonts w:asciiTheme="minorHAnsi" w:eastAsia="Times New Roman" w:hAnsiTheme="minorHAnsi" w:cstheme="minorHAnsi"/>
          <w:color w:val="auto"/>
          <w:sz w:val="20"/>
          <w:szCs w:val="20"/>
          <w:lang w:val="sr-Latn-CS"/>
        </w:rPr>
      </w:pPr>
      <w:r>
        <w:rPr>
          <w:rFonts w:asciiTheme="minorHAnsi" w:eastAsia="Times New Roman" w:hAnsiTheme="minorHAnsi" w:cstheme="minorHAnsi"/>
          <w:color w:val="auto"/>
          <w:sz w:val="20"/>
          <w:szCs w:val="20"/>
          <w:lang w:val="sr-Latn-CS"/>
        </w:rPr>
        <w:t>Kkvalitet</w:t>
      </w:r>
      <w:r w:rsidR="009762DA" w:rsidRPr="009762DA">
        <w:rPr>
          <w:rFonts w:asciiTheme="minorHAnsi" w:eastAsia="Times New Roman" w:hAnsiTheme="minorHAnsi" w:cstheme="minorHAnsi"/>
          <w:color w:val="auto"/>
          <w:sz w:val="20"/>
          <w:szCs w:val="20"/>
          <w:lang w:val="sr-Latn-CS"/>
        </w:rPr>
        <w:t xml:space="preserve"> boksita</w:t>
      </w:r>
    </w:p>
    <w:p w:rsidR="009762DA" w:rsidRPr="009762DA" w:rsidRDefault="009762DA" w:rsidP="00403695">
      <w:pPr>
        <w:jc w:val="both"/>
        <w:rPr>
          <w:rFonts w:asciiTheme="minorHAnsi" w:hAnsiTheme="minorHAnsi" w:cstheme="minorHAnsi"/>
          <w:sz w:val="20"/>
          <w:szCs w:val="20"/>
          <w:lang w:val="sr-Latn-CS"/>
        </w:rPr>
      </w:pPr>
    </w:p>
    <w:p w:rsidR="009762DA" w:rsidRPr="009762DA" w:rsidRDefault="009762DA" w:rsidP="00403695">
      <w:pPr>
        <w:jc w:val="both"/>
        <w:rPr>
          <w:rFonts w:asciiTheme="minorHAnsi" w:hAnsiTheme="minorHAnsi" w:cstheme="minorHAnsi"/>
          <w:sz w:val="20"/>
          <w:szCs w:val="20"/>
          <w:lang w:val="sr-Latn-CS"/>
        </w:rPr>
      </w:pPr>
      <w:r w:rsidRPr="009762DA">
        <w:rPr>
          <w:rFonts w:asciiTheme="minorHAnsi" w:hAnsiTheme="minorHAnsi" w:cstheme="minorHAnsi"/>
          <w:sz w:val="20"/>
          <w:szCs w:val="20"/>
          <w:lang w:val="sr-Latn-CS"/>
        </w:rPr>
        <w:t>Za ležište „Biočki stan“ je, na osnovu ispitivanja kompozitnih proba 1978. godine, određen mineralni sastav: bemit 65,50%, kaolinit 9,31%, hematit 19,98%, kalcit 2,20% i anatas 2,92%. U istim probama su utvrđeni sledeći sadržaji mikroelemenata (u ppm): Pb-22, Ga-40, V-140, Cu-35, Y-30, Zr-200, Ni-80, Co-15, Sc-14, Cr-300, La-80, Sr-15, Li-55, U-6 i Th-44.</w:t>
      </w:r>
    </w:p>
    <w:p w:rsidR="009762DA" w:rsidRPr="009762DA" w:rsidRDefault="009762DA" w:rsidP="00403695">
      <w:pPr>
        <w:jc w:val="both"/>
        <w:rPr>
          <w:rFonts w:asciiTheme="minorHAnsi" w:hAnsiTheme="minorHAnsi" w:cstheme="minorHAnsi"/>
          <w:sz w:val="20"/>
          <w:szCs w:val="20"/>
          <w:lang w:val="sr-Latn-CS"/>
        </w:rPr>
      </w:pPr>
      <w:r w:rsidRPr="009762DA">
        <w:rPr>
          <w:rFonts w:asciiTheme="minorHAnsi" w:hAnsiTheme="minorHAnsi" w:cstheme="minorHAnsi"/>
          <w:sz w:val="20"/>
          <w:szCs w:val="20"/>
          <w:lang w:val="sr-Latn-CS"/>
        </w:rPr>
        <w:t>Mineraloške i kvalitativne karakteristike boksita ležišta „Biočki stan“ omogućavaju preradu Bajerovim postupkom za dobijanje aluminijuma.</w:t>
      </w:r>
    </w:p>
    <w:p w:rsidR="009762DA" w:rsidRPr="009762DA" w:rsidRDefault="009762DA" w:rsidP="00403695">
      <w:pPr>
        <w:jc w:val="both"/>
        <w:rPr>
          <w:rFonts w:asciiTheme="minorHAnsi" w:hAnsiTheme="minorHAnsi" w:cstheme="minorHAnsi"/>
          <w:sz w:val="20"/>
          <w:szCs w:val="20"/>
          <w:lang w:val="sr-Latn-CS"/>
        </w:rPr>
      </w:pPr>
    </w:p>
    <w:p w:rsidR="009762DA" w:rsidRPr="009762DA" w:rsidRDefault="00F80192" w:rsidP="00403695">
      <w:pPr>
        <w:pStyle w:val="Heading4"/>
        <w:numPr>
          <w:ilvl w:val="3"/>
          <w:numId w:val="0"/>
        </w:numPr>
        <w:spacing w:before="0"/>
        <w:ind w:left="864" w:hanging="864"/>
        <w:rPr>
          <w:rFonts w:asciiTheme="minorHAnsi" w:hAnsiTheme="minorHAnsi" w:cstheme="minorHAnsi"/>
          <w:color w:val="auto"/>
          <w:sz w:val="20"/>
          <w:szCs w:val="20"/>
          <w:lang w:val="sr-Latn-CS"/>
        </w:rPr>
      </w:pPr>
      <w:r>
        <w:rPr>
          <w:rFonts w:asciiTheme="minorHAnsi" w:hAnsiTheme="minorHAnsi" w:cstheme="minorHAnsi"/>
          <w:color w:val="auto"/>
          <w:sz w:val="20"/>
          <w:szCs w:val="20"/>
          <w:lang w:val="sr-Latn-CS"/>
        </w:rPr>
        <w:t xml:space="preserve">Rezerve </w:t>
      </w:r>
      <w:r w:rsidR="009762DA" w:rsidRPr="009762DA">
        <w:rPr>
          <w:rFonts w:asciiTheme="minorHAnsi" w:hAnsiTheme="minorHAnsi" w:cstheme="minorHAnsi"/>
          <w:color w:val="auto"/>
          <w:sz w:val="20"/>
          <w:szCs w:val="20"/>
          <w:lang w:val="sr-Latn-CS"/>
        </w:rPr>
        <w:t xml:space="preserve"> boksita </w:t>
      </w:r>
    </w:p>
    <w:p w:rsidR="00FC5732" w:rsidRDefault="009762DA" w:rsidP="00403695">
      <w:pPr>
        <w:jc w:val="both"/>
        <w:rPr>
          <w:rFonts w:asciiTheme="minorHAnsi" w:hAnsiTheme="minorHAnsi" w:cstheme="minorHAnsi"/>
          <w:sz w:val="20"/>
          <w:szCs w:val="20"/>
          <w:lang w:val="sr-Latn-CS"/>
        </w:rPr>
      </w:pPr>
      <w:r w:rsidRPr="009762DA">
        <w:rPr>
          <w:rFonts w:asciiTheme="minorHAnsi" w:hAnsiTheme="minorHAnsi" w:cstheme="minorHAnsi"/>
          <w:sz w:val="20"/>
          <w:szCs w:val="20"/>
          <w:lang w:val="sr-Latn-CS"/>
        </w:rPr>
        <w:t>Posljednji proračun rezervi crvenog boksita ležišta “Biočki stan” je izvršen u okviru Elaborata o klasifikaciji, kategorizaciji i proračunu rezervi crvenog boksita u ležištima Nikšićke Župe: Zagrad, Biočki stan, Đurakov do, Štitovo II i Borovnik, stanje 31.12.2006. godine, metodom paralelnih vertikalnih profila. Elaborat nije ovjeren od strane nadležnog Ministarstva. Istraživanjima je dokazano da ležište crvenog boksita „Biočki stan“ pripada prvoj grupi i da ima vrlo visoki stepen istraženosti A:B:C=78%: 11%:11%.</w:t>
      </w:r>
    </w:p>
    <w:p w:rsidR="009762DA" w:rsidRPr="009762DA" w:rsidRDefault="00FC5732" w:rsidP="00403695">
      <w:pPr>
        <w:jc w:val="both"/>
        <w:rPr>
          <w:rFonts w:asciiTheme="minorHAnsi" w:hAnsiTheme="minorHAnsi" w:cstheme="minorHAnsi"/>
          <w:b/>
          <w:sz w:val="20"/>
          <w:szCs w:val="20"/>
        </w:rPr>
      </w:pPr>
      <w:r>
        <w:rPr>
          <w:rFonts w:asciiTheme="minorHAnsi" w:hAnsiTheme="minorHAnsi" w:cstheme="minorHAnsi"/>
          <w:b/>
          <w:sz w:val="20"/>
          <w:szCs w:val="20"/>
          <w:lang w:val="sr-Latn-CS"/>
        </w:rPr>
        <w:t xml:space="preserve">                </w:t>
      </w:r>
      <w:r w:rsidR="009762DA" w:rsidRPr="009762DA">
        <w:rPr>
          <w:rFonts w:asciiTheme="minorHAnsi" w:hAnsiTheme="minorHAnsi" w:cstheme="minorHAnsi"/>
          <w:b/>
          <w:sz w:val="20"/>
          <w:szCs w:val="20"/>
        </w:rPr>
        <w:t xml:space="preserve">Bilansne geološke rezerve crvenog boksita u ležištu “Biočki </w:t>
      </w:r>
      <w:proofErr w:type="gramStart"/>
      <w:r w:rsidR="009762DA" w:rsidRPr="009762DA">
        <w:rPr>
          <w:rFonts w:asciiTheme="minorHAnsi" w:hAnsiTheme="minorHAnsi" w:cstheme="minorHAnsi"/>
          <w:b/>
          <w:sz w:val="20"/>
          <w:szCs w:val="20"/>
        </w:rPr>
        <w:t>stan</w:t>
      </w:r>
      <w:proofErr w:type="gramEnd"/>
      <w:r w:rsidR="009762DA" w:rsidRPr="009762DA">
        <w:rPr>
          <w:rFonts w:asciiTheme="minorHAnsi" w:hAnsiTheme="minorHAnsi" w:cstheme="minorHAnsi"/>
          <w:b/>
          <w:sz w:val="20"/>
          <w:szCs w:val="20"/>
        </w:rPr>
        <w:t>”, stanje 31.12.2006. godine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2781"/>
        <w:gridCol w:w="870"/>
        <w:gridCol w:w="737"/>
        <w:gridCol w:w="870"/>
        <w:gridCol w:w="737"/>
        <w:gridCol w:w="737"/>
        <w:gridCol w:w="868"/>
      </w:tblGrid>
      <w:tr w:rsidR="009762DA" w:rsidRPr="009762DA" w:rsidTr="00AF53FF">
        <w:trPr>
          <w:trHeight w:val="284"/>
          <w:jc w:val="center"/>
        </w:trPr>
        <w:tc>
          <w:tcPr>
            <w:tcW w:w="1032" w:type="pct"/>
            <w:vMerge w:val="restart"/>
            <w:tcBorders>
              <w:top w:val="thinThickSmallGap" w:sz="12" w:space="0" w:color="auto"/>
              <w:lef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Kategorija</w:t>
            </w:r>
          </w:p>
        </w:tc>
        <w:tc>
          <w:tcPr>
            <w:tcW w:w="1452" w:type="pct"/>
            <w:vMerge w:val="restart"/>
            <w:tcBorders>
              <w:top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Bilansne geološke</w:t>
            </w:r>
          </w:p>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rezerve(t)</w:t>
            </w:r>
          </w:p>
        </w:tc>
        <w:tc>
          <w:tcPr>
            <w:tcW w:w="2516" w:type="pct"/>
            <w:gridSpan w:val="6"/>
            <w:tcBorders>
              <w:top w:val="thinThickSmallGap" w:sz="12" w:space="0" w:color="auto"/>
              <w:left w:val="double" w:sz="4" w:space="0" w:color="auto"/>
              <w:righ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Srednji sadržaj %</w:t>
            </w:r>
          </w:p>
        </w:tc>
      </w:tr>
      <w:tr w:rsidR="009762DA" w:rsidRPr="009762DA" w:rsidTr="00AF53FF">
        <w:trPr>
          <w:trHeight w:val="284"/>
          <w:jc w:val="center"/>
        </w:trPr>
        <w:tc>
          <w:tcPr>
            <w:tcW w:w="1032" w:type="pct"/>
            <w:vMerge/>
            <w:tcBorders>
              <w:left w:val="thinThickSmallGap" w:sz="12" w:space="0" w:color="auto"/>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p>
        </w:tc>
        <w:tc>
          <w:tcPr>
            <w:tcW w:w="1452" w:type="pct"/>
            <w:vMerge/>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p>
        </w:tc>
        <w:tc>
          <w:tcPr>
            <w:tcW w:w="454" w:type="pct"/>
            <w:tcBorders>
              <w:left w:val="double" w:sz="4" w:space="0" w:color="auto"/>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Al</w:t>
            </w:r>
            <w:r w:rsidRPr="009762DA">
              <w:rPr>
                <w:rFonts w:asciiTheme="minorHAnsi" w:hAnsiTheme="minorHAnsi" w:cstheme="minorHAnsi"/>
                <w:szCs w:val="20"/>
                <w:vertAlign w:val="subscript"/>
              </w:rPr>
              <w:t>2</w:t>
            </w:r>
            <w:r w:rsidRPr="009762DA">
              <w:rPr>
                <w:rFonts w:asciiTheme="minorHAnsi" w:hAnsiTheme="minorHAnsi" w:cstheme="minorHAnsi"/>
                <w:szCs w:val="20"/>
              </w:rPr>
              <w:t>O</w:t>
            </w:r>
            <w:r w:rsidRPr="009762DA">
              <w:rPr>
                <w:rFonts w:asciiTheme="minorHAnsi" w:hAnsiTheme="minorHAnsi" w:cstheme="minorHAnsi"/>
                <w:szCs w:val="20"/>
                <w:vertAlign w:val="subscript"/>
              </w:rPr>
              <w:t>3</w:t>
            </w:r>
          </w:p>
        </w:tc>
        <w:tc>
          <w:tcPr>
            <w:tcW w:w="385"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SiO</w:t>
            </w:r>
            <w:r w:rsidRPr="009762DA">
              <w:rPr>
                <w:rFonts w:asciiTheme="minorHAnsi" w:hAnsiTheme="minorHAnsi" w:cstheme="minorHAnsi"/>
                <w:szCs w:val="20"/>
                <w:vertAlign w:val="subscript"/>
              </w:rPr>
              <w:t>2</w:t>
            </w:r>
          </w:p>
        </w:tc>
        <w:tc>
          <w:tcPr>
            <w:tcW w:w="454"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Fe</w:t>
            </w:r>
            <w:r w:rsidRPr="009762DA">
              <w:rPr>
                <w:rFonts w:asciiTheme="minorHAnsi" w:hAnsiTheme="minorHAnsi" w:cstheme="minorHAnsi"/>
                <w:szCs w:val="20"/>
                <w:vertAlign w:val="subscript"/>
              </w:rPr>
              <w:t>2</w:t>
            </w:r>
            <w:r w:rsidRPr="009762DA">
              <w:rPr>
                <w:rFonts w:asciiTheme="minorHAnsi" w:hAnsiTheme="minorHAnsi" w:cstheme="minorHAnsi"/>
                <w:szCs w:val="20"/>
              </w:rPr>
              <w:t>O</w:t>
            </w:r>
            <w:r w:rsidRPr="009762DA">
              <w:rPr>
                <w:rFonts w:asciiTheme="minorHAnsi" w:hAnsiTheme="minorHAnsi" w:cstheme="minorHAnsi"/>
                <w:szCs w:val="20"/>
                <w:vertAlign w:val="subscript"/>
              </w:rPr>
              <w:t>3</w:t>
            </w:r>
          </w:p>
        </w:tc>
        <w:tc>
          <w:tcPr>
            <w:tcW w:w="385"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TiO</w:t>
            </w:r>
            <w:r w:rsidRPr="009762DA">
              <w:rPr>
                <w:rFonts w:asciiTheme="minorHAnsi" w:hAnsiTheme="minorHAnsi" w:cstheme="minorHAnsi"/>
                <w:szCs w:val="20"/>
                <w:vertAlign w:val="subscript"/>
              </w:rPr>
              <w:t>2</w:t>
            </w:r>
          </w:p>
        </w:tc>
        <w:tc>
          <w:tcPr>
            <w:tcW w:w="385" w:type="pct"/>
            <w:tcBorders>
              <w:bottom w:val="double" w:sz="4"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CaO</w:t>
            </w:r>
          </w:p>
        </w:tc>
        <w:tc>
          <w:tcPr>
            <w:tcW w:w="454" w:type="pct"/>
            <w:tcBorders>
              <w:bottom w:val="double" w:sz="4" w:space="0" w:color="auto"/>
              <w:right w:val="thinThickSmallGap" w:sz="12" w:space="0" w:color="auto"/>
            </w:tcBorders>
            <w:shd w:val="clear" w:color="auto" w:fill="92D050"/>
            <w:vAlign w:val="center"/>
          </w:tcPr>
          <w:p w:rsidR="009762DA" w:rsidRPr="009762DA" w:rsidRDefault="009762DA" w:rsidP="00AF53FF">
            <w:pPr>
              <w:pStyle w:val="tabele"/>
              <w:spacing w:before="0" w:after="0"/>
              <w:rPr>
                <w:rFonts w:asciiTheme="minorHAnsi" w:hAnsiTheme="minorHAnsi" w:cstheme="minorHAnsi"/>
                <w:szCs w:val="20"/>
              </w:rPr>
            </w:pPr>
            <w:r w:rsidRPr="009762DA">
              <w:rPr>
                <w:rFonts w:asciiTheme="minorHAnsi" w:hAnsiTheme="minorHAnsi" w:cstheme="minorHAnsi"/>
                <w:szCs w:val="20"/>
              </w:rPr>
              <w:t>G.Ž.</w:t>
            </w:r>
          </w:p>
        </w:tc>
      </w:tr>
      <w:tr w:rsidR="009762DA" w:rsidRPr="009762DA" w:rsidTr="00AF53FF">
        <w:trPr>
          <w:trHeight w:val="284"/>
          <w:jc w:val="center"/>
        </w:trPr>
        <w:tc>
          <w:tcPr>
            <w:tcW w:w="1032" w:type="pct"/>
            <w:tcBorders>
              <w:top w:val="double" w:sz="4" w:space="0" w:color="auto"/>
              <w:left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w:t>
            </w:r>
          </w:p>
        </w:tc>
        <w:tc>
          <w:tcPr>
            <w:tcW w:w="1452" w:type="pct"/>
            <w:tcBorders>
              <w:top w:val="double" w:sz="4"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6.518.035</w:t>
            </w:r>
          </w:p>
        </w:tc>
        <w:tc>
          <w:tcPr>
            <w:tcW w:w="454" w:type="pct"/>
            <w:tcBorders>
              <w:top w:val="double" w:sz="4" w:space="0" w:color="auto"/>
              <w:left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58,66</w:t>
            </w:r>
          </w:p>
        </w:tc>
        <w:tc>
          <w:tcPr>
            <w:tcW w:w="385"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3,91</w:t>
            </w:r>
          </w:p>
        </w:tc>
        <w:tc>
          <w:tcPr>
            <w:tcW w:w="454"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20,87</w:t>
            </w:r>
          </w:p>
        </w:tc>
        <w:tc>
          <w:tcPr>
            <w:tcW w:w="385"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2,93</w:t>
            </w:r>
          </w:p>
        </w:tc>
        <w:tc>
          <w:tcPr>
            <w:tcW w:w="385" w:type="pct"/>
            <w:tcBorders>
              <w:top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0,61</w:t>
            </w:r>
          </w:p>
        </w:tc>
        <w:tc>
          <w:tcPr>
            <w:tcW w:w="454" w:type="pct"/>
            <w:tcBorders>
              <w:top w:val="double" w:sz="4" w:space="0" w:color="auto"/>
              <w:right w:val="thinThickSmallGap" w:sz="12"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12,69</w:t>
            </w:r>
          </w:p>
        </w:tc>
      </w:tr>
      <w:tr w:rsidR="009762DA" w:rsidRPr="009762DA" w:rsidTr="00AF53FF">
        <w:trPr>
          <w:trHeight w:val="284"/>
          <w:jc w:val="center"/>
        </w:trPr>
        <w:tc>
          <w:tcPr>
            <w:tcW w:w="1032" w:type="pct"/>
            <w:tcBorders>
              <w:left w:val="thinThickSmallGap" w:sz="12" w:space="0" w:color="auto"/>
              <w:bottom w:val="sing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B</w:t>
            </w:r>
          </w:p>
        </w:tc>
        <w:tc>
          <w:tcPr>
            <w:tcW w:w="1452" w:type="pct"/>
            <w:tcBorders>
              <w:bottom w:val="single" w:sz="4"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934.846</w:t>
            </w:r>
          </w:p>
        </w:tc>
        <w:tc>
          <w:tcPr>
            <w:tcW w:w="454" w:type="pct"/>
            <w:tcBorders>
              <w:left w:val="double" w:sz="4" w:space="0" w:color="auto"/>
              <w:bottom w:val="sing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58,55</w:t>
            </w:r>
          </w:p>
        </w:tc>
        <w:tc>
          <w:tcPr>
            <w:tcW w:w="385"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4,79</w:t>
            </w:r>
          </w:p>
        </w:tc>
        <w:tc>
          <w:tcPr>
            <w:tcW w:w="454"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20,18</w:t>
            </w:r>
          </w:p>
        </w:tc>
        <w:tc>
          <w:tcPr>
            <w:tcW w:w="385"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2,90</w:t>
            </w:r>
          </w:p>
        </w:tc>
        <w:tc>
          <w:tcPr>
            <w:tcW w:w="385" w:type="pct"/>
            <w:tcBorders>
              <w:bottom w:val="sing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0,62</w:t>
            </w:r>
          </w:p>
        </w:tc>
        <w:tc>
          <w:tcPr>
            <w:tcW w:w="454" w:type="pct"/>
            <w:tcBorders>
              <w:bottom w:val="single" w:sz="4" w:space="0" w:color="auto"/>
              <w:right w:val="thinThickSmallGap" w:sz="12"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12,66</w:t>
            </w:r>
          </w:p>
        </w:tc>
      </w:tr>
      <w:tr w:rsidR="009762DA" w:rsidRPr="009762DA" w:rsidTr="00AF53FF">
        <w:trPr>
          <w:trHeight w:val="284"/>
          <w:jc w:val="center"/>
        </w:trPr>
        <w:tc>
          <w:tcPr>
            <w:tcW w:w="1032" w:type="pct"/>
            <w:tcBorders>
              <w:left w:val="thinThickSmallGap" w:sz="12" w:space="0" w:color="auto"/>
              <w:bottom w:val="double" w:sz="4"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C</w:t>
            </w:r>
            <w:r w:rsidRPr="009762DA">
              <w:rPr>
                <w:rFonts w:asciiTheme="minorHAnsi" w:hAnsiTheme="minorHAnsi" w:cstheme="minorHAnsi"/>
                <w:b/>
                <w:szCs w:val="20"/>
                <w:vertAlign w:val="subscript"/>
              </w:rPr>
              <w:t>1</w:t>
            </w:r>
          </w:p>
        </w:tc>
        <w:tc>
          <w:tcPr>
            <w:tcW w:w="1452" w:type="pct"/>
            <w:tcBorders>
              <w:bottom w:val="double" w:sz="4"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903.391</w:t>
            </w:r>
          </w:p>
        </w:tc>
        <w:tc>
          <w:tcPr>
            <w:tcW w:w="454" w:type="pct"/>
            <w:tcBorders>
              <w:left w:val="double" w:sz="4" w:space="0" w:color="auto"/>
              <w:bottom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59,12</w:t>
            </w:r>
          </w:p>
        </w:tc>
        <w:tc>
          <w:tcPr>
            <w:tcW w:w="385" w:type="pct"/>
            <w:tcBorders>
              <w:bottom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3,29</w:t>
            </w:r>
          </w:p>
        </w:tc>
        <w:tc>
          <w:tcPr>
            <w:tcW w:w="454" w:type="pct"/>
            <w:tcBorders>
              <w:bottom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20,89</w:t>
            </w:r>
          </w:p>
        </w:tc>
        <w:tc>
          <w:tcPr>
            <w:tcW w:w="385" w:type="pct"/>
            <w:tcBorders>
              <w:bottom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2,97</w:t>
            </w:r>
          </w:p>
        </w:tc>
        <w:tc>
          <w:tcPr>
            <w:tcW w:w="385" w:type="pct"/>
            <w:tcBorders>
              <w:bottom w:val="double" w:sz="4"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0,68</w:t>
            </w:r>
          </w:p>
        </w:tc>
        <w:tc>
          <w:tcPr>
            <w:tcW w:w="454" w:type="pct"/>
            <w:tcBorders>
              <w:bottom w:val="double" w:sz="4" w:space="0" w:color="auto"/>
              <w:right w:val="thinThickSmallGap" w:sz="12" w:space="0" w:color="auto"/>
            </w:tcBorders>
            <w:vAlign w:val="center"/>
          </w:tcPr>
          <w:p w:rsidR="009762DA" w:rsidRPr="009762DA" w:rsidRDefault="009762DA" w:rsidP="00AF53FF">
            <w:pPr>
              <w:jc w:val="center"/>
              <w:rPr>
                <w:rFonts w:asciiTheme="minorHAnsi" w:hAnsiTheme="minorHAnsi" w:cstheme="minorHAnsi"/>
                <w:sz w:val="20"/>
                <w:szCs w:val="20"/>
                <w:lang w:val="sr-Latn-CS"/>
              </w:rPr>
            </w:pPr>
            <w:r w:rsidRPr="009762DA">
              <w:rPr>
                <w:rFonts w:asciiTheme="minorHAnsi" w:hAnsiTheme="minorHAnsi" w:cstheme="minorHAnsi"/>
                <w:sz w:val="20"/>
                <w:szCs w:val="20"/>
                <w:lang w:val="sr-Latn-CS"/>
              </w:rPr>
              <w:t>12,75</w:t>
            </w:r>
          </w:p>
        </w:tc>
      </w:tr>
      <w:tr w:rsidR="009762DA" w:rsidRPr="009762DA" w:rsidTr="00AF53FF">
        <w:trPr>
          <w:trHeight w:val="284"/>
          <w:jc w:val="center"/>
        </w:trPr>
        <w:tc>
          <w:tcPr>
            <w:tcW w:w="1032" w:type="pct"/>
            <w:tcBorders>
              <w:top w:val="double" w:sz="4" w:space="0" w:color="auto"/>
              <w:left w:val="thinThickSmallGap" w:sz="12" w:space="0" w:color="auto"/>
              <w:bottom w:val="thinThickSmallGap" w:sz="12" w:space="0" w:color="auto"/>
            </w:tcBorders>
            <w:vAlign w:val="center"/>
          </w:tcPr>
          <w:p w:rsidR="009762DA" w:rsidRPr="009762DA" w:rsidRDefault="009762DA" w:rsidP="00AF53FF">
            <w:pPr>
              <w:pStyle w:val="tabele"/>
              <w:spacing w:before="0" w:after="0"/>
              <w:rPr>
                <w:rFonts w:asciiTheme="minorHAnsi" w:hAnsiTheme="minorHAnsi" w:cstheme="minorHAnsi"/>
                <w:b/>
                <w:szCs w:val="20"/>
              </w:rPr>
            </w:pPr>
            <w:r w:rsidRPr="009762DA">
              <w:rPr>
                <w:rFonts w:asciiTheme="minorHAnsi" w:hAnsiTheme="minorHAnsi" w:cstheme="minorHAnsi"/>
                <w:b/>
                <w:szCs w:val="20"/>
              </w:rPr>
              <w:t>A+B+C</w:t>
            </w:r>
            <w:r w:rsidRPr="009762DA">
              <w:rPr>
                <w:rFonts w:asciiTheme="minorHAnsi" w:hAnsiTheme="minorHAnsi" w:cstheme="minorHAnsi"/>
                <w:b/>
                <w:szCs w:val="20"/>
                <w:vertAlign w:val="subscript"/>
              </w:rPr>
              <w:t>1</w:t>
            </w:r>
          </w:p>
        </w:tc>
        <w:tc>
          <w:tcPr>
            <w:tcW w:w="1452"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8.356.272</w:t>
            </w:r>
          </w:p>
        </w:tc>
        <w:tc>
          <w:tcPr>
            <w:tcW w:w="454" w:type="pct"/>
            <w:tcBorders>
              <w:top w:val="double" w:sz="4" w:space="0" w:color="auto"/>
              <w:left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58,70</w:t>
            </w:r>
          </w:p>
        </w:tc>
        <w:tc>
          <w:tcPr>
            <w:tcW w:w="385"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3,95</w:t>
            </w:r>
          </w:p>
        </w:tc>
        <w:tc>
          <w:tcPr>
            <w:tcW w:w="454"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20,80</w:t>
            </w:r>
          </w:p>
        </w:tc>
        <w:tc>
          <w:tcPr>
            <w:tcW w:w="385"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2,93</w:t>
            </w:r>
          </w:p>
        </w:tc>
        <w:tc>
          <w:tcPr>
            <w:tcW w:w="385" w:type="pct"/>
            <w:tcBorders>
              <w:top w:val="double" w:sz="4" w:space="0" w:color="auto"/>
              <w:bottom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0,62</w:t>
            </w:r>
          </w:p>
        </w:tc>
        <w:tc>
          <w:tcPr>
            <w:tcW w:w="454" w:type="pct"/>
            <w:tcBorders>
              <w:top w:val="double" w:sz="4" w:space="0" w:color="auto"/>
              <w:bottom w:val="thinThickSmallGap" w:sz="12" w:space="0" w:color="auto"/>
              <w:right w:val="thinThickSmallGap" w:sz="12" w:space="0" w:color="auto"/>
            </w:tcBorders>
            <w:vAlign w:val="center"/>
          </w:tcPr>
          <w:p w:rsidR="009762DA" w:rsidRPr="009762DA" w:rsidRDefault="009762DA" w:rsidP="00AF53FF">
            <w:pPr>
              <w:jc w:val="center"/>
              <w:rPr>
                <w:rFonts w:asciiTheme="minorHAnsi" w:hAnsiTheme="minorHAnsi" w:cstheme="minorHAnsi"/>
                <w:b/>
                <w:sz w:val="20"/>
                <w:szCs w:val="20"/>
                <w:lang w:val="sr-Latn-CS"/>
              </w:rPr>
            </w:pPr>
            <w:r w:rsidRPr="009762DA">
              <w:rPr>
                <w:rFonts w:asciiTheme="minorHAnsi" w:hAnsiTheme="minorHAnsi" w:cstheme="minorHAnsi"/>
                <w:b/>
                <w:sz w:val="20"/>
                <w:szCs w:val="20"/>
                <w:lang w:val="sr-Latn-CS"/>
              </w:rPr>
              <w:t>12,69</w:t>
            </w:r>
          </w:p>
        </w:tc>
      </w:tr>
    </w:tbl>
    <w:p w:rsidR="00FC5732" w:rsidRPr="009762DA" w:rsidRDefault="00FC5732" w:rsidP="00403695">
      <w:pPr>
        <w:jc w:val="both"/>
        <w:rPr>
          <w:rFonts w:asciiTheme="minorHAnsi" w:hAnsiTheme="minorHAnsi" w:cstheme="minorHAnsi"/>
          <w:b/>
          <w:sz w:val="20"/>
          <w:szCs w:val="20"/>
        </w:rPr>
      </w:pP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U periodu od 01.01.2007. godine do vrem</w:t>
      </w:r>
      <w:r w:rsidR="00F80192">
        <w:rPr>
          <w:rFonts w:asciiTheme="minorHAnsi" w:hAnsiTheme="minorHAnsi" w:cstheme="minorHAnsi"/>
          <w:sz w:val="20"/>
          <w:szCs w:val="20"/>
        </w:rPr>
        <w:t>ena izrade ovog Plana</w:t>
      </w:r>
      <w:r w:rsidRPr="009762DA">
        <w:rPr>
          <w:rFonts w:asciiTheme="minorHAnsi" w:hAnsiTheme="minorHAnsi" w:cstheme="minorHAnsi"/>
          <w:sz w:val="20"/>
          <w:szCs w:val="20"/>
        </w:rPr>
        <w:t>, prema podacima dobijenim od AD Rudnici boksita – Nik</w:t>
      </w:r>
      <w:r w:rsidR="00F80192">
        <w:rPr>
          <w:rFonts w:asciiTheme="minorHAnsi" w:hAnsiTheme="minorHAnsi" w:cstheme="minorHAnsi"/>
          <w:sz w:val="20"/>
          <w:szCs w:val="20"/>
        </w:rPr>
        <w:t xml:space="preserve">šić, iz ležišta “Biočki stan” </w:t>
      </w:r>
      <w:r w:rsidRPr="009762DA">
        <w:rPr>
          <w:rFonts w:asciiTheme="minorHAnsi" w:hAnsiTheme="minorHAnsi" w:cstheme="minorHAnsi"/>
          <w:sz w:val="20"/>
          <w:szCs w:val="20"/>
        </w:rPr>
        <w:t xml:space="preserve"> otkopane </w:t>
      </w:r>
      <w:r w:rsidR="00F80192">
        <w:rPr>
          <w:rFonts w:asciiTheme="minorHAnsi" w:hAnsiTheme="minorHAnsi" w:cstheme="minorHAnsi"/>
          <w:sz w:val="20"/>
          <w:szCs w:val="20"/>
        </w:rPr>
        <w:t xml:space="preserve">su ukupne </w:t>
      </w:r>
      <w:r w:rsidRPr="009762DA">
        <w:rPr>
          <w:rFonts w:asciiTheme="minorHAnsi" w:hAnsiTheme="minorHAnsi" w:cstheme="minorHAnsi"/>
          <w:sz w:val="20"/>
          <w:szCs w:val="20"/>
        </w:rPr>
        <w:t xml:space="preserve">količine crvenog boksita </w:t>
      </w:r>
      <w:r w:rsidR="00F80192">
        <w:rPr>
          <w:rFonts w:asciiTheme="minorHAnsi" w:hAnsiTheme="minorHAnsi" w:cstheme="minorHAnsi"/>
          <w:sz w:val="20"/>
          <w:szCs w:val="20"/>
        </w:rPr>
        <w:t xml:space="preserve">od </w:t>
      </w:r>
      <w:r w:rsidR="00F80192" w:rsidRPr="009762DA">
        <w:rPr>
          <w:rFonts w:asciiTheme="minorHAnsi" w:hAnsiTheme="minorHAnsi" w:cstheme="minorHAnsi"/>
          <w:b/>
          <w:sz w:val="20"/>
          <w:szCs w:val="20"/>
        </w:rPr>
        <w:t>215.718</w:t>
      </w:r>
      <w:r w:rsidR="00F80192">
        <w:rPr>
          <w:rFonts w:asciiTheme="minorHAnsi" w:hAnsiTheme="minorHAnsi" w:cstheme="minorHAnsi"/>
          <w:b/>
          <w:sz w:val="20"/>
          <w:szCs w:val="20"/>
        </w:rPr>
        <w:t xml:space="preserve"> t.</w:t>
      </w:r>
    </w:p>
    <w:p w:rsidR="009762DA" w:rsidRPr="009762DA" w:rsidRDefault="009762DA" w:rsidP="00403695">
      <w:pPr>
        <w:rPr>
          <w:rFonts w:asciiTheme="minorHAnsi" w:hAnsiTheme="minorHAnsi" w:cstheme="minorHAnsi"/>
          <w:sz w:val="20"/>
          <w:szCs w:val="20"/>
        </w:rPr>
      </w:pPr>
    </w:p>
    <w:p w:rsidR="009762DA" w:rsidRPr="009762DA" w:rsidRDefault="009762DA" w:rsidP="00403695">
      <w:pPr>
        <w:jc w:val="both"/>
        <w:rPr>
          <w:rFonts w:asciiTheme="minorHAnsi" w:hAnsiTheme="minorHAnsi" w:cstheme="minorHAnsi"/>
          <w:sz w:val="20"/>
          <w:szCs w:val="20"/>
        </w:rPr>
      </w:pPr>
      <w:r w:rsidRPr="009762DA">
        <w:rPr>
          <w:rFonts w:asciiTheme="minorHAnsi" w:hAnsiTheme="minorHAnsi" w:cstheme="minorHAnsi"/>
          <w:sz w:val="20"/>
          <w:szCs w:val="20"/>
        </w:rPr>
        <w:t>U u cilju utvrđivanja stanja rezervi i kvaliteta preostale mineralne sirovine u ležištu, neophodno je uraditi novi Elaborat o klasifikaciji, kategorizaciji i proračunu rezervi crvenog boksita u ležištu “Biočki stan”, u skladu sa zakonom.</w:t>
      </w:r>
    </w:p>
    <w:p w:rsidR="00591E70" w:rsidRDefault="00591E70" w:rsidP="00403695">
      <w:pPr>
        <w:jc w:val="both"/>
        <w:rPr>
          <w:rFonts w:asciiTheme="minorHAnsi" w:hAnsiTheme="minorHAnsi" w:cs="Calibri"/>
          <w:sz w:val="20"/>
          <w:szCs w:val="20"/>
          <w:lang w:val="sv-SE"/>
        </w:rPr>
      </w:pPr>
    </w:p>
    <w:p w:rsidR="00591E70" w:rsidRDefault="00591E70" w:rsidP="00403695">
      <w:pPr>
        <w:jc w:val="both"/>
        <w:rPr>
          <w:rFonts w:asciiTheme="minorHAnsi" w:hAnsiTheme="minorHAnsi" w:cs="Calibri"/>
          <w:sz w:val="20"/>
          <w:szCs w:val="20"/>
          <w:lang w:val="sv-SE"/>
        </w:rPr>
      </w:pPr>
      <w:r w:rsidRPr="009762DA">
        <w:rPr>
          <w:rFonts w:asciiTheme="minorHAnsi" w:hAnsiTheme="minorHAnsi" w:cs="Calibri"/>
          <w:b/>
          <w:sz w:val="20"/>
          <w:szCs w:val="20"/>
          <w:lang w:val="sv-SE"/>
        </w:rPr>
        <w:lastRenderedPageBreak/>
        <w:t>NAPOMENA:</w:t>
      </w:r>
      <w:r>
        <w:rPr>
          <w:rFonts w:asciiTheme="minorHAnsi" w:hAnsiTheme="minorHAnsi" w:cs="Calibri"/>
          <w:sz w:val="20"/>
          <w:szCs w:val="20"/>
          <w:lang w:val="sv-SE"/>
        </w:rPr>
        <w:t xml:space="preserve"> Planom za 2014. godinu predviđeno je davanje koncesija za detaljna geološka istraživanja i eksploataciju određenih mineralnih sirovina, i to:</w:t>
      </w:r>
    </w:p>
    <w:p w:rsidR="00591E70" w:rsidRDefault="00591E70" w:rsidP="00403695">
      <w:pPr>
        <w:jc w:val="both"/>
        <w:rPr>
          <w:rFonts w:asciiTheme="minorHAnsi" w:hAnsiTheme="minorHAnsi" w:cs="Calibri"/>
          <w:sz w:val="20"/>
          <w:szCs w:val="20"/>
          <w:lang w:val="sv-SE"/>
        </w:rPr>
      </w:pPr>
    </w:p>
    <w:p w:rsidR="00591E70" w:rsidRPr="008205C0" w:rsidRDefault="00591E70" w:rsidP="00403695">
      <w:pPr>
        <w:jc w:val="both"/>
        <w:rPr>
          <w:rFonts w:asciiTheme="minorHAnsi" w:hAnsiTheme="minorHAnsi" w:cstheme="minorHAnsi"/>
          <w:sz w:val="20"/>
          <w:szCs w:val="20"/>
          <w:lang w:val="sr-Latn-CS"/>
        </w:rPr>
      </w:pPr>
      <w:r w:rsidRPr="008205C0">
        <w:rPr>
          <w:rFonts w:asciiTheme="minorHAnsi" w:hAnsiTheme="minorHAnsi" w:cstheme="minorHAnsi"/>
          <w:sz w:val="20"/>
          <w:szCs w:val="20"/>
          <w:lang w:val="sr-Latn-CS"/>
        </w:rPr>
        <w:t>1</w:t>
      </w:r>
      <w:r>
        <w:rPr>
          <w:rFonts w:asciiTheme="minorHAnsi" w:hAnsiTheme="minorHAnsi" w:cstheme="minorHAnsi"/>
          <w:sz w:val="20"/>
          <w:szCs w:val="20"/>
          <w:lang w:val="sr-Latn-CS"/>
        </w:rPr>
        <w:t>. „Volujica“ (TGK), opština Bar,</w:t>
      </w:r>
    </w:p>
    <w:p w:rsidR="00591E70" w:rsidRPr="008205C0" w:rsidRDefault="00591E70" w:rsidP="00403695">
      <w:pPr>
        <w:jc w:val="both"/>
        <w:rPr>
          <w:rFonts w:asciiTheme="minorHAnsi" w:hAnsiTheme="minorHAnsi" w:cstheme="minorHAnsi"/>
          <w:sz w:val="20"/>
          <w:szCs w:val="20"/>
          <w:lang w:val="sr-Latn-CS"/>
        </w:rPr>
      </w:pPr>
      <w:r>
        <w:rPr>
          <w:rFonts w:asciiTheme="minorHAnsi" w:hAnsiTheme="minorHAnsi" w:cstheme="minorHAnsi"/>
          <w:sz w:val="20"/>
          <w:szCs w:val="20"/>
          <w:lang w:val="sr-Latn-CS"/>
        </w:rPr>
        <w:t>2. „Sitnica“ (TGK), opština Herceg Novi,</w:t>
      </w:r>
    </w:p>
    <w:p w:rsidR="00591E70" w:rsidRDefault="00591E70" w:rsidP="00403695">
      <w:pPr>
        <w:jc w:val="both"/>
        <w:rPr>
          <w:rFonts w:asciiTheme="minorHAnsi" w:hAnsiTheme="minorHAnsi" w:cstheme="minorHAnsi"/>
          <w:sz w:val="20"/>
          <w:szCs w:val="20"/>
          <w:lang w:val="sr-Latn-CS"/>
        </w:rPr>
      </w:pPr>
      <w:r>
        <w:rPr>
          <w:rFonts w:asciiTheme="minorHAnsi" w:hAnsiTheme="minorHAnsi" w:cstheme="minorHAnsi"/>
          <w:sz w:val="20"/>
          <w:szCs w:val="20"/>
          <w:lang w:val="sr-Latn-CS"/>
        </w:rPr>
        <w:t>3. „Dolovi-Komani“</w:t>
      </w:r>
      <w:r w:rsidRPr="008205C0">
        <w:rPr>
          <w:rFonts w:asciiTheme="minorHAnsi" w:hAnsiTheme="minorHAnsi" w:cstheme="minorHAnsi"/>
          <w:sz w:val="20"/>
          <w:szCs w:val="20"/>
          <w:lang w:val="sr-Latn-CS"/>
        </w:rPr>
        <w:t xml:space="preserve"> (A</w:t>
      </w:r>
      <w:r>
        <w:rPr>
          <w:rFonts w:asciiTheme="minorHAnsi" w:hAnsiTheme="minorHAnsi" w:cstheme="minorHAnsi"/>
          <w:sz w:val="20"/>
          <w:szCs w:val="20"/>
          <w:lang w:val="sr-Latn-CS"/>
        </w:rPr>
        <w:t>GK), Glavni grad Podgorica,</w:t>
      </w:r>
    </w:p>
    <w:p w:rsidR="00591E70" w:rsidRDefault="00591E70" w:rsidP="00403695">
      <w:pPr>
        <w:jc w:val="both"/>
        <w:rPr>
          <w:rFonts w:asciiTheme="minorHAnsi" w:hAnsiTheme="minorHAnsi" w:cstheme="minorHAnsi"/>
          <w:sz w:val="20"/>
          <w:szCs w:val="20"/>
          <w:lang w:val="sr-Latn-CS"/>
        </w:rPr>
      </w:pPr>
      <w:r>
        <w:rPr>
          <w:rFonts w:asciiTheme="minorHAnsi" w:hAnsiTheme="minorHAnsi" w:cstheme="minorHAnsi"/>
          <w:sz w:val="20"/>
          <w:szCs w:val="20"/>
          <w:lang w:val="sr-Latn-CS"/>
        </w:rPr>
        <w:t>4. „Jagnjilo“ (cementni laporac), opština Pljevlja,</w:t>
      </w:r>
    </w:p>
    <w:p w:rsidR="00591E70" w:rsidRDefault="00591E70"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5. „Bobik“-Čevo (AGK), Prijestonica Cetinje,</w:t>
      </w:r>
    </w:p>
    <w:p w:rsidR="00591E70" w:rsidRDefault="00591E70"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6. „Tospude“-Cuce (AGK), Prijestonica Cetinje,</w:t>
      </w:r>
    </w:p>
    <w:p w:rsidR="00591E70" w:rsidRDefault="00591E70"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7. „Midova kosa“-Budoš (TGK), opština Nikšić,</w:t>
      </w:r>
    </w:p>
    <w:p w:rsidR="00591E70" w:rsidRDefault="00591E70"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8. „Vinići“ (AGK), opština Danilovgrad i</w:t>
      </w:r>
    </w:p>
    <w:p w:rsidR="00591E70" w:rsidRDefault="00591E70"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9. „Kriva Ploča“ (AGK), opština Danilovgrad,</w:t>
      </w:r>
    </w:p>
    <w:p w:rsidR="00591E70" w:rsidRDefault="00591E70"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10. „Otilovići“ (mrkolig</w:t>
      </w:r>
      <w:r w:rsidR="00FB5224">
        <w:rPr>
          <w:rFonts w:asciiTheme="minorHAnsi" w:hAnsiTheme="minorHAnsi" w:cstheme="minorHAnsi"/>
          <w:sz w:val="20"/>
          <w:szCs w:val="20"/>
          <w:lang w:val="hr-HR"/>
        </w:rPr>
        <w:t>nitni ugalj), opština Pljevlja,</w:t>
      </w:r>
    </w:p>
    <w:p w:rsidR="00591E70" w:rsidRDefault="00591E70"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11. „Mataruge“ (mrkoli</w:t>
      </w:r>
      <w:r w:rsidR="00FB5224">
        <w:rPr>
          <w:rFonts w:asciiTheme="minorHAnsi" w:hAnsiTheme="minorHAnsi" w:cstheme="minorHAnsi"/>
          <w:sz w:val="20"/>
          <w:szCs w:val="20"/>
          <w:lang w:val="hr-HR"/>
        </w:rPr>
        <w:t>gnitni ugalj), opština Pljevlja i</w:t>
      </w:r>
    </w:p>
    <w:p w:rsidR="00591E70" w:rsidRDefault="00FB5224"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12. „Stola“ (AGK), opština Danilovgrad.</w:t>
      </w:r>
    </w:p>
    <w:p w:rsidR="00FB5224" w:rsidRDefault="00FB5224" w:rsidP="00403695">
      <w:pPr>
        <w:jc w:val="both"/>
        <w:rPr>
          <w:rFonts w:asciiTheme="minorHAnsi" w:hAnsiTheme="minorHAnsi" w:cstheme="minorHAnsi"/>
          <w:sz w:val="20"/>
          <w:szCs w:val="20"/>
          <w:lang w:val="hr-HR"/>
        </w:rPr>
      </w:pPr>
    </w:p>
    <w:p w:rsidR="00591E70" w:rsidRDefault="00591E70"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Za sva navedena ležišta mineralnih sirov</w:t>
      </w:r>
      <w:r w:rsidR="00FB5224">
        <w:rPr>
          <w:rFonts w:asciiTheme="minorHAnsi" w:hAnsiTheme="minorHAnsi" w:cstheme="minorHAnsi"/>
          <w:sz w:val="20"/>
          <w:szCs w:val="20"/>
          <w:lang w:val="hr-HR"/>
        </w:rPr>
        <w:t xml:space="preserve">ina urađeni su koncesioni akti, sem za </w:t>
      </w:r>
      <w:r w:rsidR="00FB5224">
        <w:rPr>
          <w:rFonts w:asciiTheme="minorHAnsi" w:hAnsiTheme="minorHAnsi" w:cstheme="minorHAnsi"/>
          <w:sz w:val="20"/>
          <w:szCs w:val="20"/>
          <w:lang w:val="sr-Latn-CS"/>
        </w:rPr>
        <w:t>„Jagnjilo“ (cementni laporac), opština Pljevlja.</w:t>
      </w:r>
    </w:p>
    <w:p w:rsidR="00591E70" w:rsidRDefault="00591E70"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 xml:space="preserve">U završnoj fazi je dodjela koncesija za </w:t>
      </w:r>
      <w:r>
        <w:rPr>
          <w:rFonts w:asciiTheme="minorHAnsi" w:hAnsiTheme="minorHAnsi" w:cstheme="minorHAnsi"/>
          <w:sz w:val="20"/>
          <w:szCs w:val="20"/>
          <w:lang w:val="sr-Latn-CS"/>
        </w:rPr>
        <w:t>Dolovi-Komani“</w:t>
      </w:r>
      <w:r w:rsidRPr="008205C0">
        <w:rPr>
          <w:rFonts w:asciiTheme="minorHAnsi" w:hAnsiTheme="minorHAnsi" w:cstheme="minorHAnsi"/>
          <w:sz w:val="20"/>
          <w:szCs w:val="20"/>
          <w:lang w:val="sr-Latn-CS"/>
        </w:rPr>
        <w:t xml:space="preserve"> (A</w:t>
      </w:r>
      <w:r>
        <w:rPr>
          <w:rFonts w:asciiTheme="minorHAnsi" w:hAnsiTheme="minorHAnsi" w:cstheme="minorHAnsi"/>
          <w:sz w:val="20"/>
          <w:szCs w:val="20"/>
          <w:lang w:val="sr-Latn-CS"/>
        </w:rPr>
        <w:t xml:space="preserve">GK), Glavni grad Podgorica, </w:t>
      </w:r>
      <w:r>
        <w:rPr>
          <w:rFonts w:asciiTheme="minorHAnsi" w:hAnsiTheme="minorHAnsi" w:cstheme="minorHAnsi"/>
          <w:sz w:val="20"/>
          <w:szCs w:val="20"/>
          <w:lang w:val="hr-HR"/>
        </w:rPr>
        <w:t>„Bobik“-Čevo (AGK), Prijestonica Cetinje i  Tospude“-Cuce (AGK), Prijestonica Cetinje. Za dodjelu koncesije za „Midova kosa“-Budoš (TGK), opština Nikšić nije dostavljena nijedna ponuda.</w:t>
      </w:r>
    </w:p>
    <w:p w:rsidR="00591E70" w:rsidRPr="008205C0" w:rsidRDefault="00591E70" w:rsidP="00403695">
      <w:pPr>
        <w:jc w:val="both"/>
        <w:rPr>
          <w:rFonts w:asciiTheme="minorHAnsi" w:hAnsiTheme="minorHAnsi" w:cstheme="minorHAnsi"/>
          <w:sz w:val="20"/>
          <w:szCs w:val="20"/>
          <w:lang w:val="hr-HR"/>
        </w:rPr>
      </w:pPr>
      <w:r>
        <w:rPr>
          <w:rFonts w:asciiTheme="minorHAnsi" w:hAnsiTheme="minorHAnsi" w:cstheme="minorHAnsi"/>
          <w:sz w:val="20"/>
          <w:szCs w:val="20"/>
          <w:lang w:val="hr-HR"/>
        </w:rPr>
        <w:t>Završena je javna rasprava za koncesione akte „Otilovići“ (mrkolignitni ugalj) i „Mataruge“ (mrkolignitni ugalj), opština Pljevlja, koji će se dostaviti Vladi sa Izvještajem sa javne rasprave, na usvajanje. Nakon usvajanja koncesionih akata, Ministarstvo ekonomije će objaviti Javni oglas za dodjelu predmetnih koncesija.</w:t>
      </w:r>
    </w:p>
    <w:p w:rsidR="00591E70" w:rsidRDefault="00591E70" w:rsidP="00403695">
      <w:pPr>
        <w:jc w:val="both"/>
        <w:rPr>
          <w:rFonts w:asciiTheme="minorHAnsi" w:hAnsiTheme="minorHAnsi" w:cstheme="minorHAnsi"/>
          <w:sz w:val="20"/>
          <w:szCs w:val="20"/>
          <w:lang w:val="sr-Latn-CS"/>
        </w:rPr>
      </w:pPr>
      <w:r>
        <w:rPr>
          <w:rFonts w:asciiTheme="minorHAnsi" w:hAnsiTheme="minorHAnsi" w:cs="Calibri"/>
          <w:sz w:val="20"/>
          <w:szCs w:val="20"/>
          <w:lang w:val="sv-SE"/>
        </w:rPr>
        <w:t xml:space="preserve">Za koncesione akte </w:t>
      </w:r>
      <w:r>
        <w:rPr>
          <w:rFonts w:asciiTheme="minorHAnsi" w:hAnsiTheme="minorHAnsi" w:cstheme="minorHAnsi"/>
          <w:sz w:val="20"/>
          <w:szCs w:val="20"/>
          <w:lang w:val="sr-Latn-CS"/>
        </w:rPr>
        <w:t xml:space="preserve"> „Volujica“ (TGK), opština Bar,</w:t>
      </w:r>
      <w:r w:rsidR="00FB5224">
        <w:rPr>
          <w:rFonts w:asciiTheme="minorHAnsi" w:hAnsiTheme="minorHAnsi" w:cstheme="minorHAnsi"/>
          <w:sz w:val="20"/>
          <w:szCs w:val="20"/>
          <w:lang w:val="sr-Latn-CS"/>
        </w:rPr>
        <w:t xml:space="preserve"> „Sitnica“ (TGK), opština Herceg Novi i „Stola“ (AGK), opština Danilovgrad organizovaće se javna rasprava, kako bi, u skladu sa zakonom, iste sa Izvještajem sa javne rasprave, dostavili Vladi na usvajanje.</w:t>
      </w:r>
    </w:p>
    <w:p w:rsidR="00DC0A39" w:rsidRPr="003B150E" w:rsidRDefault="00DC0A39" w:rsidP="00403695">
      <w:pPr>
        <w:rPr>
          <w:rFonts w:asciiTheme="minorHAnsi" w:hAnsiTheme="minorHAnsi" w:cstheme="minorHAnsi"/>
          <w:sz w:val="20"/>
          <w:szCs w:val="20"/>
          <w:lang w:val="sv-SE"/>
        </w:rPr>
      </w:pPr>
    </w:p>
    <w:p w:rsidR="00DC0A39" w:rsidRPr="0009184B" w:rsidRDefault="00DC0A39" w:rsidP="007F3B69">
      <w:pPr>
        <w:jc w:val="center"/>
        <w:rPr>
          <w:rFonts w:asciiTheme="minorHAnsi" w:hAnsiTheme="minorHAnsi" w:cstheme="minorHAnsi"/>
          <w:sz w:val="20"/>
          <w:szCs w:val="20"/>
          <w:lang w:val="sr-Latn-CS"/>
        </w:rPr>
      </w:pPr>
      <w:r w:rsidRPr="0009184B">
        <w:rPr>
          <w:rFonts w:asciiTheme="minorHAnsi" w:hAnsiTheme="minorHAnsi" w:cstheme="minorHAnsi"/>
          <w:b/>
          <w:i/>
          <w:sz w:val="20"/>
          <w:szCs w:val="20"/>
          <w:lang w:val="sr-Latn-CS"/>
        </w:rPr>
        <w:t>O b r a z l o ž e nj e</w:t>
      </w:r>
    </w:p>
    <w:p w:rsidR="00DC0A39" w:rsidRPr="0009184B" w:rsidRDefault="00DC0A39" w:rsidP="00403695">
      <w:pPr>
        <w:rPr>
          <w:rFonts w:asciiTheme="minorHAnsi" w:hAnsiTheme="minorHAnsi" w:cstheme="minorHAnsi"/>
          <w:sz w:val="20"/>
          <w:szCs w:val="20"/>
          <w:lang w:val="sr-Latn-CS"/>
        </w:rPr>
      </w:pPr>
    </w:p>
    <w:p w:rsidR="00DC0A39" w:rsidRPr="007F44A1" w:rsidRDefault="00DC0A39" w:rsidP="00403695">
      <w:pPr>
        <w:jc w:val="both"/>
        <w:rPr>
          <w:rFonts w:asciiTheme="minorHAnsi" w:hAnsiTheme="minorHAnsi" w:cstheme="minorHAnsi"/>
          <w:sz w:val="20"/>
          <w:szCs w:val="20"/>
          <w:lang w:val="sr-Latn-CS"/>
        </w:rPr>
      </w:pPr>
      <w:r w:rsidRPr="0009184B">
        <w:rPr>
          <w:rFonts w:asciiTheme="minorHAnsi" w:hAnsiTheme="minorHAnsi" w:cstheme="minorHAnsi"/>
          <w:sz w:val="20"/>
          <w:szCs w:val="20"/>
          <w:lang w:val="sr-Latn-CS"/>
        </w:rPr>
        <w:t>Koncesije za detaljna geološka istraživanja i eksploataciju mineralnih sirovina definisana su Zako</w:t>
      </w:r>
      <w:r w:rsidRPr="007F44A1">
        <w:rPr>
          <w:rFonts w:asciiTheme="minorHAnsi" w:hAnsiTheme="minorHAnsi" w:cstheme="minorHAnsi"/>
          <w:sz w:val="20"/>
          <w:szCs w:val="20"/>
          <w:lang w:val="sr-Latn-CS"/>
        </w:rPr>
        <w:t>nom o geološkim istraživanjima („Sl.list RCG“, br. 28/93, 27/94, 42/94 i 26/07), Zakonom o rudarstvu („Sl.list CG“, br.65/08) i Zakonom o koncesijama („Sl.list CG“, br.8/09) kojim je uređen način i postupak dobijanja koncesija za korišćenje prirodnog bogatstva-mineralnog resursa.</w:t>
      </w:r>
    </w:p>
    <w:p w:rsidR="00DC0A39" w:rsidRPr="007A6F32" w:rsidRDefault="00DC0A39" w:rsidP="00403695">
      <w:pPr>
        <w:jc w:val="both"/>
        <w:rPr>
          <w:rFonts w:asciiTheme="minorHAnsi" w:hAnsiTheme="minorHAnsi" w:cstheme="minorHAnsi"/>
          <w:sz w:val="20"/>
          <w:szCs w:val="20"/>
          <w:lang w:val="sr-Latn-CS"/>
        </w:rPr>
      </w:pPr>
    </w:p>
    <w:p w:rsidR="00DC0A39" w:rsidRPr="007A6F32" w:rsidRDefault="00DC0A39" w:rsidP="00403695">
      <w:pPr>
        <w:jc w:val="both"/>
        <w:rPr>
          <w:rFonts w:asciiTheme="minorHAnsi" w:hAnsiTheme="minorHAnsi" w:cstheme="minorHAnsi"/>
          <w:sz w:val="20"/>
          <w:szCs w:val="20"/>
          <w:lang w:val="sr-Latn-CS"/>
        </w:rPr>
      </w:pPr>
      <w:r w:rsidRPr="007A6F32">
        <w:rPr>
          <w:rFonts w:asciiTheme="minorHAnsi" w:hAnsiTheme="minorHAnsi" w:cstheme="minorHAnsi"/>
          <w:sz w:val="20"/>
          <w:szCs w:val="20"/>
          <w:lang w:val="sr-Latn-CS"/>
        </w:rPr>
        <w:t xml:space="preserve">S obzirom da su određena </w:t>
      </w:r>
      <w:r>
        <w:rPr>
          <w:rFonts w:asciiTheme="minorHAnsi" w:hAnsiTheme="minorHAnsi" w:cstheme="minorHAnsi"/>
          <w:sz w:val="20"/>
          <w:szCs w:val="20"/>
          <w:lang w:val="sr-Latn-CS"/>
        </w:rPr>
        <w:t xml:space="preserve">pravna </w:t>
      </w:r>
      <w:r w:rsidRPr="007A6F32">
        <w:rPr>
          <w:rFonts w:asciiTheme="minorHAnsi" w:hAnsiTheme="minorHAnsi" w:cstheme="minorHAnsi"/>
          <w:sz w:val="20"/>
          <w:szCs w:val="20"/>
          <w:lang w:val="sr-Latn-CS"/>
        </w:rPr>
        <w:t>lica podnijela inicijativu za dodjelu koncesija za korišćenje mineralnih sirovina, Ministarstvo ekonomije, na osnovu ocjene da su  inicijative prihvatljive, predlaže Vladi Crne Gore da se iste</w:t>
      </w:r>
      <w:r>
        <w:rPr>
          <w:rFonts w:asciiTheme="minorHAnsi" w:hAnsiTheme="minorHAnsi" w:cstheme="minorHAnsi"/>
          <w:sz w:val="20"/>
          <w:szCs w:val="20"/>
          <w:lang w:val="sr-Latn-CS"/>
        </w:rPr>
        <w:t xml:space="preserve"> uvrste</w:t>
      </w:r>
      <w:r w:rsidRPr="007A6F32">
        <w:rPr>
          <w:rFonts w:asciiTheme="minorHAnsi" w:hAnsiTheme="minorHAnsi" w:cstheme="minorHAnsi"/>
          <w:sz w:val="20"/>
          <w:szCs w:val="20"/>
          <w:lang w:val="sr-Latn-CS"/>
        </w:rPr>
        <w:t xml:space="preserve"> </w:t>
      </w:r>
      <w:r w:rsidR="00A36F6F">
        <w:rPr>
          <w:rFonts w:asciiTheme="minorHAnsi" w:hAnsiTheme="minorHAnsi" w:cstheme="minorHAnsi"/>
          <w:sz w:val="20"/>
          <w:szCs w:val="20"/>
          <w:lang w:val="sr-Latn-CS"/>
        </w:rPr>
        <w:t>u Plan davanja koncesija za 2015</w:t>
      </w:r>
      <w:r w:rsidRPr="007A6F32">
        <w:rPr>
          <w:rFonts w:asciiTheme="minorHAnsi" w:hAnsiTheme="minorHAnsi" w:cstheme="minorHAnsi"/>
          <w:sz w:val="20"/>
          <w:szCs w:val="20"/>
          <w:lang w:val="sr-Latn-CS"/>
        </w:rPr>
        <w:t xml:space="preserve">. godinu. </w:t>
      </w:r>
    </w:p>
    <w:p w:rsidR="00DC0A39" w:rsidRPr="007A6F32" w:rsidRDefault="00DC0A39" w:rsidP="00403695">
      <w:pPr>
        <w:jc w:val="both"/>
        <w:rPr>
          <w:rFonts w:asciiTheme="minorHAnsi" w:hAnsiTheme="minorHAnsi" w:cstheme="minorHAnsi"/>
          <w:sz w:val="20"/>
          <w:szCs w:val="20"/>
          <w:lang w:val="sr-Latn-CS"/>
        </w:rPr>
      </w:pPr>
    </w:p>
    <w:p w:rsidR="00DC0A39" w:rsidRPr="00673B48" w:rsidRDefault="00DC0A39" w:rsidP="00403695">
      <w:pPr>
        <w:jc w:val="both"/>
        <w:rPr>
          <w:rFonts w:asciiTheme="minorHAnsi" w:hAnsiTheme="minorHAnsi" w:cstheme="minorHAnsi"/>
          <w:sz w:val="20"/>
          <w:szCs w:val="20"/>
          <w:lang w:val="sr-Latn-CS"/>
        </w:rPr>
      </w:pPr>
      <w:r w:rsidRPr="00673B48">
        <w:rPr>
          <w:rFonts w:asciiTheme="minorHAnsi" w:hAnsiTheme="minorHAnsi" w:cstheme="minorHAnsi"/>
          <w:sz w:val="20"/>
          <w:szCs w:val="20"/>
          <w:lang w:val="sr-Latn-CS"/>
        </w:rPr>
        <w:t xml:space="preserve">Komisija za procjenu opravdanosti inicijativa, koju je obrazovalo Ministarstvo ekonomije, izvršila je terenski obilazak lokaliteta </w:t>
      </w:r>
      <w:r>
        <w:rPr>
          <w:rFonts w:asciiTheme="minorHAnsi" w:hAnsiTheme="minorHAnsi" w:cstheme="minorHAnsi"/>
          <w:sz w:val="20"/>
          <w:szCs w:val="20"/>
          <w:lang w:val="sr-Latn-CS"/>
        </w:rPr>
        <w:t>svih  lokaliteta datih u ovom Planu</w:t>
      </w:r>
      <w:r w:rsidRPr="00673B48">
        <w:rPr>
          <w:rFonts w:asciiTheme="minorHAnsi" w:hAnsiTheme="minorHAnsi" w:cstheme="minorHAnsi"/>
          <w:sz w:val="20"/>
          <w:szCs w:val="20"/>
          <w:lang w:val="sr-Latn-CS"/>
        </w:rPr>
        <w:t xml:space="preserve"> i na osnovu  geodetskog rekognosciranja utvrdila na topografskoj osnovi, 1:25 000, koordinate konturnih tačaka i površinu istih.</w:t>
      </w:r>
    </w:p>
    <w:p w:rsidR="00DC0A39" w:rsidRPr="00F310C1" w:rsidRDefault="00DC0A39" w:rsidP="00403695">
      <w:pPr>
        <w:jc w:val="both"/>
        <w:rPr>
          <w:rFonts w:asciiTheme="minorHAnsi" w:hAnsiTheme="minorHAnsi" w:cstheme="minorHAnsi"/>
          <w:sz w:val="20"/>
          <w:szCs w:val="20"/>
          <w:lang w:val="sr-Latn-CS"/>
        </w:rPr>
      </w:pPr>
      <w:r w:rsidRPr="00F310C1">
        <w:rPr>
          <w:rFonts w:asciiTheme="minorHAnsi" w:hAnsiTheme="minorHAnsi" w:cstheme="minorHAnsi"/>
          <w:sz w:val="20"/>
          <w:szCs w:val="20"/>
          <w:lang w:val="sr-Latn-CS"/>
        </w:rPr>
        <w:t>Komisija je na osnovu izvršene prethodne prospekcije (metoda vizuelnog otkrivanja i praćenja izdanaka rudnog tijela na površini – tzv. neposredna indicija) i podataka iz Osnovne geološke karte, 1:100 000, izvršila procjenu uslova za geološke i eventualne eksploatacione radove.</w:t>
      </w:r>
    </w:p>
    <w:p w:rsidR="00DC0A39" w:rsidRPr="00F310C1" w:rsidRDefault="00DC0A39" w:rsidP="00403695">
      <w:pPr>
        <w:jc w:val="both"/>
        <w:rPr>
          <w:rFonts w:asciiTheme="minorHAnsi" w:hAnsiTheme="minorHAnsi" w:cstheme="minorHAnsi"/>
          <w:sz w:val="20"/>
          <w:szCs w:val="20"/>
          <w:lang w:val="sr-Latn-CS"/>
        </w:rPr>
      </w:pPr>
      <w:r w:rsidRPr="00F310C1">
        <w:rPr>
          <w:rFonts w:asciiTheme="minorHAnsi" w:hAnsiTheme="minorHAnsi" w:cstheme="minorHAnsi"/>
          <w:sz w:val="20"/>
          <w:szCs w:val="20"/>
          <w:lang w:val="sr-Latn-CS"/>
        </w:rPr>
        <w:t>Komisija je inicijative investitora procijenila, sa aspekta potencijalnih geoloških rezervi i saznanja o kvalitetu istih i uslovima za eksploataciju, povoljnom za dodjelu koncesija za detaljna geološka istraživanja i eksploataciju predmetnih mineralnih sirovina.</w:t>
      </w:r>
    </w:p>
    <w:p w:rsidR="00DC0A39" w:rsidRPr="00F310C1" w:rsidRDefault="00DC0A39" w:rsidP="00403695">
      <w:pPr>
        <w:jc w:val="both"/>
        <w:rPr>
          <w:rFonts w:asciiTheme="minorHAnsi" w:hAnsiTheme="minorHAnsi" w:cstheme="minorHAnsi"/>
          <w:sz w:val="20"/>
          <w:szCs w:val="20"/>
          <w:lang w:val="sr-Latn-CS"/>
        </w:rPr>
      </w:pPr>
    </w:p>
    <w:p w:rsidR="00DC0A39" w:rsidRPr="00F310C1" w:rsidRDefault="00DC0A39" w:rsidP="00403695">
      <w:pPr>
        <w:jc w:val="both"/>
        <w:rPr>
          <w:rFonts w:asciiTheme="minorHAnsi" w:hAnsiTheme="minorHAnsi" w:cstheme="minorHAnsi"/>
          <w:sz w:val="20"/>
          <w:szCs w:val="20"/>
          <w:lang w:val="sr-Latn-CS"/>
        </w:rPr>
      </w:pPr>
      <w:r w:rsidRPr="00F310C1">
        <w:rPr>
          <w:rFonts w:asciiTheme="minorHAnsi" w:hAnsiTheme="minorHAnsi" w:cstheme="minorHAnsi"/>
          <w:sz w:val="20"/>
          <w:szCs w:val="20"/>
          <w:lang w:val="sr-Latn-CS"/>
        </w:rPr>
        <w:t>Prilikom odabira istražno-eksploatacionih prostora vodilo se računa o prostorno</w:t>
      </w:r>
      <w:r>
        <w:rPr>
          <w:rFonts w:asciiTheme="minorHAnsi" w:hAnsiTheme="minorHAnsi" w:cstheme="minorHAnsi"/>
          <w:sz w:val="20"/>
          <w:szCs w:val="20"/>
          <w:lang w:val="sr-Latn-CS"/>
        </w:rPr>
        <w:t>-planskoj dokumentaciji, kako</w:t>
      </w:r>
      <w:r w:rsidRPr="00F310C1">
        <w:rPr>
          <w:rFonts w:asciiTheme="minorHAnsi" w:hAnsiTheme="minorHAnsi" w:cstheme="minorHAnsi"/>
          <w:sz w:val="20"/>
          <w:szCs w:val="20"/>
          <w:lang w:val="sr-Latn-CS"/>
        </w:rPr>
        <w:t xml:space="preserve"> ne bi došlo do konflikta plana eksploatacije i prostorno-urbanističkog plana, o samoj poziciji prostora (nalaze se u široj okolini navedenih opština na, uglavnom, državnom zemljištu i u blizini nema naselja), kao i o zainteresovanosti određenih investitora za dodjelu koncesija.</w:t>
      </w:r>
    </w:p>
    <w:p w:rsidR="00DC0A39" w:rsidRPr="008205C0" w:rsidRDefault="00DC0A39" w:rsidP="00403695">
      <w:pPr>
        <w:ind w:left="-360"/>
        <w:jc w:val="both"/>
        <w:rPr>
          <w:rFonts w:asciiTheme="minorHAnsi" w:hAnsiTheme="minorHAnsi" w:cstheme="minorHAnsi"/>
          <w:sz w:val="20"/>
          <w:szCs w:val="20"/>
          <w:lang w:val="sr-Latn-CS"/>
        </w:rPr>
      </w:pPr>
    </w:p>
    <w:p w:rsidR="00DC0A39" w:rsidRPr="008205C0" w:rsidRDefault="00DC0A39" w:rsidP="00403695">
      <w:pPr>
        <w:jc w:val="both"/>
        <w:rPr>
          <w:rFonts w:asciiTheme="minorHAnsi" w:hAnsiTheme="minorHAnsi" w:cstheme="minorHAnsi"/>
          <w:b/>
          <w:sz w:val="20"/>
          <w:szCs w:val="20"/>
          <w:lang w:val="sr-Latn-CS"/>
        </w:rPr>
      </w:pPr>
      <w:r w:rsidRPr="008205C0">
        <w:rPr>
          <w:rFonts w:asciiTheme="minorHAnsi" w:hAnsiTheme="minorHAnsi" w:cstheme="minorHAnsi"/>
          <w:b/>
          <w:sz w:val="20"/>
          <w:szCs w:val="20"/>
          <w:lang w:val="sr-Latn-CS"/>
        </w:rPr>
        <w:t xml:space="preserve">POSTUPAK ZA DAVANJE KONCESIJA </w:t>
      </w:r>
    </w:p>
    <w:p w:rsidR="00DC0A39" w:rsidRPr="008205C0" w:rsidRDefault="00DC0A39" w:rsidP="00403695">
      <w:pPr>
        <w:ind w:left="360"/>
        <w:jc w:val="both"/>
        <w:rPr>
          <w:rFonts w:asciiTheme="minorHAnsi" w:hAnsiTheme="minorHAnsi" w:cstheme="minorHAnsi"/>
          <w:b/>
          <w:i/>
          <w:sz w:val="20"/>
          <w:szCs w:val="20"/>
          <w:lang w:val="sr-Latn-CS"/>
        </w:rPr>
      </w:pPr>
    </w:p>
    <w:p w:rsidR="00DC0A39" w:rsidRPr="008205C0" w:rsidRDefault="00DC0A39" w:rsidP="00403695">
      <w:pPr>
        <w:jc w:val="both"/>
        <w:rPr>
          <w:rFonts w:asciiTheme="minorHAnsi" w:hAnsiTheme="minorHAnsi" w:cstheme="minorHAnsi"/>
          <w:sz w:val="20"/>
          <w:szCs w:val="20"/>
          <w:lang w:val="sr-Latn-CS"/>
        </w:rPr>
      </w:pPr>
      <w:r w:rsidRPr="008205C0">
        <w:rPr>
          <w:rFonts w:asciiTheme="minorHAnsi" w:hAnsiTheme="minorHAnsi" w:cstheme="minorHAnsi"/>
          <w:sz w:val="20"/>
          <w:szCs w:val="20"/>
          <w:lang w:val="sr-Latn-CS"/>
        </w:rPr>
        <w:t>Na osnovu člana 17 Zakona o koncesijama, postupak za davanje koncesija pokreće nadležni organ izradom Koncesionog akta, u skladu sa predmetnim Planom.</w:t>
      </w:r>
    </w:p>
    <w:p w:rsidR="00DC0A39" w:rsidRPr="008205C0" w:rsidRDefault="00DC0A39" w:rsidP="00403695">
      <w:pPr>
        <w:jc w:val="both"/>
        <w:rPr>
          <w:rFonts w:asciiTheme="minorHAnsi" w:hAnsiTheme="minorHAnsi" w:cstheme="minorHAnsi"/>
          <w:sz w:val="20"/>
          <w:szCs w:val="20"/>
          <w:lang w:val="sr-Latn-CS"/>
        </w:rPr>
      </w:pPr>
      <w:r w:rsidRPr="008205C0">
        <w:rPr>
          <w:rFonts w:asciiTheme="minorHAnsi" w:hAnsiTheme="minorHAnsi" w:cstheme="minorHAnsi"/>
          <w:sz w:val="20"/>
          <w:szCs w:val="20"/>
          <w:lang w:val="sr-Latn-CS"/>
        </w:rPr>
        <w:t>Postupak iz stava 1 člana 17 može se pokrenuti i na inicijativu zainteresovanog lica.</w:t>
      </w:r>
    </w:p>
    <w:p w:rsidR="00DC0A39" w:rsidRPr="008205C0" w:rsidRDefault="00DC0A39" w:rsidP="00403695">
      <w:pPr>
        <w:jc w:val="both"/>
        <w:rPr>
          <w:rFonts w:asciiTheme="minorHAnsi" w:hAnsiTheme="minorHAnsi" w:cstheme="minorHAnsi"/>
          <w:sz w:val="20"/>
          <w:szCs w:val="20"/>
          <w:lang w:val="sr-Latn-CS"/>
        </w:rPr>
      </w:pPr>
    </w:p>
    <w:p w:rsidR="00DC0A39" w:rsidRPr="008205C0" w:rsidRDefault="00DC0A39" w:rsidP="00403695">
      <w:pPr>
        <w:jc w:val="both"/>
        <w:rPr>
          <w:rFonts w:asciiTheme="minorHAnsi" w:hAnsiTheme="minorHAnsi" w:cstheme="minorHAnsi"/>
          <w:sz w:val="20"/>
          <w:szCs w:val="20"/>
          <w:lang w:val="sr-Latn-CS"/>
        </w:rPr>
      </w:pPr>
      <w:r w:rsidRPr="008205C0">
        <w:rPr>
          <w:rFonts w:asciiTheme="minorHAnsi" w:hAnsiTheme="minorHAnsi" w:cstheme="minorHAnsi"/>
          <w:sz w:val="20"/>
          <w:szCs w:val="20"/>
          <w:lang w:val="sr-Latn-CS"/>
        </w:rPr>
        <w:t xml:space="preserve">U skladu sa </w:t>
      </w:r>
      <w:r w:rsidRPr="00C54708">
        <w:rPr>
          <w:rFonts w:asciiTheme="minorHAnsi" w:hAnsiTheme="minorHAnsi" w:cstheme="minorHAnsi"/>
          <w:sz w:val="20"/>
          <w:szCs w:val="20"/>
          <w:lang w:val="sr-Latn-CS"/>
        </w:rPr>
        <w:t xml:space="preserve">članom 41 zainteresovano lice može nadležnom organu podnijeti inicijativu za pokretanje postupka davanja koncesije koja nije sadržana u Planu iz člana 7 stav 1 Zakona o koncesijama. </w:t>
      </w:r>
      <w:r w:rsidRPr="008205C0">
        <w:rPr>
          <w:rFonts w:asciiTheme="minorHAnsi" w:hAnsiTheme="minorHAnsi" w:cstheme="minorHAnsi"/>
          <w:sz w:val="20"/>
          <w:szCs w:val="20"/>
          <w:lang w:val="sr-Latn-CS"/>
        </w:rPr>
        <w:t>Uz zahtjev, shodno stavu 2 navedenog člana, zainteresovano lice  podnosi ministarstvu podatke i informacije potrebne za pripremu Koncesionog akta</w:t>
      </w:r>
    </w:p>
    <w:p w:rsidR="00DC0A39" w:rsidRPr="008205C0" w:rsidRDefault="00DC0A39" w:rsidP="00403695">
      <w:pPr>
        <w:jc w:val="both"/>
        <w:rPr>
          <w:rFonts w:asciiTheme="minorHAnsi" w:hAnsiTheme="minorHAnsi" w:cstheme="minorHAnsi"/>
          <w:sz w:val="20"/>
          <w:szCs w:val="20"/>
          <w:lang w:val="sr-Latn-CS"/>
        </w:rPr>
      </w:pPr>
    </w:p>
    <w:p w:rsidR="00DC0A39" w:rsidRPr="008205C0" w:rsidRDefault="00DC0A39" w:rsidP="00403695">
      <w:pPr>
        <w:jc w:val="both"/>
        <w:rPr>
          <w:rFonts w:asciiTheme="minorHAnsi" w:hAnsiTheme="minorHAnsi" w:cstheme="minorHAnsi"/>
          <w:sz w:val="20"/>
          <w:szCs w:val="20"/>
          <w:lang w:val="sr-Latn-CS"/>
        </w:rPr>
      </w:pPr>
      <w:r w:rsidRPr="008205C0">
        <w:rPr>
          <w:rFonts w:asciiTheme="minorHAnsi" w:hAnsiTheme="minorHAnsi" w:cstheme="minorHAnsi"/>
          <w:b/>
          <w:sz w:val="20"/>
          <w:szCs w:val="20"/>
          <w:lang w:val="sr-Latn-CS"/>
        </w:rPr>
        <w:t xml:space="preserve">ROKOVI ZA OBJAVLJIVANJE JAVNOG OGLASA ZA DAVANJE KONCESIJA </w:t>
      </w:r>
    </w:p>
    <w:p w:rsidR="00DC0A39" w:rsidRPr="008205C0" w:rsidRDefault="00DC0A39" w:rsidP="00403695">
      <w:pPr>
        <w:ind w:left="540"/>
        <w:rPr>
          <w:rFonts w:asciiTheme="minorHAnsi" w:hAnsiTheme="minorHAnsi" w:cstheme="minorHAnsi"/>
          <w:b/>
          <w:sz w:val="20"/>
          <w:szCs w:val="20"/>
          <w:lang w:val="sr-Latn-CS"/>
        </w:rPr>
      </w:pPr>
    </w:p>
    <w:p w:rsidR="00DC0A39" w:rsidRPr="008205C0" w:rsidRDefault="00DC0A39" w:rsidP="00403695">
      <w:pPr>
        <w:jc w:val="both"/>
        <w:rPr>
          <w:rFonts w:asciiTheme="minorHAnsi" w:hAnsiTheme="minorHAnsi" w:cstheme="minorHAnsi"/>
          <w:sz w:val="20"/>
          <w:szCs w:val="20"/>
          <w:lang w:val="sr-Latn-CS"/>
        </w:rPr>
      </w:pPr>
      <w:r w:rsidRPr="008205C0">
        <w:rPr>
          <w:rFonts w:asciiTheme="minorHAnsi" w:hAnsiTheme="minorHAnsi" w:cstheme="minorHAnsi"/>
          <w:sz w:val="20"/>
          <w:szCs w:val="20"/>
          <w:lang w:val="sr-Latn-CS"/>
        </w:rPr>
        <w:t>Postupak za davanje koncesija pokreće Ministarstvo ekonomije izradom Koncesionog akta, u skladu sa Godišnjim planom iz člana 7 Zakona o koncesijama. Takođe, kao što je već navedeno, postupak se može pokrenuti i inicijativom zainteresovanog lica.</w:t>
      </w:r>
    </w:p>
    <w:p w:rsidR="00DC0A39" w:rsidRPr="008205C0" w:rsidRDefault="00DC0A39" w:rsidP="00403695">
      <w:pPr>
        <w:ind w:left="-540"/>
        <w:jc w:val="both"/>
        <w:rPr>
          <w:rFonts w:asciiTheme="minorHAnsi" w:hAnsiTheme="minorHAnsi" w:cstheme="minorHAnsi"/>
          <w:sz w:val="20"/>
          <w:szCs w:val="20"/>
          <w:lang w:val="sr-Latn-CS"/>
        </w:rPr>
      </w:pPr>
    </w:p>
    <w:p w:rsidR="00DC0A39" w:rsidRPr="008205C0" w:rsidRDefault="00DC0A39" w:rsidP="00403695">
      <w:pPr>
        <w:jc w:val="both"/>
        <w:rPr>
          <w:rFonts w:asciiTheme="minorHAnsi" w:hAnsiTheme="minorHAnsi" w:cstheme="minorHAnsi"/>
          <w:sz w:val="20"/>
          <w:szCs w:val="20"/>
          <w:lang w:val="sr-Latn-CS"/>
        </w:rPr>
      </w:pPr>
      <w:r w:rsidRPr="008205C0">
        <w:rPr>
          <w:rFonts w:asciiTheme="minorHAnsi" w:hAnsiTheme="minorHAnsi" w:cstheme="minorHAnsi"/>
          <w:sz w:val="20"/>
          <w:szCs w:val="20"/>
          <w:lang w:val="sr-Latn-CS"/>
        </w:rPr>
        <w:t>Koncesioni akt usvaja Vlada Crne Gore, s tim što prethodno, prije njegovog dostavljanja na usvajanje, ministarstvo organizuje i sprovodi javnu raspravu u roku od 15</w:t>
      </w:r>
      <w:r>
        <w:rPr>
          <w:rFonts w:asciiTheme="minorHAnsi" w:hAnsiTheme="minorHAnsi" w:cstheme="minorHAnsi"/>
          <w:sz w:val="20"/>
          <w:szCs w:val="20"/>
          <w:lang w:val="sr-Latn-CS"/>
        </w:rPr>
        <w:t xml:space="preserve"> do 30 dana od dana upućivanja J</w:t>
      </w:r>
      <w:r w:rsidRPr="008205C0">
        <w:rPr>
          <w:rFonts w:asciiTheme="minorHAnsi" w:hAnsiTheme="minorHAnsi" w:cstheme="minorHAnsi"/>
          <w:sz w:val="20"/>
          <w:szCs w:val="20"/>
          <w:lang w:val="sr-Latn-CS"/>
        </w:rPr>
        <w:t>avnog poziva za javnu raspravu.</w:t>
      </w:r>
    </w:p>
    <w:p w:rsidR="00DC0A39" w:rsidRPr="008205C0" w:rsidRDefault="00DC0A39" w:rsidP="00403695">
      <w:pPr>
        <w:ind w:left="-540"/>
        <w:jc w:val="both"/>
        <w:rPr>
          <w:rFonts w:asciiTheme="minorHAnsi" w:hAnsiTheme="minorHAnsi" w:cstheme="minorHAnsi"/>
          <w:sz w:val="20"/>
          <w:szCs w:val="20"/>
          <w:lang w:val="sr-Latn-CS"/>
        </w:rPr>
      </w:pPr>
    </w:p>
    <w:p w:rsidR="00DC0A39" w:rsidRPr="008205C0" w:rsidRDefault="00DC0A39" w:rsidP="00403695">
      <w:pPr>
        <w:jc w:val="both"/>
        <w:rPr>
          <w:rFonts w:asciiTheme="minorHAnsi" w:hAnsiTheme="minorHAnsi" w:cstheme="minorHAnsi"/>
          <w:sz w:val="20"/>
          <w:szCs w:val="20"/>
          <w:lang w:val="sr-Latn-CS"/>
        </w:rPr>
      </w:pPr>
      <w:r w:rsidRPr="008205C0">
        <w:rPr>
          <w:rFonts w:asciiTheme="minorHAnsi" w:hAnsiTheme="minorHAnsi" w:cstheme="minorHAnsi"/>
          <w:sz w:val="20"/>
          <w:szCs w:val="20"/>
          <w:lang w:val="sr-Latn-CS"/>
        </w:rPr>
        <w:t xml:space="preserve">Nakon usvajanja Koncesionog akta, u skladu sa zakonom, ministarstvo je dužno da objavi Javni oglas za davanje koncesija za detaljna geološka istraživanja i eksploataciju mineralnih sirovina. </w:t>
      </w:r>
    </w:p>
    <w:p w:rsidR="00DC0A39" w:rsidRPr="008205C0" w:rsidRDefault="00DC0A39" w:rsidP="00403695">
      <w:pPr>
        <w:ind w:left="-540"/>
        <w:jc w:val="both"/>
        <w:rPr>
          <w:rFonts w:asciiTheme="minorHAnsi" w:hAnsiTheme="minorHAnsi" w:cstheme="minorHAnsi"/>
          <w:sz w:val="20"/>
          <w:szCs w:val="20"/>
          <w:lang w:val="sr-Latn-CS"/>
        </w:rPr>
      </w:pPr>
    </w:p>
    <w:p w:rsidR="00DC0A39" w:rsidRPr="008205C0" w:rsidRDefault="00DC0A39" w:rsidP="00403695">
      <w:pPr>
        <w:jc w:val="both"/>
        <w:rPr>
          <w:rFonts w:asciiTheme="minorHAnsi" w:hAnsiTheme="minorHAnsi" w:cstheme="minorHAnsi"/>
          <w:sz w:val="20"/>
          <w:szCs w:val="20"/>
          <w:lang w:val="sr-Latn-CS"/>
        </w:rPr>
      </w:pPr>
      <w:r w:rsidRPr="008205C0">
        <w:rPr>
          <w:rFonts w:asciiTheme="minorHAnsi" w:hAnsiTheme="minorHAnsi" w:cstheme="minorHAnsi"/>
          <w:sz w:val="20"/>
          <w:szCs w:val="20"/>
          <w:lang w:val="sr-Latn-CS"/>
        </w:rPr>
        <w:t>Rokovi na koji se daju koncesije određuju se na osnovu predmeta koncesije, vremena potrebnog za povrat investicija i ostvarivanje dobiti po osnovu koncesione djelatnosti.</w:t>
      </w:r>
    </w:p>
    <w:p w:rsidR="00DC0A39" w:rsidRPr="008205C0" w:rsidRDefault="00DC0A39" w:rsidP="00403695">
      <w:pPr>
        <w:jc w:val="both"/>
        <w:rPr>
          <w:rFonts w:asciiTheme="minorHAnsi" w:hAnsiTheme="minorHAnsi" w:cstheme="minorHAnsi"/>
          <w:sz w:val="20"/>
          <w:szCs w:val="20"/>
          <w:lang w:val="sr-Latn-CS"/>
        </w:rPr>
      </w:pPr>
      <w:r w:rsidRPr="008205C0">
        <w:rPr>
          <w:rFonts w:asciiTheme="minorHAnsi" w:hAnsiTheme="minorHAnsi" w:cstheme="minorHAnsi"/>
          <w:sz w:val="20"/>
          <w:szCs w:val="20"/>
          <w:lang w:val="sr-Latn-CS"/>
        </w:rPr>
        <w:t>Rok trajanja koncesije za detaljna geološka istraživanja i eksploataciju mineralnih sirovina ne može biti duži od 30 godina.</w:t>
      </w:r>
    </w:p>
    <w:sectPr w:rsidR="00DC0A39" w:rsidRPr="008205C0" w:rsidSect="00706565">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808" w:rsidRDefault="00267808" w:rsidP="00BC417E">
      <w:r>
        <w:separator/>
      </w:r>
    </w:p>
  </w:endnote>
  <w:endnote w:type="continuationSeparator" w:id="0">
    <w:p w:rsidR="00267808" w:rsidRDefault="00267808" w:rsidP="00BC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808" w:rsidRDefault="00267808" w:rsidP="00BC417E">
      <w:r>
        <w:separator/>
      </w:r>
    </w:p>
  </w:footnote>
  <w:footnote w:type="continuationSeparator" w:id="0">
    <w:p w:rsidR="00267808" w:rsidRDefault="00267808" w:rsidP="00BC4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2125"/>
      <w:docPartObj>
        <w:docPartGallery w:val="Page Numbers (Top of Page)"/>
        <w:docPartUnique/>
      </w:docPartObj>
    </w:sdtPr>
    <w:sdtEndPr/>
    <w:sdtContent>
      <w:p w:rsidR="00AF53FF" w:rsidRDefault="00AF53FF">
        <w:pPr>
          <w:pStyle w:val="Header"/>
          <w:jc w:val="center"/>
        </w:pPr>
        <w:r>
          <w:fldChar w:fldCharType="begin"/>
        </w:r>
        <w:r>
          <w:instrText xml:space="preserve"> PAGE   \* MERGEFORMAT </w:instrText>
        </w:r>
        <w:r>
          <w:fldChar w:fldCharType="separate"/>
        </w:r>
        <w:r w:rsidR="004D3359">
          <w:rPr>
            <w:noProof/>
          </w:rPr>
          <w:t>14</w:t>
        </w:r>
        <w:r>
          <w:rPr>
            <w:noProof/>
          </w:rPr>
          <w:fldChar w:fldCharType="end"/>
        </w:r>
      </w:p>
    </w:sdtContent>
  </w:sdt>
  <w:p w:rsidR="00AF53FF" w:rsidRDefault="00AF53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0000006"/>
    <w:multiLevelType w:val="multilevel"/>
    <w:tmpl w:val="00000006"/>
    <w:name w:val="WWNum15"/>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11"/>
    <w:multiLevelType w:val="multilevel"/>
    <w:tmpl w:val="99026090"/>
    <w:name w:val="WWNum2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93F6056"/>
    <w:multiLevelType w:val="hybridMultilevel"/>
    <w:tmpl w:val="2C704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4C62EC"/>
    <w:multiLevelType w:val="hybridMultilevel"/>
    <w:tmpl w:val="895884E8"/>
    <w:lvl w:ilvl="0" w:tplc="48090001">
      <w:start w:val="1"/>
      <w:numFmt w:val="bullet"/>
      <w:lvlText w:val=""/>
      <w:lvlJc w:val="left"/>
      <w:pPr>
        <w:tabs>
          <w:tab w:val="num" w:pos="720"/>
        </w:tabs>
        <w:ind w:left="720" w:hanging="360"/>
      </w:pPr>
      <w:rPr>
        <w:rFonts w:ascii="Symbol" w:hAnsi="Symbol"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4">
    <w:nsid w:val="444852E5"/>
    <w:multiLevelType w:val="hybridMultilevel"/>
    <w:tmpl w:val="21AE708E"/>
    <w:lvl w:ilvl="0" w:tplc="FFFFFFFF">
      <w:start w:val="1"/>
      <w:numFmt w:val="bullet"/>
      <w:lvlText w:val="-"/>
      <w:lvlJc w:val="left"/>
      <w:pPr>
        <w:tabs>
          <w:tab w:val="num" w:pos="360"/>
        </w:tabs>
        <w:ind w:left="360" w:hanging="360"/>
      </w:pPr>
      <w:rPr>
        <w:rFonts w:hAnsi="Courier New" w:hint="default"/>
      </w:rPr>
    </w:lvl>
    <w:lvl w:ilvl="1" w:tplc="FCC0D808">
      <w:start w:val="1"/>
      <w:numFmt w:val="decimal"/>
      <w:lvlText w:val="%2."/>
      <w:lvlJc w:val="left"/>
      <w:pPr>
        <w:tabs>
          <w:tab w:val="num" w:pos="1080"/>
        </w:tabs>
        <w:ind w:left="1080" w:hanging="360"/>
      </w:pPr>
      <w:rPr>
        <w:rFonts w:hint="default"/>
        <w:color w:val="auto"/>
      </w:rPr>
    </w:lvl>
    <w:lvl w:ilvl="2" w:tplc="528C30D0">
      <w:start w:val="8"/>
      <w:numFmt w:val="decimal"/>
      <w:lvlText w:val="%3"/>
      <w:lvlJc w:val="left"/>
      <w:pPr>
        <w:tabs>
          <w:tab w:val="num" w:pos="1800"/>
        </w:tabs>
        <w:ind w:left="1800" w:hanging="360"/>
      </w:pPr>
      <w:rPr>
        <w:rFont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473E6271"/>
    <w:multiLevelType w:val="hybridMultilevel"/>
    <w:tmpl w:val="BA56F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A558ED"/>
    <w:multiLevelType w:val="hybridMultilevel"/>
    <w:tmpl w:val="7F2650E4"/>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4A2E7B20"/>
    <w:multiLevelType w:val="hybridMultilevel"/>
    <w:tmpl w:val="959AB4B2"/>
    <w:lvl w:ilvl="0" w:tplc="FFFFFFFF">
      <w:start w:val="1"/>
      <w:numFmt w:val="bullet"/>
      <w:lvlText w:val="-"/>
      <w:lvlJc w:val="left"/>
      <w:pPr>
        <w:ind w:left="720" w:hanging="360"/>
      </w:pPr>
      <w:rPr>
        <w:rFonts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6D5EEA"/>
    <w:multiLevelType w:val="hybridMultilevel"/>
    <w:tmpl w:val="B99AF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7B6C3F"/>
    <w:multiLevelType w:val="hybridMultilevel"/>
    <w:tmpl w:val="09543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7369A7"/>
    <w:multiLevelType w:val="hybridMultilevel"/>
    <w:tmpl w:val="A36E397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F641A"/>
    <w:multiLevelType w:val="hybridMultilevel"/>
    <w:tmpl w:val="83C22F5C"/>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63742130"/>
    <w:multiLevelType w:val="multilevel"/>
    <w:tmpl w:val="CAD6FED0"/>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6FF0879"/>
    <w:multiLevelType w:val="hybridMultilevel"/>
    <w:tmpl w:val="D3423B36"/>
    <w:lvl w:ilvl="0" w:tplc="0409000B">
      <w:start w:val="1"/>
      <w:numFmt w:val="bullet"/>
      <w:lvlText w:val=""/>
      <w:lvlJc w:val="left"/>
      <w:pPr>
        <w:ind w:left="803" w:hanging="360"/>
      </w:pPr>
      <w:rPr>
        <w:rFonts w:ascii="Wingdings" w:hAnsi="Wingdings"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14">
    <w:nsid w:val="68CC1BE6"/>
    <w:multiLevelType w:val="hybridMultilevel"/>
    <w:tmpl w:val="1C8C6E9C"/>
    <w:lvl w:ilvl="0" w:tplc="B76C277A">
      <w:start w:val="1"/>
      <w:numFmt w:val="bullet"/>
      <w:lvlText w:val=""/>
      <w:lvlJc w:val="left"/>
      <w:pPr>
        <w:tabs>
          <w:tab w:val="num" w:pos="780"/>
        </w:tabs>
        <w:ind w:left="780" w:hanging="360"/>
      </w:pPr>
      <w:rPr>
        <w:rFonts w:ascii="Wingdings" w:hAnsi="Wingdings" w:hint="default"/>
      </w:rPr>
    </w:lvl>
    <w:lvl w:ilvl="1" w:tplc="D19CD768">
      <w:start w:val="1"/>
      <w:numFmt w:val="bullet"/>
      <w:lvlText w:val=""/>
      <w:lvlPicBulletId w:val="0"/>
      <w:lvlJc w:val="left"/>
      <w:pPr>
        <w:tabs>
          <w:tab w:val="num" w:pos="1500"/>
        </w:tabs>
        <w:ind w:left="1500" w:hanging="360"/>
      </w:pPr>
      <w:rPr>
        <w:rFonts w:ascii="Symbol" w:hAnsi="Symbol" w:hint="default"/>
      </w:rPr>
    </w:lvl>
    <w:lvl w:ilvl="2" w:tplc="30A6B07C">
      <w:start w:val="1"/>
      <w:numFmt w:val="decimal"/>
      <w:lvlText w:val="%3."/>
      <w:lvlJc w:val="left"/>
      <w:pPr>
        <w:tabs>
          <w:tab w:val="num" w:pos="2160"/>
        </w:tabs>
        <w:ind w:left="2160" w:hanging="360"/>
      </w:pPr>
    </w:lvl>
    <w:lvl w:ilvl="3" w:tplc="20502992">
      <w:start w:val="1"/>
      <w:numFmt w:val="decimal"/>
      <w:lvlText w:val="%4."/>
      <w:lvlJc w:val="left"/>
      <w:pPr>
        <w:tabs>
          <w:tab w:val="num" w:pos="2880"/>
        </w:tabs>
        <w:ind w:left="2880" w:hanging="360"/>
      </w:pPr>
    </w:lvl>
    <w:lvl w:ilvl="4" w:tplc="195AD6F2">
      <w:start w:val="1"/>
      <w:numFmt w:val="decimal"/>
      <w:lvlText w:val="%5."/>
      <w:lvlJc w:val="left"/>
      <w:pPr>
        <w:tabs>
          <w:tab w:val="num" w:pos="3600"/>
        </w:tabs>
        <w:ind w:left="3600" w:hanging="360"/>
      </w:pPr>
    </w:lvl>
    <w:lvl w:ilvl="5" w:tplc="904670A8">
      <w:start w:val="1"/>
      <w:numFmt w:val="decimal"/>
      <w:lvlText w:val="%6."/>
      <w:lvlJc w:val="left"/>
      <w:pPr>
        <w:tabs>
          <w:tab w:val="num" w:pos="4320"/>
        </w:tabs>
        <w:ind w:left="4320" w:hanging="360"/>
      </w:pPr>
    </w:lvl>
    <w:lvl w:ilvl="6" w:tplc="49F232F8">
      <w:start w:val="1"/>
      <w:numFmt w:val="decimal"/>
      <w:lvlText w:val="%7."/>
      <w:lvlJc w:val="left"/>
      <w:pPr>
        <w:tabs>
          <w:tab w:val="num" w:pos="5040"/>
        </w:tabs>
        <w:ind w:left="5040" w:hanging="360"/>
      </w:pPr>
    </w:lvl>
    <w:lvl w:ilvl="7" w:tplc="AF7843B2">
      <w:start w:val="1"/>
      <w:numFmt w:val="decimal"/>
      <w:lvlText w:val="%8."/>
      <w:lvlJc w:val="left"/>
      <w:pPr>
        <w:tabs>
          <w:tab w:val="num" w:pos="5760"/>
        </w:tabs>
        <w:ind w:left="5760" w:hanging="360"/>
      </w:pPr>
    </w:lvl>
    <w:lvl w:ilvl="8" w:tplc="5902082C">
      <w:start w:val="1"/>
      <w:numFmt w:val="decimal"/>
      <w:lvlText w:val="%9."/>
      <w:lvlJc w:val="left"/>
      <w:pPr>
        <w:tabs>
          <w:tab w:val="num" w:pos="6480"/>
        </w:tabs>
        <w:ind w:left="6480" w:hanging="360"/>
      </w:pPr>
    </w:lvl>
  </w:abstractNum>
  <w:abstractNum w:abstractNumId="15">
    <w:nsid w:val="6C4B53DB"/>
    <w:multiLevelType w:val="singleLevel"/>
    <w:tmpl w:val="625A8570"/>
    <w:lvl w:ilvl="0">
      <w:start w:val="1"/>
      <w:numFmt w:val="bullet"/>
      <w:lvlText w:val="-"/>
      <w:lvlJc w:val="left"/>
      <w:pPr>
        <w:tabs>
          <w:tab w:val="num" w:pos="360"/>
        </w:tabs>
        <w:ind w:left="360" w:hanging="360"/>
      </w:pPr>
      <w:rPr>
        <w:rFonts w:hint="default"/>
      </w:rPr>
    </w:lvl>
  </w:abstractNum>
  <w:abstractNum w:abstractNumId="16">
    <w:nsid w:val="781F0AF6"/>
    <w:multiLevelType w:val="hybridMultilevel"/>
    <w:tmpl w:val="68F2636E"/>
    <w:lvl w:ilvl="0" w:tplc="081A000F">
      <w:start w:val="1"/>
      <w:numFmt w:val="bullet"/>
      <w:lvlText w:val=""/>
      <w:lvlJc w:val="left"/>
      <w:pPr>
        <w:tabs>
          <w:tab w:val="num" w:pos="720"/>
        </w:tabs>
        <w:ind w:left="720" w:hanging="360"/>
      </w:pPr>
      <w:rPr>
        <w:rFonts w:ascii="Symbol" w:hAnsi="Symbol" w:hint="default"/>
      </w:rPr>
    </w:lvl>
    <w:lvl w:ilvl="1" w:tplc="081A0019" w:tentative="1">
      <w:start w:val="1"/>
      <w:numFmt w:val="bullet"/>
      <w:lvlText w:val="o"/>
      <w:lvlJc w:val="left"/>
      <w:pPr>
        <w:tabs>
          <w:tab w:val="num" w:pos="1440"/>
        </w:tabs>
        <w:ind w:left="1440" w:hanging="360"/>
      </w:pPr>
      <w:rPr>
        <w:rFonts w:ascii="Courier New" w:hAnsi="Courier New" w:cs="Courier New" w:hint="default"/>
      </w:rPr>
    </w:lvl>
    <w:lvl w:ilvl="2" w:tplc="081A001B" w:tentative="1">
      <w:start w:val="1"/>
      <w:numFmt w:val="bullet"/>
      <w:lvlText w:val=""/>
      <w:lvlJc w:val="left"/>
      <w:pPr>
        <w:tabs>
          <w:tab w:val="num" w:pos="2160"/>
        </w:tabs>
        <w:ind w:left="2160" w:hanging="360"/>
      </w:pPr>
      <w:rPr>
        <w:rFonts w:ascii="Wingdings" w:hAnsi="Wingdings" w:hint="default"/>
      </w:rPr>
    </w:lvl>
    <w:lvl w:ilvl="3" w:tplc="081A000F" w:tentative="1">
      <w:start w:val="1"/>
      <w:numFmt w:val="bullet"/>
      <w:lvlText w:val=""/>
      <w:lvlJc w:val="left"/>
      <w:pPr>
        <w:tabs>
          <w:tab w:val="num" w:pos="2880"/>
        </w:tabs>
        <w:ind w:left="2880" w:hanging="360"/>
      </w:pPr>
      <w:rPr>
        <w:rFonts w:ascii="Symbol" w:hAnsi="Symbol" w:hint="default"/>
      </w:rPr>
    </w:lvl>
    <w:lvl w:ilvl="4" w:tplc="081A0019" w:tentative="1">
      <w:start w:val="1"/>
      <w:numFmt w:val="bullet"/>
      <w:lvlText w:val="o"/>
      <w:lvlJc w:val="left"/>
      <w:pPr>
        <w:tabs>
          <w:tab w:val="num" w:pos="3600"/>
        </w:tabs>
        <w:ind w:left="3600" w:hanging="360"/>
      </w:pPr>
      <w:rPr>
        <w:rFonts w:ascii="Courier New" w:hAnsi="Courier New" w:cs="Courier New" w:hint="default"/>
      </w:rPr>
    </w:lvl>
    <w:lvl w:ilvl="5" w:tplc="081A001B" w:tentative="1">
      <w:start w:val="1"/>
      <w:numFmt w:val="bullet"/>
      <w:lvlText w:val=""/>
      <w:lvlJc w:val="left"/>
      <w:pPr>
        <w:tabs>
          <w:tab w:val="num" w:pos="4320"/>
        </w:tabs>
        <w:ind w:left="4320" w:hanging="360"/>
      </w:pPr>
      <w:rPr>
        <w:rFonts w:ascii="Wingdings" w:hAnsi="Wingdings" w:hint="default"/>
      </w:rPr>
    </w:lvl>
    <w:lvl w:ilvl="6" w:tplc="081A000F" w:tentative="1">
      <w:start w:val="1"/>
      <w:numFmt w:val="bullet"/>
      <w:lvlText w:val=""/>
      <w:lvlJc w:val="left"/>
      <w:pPr>
        <w:tabs>
          <w:tab w:val="num" w:pos="5040"/>
        </w:tabs>
        <w:ind w:left="5040" w:hanging="360"/>
      </w:pPr>
      <w:rPr>
        <w:rFonts w:ascii="Symbol" w:hAnsi="Symbol" w:hint="default"/>
      </w:rPr>
    </w:lvl>
    <w:lvl w:ilvl="7" w:tplc="081A0019" w:tentative="1">
      <w:start w:val="1"/>
      <w:numFmt w:val="bullet"/>
      <w:lvlText w:val="o"/>
      <w:lvlJc w:val="left"/>
      <w:pPr>
        <w:tabs>
          <w:tab w:val="num" w:pos="5760"/>
        </w:tabs>
        <w:ind w:left="5760" w:hanging="360"/>
      </w:pPr>
      <w:rPr>
        <w:rFonts w:ascii="Courier New" w:hAnsi="Courier New" w:cs="Courier New" w:hint="default"/>
      </w:rPr>
    </w:lvl>
    <w:lvl w:ilvl="8" w:tplc="081A001B" w:tentative="1">
      <w:start w:val="1"/>
      <w:numFmt w:val="bullet"/>
      <w:lvlText w:val=""/>
      <w:lvlJc w:val="left"/>
      <w:pPr>
        <w:tabs>
          <w:tab w:val="num" w:pos="6480"/>
        </w:tabs>
        <w:ind w:left="6480" w:hanging="360"/>
      </w:pPr>
      <w:rPr>
        <w:rFonts w:ascii="Wingdings" w:hAnsi="Wingdings" w:hint="default"/>
      </w:rPr>
    </w:lvl>
  </w:abstractNum>
  <w:abstractNum w:abstractNumId="17">
    <w:nsid w:val="7D6318A4"/>
    <w:multiLevelType w:val="hybridMultilevel"/>
    <w:tmpl w:val="F224F82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7F6A56CA"/>
    <w:multiLevelType w:val="hybridMultilevel"/>
    <w:tmpl w:val="47505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3"/>
  </w:num>
  <w:num w:numId="4">
    <w:abstractNumId w:val="16"/>
  </w:num>
  <w:num w:numId="5">
    <w:abstractNumId w:val="8"/>
  </w:num>
  <w:num w:numId="6">
    <w:abstractNumId w:val="9"/>
  </w:num>
  <w:num w:numId="7">
    <w:abstractNumId w:val="5"/>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5"/>
  </w:num>
  <w:num w:numId="12">
    <w:abstractNumId w:val="18"/>
  </w:num>
  <w:num w:numId="13">
    <w:abstractNumId w:val="10"/>
  </w:num>
  <w:num w:numId="14">
    <w:abstractNumId w:val="6"/>
  </w:num>
  <w:num w:numId="15">
    <w:abstractNumId w:val="12"/>
  </w:num>
  <w:num w:numId="16">
    <w:abstractNumId w:val="13"/>
  </w:num>
  <w:num w:numId="1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A39"/>
    <w:rsid w:val="000031B3"/>
    <w:rsid w:val="0001002F"/>
    <w:rsid w:val="000424FD"/>
    <w:rsid w:val="00074AC2"/>
    <w:rsid w:val="00094635"/>
    <w:rsid w:val="000C746D"/>
    <w:rsid w:val="000D0357"/>
    <w:rsid w:val="000F38C0"/>
    <w:rsid w:val="00105B8B"/>
    <w:rsid w:val="001257C3"/>
    <w:rsid w:val="00125EB1"/>
    <w:rsid w:val="00141925"/>
    <w:rsid w:val="001441BC"/>
    <w:rsid w:val="001633E8"/>
    <w:rsid w:val="00185DA3"/>
    <w:rsid w:val="00186F48"/>
    <w:rsid w:val="001C4860"/>
    <w:rsid w:val="001D1E76"/>
    <w:rsid w:val="001D26E0"/>
    <w:rsid w:val="001E1E7E"/>
    <w:rsid w:val="001E7C54"/>
    <w:rsid w:val="001F3308"/>
    <w:rsid w:val="002222E2"/>
    <w:rsid w:val="00230A8F"/>
    <w:rsid w:val="002426C2"/>
    <w:rsid w:val="00266742"/>
    <w:rsid w:val="00267808"/>
    <w:rsid w:val="002740AC"/>
    <w:rsid w:val="00274818"/>
    <w:rsid w:val="00277C57"/>
    <w:rsid w:val="00282012"/>
    <w:rsid w:val="0028442C"/>
    <w:rsid w:val="00294DE2"/>
    <w:rsid w:val="002D3D41"/>
    <w:rsid w:val="002E01AA"/>
    <w:rsid w:val="002F6EEF"/>
    <w:rsid w:val="00362BAF"/>
    <w:rsid w:val="0038134C"/>
    <w:rsid w:val="003B150E"/>
    <w:rsid w:val="003B154C"/>
    <w:rsid w:val="003C249C"/>
    <w:rsid w:val="003E0B5E"/>
    <w:rsid w:val="003F0C61"/>
    <w:rsid w:val="00403695"/>
    <w:rsid w:val="00405C16"/>
    <w:rsid w:val="0042643A"/>
    <w:rsid w:val="0045080B"/>
    <w:rsid w:val="00472F12"/>
    <w:rsid w:val="004925DB"/>
    <w:rsid w:val="004B15EC"/>
    <w:rsid w:val="004B677F"/>
    <w:rsid w:val="004D3359"/>
    <w:rsid w:val="004F662D"/>
    <w:rsid w:val="00533DC6"/>
    <w:rsid w:val="00541061"/>
    <w:rsid w:val="00570437"/>
    <w:rsid w:val="00580C03"/>
    <w:rsid w:val="00583766"/>
    <w:rsid w:val="00591E70"/>
    <w:rsid w:val="005B5D24"/>
    <w:rsid w:val="005C526D"/>
    <w:rsid w:val="005E2AF7"/>
    <w:rsid w:val="005E7619"/>
    <w:rsid w:val="005F0BE9"/>
    <w:rsid w:val="0060040F"/>
    <w:rsid w:val="0062285E"/>
    <w:rsid w:val="00634E70"/>
    <w:rsid w:val="00636AA9"/>
    <w:rsid w:val="006402BF"/>
    <w:rsid w:val="0064085A"/>
    <w:rsid w:val="00676BA0"/>
    <w:rsid w:val="006C2475"/>
    <w:rsid w:val="006E3550"/>
    <w:rsid w:val="00702408"/>
    <w:rsid w:val="00706565"/>
    <w:rsid w:val="00726AB4"/>
    <w:rsid w:val="00733FAC"/>
    <w:rsid w:val="00742855"/>
    <w:rsid w:val="0074328A"/>
    <w:rsid w:val="00755789"/>
    <w:rsid w:val="007F008D"/>
    <w:rsid w:val="007F3B69"/>
    <w:rsid w:val="008054DC"/>
    <w:rsid w:val="008260E3"/>
    <w:rsid w:val="0083091D"/>
    <w:rsid w:val="00833058"/>
    <w:rsid w:val="00865479"/>
    <w:rsid w:val="008854E6"/>
    <w:rsid w:val="008D1591"/>
    <w:rsid w:val="008F56EC"/>
    <w:rsid w:val="0090259B"/>
    <w:rsid w:val="0092686D"/>
    <w:rsid w:val="00946BBC"/>
    <w:rsid w:val="009729C7"/>
    <w:rsid w:val="0097505F"/>
    <w:rsid w:val="009762DA"/>
    <w:rsid w:val="009818E7"/>
    <w:rsid w:val="0098587C"/>
    <w:rsid w:val="00996345"/>
    <w:rsid w:val="009C5799"/>
    <w:rsid w:val="00A151EE"/>
    <w:rsid w:val="00A21FDF"/>
    <w:rsid w:val="00A23A61"/>
    <w:rsid w:val="00A241BB"/>
    <w:rsid w:val="00A27F1A"/>
    <w:rsid w:val="00A36EFA"/>
    <w:rsid w:val="00A36F6F"/>
    <w:rsid w:val="00A826FC"/>
    <w:rsid w:val="00A87090"/>
    <w:rsid w:val="00A93430"/>
    <w:rsid w:val="00A939EF"/>
    <w:rsid w:val="00AB16D5"/>
    <w:rsid w:val="00AB4843"/>
    <w:rsid w:val="00AD34BF"/>
    <w:rsid w:val="00AF53FF"/>
    <w:rsid w:val="00AF7286"/>
    <w:rsid w:val="00B3218E"/>
    <w:rsid w:val="00B328D4"/>
    <w:rsid w:val="00B94F1B"/>
    <w:rsid w:val="00BA7826"/>
    <w:rsid w:val="00BC417E"/>
    <w:rsid w:val="00BE1AE7"/>
    <w:rsid w:val="00C07850"/>
    <w:rsid w:val="00C12553"/>
    <w:rsid w:val="00C12911"/>
    <w:rsid w:val="00C26145"/>
    <w:rsid w:val="00C32D8D"/>
    <w:rsid w:val="00C42C8C"/>
    <w:rsid w:val="00C56E0A"/>
    <w:rsid w:val="00C61546"/>
    <w:rsid w:val="00C674B2"/>
    <w:rsid w:val="00C85403"/>
    <w:rsid w:val="00CA4B26"/>
    <w:rsid w:val="00CC70EB"/>
    <w:rsid w:val="00CE0BFE"/>
    <w:rsid w:val="00D0402A"/>
    <w:rsid w:val="00D106F5"/>
    <w:rsid w:val="00D13B64"/>
    <w:rsid w:val="00D44545"/>
    <w:rsid w:val="00D51B66"/>
    <w:rsid w:val="00D56B1D"/>
    <w:rsid w:val="00D56E46"/>
    <w:rsid w:val="00D5731F"/>
    <w:rsid w:val="00D62526"/>
    <w:rsid w:val="00D649B0"/>
    <w:rsid w:val="00D66559"/>
    <w:rsid w:val="00D7167E"/>
    <w:rsid w:val="00D75E2A"/>
    <w:rsid w:val="00D85C1E"/>
    <w:rsid w:val="00DA1824"/>
    <w:rsid w:val="00DC0A39"/>
    <w:rsid w:val="00E0355F"/>
    <w:rsid w:val="00E27F40"/>
    <w:rsid w:val="00E31A18"/>
    <w:rsid w:val="00E657AC"/>
    <w:rsid w:val="00E93C1A"/>
    <w:rsid w:val="00E956B2"/>
    <w:rsid w:val="00EA5181"/>
    <w:rsid w:val="00EB4088"/>
    <w:rsid w:val="00EE144D"/>
    <w:rsid w:val="00F14DD5"/>
    <w:rsid w:val="00F27279"/>
    <w:rsid w:val="00F759F0"/>
    <w:rsid w:val="00F80192"/>
    <w:rsid w:val="00F85781"/>
    <w:rsid w:val="00FA65E3"/>
    <w:rsid w:val="00FB5224"/>
    <w:rsid w:val="00FB7730"/>
    <w:rsid w:val="00FC3091"/>
    <w:rsid w:val="00FC3D80"/>
    <w:rsid w:val="00FC5732"/>
    <w:rsid w:val="00FD337B"/>
    <w:rsid w:val="00FD371B"/>
    <w:rsid w:val="00FF14BA"/>
    <w:rsid w:val="00FF3F88"/>
    <w:rsid w:val="00FF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0A39"/>
    <w:pPr>
      <w:keepNext/>
      <w:ind w:left="360"/>
      <w:outlineLvl w:val="0"/>
    </w:pPr>
    <w:rPr>
      <w:rFonts w:ascii="Arial" w:hAnsi="Arial" w:cs="Arial"/>
      <w:b/>
      <w:bCs/>
    </w:rPr>
  </w:style>
  <w:style w:type="paragraph" w:styleId="Heading2">
    <w:name w:val="heading 2"/>
    <w:basedOn w:val="Normal"/>
    <w:next w:val="Normal"/>
    <w:link w:val="Heading2Char"/>
    <w:uiPriority w:val="9"/>
    <w:unhideWhenUsed/>
    <w:qFormat/>
    <w:rsid w:val="009762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62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B16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762DA"/>
    <w:pPr>
      <w:keepNext/>
      <w:keepLines/>
      <w:spacing w:before="200" w:line="276" w:lineRule="auto"/>
      <w:ind w:left="1008" w:hanging="1008"/>
      <w:outlineLvl w:val="4"/>
    </w:pPr>
    <w:rPr>
      <w:rFonts w:asciiTheme="majorHAnsi" w:eastAsiaTheme="majorEastAsia" w:hAnsiTheme="majorHAnsi" w:cstheme="majorBidi"/>
      <w:b/>
      <w:szCs w:val="22"/>
    </w:rPr>
  </w:style>
  <w:style w:type="paragraph" w:styleId="Heading6">
    <w:name w:val="heading 6"/>
    <w:basedOn w:val="Normal"/>
    <w:next w:val="Normal"/>
    <w:link w:val="Heading6Char"/>
    <w:uiPriority w:val="9"/>
    <w:unhideWhenUsed/>
    <w:qFormat/>
    <w:rsid w:val="009762DA"/>
    <w:pPr>
      <w:keepNext/>
      <w:keepLines/>
      <w:spacing w:before="200" w:line="276" w:lineRule="auto"/>
      <w:ind w:left="1152" w:hanging="1152"/>
      <w:outlineLvl w:val="5"/>
    </w:pPr>
    <w:rPr>
      <w:rFonts w:asciiTheme="majorHAnsi" w:eastAsiaTheme="majorEastAsia" w:hAnsiTheme="majorHAnsi" w:cstheme="majorBidi"/>
      <w:b/>
      <w:iCs/>
      <w:szCs w:val="22"/>
    </w:rPr>
  </w:style>
  <w:style w:type="paragraph" w:styleId="Heading7">
    <w:name w:val="heading 7"/>
    <w:basedOn w:val="Normal"/>
    <w:next w:val="Normal"/>
    <w:link w:val="Heading7Char"/>
    <w:uiPriority w:val="9"/>
    <w:unhideWhenUsed/>
    <w:qFormat/>
    <w:rsid w:val="009762DA"/>
    <w:pPr>
      <w:keepNext/>
      <w:keepLines/>
      <w:spacing w:before="200" w:line="276" w:lineRule="auto"/>
      <w:ind w:left="1296" w:hanging="1296"/>
      <w:outlineLvl w:val="6"/>
    </w:pPr>
    <w:rPr>
      <w:rFonts w:asciiTheme="majorHAnsi" w:eastAsiaTheme="majorEastAsia" w:hAnsiTheme="majorHAnsi" w:cstheme="majorBidi"/>
      <w:b/>
      <w:iCs/>
      <w:szCs w:val="22"/>
    </w:rPr>
  </w:style>
  <w:style w:type="paragraph" w:styleId="Heading8">
    <w:name w:val="heading 8"/>
    <w:basedOn w:val="Normal"/>
    <w:next w:val="Normal"/>
    <w:link w:val="Heading8Char"/>
    <w:uiPriority w:val="9"/>
    <w:unhideWhenUsed/>
    <w:qFormat/>
    <w:rsid w:val="009762D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62D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A39"/>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9762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762D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AB16D5"/>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9762DA"/>
    <w:rPr>
      <w:rFonts w:asciiTheme="majorHAnsi" w:eastAsiaTheme="majorEastAsia" w:hAnsiTheme="majorHAnsi" w:cstheme="majorBidi"/>
      <w:b/>
      <w:sz w:val="24"/>
    </w:rPr>
  </w:style>
  <w:style w:type="character" w:customStyle="1" w:styleId="Heading6Char">
    <w:name w:val="Heading 6 Char"/>
    <w:basedOn w:val="DefaultParagraphFont"/>
    <w:link w:val="Heading6"/>
    <w:uiPriority w:val="9"/>
    <w:rsid w:val="009762DA"/>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9762DA"/>
    <w:rPr>
      <w:rFonts w:asciiTheme="majorHAnsi" w:eastAsiaTheme="majorEastAsia" w:hAnsiTheme="majorHAnsi" w:cstheme="majorBidi"/>
      <w:b/>
      <w:iCs/>
      <w:sz w:val="24"/>
    </w:rPr>
  </w:style>
  <w:style w:type="character" w:customStyle="1" w:styleId="Heading8Char">
    <w:name w:val="Heading 8 Char"/>
    <w:basedOn w:val="DefaultParagraphFont"/>
    <w:link w:val="Heading8"/>
    <w:uiPriority w:val="9"/>
    <w:rsid w:val="009762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62DA"/>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DC0A39"/>
    <w:pPr>
      <w:jc w:val="both"/>
    </w:pPr>
    <w:rPr>
      <w:rFonts w:ascii="Arial" w:hAnsi="Arial" w:cs="Arial"/>
      <w:b/>
      <w:sz w:val="22"/>
      <w:szCs w:val="22"/>
      <w:lang w:val="sr-Latn-CS"/>
    </w:rPr>
  </w:style>
  <w:style w:type="character" w:customStyle="1" w:styleId="BodyTextChar">
    <w:name w:val="Body Text Char"/>
    <w:basedOn w:val="DefaultParagraphFont"/>
    <w:link w:val="BodyText"/>
    <w:rsid w:val="00DC0A39"/>
    <w:rPr>
      <w:rFonts w:ascii="Arial" w:eastAsia="Times New Roman" w:hAnsi="Arial" w:cs="Arial"/>
      <w:b/>
      <w:lang w:val="sr-Latn-CS"/>
    </w:rPr>
  </w:style>
  <w:style w:type="paragraph" w:styleId="Header">
    <w:name w:val="header"/>
    <w:basedOn w:val="Normal"/>
    <w:link w:val="HeaderChar"/>
    <w:uiPriority w:val="99"/>
    <w:unhideWhenUsed/>
    <w:rsid w:val="00DC0A39"/>
    <w:pPr>
      <w:tabs>
        <w:tab w:val="center" w:pos="4680"/>
        <w:tab w:val="right" w:pos="9360"/>
      </w:tabs>
    </w:pPr>
  </w:style>
  <w:style w:type="character" w:customStyle="1" w:styleId="HeaderChar">
    <w:name w:val="Header Char"/>
    <w:basedOn w:val="DefaultParagraphFont"/>
    <w:link w:val="Header"/>
    <w:uiPriority w:val="99"/>
    <w:rsid w:val="00DC0A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0A39"/>
    <w:pPr>
      <w:tabs>
        <w:tab w:val="center" w:pos="4680"/>
        <w:tab w:val="right" w:pos="9360"/>
      </w:tabs>
    </w:pPr>
  </w:style>
  <w:style w:type="character" w:customStyle="1" w:styleId="FooterChar">
    <w:name w:val="Footer Char"/>
    <w:basedOn w:val="DefaultParagraphFont"/>
    <w:link w:val="Footer"/>
    <w:uiPriority w:val="99"/>
    <w:rsid w:val="00DC0A39"/>
    <w:rPr>
      <w:rFonts w:ascii="Times New Roman" w:eastAsia="Times New Roman" w:hAnsi="Times New Roman" w:cs="Times New Roman"/>
      <w:sz w:val="24"/>
      <w:szCs w:val="24"/>
    </w:rPr>
  </w:style>
  <w:style w:type="paragraph" w:styleId="ListParagraph">
    <w:name w:val="List Paragraph"/>
    <w:basedOn w:val="Normal"/>
    <w:uiPriority w:val="34"/>
    <w:qFormat/>
    <w:rsid w:val="00DC0A39"/>
    <w:pPr>
      <w:ind w:left="720"/>
      <w:contextualSpacing/>
    </w:pPr>
  </w:style>
  <w:style w:type="table" w:styleId="TableGrid">
    <w:name w:val="Table Grid"/>
    <w:basedOn w:val="TableNormal"/>
    <w:uiPriority w:val="59"/>
    <w:rsid w:val="00DC0A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074AC2"/>
    <w:pPr>
      <w:spacing w:after="120"/>
      <w:ind w:left="360"/>
    </w:pPr>
  </w:style>
  <w:style w:type="character" w:customStyle="1" w:styleId="BodyTextIndentChar">
    <w:name w:val="Body Text Indent Char"/>
    <w:basedOn w:val="DefaultParagraphFont"/>
    <w:link w:val="BodyTextIndent"/>
    <w:rsid w:val="00074AC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AB16D5"/>
    <w:pPr>
      <w:spacing w:after="120"/>
    </w:pPr>
    <w:rPr>
      <w:sz w:val="16"/>
      <w:szCs w:val="16"/>
    </w:rPr>
  </w:style>
  <w:style w:type="character" w:customStyle="1" w:styleId="BodyText3Char">
    <w:name w:val="Body Text 3 Char"/>
    <w:basedOn w:val="DefaultParagraphFont"/>
    <w:link w:val="BodyText3"/>
    <w:uiPriority w:val="99"/>
    <w:semiHidden/>
    <w:rsid w:val="00AB16D5"/>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282012"/>
    <w:pPr>
      <w:spacing w:after="120" w:line="480" w:lineRule="auto"/>
      <w:ind w:left="283"/>
    </w:pPr>
  </w:style>
  <w:style w:type="character" w:customStyle="1" w:styleId="BodyTextIndent2Char">
    <w:name w:val="Body Text Indent 2 Char"/>
    <w:basedOn w:val="DefaultParagraphFont"/>
    <w:link w:val="BodyTextIndent2"/>
    <w:uiPriority w:val="99"/>
    <w:semiHidden/>
    <w:rsid w:val="00282012"/>
    <w:rPr>
      <w:rFonts w:ascii="Times New Roman" w:eastAsia="Times New Roman" w:hAnsi="Times New Roman" w:cs="Times New Roman"/>
      <w:sz w:val="24"/>
      <w:szCs w:val="24"/>
    </w:rPr>
  </w:style>
  <w:style w:type="paragraph" w:styleId="Caption">
    <w:name w:val="caption"/>
    <w:basedOn w:val="Normal"/>
    <w:next w:val="Normal"/>
    <w:qFormat/>
    <w:rsid w:val="009762DA"/>
    <w:pPr>
      <w:spacing w:before="120" w:after="120"/>
      <w:jc w:val="center"/>
    </w:pPr>
    <w:rPr>
      <w:rFonts w:ascii="Book Antiqua" w:hAnsi="Book Antiqua"/>
      <w:b/>
      <w:bCs/>
      <w:i/>
      <w:sz w:val="22"/>
      <w:szCs w:val="20"/>
    </w:rPr>
  </w:style>
  <w:style w:type="paragraph" w:customStyle="1" w:styleId="tabele">
    <w:name w:val="tabele"/>
    <w:basedOn w:val="Normal"/>
    <w:rsid w:val="009762DA"/>
    <w:pPr>
      <w:spacing w:before="40" w:after="40"/>
      <w:jc w:val="center"/>
    </w:pPr>
    <w:rPr>
      <w:rFonts w:ascii="Book Antiqua" w:hAnsi="Book Antiqua"/>
      <w:sz w:val="20"/>
      <w:lang w:val="sr-Latn-CS"/>
    </w:rPr>
  </w:style>
  <w:style w:type="paragraph" w:styleId="Title">
    <w:name w:val="Title"/>
    <w:basedOn w:val="Normal"/>
    <w:next w:val="Normal"/>
    <w:link w:val="TitleChar"/>
    <w:qFormat/>
    <w:rsid w:val="009762DA"/>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val="sl-SI" w:eastAsia="nb-NO"/>
    </w:rPr>
  </w:style>
  <w:style w:type="character" w:customStyle="1" w:styleId="TitleChar">
    <w:name w:val="Title Char"/>
    <w:basedOn w:val="DefaultParagraphFont"/>
    <w:link w:val="Title"/>
    <w:rsid w:val="009762DA"/>
    <w:rPr>
      <w:rFonts w:asciiTheme="majorHAnsi" w:eastAsiaTheme="majorEastAsia" w:hAnsiTheme="majorHAnsi" w:cstheme="majorBidi"/>
      <w:color w:val="17365D" w:themeColor="text2" w:themeShade="BF"/>
      <w:spacing w:val="5"/>
      <w:kern w:val="28"/>
      <w:sz w:val="52"/>
      <w:szCs w:val="52"/>
      <w:lang w:val="sl-SI" w:eastAsia="nb-NO"/>
    </w:rPr>
  </w:style>
  <w:style w:type="character" w:customStyle="1" w:styleId="BalloonTextChar">
    <w:name w:val="Balloon Text Char"/>
    <w:basedOn w:val="DefaultParagraphFont"/>
    <w:link w:val="BalloonText"/>
    <w:uiPriority w:val="99"/>
    <w:semiHidden/>
    <w:rsid w:val="009762DA"/>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9762DA"/>
    <w:rPr>
      <w:rFonts w:ascii="Tahoma" w:eastAsiaTheme="minorEastAsia" w:hAnsi="Tahoma" w:cs="Tahoma"/>
      <w:sz w:val="16"/>
      <w:szCs w:val="16"/>
    </w:rPr>
  </w:style>
  <w:style w:type="paragraph" w:styleId="TOCHeading">
    <w:name w:val="TOC Heading"/>
    <w:basedOn w:val="Heading1"/>
    <w:next w:val="Normal"/>
    <w:uiPriority w:val="39"/>
    <w:unhideWhenUsed/>
    <w:qFormat/>
    <w:rsid w:val="009762DA"/>
    <w:pPr>
      <w:keepLines/>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rsid w:val="009762DA"/>
    <w:pPr>
      <w:spacing w:after="100" w:line="276" w:lineRule="auto"/>
      <w:ind w:left="22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9762DA"/>
    <w:rPr>
      <w:color w:val="0000FF" w:themeColor="hyperlink"/>
      <w:u w:val="single"/>
    </w:rPr>
  </w:style>
  <w:style w:type="character" w:customStyle="1" w:styleId="CommentTextChar">
    <w:name w:val="Comment Text Char"/>
    <w:basedOn w:val="DefaultParagraphFont"/>
    <w:link w:val="CommentText"/>
    <w:uiPriority w:val="99"/>
    <w:semiHidden/>
    <w:rsid w:val="009762DA"/>
    <w:rPr>
      <w:rFonts w:eastAsiaTheme="minorEastAsia"/>
      <w:sz w:val="20"/>
      <w:szCs w:val="20"/>
    </w:rPr>
  </w:style>
  <w:style w:type="paragraph" w:styleId="CommentText">
    <w:name w:val="annotation text"/>
    <w:basedOn w:val="Normal"/>
    <w:link w:val="CommentTextChar"/>
    <w:uiPriority w:val="99"/>
    <w:semiHidden/>
    <w:unhideWhenUsed/>
    <w:rsid w:val="009762DA"/>
    <w:pPr>
      <w:spacing w:after="200"/>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9762DA"/>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9762DA"/>
    <w:rPr>
      <w:b/>
      <w:bCs/>
    </w:rPr>
  </w:style>
  <w:style w:type="paragraph" w:styleId="TOC1">
    <w:name w:val="toc 1"/>
    <w:basedOn w:val="Normal"/>
    <w:next w:val="Normal"/>
    <w:autoRedefine/>
    <w:uiPriority w:val="39"/>
    <w:unhideWhenUsed/>
    <w:rsid w:val="009762DA"/>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9762DA"/>
    <w:pPr>
      <w:spacing w:after="100" w:line="276" w:lineRule="auto"/>
      <w:ind w:left="440"/>
    </w:pPr>
    <w:rPr>
      <w:rFonts w:asciiTheme="minorHAnsi" w:eastAsiaTheme="minorEastAsia" w:hAnsiTheme="minorHAnsi" w:cstheme="minorBidi"/>
      <w:sz w:val="22"/>
      <w:szCs w:val="22"/>
    </w:rPr>
  </w:style>
  <w:style w:type="paragraph" w:styleId="NormalWeb">
    <w:name w:val="Normal (Web)"/>
    <w:basedOn w:val="Normal"/>
    <w:uiPriority w:val="99"/>
    <w:unhideWhenUsed/>
    <w:rsid w:val="009762DA"/>
    <w:rPr>
      <w:rFonts w:eastAsiaTheme="minorHAnsi"/>
    </w:rPr>
  </w:style>
  <w:style w:type="paragraph" w:customStyle="1" w:styleId="Default">
    <w:name w:val="Default"/>
    <w:uiPriority w:val="99"/>
    <w:rsid w:val="009762DA"/>
    <w:pPr>
      <w:widowControl w:val="0"/>
      <w:autoSpaceDE w:val="0"/>
      <w:autoSpaceDN w:val="0"/>
      <w:adjustRightInd w:val="0"/>
      <w:spacing w:after="0" w:line="240" w:lineRule="auto"/>
    </w:pPr>
    <w:rPr>
      <w:rFonts w:ascii="Calibri" w:eastAsia="Times New Roman" w:hAnsi="Calibri" w:cs="Calibri"/>
      <w:color w:val="000000"/>
      <w:sz w:val="24"/>
      <w:szCs w:val="24"/>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0A39"/>
    <w:pPr>
      <w:keepNext/>
      <w:ind w:left="360"/>
      <w:outlineLvl w:val="0"/>
    </w:pPr>
    <w:rPr>
      <w:rFonts w:ascii="Arial" w:hAnsi="Arial" w:cs="Arial"/>
      <w:b/>
      <w:bCs/>
    </w:rPr>
  </w:style>
  <w:style w:type="paragraph" w:styleId="Heading2">
    <w:name w:val="heading 2"/>
    <w:basedOn w:val="Normal"/>
    <w:next w:val="Normal"/>
    <w:link w:val="Heading2Char"/>
    <w:uiPriority w:val="9"/>
    <w:unhideWhenUsed/>
    <w:qFormat/>
    <w:rsid w:val="009762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62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B16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762DA"/>
    <w:pPr>
      <w:keepNext/>
      <w:keepLines/>
      <w:spacing w:before="200" w:line="276" w:lineRule="auto"/>
      <w:ind w:left="1008" w:hanging="1008"/>
      <w:outlineLvl w:val="4"/>
    </w:pPr>
    <w:rPr>
      <w:rFonts w:asciiTheme="majorHAnsi" w:eastAsiaTheme="majorEastAsia" w:hAnsiTheme="majorHAnsi" w:cstheme="majorBidi"/>
      <w:b/>
      <w:szCs w:val="22"/>
    </w:rPr>
  </w:style>
  <w:style w:type="paragraph" w:styleId="Heading6">
    <w:name w:val="heading 6"/>
    <w:basedOn w:val="Normal"/>
    <w:next w:val="Normal"/>
    <w:link w:val="Heading6Char"/>
    <w:uiPriority w:val="9"/>
    <w:unhideWhenUsed/>
    <w:qFormat/>
    <w:rsid w:val="009762DA"/>
    <w:pPr>
      <w:keepNext/>
      <w:keepLines/>
      <w:spacing w:before="200" w:line="276" w:lineRule="auto"/>
      <w:ind w:left="1152" w:hanging="1152"/>
      <w:outlineLvl w:val="5"/>
    </w:pPr>
    <w:rPr>
      <w:rFonts w:asciiTheme="majorHAnsi" w:eastAsiaTheme="majorEastAsia" w:hAnsiTheme="majorHAnsi" w:cstheme="majorBidi"/>
      <w:b/>
      <w:iCs/>
      <w:szCs w:val="22"/>
    </w:rPr>
  </w:style>
  <w:style w:type="paragraph" w:styleId="Heading7">
    <w:name w:val="heading 7"/>
    <w:basedOn w:val="Normal"/>
    <w:next w:val="Normal"/>
    <w:link w:val="Heading7Char"/>
    <w:uiPriority w:val="9"/>
    <w:unhideWhenUsed/>
    <w:qFormat/>
    <w:rsid w:val="009762DA"/>
    <w:pPr>
      <w:keepNext/>
      <w:keepLines/>
      <w:spacing w:before="200" w:line="276" w:lineRule="auto"/>
      <w:ind w:left="1296" w:hanging="1296"/>
      <w:outlineLvl w:val="6"/>
    </w:pPr>
    <w:rPr>
      <w:rFonts w:asciiTheme="majorHAnsi" w:eastAsiaTheme="majorEastAsia" w:hAnsiTheme="majorHAnsi" w:cstheme="majorBidi"/>
      <w:b/>
      <w:iCs/>
      <w:szCs w:val="22"/>
    </w:rPr>
  </w:style>
  <w:style w:type="paragraph" w:styleId="Heading8">
    <w:name w:val="heading 8"/>
    <w:basedOn w:val="Normal"/>
    <w:next w:val="Normal"/>
    <w:link w:val="Heading8Char"/>
    <w:uiPriority w:val="9"/>
    <w:unhideWhenUsed/>
    <w:qFormat/>
    <w:rsid w:val="009762D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62D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A39"/>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9762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762D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AB16D5"/>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9762DA"/>
    <w:rPr>
      <w:rFonts w:asciiTheme="majorHAnsi" w:eastAsiaTheme="majorEastAsia" w:hAnsiTheme="majorHAnsi" w:cstheme="majorBidi"/>
      <w:b/>
      <w:sz w:val="24"/>
    </w:rPr>
  </w:style>
  <w:style w:type="character" w:customStyle="1" w:styleId="Heading6Char">
    <w:name w:val="Heading 6 Char"/>
    <w:basedOn w:val="DefaultParagraphFont"/>
    <w:link w:val="Heading6"/>
    <w:uiPriority w:val="9"/>
    <w:rsid w:val="009762DA"/>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9762DA"/>
    <w:rPr>
      <w:rFonts w:asciiTheme="majorHAnsi" w:eastAsiaTheme="majorEastAsia" w:hAnsiTheme="majorHAnsi" w:cstheme="majorBidi"/>
      <w:b/>
      <w:iCs/>
      <w:sz w:val="24"/>
    </w:rPr>
  </w:style>
  <w:style w:type="character" w:customStyle="1" w:styleId="Heading8Char">
    <w:name w:val="Heading 8 Char"/>
    <w:basedOn w:val="DefaultParagraphFont"/>
    <w:link w:val="Heading8"/>
    <w:uiPriority w:val="9"/>
    <w:rsid w:val="009762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62DA"/>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DC0A39"/>
    <w:pPr>
      <w:jc w:val="both"/>
    </w:pPr>
    <w:rPr>
      <w:rFonts w:ascii="Arial" w:hAnsi="Arial" w:cs="Arial"/>
      <w:b/>
      <w:sz w:val="22"/>
      <w:szCs w:val="22"/>
      <w:lang w:val="sr-Latn-CS"/>
    </w:rPr>
  </w:style>
  <w:style w:type="character" w:customStyle="1" w:styleId="BodyTextChar">
    <w:name w:val="Body Text Char"/>
    <w:basedOn w:val="DefaultParagraphFont"/>
    <w:link w:val="BodyText"/>
    <w:rsid w:val="00DC0A39"/>
    <w:rPr>
      <w:rFonts w:ascii="Arial" w:eastAsia="Times New Roman" w:hAnsi="Arial" w:cs="Arial"/>
      <w:b/>
      <w:lang w:val="sr-Latn-CS"/>
    </w:rPr>
  </w:style>
  <w:style w:type="paragraph" w:styleId="Header">
    <w:name w:val="header"/>
    <w:basedOn w:val="Normal"/>
    <w:link w:val="HeaderChar"/>
    <w:uiPriority w:val="99"/>
    <w:unhideWhenUsed/>
    <w:rsid w:val="00DC0A39"/>
    <w:pPr>
      <w:tabs>
        <w:tab w:val="center" w:pos="4680"/>
        <w:tab w:val="right" w:pos="9360"/>
      </w:tabs>
    </w:pPr>
  </w:style>
  <w:style w:type="character" w:customStyle="1" w:styleId="HeaderChar">
    <w:name w:val="Header Char"/>
    <w:basedOn w:val="DefaultParagraphFont"/>
    <w:link w:val="Header"/>
    <w:uiPriority w:val="99"/>
    <w:rsid w:val="00DC0A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0A39"/>
    <w:pPr>
      <w:tabs>
        <w:tab w:val="center" w:pos="4680"/>
        <w:tab w:val="right" w:pos="9360"/>
      </w:tabs>
    </w:pPr>
  </w:style>
  <w:style w:type="character" w:customStyle="1" w:styleId="FooterChar">
    <w:name w:val="Footer Char"/>
    <w:basedOn w:val="DefaultParagraphFont"/>
    <w:link w:val="Footer"/>
    <w:uiPriority w:val="99"/>
    <w:rsid w:val="00DC0A39"/>
    <w:rPr>
      <w:rFonts w:ascii="Times New Roman" w:eastAsia="Times New Roman" w:hAnsi="Times New Roman" w:cs="Times New Roman"/>
      <w:sz w:val="24"/>
      <w:szCs w:val="24"/>
    </w:rPr>
  </w:style>
  <w:style w:type="paragraph" w:styleId="ListParagraph">
    <w:name w:val="List Paragraph"/>
    <w:basedOn w:val="Normal"/>
    <w:uiPriority w:val="34"/>
    <w:qFormat/>
    <w:rsid w:val="00DC0A39"/>
    <w:pPr>
      <w:ind w:left="720"/>
      <w:contextualSpacing/>
    </w:pPr>
  </w:style>
  <w:style w:type="table" w:styleId="TableGrid">
    <w:name w:val="Table Grid"/>
    <w:basedOn w:val="TableNormal"/>
    <w:uiPriority w:val="59"/>
    <w:rsid w:val="00DC0A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074AC2"/>
    <w:pPr>
      <w:spacing w:after="120"/>
      <w:ind w:left="360"/>
    </w:pPr>
  </w:style>
  <w:style w:type="character" w:customStyle="1" w:styleId="BodyTextIndentChar">
    <w:name w:val="Body Text Indent Char"/>
    <w:basedOn w:val="DefaultParagraphFont"/>
    <w:link w:val="BodyTextIndent"/>
    <w:rsid w:val="00074AC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AB16D5"/>
    <w:pPr>
      <w:spacing w:after="120"/>
    </w:pPr>
    <w:rPr>
      <w:sz w:val="16"/>
      <w:szCs w:val="16"/>
    </w:rPr>
  </w:style>
  <w:style w:type="character" w:customStyle="1" w:styleId="BodyText3Char">
    <w:name w:val="Body Text 3 Char"/>
    <w:basedOn w:val="DefaultParagraphFont"/>
    <w:link w:val="BodyText3"/>
    <w:uiPriority w:val="99"/>
    <w:semiHidden/>
    <w:rsid w:val="00AB16D5"/>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282012"/>
    <w:pPr>
      <w:spacing w:after="120" w:line="480" w:lineRule="auto"/>
      <w:ind w:left="283"/>
    </w:pPr>
  </w:style>
  <w:style w:type="character" w:customStyle="1" w:styleId="BodyTextIndent2Char">
    <w:name w:val="Body Text Indent 2 Char"/>
    <w:basedOn w:val="DefaultParagraphFont"/>
    <w:link w:val="BodyTextIndent2"/>
    <w:uiPriority w:val="99"/>
    <w:semiHidden/>
    <w:rsid w:val="00282012"/>
    <w:rPr>
      <w:rFonts w:ascii="Times New Roman" w:eastAsia="Times New Roman" w:hAnsi="Times New Roman" w:cs="Times New Roman"/>
      <w:sz w:val="24"/>
      <w:szCs w:val="24"/>
    </w:rPr>
  </w:style>
  <w:style w:type="paragraph" w:styleId="Caption">
    <w:name w:val="caption"/>
    <w:basedOn w:val="Normal"/>
    <w:next w:val="Normal"/>
    <w:qFormat/>
    <w:rsid w:val="009762DA"/>
    <w:pPr>
      <w:spacing w:before="120" w:after="120"/>
      <w:jc w:val="center"/>
    </w:pPr>
    <w:rPr>
      <w:rFonts w:ascii="Book Antiqua" w:hAnsi="Book Antiqua"/>
      <w:b/>
      <w:bCs/>
      <w:i/>
      <w:sz w:val="22"/>
      <w:szCs w:val="20"/>
    </w:rPr>
  </w:style>
  <w:style w:type="paragraph" w:customStyle="1" w:styleId="tabele">
    <w:name w:val="tabele"/>
    <w:basedOn w:val="Normal"/>
    <w:rsid w:val="009762DA"/>
    <w:pPr>
      <w:spacing w:before="40" w:after="40"/>
      <w:jc w:val="center"/>
    </w:pPr>
    <w:rPr>
      <w:rFonts w:ascii="Book Antiqua" w:hAnsi="Book Antiqua"/>
      <w:sz w:val="20"/>
      <w:lang w:val="sr-Latn-CS"/>
    </w:rPr>
  </w:style>
  <w:style w:type="paragraph" w:styleId="Title">
    <w:name w:val="Title"/>
    <w:basedOn w:val="Normal"/>
    <w:next w:val="Normal"/>
    <w:link w:val="TitleChar"/>
    <w:qFormat/>
    <w:rsid w:val="009762DA"/>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val="sl-SI" w:eastAsia="nb-NO"/>
    </w:rPr>
  </w:style>
  <w:style w:type="character" w:customStyle="1" w:styleId="TitleChar">
    <w:name w:val="Title Char"/>
    <w:basedOn w:val="DefaultParagraphFont"/>
    <w:link w:val="Title"/>
    <w:rsid w:val="009762DA"/>
    <w:rPr>
      <w:rFonts w:asciiTheme="majorHAnsi" w:eastAsiaTheme="majorEastAsia" w:hAnsiTheme="majorHAnsi" w:cstheme="majorBidi"/>
      <w:color w:val="17365D" w:themeColor="text2" w:themeShade="BF"/>
      <w:spacing w:val="5"/>
      <w:kern w:val="28"/>
      <w:sz w:val="52"/>
      <w:szCs w:val="52"/>
      <w:lang w:val="sl-SI" w:eastAsia="nb-NO"/>
    </w:rPr>
  </w:style>
  <w:style w:type="character" w:customStyle="1" w:styleId="BalloonTextChar">
    <w:name w:val="Balloon Text Char"/>
    <w:basedOn w:val="DefaultParagraphFont"/>
    <w:link w:val="BalloonText"/>
    <w:uiPriority w:val="99"/>
    <w:semiHidden/>
    <w:rsid w:val="009762DA"/>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9762DA"/>
    <w:rPr>
      <w:rFonts w:ascii="Tahoma" w:eastAsiaTheme="minorEastAsia" w:hAnsi="Tahoma" w:cs="Tahoma"/>
      <w:sz w:val="16"/>
      <w:szCs w:val="16"/>
    </w:rPr>
  </w:style>
  <w:style w:type="paragraph" w:styleId="TOCHeading">
    <w:name w:val="TOC Heading"/>
    <w:basedOn w:val="Heading1"/>
    <w:next w:val="Normal"/>
    <w:uiPriority w:val="39"/>
    <w:unhideWhenUsed/>
    <w:qFormat/>
    <w:rsid w:val="009762DA"/>
    <w:pPr>
      <w:keepLines/>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rsid w:val="009762DA"/>
    <w:pPr>
      <w:spacing w:after="100" w:line="276" w:lineRule="auto"/>
      <w:ind w:left="22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9762DA"/>
    <w:rPr>
      <w:color w:val="0000FF" w:themeColor="hyperlink"/>
      <w:u w:val="single"/>
    </w:rPr>
  </w:style>
  <w:style w:type="character" w:customStyle="1" w:styleId="CommentTextChar">
    <w:name w:val="Comment Text Char"/>
    <w:basedOn w:val="DefaultParagraphFont"/>
    <w:link w:val="CommentText"/>
    <w:uiPriority w:val="99"/>
    <w:semiHidden/>
    <w:rsid w:val="009762DA"/>
    <w:rPr>
      <w:rFonts w:eastAsiaTheme="minorEastAsia"/>
      <w:sz w:val="20"/>
      <w:szCs w:val="20"/>
    </w:rPr>
  </w:style>
  <w:style w:type="paragraph" w:styleId="CommentText">
    <w:name w:val="annotation text"/>
    <w:basedOn w:val="Normal"/>
    <w:link w:val="CommentTextChar"/>
    <w:uiPriority w:val="99"/>
    <w:semiHidden/>
    <w:unhideWhenUsed/>
    <w:rsid w:val="009762DA"/>
    <w:pPr>
      <w:spacing w:after="200"/>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9762DA"/>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9762DA"/>
    <w:rPr>
      <w:b/>
      <w:bCs/>
    </w:rPr>
  </w:style>
  <w:style w:type="paragraph" w:styleId="TOC1">
    <w:name w:val="toc 1"/>
    <w:basedOn w:val="Normal"/>
    <w:next w:val="Normal"/>
    <w:autoRedefine/>
    <w:uiPriority w:val="39"/>
    <w:unhideWhenUsed/>
    <w:rsid w:val="009762DA"/>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9762DA"/>
    <w:pPr>
      <w:spacing w:after="100" w:line="276" w:lineRule="auto"/>
      <w:ind w:left="440"/>
    </w:pPr>
    <w:rPr>
      <w:rFonts w:asciiTheme="minorHAnsi" w:eastAsiaTheme="minorEastAsia" w:hAnsiTheme="minorHAnsi" w:cstheme="minorBidi"/>
      <w:sz w:val="22"/>
      <w:szCs w:val="22"/>
    </w:rPr>
  </w:style>
  <w:style w:type="paragraph" w:styleId="NormalWeb">
    <w:name w:val="Normal (Web)"/>
    <w:basedOn w:val="Normal"/>
    <w:uiPriority w:val="99"/>
    <w:unhideWhenUsed/>
    <w:rsid w:val="009762DA"/>
    <w:rPr>
      <w:rFonts w:eastAsiaTheme="minorHAnsi"/>
    </w:rPr>
  </w:style>
  <w:style w:type="paragraph" w:customStyle="1" w:styleId="Default">
    <w:name w:val="Default"/>
    <w:uiPriority w:val="99"/>
    <w:rsid w:val="009762DA"/>
    <w:pPr>
      <w:widowControl w:val="0"/>
      <w:autoSpaceDE w:val="0"/>
      <w:autoSpaceDN w:val="0"/>
      <w:adjustRightInd w:val="0"/>
      <w:spacing w:after="0" w:line="240" w:lineRule="auto"/>
    </w:pPr>
    <w:rPr>
      <w:rFonts w:ascii="Calibri" w:eastAsia="Times New Roman" w:hAnsi="Calibri" w:cs="Calibri"/>
      <w:color w:val="000000"/>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8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iksic.me/javna-rasprava-na-nacrt-prostorno-urbanistickog-plana-opstin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C278F-8765-4FE8-8095-3BB408F9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16774</Words>
  <Characters>95614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vesna.vujacic</dc:creator>
  <cp:lastModifiedBy>Momcilo Vujovic</cp:lastModifiedBy>
  <cp:revision>2</cp:revision>
  <dcterms:created xsi:type="dcterms:W3CDTF">2015-05-12T07:54:00Z</dcterms:created>
  <dcterms:modified xsi:type="dcterms:W3CDTF">2015-05-12T07:54:00Z</dcterms:modified>
</cp:coreProperties>
</file>