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82" w:rsidRPr="009D407D" w:rsidRDefault="00517682" w:rsidP="002F720D">
      <w:pPr>
        <w:spacing w:line="240" w:lineRule="auto"/>
        <w:outlineLvl w:val="0"/>
        <w:rPr>
          <w:rFonts w:cs="Calibri"/>
          <w:noProof/>
        </w:rPr>
      </w:pPr>
    </w:p>
    <w:p w:rsidR="00517682" w:rsidRPr="009D407D" w:rsidRDefault="00FE2E63" w:rsidP="002F720D">
      <w:pPr>
        <w:spacing w:line="240" w:lineRule="auto"/>
        <w:rPr>
          <w:rFonts w:cs="Calibri"/>
          <w:szCs w:val="20"/>
        </w:rPr>
      </w:pPr>
      <w:r w:rsidRPr="009D407D">
        <w:rPr>
          <w:rFonts w:cs="Calibri"/>
          <w:noProof/>
          <w:lang w:val="sr-Latn-CS" w:eastAsia="sr-Latn-CS"/>
        </w:rPr>
        <w:drawing>
          <wp:anchor distT="0" distB="0" distL="114300" distR="114300" simplePos="0" relativeHeight="251650048" behindDoc="1" locked="0" layoutInCell="1" allowOverlap="1">
            <wp:simplePos x="0" y="0"/>
            <wp:positionH relativeFrom="column">
              <wp:posOffset>2479675</wp:posOffset>
            </wp:positionH>
            <wp:positionV relativeFrom="paragraph">
              <wp:posOffset>-484505</wp:posOffset>
            </wp:positionV>
            <wp:extent cx="823595" cy="902335"/>
            <wp:effectExtent l="19050" t="0" r="0" b="0"/>
            <wp:wrapTight wrapText="bothSides">
              <wp:wrapPolygon edited="0">
                <wp:start x="-500" y="0"/>
                <wp:lineTo x="-500" y="20977"/>
                <wp:lineTo x="21483" y="20977"/>
                <wp:lineTo x="21483" y="0"/>
                <wp:lineTo x="-500" y="0"/>
              </wp:wrapPolygon>
            </wp:wrapTight>
            <wp:docPr id="3" name="Picture 42"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dministrator/Desktop/1095339371.jpg"/>
                    <pic:cNvPicPr>
                      <a:picLocks noChangeAspect="1" noChangeArrowheads="1"/>
                    </pic:cNvPicPr>
                  </pic:nvPicPr>
                  <pic:blipFill>
                    <a:blip r:embed="rId8" cstate="print"/>
                    <a:srcRect/>
                    <a:stretch>
                      <a:fillRect/>
                    </a:stretch>
                  </pic:blipFill>
                  <pic:spPr bwMode="auto">
                    <a:xfrm>
                      <a:off x="0" y="0"/>
                      <a:ext cx="823595" cy="902335"/>
                    </a:xfrm>
                    <a:prstGeom prst="rect">
                      <a:avLst/>
                    </a:prstGeom>
                    <a:noFill/>
                    <a:ln w="9525">
                      <a:noFill/>
                      <a:miter lim="800000"/>
                      <a:headEnd/>
                      <a:tailEnd/>
                    </a:ln>
                  </pic:spPr>
                </pic:pic>
              </a:graphicData>
            </a:graphic>
          </wp:anchor>
        </w:drawing>
      </w:r>
    </w:p>
    <w:p w:rsidR="00517682" w:rsidRPr="009D407D" w:rsidRDefault="00517682" w:rsidP="002F720D">
      <w:pPr>
        <w:spacing w:line="240" w:lineRule="auto"/>
        <w:outlineLvl w:val="0"/>
        <w:rPr>
          <w:rFonts w:cs="Calibri"/>
          <w:b/>
          <w:bCs/>
          <w:sz w:val="28"/>
          <w:szCs w:val="28"/>
        </w:rPr>
      </w:pPr>
    </w:p>
    <w:p w:rsidR="00517682" w:rsidRPr="009D79A6" w:rsidRDefault="00517682" w:rsidP="009D79A6">
      <w:pPr>
        <w:jc w:val="center"/>
        <w:rPr>
          <w:b/>
          <w:sz w:val="40"/>
        </w:rPr>
      </w:pPr>
      <w:bookmarkStart w:id="0" w:name="_Toc389040615"/>
      <w:bookmarkStart w:id="1" w:name="_Toc389040933"/>
      <w:bookmarkStart w:id="2" w:name="_Toc389125615"/>
      <w:bookmarkStart w:id="3" w:name="_Toc389125806"/>
      <w:r w:rsidRPr="009D79A6">
        <w:rPr>
          <w:b/>
          <w:sz w:val="40"/>
        </w:rPr>
        <w:t>CRNA GORA</w:t>
      </w:r>
      <w:bookmarkEnd w:id="0"/>
      <w:bookmarkEnd w:id="1"/>
      <w:bookmarkEnd w:id="2"/>
      <w:bookmarkEnd w:id="3"/>
    </w:p>
    <w:p w:rsidR="00517682" w:rsidRDefault="00517682" w:rsidP="009D79A6">
      <w:pPr>
        <w:jc w:val="center"/>
        <w:rPr>
          <w:b/>
          <w:sz w:val="40"/>
        </w:rPr>
      </w:pPr>
      <w:bookmarkStart w:id="4" w:name="_Toc389040616"/>
      <w:bookmarkStart w:id="5" w:name="_Toc389040934"/>
      <w:bookmarkStart w:id="6" w:name="_Toc389125616"/>
      <w:bookmarkStart w:id="7" w:name="_Toc389125807"/>
      <w:r w:rsidRPr="009D79A6">
        <w:rPr>
          <w:b/>
          <w:sz w:val="40"/>
        </w:rPr>
        <w:t>MINISTARSTVO FINANSIJA</w:t>
      </w:r>
      <w:bookmarkEnd w:id="4"/>
      <w:bookmarkEnd w:id="5"/>
      <w:bookmarkEnd w:id="6"/>
      <w:bookmarkEnd w:id="7"/>
    </w:p>
    <w:p w:rsidR="00307A14" w:rsidRPr="009D79A6" w:rsidRDefault="00307A14" w:rsidP="009D79A6">
      <w:pPr>
        <w:jc w:val="center"/>
        <w:rPr>
          <w:b/>
          <w:sz w:val="40"/>
        </w:rPr>
      </w:pPr>
    </w:p>
    <w:p w:rsidR="00517682" w:rsidRDefault="00517682" w:rsidP="009D79A6">
      <w:pPr>
        <w:jc w:val="center"/>
        <w:rPr>
          <w:b/>
          <w:sz w:val="28"/>
        </w:rPr>
      </w:pPr>
      <w:r w:rsidRPr="00307A14">
        <w:rPr>
          <w:b/>
          <w:sz w:val="28"/>
        </w:rPr>
        <w:t>Direktorat za ekonomsku politiku i razvoj</w:t>
      </w:r>
    </w:p>
    <w:p w:rsidR="00815204" w:rsidRDefault="00815204" w:rsidP="009D79A6">
      <w:pPr>
        <w:jc w:val="center"/>
        <w:rPr>
          <w:b/>
          <w:sz w:val="28"/>
        </w:rPr>
      </w:pPr>
    </w:p>
    <w:p w:rsidR="00815204" w:rsidRDefault="00815204" w:rsidP="009D79A6">
      <w:pPr>
        <w:jc w:val="center"/>
        <w:rPr>
          <w:b/>
          <w:sz w:val="28"/>
        </w:rPr>
      </w:pPr>
    </w:p>
    <w:p w:rsidR="00815204" w:rsidRDefault="00815204" w:rsidP="009D79A6">
      <w:pPr>
        <w:jc w:val="center"/>
        <w:rPr>
          <w:b/>
          <w:sz w:val="28"/>
        </w:rPr>
      </w:pPr>
    </w:p>
    <w:p w:rsidR="00517682" w:rsidRPr="009D407D" w:rsidRDefault="00517682" w:rsidP="009D79A6"/>
    <w:p w:rsidR="00517682" w:rsidRPr="009D407D" w:rsidRDefault="0051709E" w:rsidP="00815204">
      <w:pPr>
        <w:jc w:val="center"/>
      </w:pPr>
      <w:r w:rsidRPr="00007042">
        <w:rPr>
          <w:b/>
          <w:sz w:val="40"/>
          <w:szCs w:val="40"/>
        </w:rPr>
        <w:t>Proljećna</w:t>
      </w:r>
      <w:r w:rsidR="00517682" w:rsidRPr="00007042">
        <w:rPr>
          <w:b/>
          <w:sz w:val="40"/>
          <w:szCs w:val="40"/>
        </w:rPr>
        <w:t xml:space="preserve"> analiza makroekonomskih kreta</w:t>
      </w:r>
      <w:r w:rsidRPr="00007042">
        <w:rPr>
          <w:b/>
          <w:sz w:val="40"/>
          <w:szCs w:val="40"/>
        </w:rPr>
        <w:t>nja i strukturnih reformi - 2014</w:t>
      </w:r>
      <w:r w:rsidR="00517682" w:rsidRPr="00007042">
        <w:rPr>
          <w:b/>
          <w:sz w:val="40"/>
          <w:szCs w:val="40"/>
        </w:rPr>
        <w:t>.</w:t>
      </w:r>
    </w:p>
    <w:p w:rsidR="00517682" w:rsidRPr="009D407D" w:rsidRDefault="00517682" w:rsidP="009D79A6"/>
    <w:p w:rsidR="00517682" w:rsidRPr="009D407D" w:rsidRDefault="00517682" w:rsidP="009D79A6"/>
    <w:p w:rsidR="00517682" w:rsidRPr="009D407D" w:rsidRDefault="00517682" w:rsidP="009D79A6"/>
    <w:p w:rsidR="00517682" w:rsidRPr="009D407D" w:rsidRDefault="00517682" w:rsidP="009D79A6"/>
    <w:p w:rsidR="00517682" w:rsidRPr="009D407D" w:rsidRDefault="00517682" w:rsidP="009D79A6"/>
    <w:p w:rsidR="00517682" w:rsidRPr="009D407D" w:rsidRDefault="00517682" w:rsidP="009D79A6"/>
    <w:p w:rsidR="00AE2EA2" w:rsidRPr="009D407D" w:rsidRDefault="00AE2EA2" w:rsidP="009D79A6"/>
    <w:p w:rsidR="009D79A6" w:rsidRDefault="009D79A6" w:rsidP="009D79A6">
      <w:pPr>
        <w:jc w:val="center"/>
      </w:pPr>
    </w:p>
    <w:p w:rsidR="009D79A6" w:rsidRDefault="009D79A6" w:rsidP="009D79A6">
      <w:pPr>
        <w:jc w:val="center"/>
      </w:pPr>
    </w:p>
    <w:p w:rsidR="00517682" w:rsidRPr="009D407D" w:rsidRDefault="00654F0A" w:rsidP="009D79A6">
      <w:pPr>
        <w:jc w:val="center"/>
      </w:pPr>
      <w:r>
        <w:t>Jun</w:t>
      </w:r>
      <w:r w:rsidR="00517682" w:rsidRPr="009D407D">
        <w:t>, 201</w:t>
      </w:r>
      <w:r w:rsidR="0051709E">
        <w:t>4</w:t>
      </w:r>
      <w:r w:rsidR="00517682" w:rsidRPr="009D407D">
        <w:t>.</w:t>
      </w:r>
      <w:r w:rsidR="00517682" w:rsidRPr="009D407D">
        <w:br w:type="page"/>
      </w:r>
    </w:p>
    <w:p w:rsidR="00AE2EA2" w:rsidRPr="009D407D" w:rsidRDefault="00AE2EA2" w:rsidP="002F720D">
      <w:pPr>
        <w:spacing w:line="240" w:lineRule="auto"/>
        <w:rPr>
          <w:rFonts w:cs="Calibri"/>
        </w:rPr>
        <w:sectPr w:rsidR="00AE2EA2" w:rsidRPr="009D407D" w:rsidSect="00AE2EA2">
          <w:footerReference w:type="default" r:id="rId9"/>
          <w:pgSz w:w="11907" w:h="16839" w:code="9"/>
          <w:pgMar w:top="1440" w:right="1440" w:bottom="1440" w:left="1440" w:header="708" w:footer="708" w:gutter="0"/>
          <w:cols w:space="708"/>
          <w:docGrid w:linePitch="360"/>
        </w:sectPr>
      </w:pPr>
    </w:p>
    <w:sdt>
      <w:sdtPr>
        <w:id w:val="2077720798"/>
        <w:docPartObj>
          <w:docPartGallery w:val="Table of Contents"/>
          <w:docPartUnique/>
        </w:docPartObj>
      </w:sdtPr>
      <w:sdtContent>
        <w:p w:rsidR="008B1E97" w:rsidRDefault="005245F5" w:rsidP="00B66176">
          <w:pPr>
            <w:pStyle w:val="TOCHeading"/>
            <w:jc w:val="center"/>
            <w:rPr>
              <w:noProof/>
            </w:rPr>
          </w:pPr>
          <w:r w:rsidRPr="002E3C2D">
            <w:rPr>
              <w:rFonts w:asciiTheme="minorHAnsi" w:hAnsiTheme="minorHAnsi" w:cstheme="minorHAnsi"/>
              <w:b/>
              <w:color w:val="auto"/>
            </w:rPr>
            <w:t>Sadržaj:</w:t>
          </w:r>
          <w:r w:rsidR="004C2077">
            <w:fldChar w:fldCharType="begin"/>
          </w:r>
          <w:r w:rsidR="00B66176">
            <w:instrText xml:space="preserve"> TOC \o "1-4" \h \z \u </w:instrText>
          </w:r>
          <w:r w:rsidR="004C2077">
            <w:fldChar w:fldCharType="separate"/>
          </w:r>
        </w:p>
        <w:p w:rsidR="008B1E97" w:rsidRDefault="004C2077">
          <w:pPr>
            <w:pStyle w:val="TOC1"/>
            <w:tabs>
              <w:tab w:val="left" w:pos="440"/>
            </w:tabs>
            <w:rPr>
              <w:rFonts w:asciiTheme="minorHAnsi" w:eastAsiaTheme="minorEastAsia" w:hAnsiTheme="minorHAnsi" w:cstheme="minorBidi"/>
              <w:b w:val="0"/>
              <w:noProof/>
              <w:sz w:val="22"/>
              <w:szCs w:val="22"/>
            </w:rPr>
          </w:pPr>
          <w:hyperlink w:anchor="_Toc389745260" w:history="1">
            <w:r w:rsidR="008B1E97" w:rsidRPr="002A1A71">
              <w:rPr>
                <w:rStyle w:val="Hyperlink"/>
                <w:noProof/>
              </w:rPr>
              <w:t>1</w:t>
            </w:r>
            <w:r w:rsidR="008B1E97">
              <w:rPr>
                <w:rFonts w:asciiTheme="minorHAnsi" w:eastAsiaTheme="minorEastAsia" w:hAnsiTheme="minorHAnsi" w:cstheme="minorBidi"/>
                <w:b w:val="0"/>
                <w:noProof/>
                <w:sz w:val="22"/>
                <w:szCs w:val="22"/>
              </w:rPr>
              <w:tab/>
            </w:r>
            <w:r w:rsidR="008B1E97" w:rsidRPr="002A1A71">
              <w:rPr>
                <w:rStyle w:val="Hyperlink"/>
                <w:noProof/>
              </w:rPr>
              <w:t>UVOD I REZIME</w:t>
            </w:r>
            <w:r w:rsidR="008B1E97">
              <w:rPr>
                <w:noProof/>
                <w:webHidden/>
              </w:rPr>
              <w:tab/>
            </w:r>
            <w:r>
              <w:rPr>
                <w:noProof/>
                <w:webHidden/>
              </w:rPr>
              <w:fldChar w:fldCharType="begin"/>
            </w:r>
            <w:r w:rsidR="008B1E97">
              <w:rPr>
                <w:noProof/>
                <w:webHidden/>
              </w:rPr>
              <w:instrText xml:space="preserve"> PAGEREF _Toc389745260 \h </w:instrText>
            </w:r>
            <w:r>
              <w:rPr>
                <w:noProof/>
                <w:webHidden/>
              </w:rPr>
            </w:r>
            <w:r>
              <w:rPr>
                <w:noProof/>
                <w:webHidden/>
              </w:rPr>
              <w:fldChar w:fldCharType="separate"/>
            </w:r>
            <w:r w:rsidR="00B33D37">
              <w:rPr>
                <w:noProof/>
                <w:webHidden/>
              </w:rPr>
              <w:t>3</w:t>
            </w:r>
            <w:r>
              <w:rPr>
                <w:noProof/>
                <w:webHidden/>
              </w:rPr>
              <w:fldChar w:fldCharType="end"/>
            </w:r>
          </w:hyperlink>
        </w:p>
        <w:p w:rsidR="008B1E97" w:rsidRDefault="004C2077">
          <w:pPr>
            <w:pStyle w:val="TOC1"/>
            <w:tabs>
              <w:tab w:val="left" w:pos="440"/>
            </w:tabs>
            <w:rPr>
              <w:rFonts w:asciiTheme="minorHAnsi" w:eastAsiaTheme="minorEastAsia" w:hAnsiTheme="minorHAnsi" w:cstheme="minorBidi"/>
              <w:b w:val="0"/>
              <w:noProof/>
              <w:sz w:val="22"/>
              <w:szCs w:val="22"/>
            </w:rPr>
          </w:pPr>
          <w:hyperlink w:anchor="_Toc389745261" w:history="1">
            <w:r w:rsidR="008B1E97" w:rsidRPr="002A1A71">
              <w:rPr>
                <w:rStyle w:val="Hyperlink"/>
                <w:noProof/>
              </w:rPr>
              <w:t>2</w:t>
            </w:r>
            <w:r w:rsidR="008B1E97">
              <w:rPr>
                <w:rFonts w:asciiTheme="minorHAnsi" w:eastAsiaTheme="minorEastAsia" w:hAnsiTheme="minorHAnsi" w:cstheme="minorBidi"/>
                <w:b w:val="0"/>
                <w:noProof/>
                <w:sz w:val="22"/>
                <w:szCs w:val="22"/>
              </w:rPr>
              <w:tab/>
            </w:r>
            <w:r w:rsidR="008B1E97" w:rsidRPr="002A1A71">
              <w:rPr>
                <w:rStyle w:val="Hyperlink"/>
                <w:noProof/>
              </w:rPr>
              <w:t>MAKROEKONOMSKI TRENDOVI U PERIODU JANUAR-APRIL 2014.</w:t>
            </w:r>
            <w:r w:rsidR="008B1E97">
              <w:rPr>
                <w:noProof/>
                <w:webHidden/>
              </w:rPr>
              <w:tab/>
            </w:r>
            <w:r>
              <w:rPr>
                <w:noProof/>
                <w:webHidden/>
              </w:rPr>
              <w:fldChar w:fldCharType="begin"/>
            </w:r>
            <w:r w:rsidR="008B1E97">
              <w:rPr>
                <w:noProof/>
                <w:webHidden/>
              </w:rPr>
              <w:instrText xml:space="preserve"> PAGEREF _Toc389745261 \h </w:instrText>
            </w:r>
            <w:r>
              <w:rPr>
                <w:noProof/>
                <w:webHidden/>
              </w:rPr>
            </w:r>
            <w:r>
              <w:rPr>
                <w:noProof/>
                <w:webHidden/>
              </w:rPr>
              <w:fldChar w:fldCharType="separate"/>
            </w:r>
            <w:r w:rsidR="00B33D37">
              <w:rPr>
                <w:noProof/>
                <w:webHidden/>
              </w:rPr>
              <w:t>5</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62" w:history="1">
            <w:r w:rsidR="008B1E97" w:rsidRPr="002A1A71">
              <w:rPr>
                <w:rStyle w:val="Hyperlink"/>
                <w:noProof/>
              </w:rPr>
              <w:t>2.1</w:t>
            </w:r>
            <w:r w:rsidR="008B1E97">
              <w:rPr>
                <w:rFonts w:asciiTheme="minorHAnsi" w:eastAsiaTheme="minorEastAsia" w:hAnsiTheme="minorHAnsi" w:cstheme="minorBidi"/>
                <w:noProof/>
                <w:sz w:val="22"/>
                <w:szCs w:val="22"/>
                <w:lang w:val="en-US"/>
              </w:rPr>
              <w:tab/>
            </w:r>
            <w:r w:rsidR="008B1E97" w:rsidRPr="002A1A71">
              <w:rPr>
                <w:rStyle w:val="Hyperlink"/>
                <w:noProof/>
              </w:rPr>
              <w:t>MEĐUNARODNO OKRUŽENJE</w:t>
            </w:r>
            <w:r w:rsidR="008B1E97">
              <w:rPr>
                <w:noProof/>
                <w:webHidden/>
              </w:rPr>
              <w:tab/>
            </w:r>
            <w:r>
              <w:rPr>
                <w:noProof/>
                <w:webHidden/>
              </w:rPr>
              <w:fldChar w:fldCharType="begin"/>
            </w:r>
            <w:r w:rsidR="008B1E97">
              <w:rPr>
                <w:noProof/>
                <w:webHidden/>
              </w:rPr>
              <w:instrText xml:space="preserve"> PAGEREF _Toc389745262 \h </w:instrText>
            </w:r>
            <w:r>
              <w:rPr>
                <w:noProof/>
                <w:webHidden/>
              </w:rPr>
            </w:r>
            <w:r>
              <w:rPr>
                <w:noProof/>
                <w:webHidden/>
              </w:rPr>
              <w:fldChar w:fldCharType="separate"/>
            </w:r>
            <w:r w:rsidR="00B33D37">
              <w:rPr>
                <w:noProof/>
                <w:webHidden/>
              </w:rPr>
              <w:t>5</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63" w:history="1">
            <w:r w:rsidR="008B1E97" w:rsidRPr="002A1A71">
              <w:rPr>
                <w:rStyle w:val="Hyperlink"/>
                <w:noProof/>
              </w:rPr>
              <w:t>2.2</w:t>
            </w:r>
            <w:r w:rsidR="008B1E97">
              <w:rPr>
                <w:rFonts w:asciiTheme="minorHAnsi" w:eastAsiaTheme="minorEastAsia" w:hAnsiTheme="minorHAnsi" w:cstheme="minorBidi"/>
                <w:noProof/>
                <w:sz w:val="22"/>
                <w:szCs w:val="22"/>
                <w:lang w:val="en-US"/>
              </w:rPr>
              <w:tab/>
            </w:r>
            <w:r w:rsidR="008B1E97" w:rsidRPr="002A1A71">
              <w:rPr>
                <w:rStyle w:val="Hyperlink"/>
                <w:noProof/>
              </w:rPr>
              <w:t>REALNI SEKTOR</w:t>
            </w:r>
            <w:r w:rsidR="008B1E97">
              <w:rPr>
                <w:noProof/>
                <w:webHidden/>
              </w:rPr>
              <w:tab/>
            </w:r>
            <w:r>
              <w:rPr>
                <w:noProof/>
                <w:webHidden/>
              </w:rPr>
              <w:fldChar w:fldCharType="begin"/>
            </w:r>
            <w:r w:rsidR="008B1E97">
              <w:rPr>
                <w:noProof/>
                <w:webHidden/>
              </w:rPr>
              <w:instrText xml:space="preserve"> PAGEREF _Toc389745263 \h </w:instrText>
            </w:r>
            <w:r>
              <w:rPr>
                <w:noProof/>
                <w:webHidden/>
              </w:rPr>
            </w:r>
            <w:r>
              <w:rPr>
                <w:noProof/>
                <w:webHidden/>
              </w:rPr>
              <w:fldChar w:fldCharType="separate"/>
            </w:r>
            <w:r w:rsidR="00B33D37">
              <w:rPr>
                <w:noProof/>
                <w:webHidden/>
              </w:rPr>
              <w:t>6</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64" w:history="1">
            <w:r w:rsidR="008B1E97" w:rsidRPr="002A1A71">
              <w:rPr>
                <w:rStyle w:val="Hyperlink"/>
                <w:noProof/>
              </w:rPr>
              <w:t>2.2.1</w:t>
            </w:r>
            <w:r w:rsidR="008B1E97">
              <w:rPr>
                <w:rFonts w:asciiTheme="minorHAnsi" w:eastAsiaTheme="minorEastAsia" w:hAnsiTheme="minorHAnsi" w:cstheme="minorBidi"/>
                <w:noProof/>
                <w:sz w:val="22"/>
              </w:rPr>
              <w:tab/>
            </w:r>
            <w:r w:rsidR="008B1E97" w:rsidRPr="002A1A71">
              <w:rPr>
                <w:rStyle w:val="Hyperlink"/>
                <w:noProof/>
              </w:rPr>
              <w:t>Bruto domaći proizvod u prvom kvartalu 2014. godine</w:t>
            </w:r>
            <w:r w:rsidR="008B1E97">
              <w:rPr>
                <w:noProof/>
                <w:webHidden/>
              </w:rPr>
              <w:tab/>
            </w:r>
            <w:r>
              <w:rPr>
                <w:noProof/>
                <w:webHidden/>
              </w:rPr>
              <w:fldChar w:fldCharType="begin"/>
            </w:r>
            <w:r w:rsidR="008B1E97">
              <w:rPr>
                <w:noProof/>
                <w:webHidden/>
              </w:rPr>
              <w:instrText xml:space="preserve"> PAGEREF _Toc389745264 \h </w:instrText>
            </w:r>
            <w:r>
              <w:rPr>
                <w:noProof/>
                <w:webHidden/>
              </w:rPr>
            </w:r>
            <w:r>
              <w:rPr>
                <w:noProof/>
                <w:webHidden/>
              </w:rPr>
              <w:fldChar w:fldCharType="separate"/>
            </w:r>
            <w:r w:rsidR="00B33D37">
              <w:rPr>
                <w:noProof/>
                <w:webHidden/>
              </w:rPr>
              <w:t>6</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65" w:history="1">
            <w:r w:rsidR="008B1E97" w:rsidRPr="002A1A71">
              <w:rPr>
                <w:rStyle w:val="Hyperlink"/>
                <w:noProof/>
              </w:rPr>
              <w:t>2.2.1.1</w:t>
            </w:r>
            <w:r w:rsidR="008B1E97">
              <w:rPr>
                <w:rFonts w:asciiTheme="minorHAnsi" w:eastAsiaTheme="minorEastAsia" w:hAnsiTheme="minorHAnsi" w:cstheme="minorBidi"/>
                <w:noProof/>
                <w:sz w:val="22"/>
              </w:rPr>
              <w:tab/>
            </w:r>
            <w:r w:rsidR="008B1E97" w:rsidRPr="002A1A71">
              <w:rPr>
                <w:rStyle w:val="Hyperlink"/>
                <w:noProof/>
              </w:rPr>
              <w:t>Turizam</w:t>
            </w:r>
            <w:r w:rsidR="008B1E97">
              <w:rPr>
                <w:noProof/>
                <w:webHidden/>
              </w:rPr>
              <w:tab/>
            </w:r>
            <w:r>
              <w:rPr>
                <w:noProof/>
                <w:webHidden/>
              </w:rPr>
              <w:fldChar w:fldCharType="begin"/>
            </w:r>
            <w:r w:rsidR="008B1E97">
              <w:rPr>
                <w:noProof/>
                <w:webHidden/>
              </w:rPr>
              <w:instrText xml:space="preserve"> PAGEREF _Toc389745265 \h </w:instrText>
            </w:r>
            <w:r>
              <w:rPr>
                <w:noProof/>
                <w:webHidden/>
              </w:rPr>
            </w:r>
            <w:r>
              <w:rPr>
                <w:noProof/>
                <w:webHidden/>
              </w:rPr>
              <w:fldChar w:fldCharType="separate"/>
            </w:r>
            <w:r w:rsidR="00B33D37">
              <w:rPr>
                <w:noProof/>
                <w:webHidden/>
              </w:rPr>
              <w:t>6</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66" w:history="1">
            <w:r w:rsidR="008B1E97" w:rsidRPr="002A1A71">
              <w:rPr>
                <w:rStyle w:val="Hyperlink"/>
                <w:noProof/>
              </w:rPr>
              <w:t>2.2.1.2</w:t>
            </w:r>
            <w:r w:rsidR="008B1E97">
              <w:rPr>
                <w:rFonts w:asciiTheme="minorHAnsi" w:eastAsiaTheme="minorEastAsia" w:hAnsiTheme="minorHAnsi" w:cstheme="minorBidi"/>
                <w:noProof/>
                <w:sz w:val="22"/>
              </w:rPr>
              <w:tab/>
            </w:r>
            <w:r w:rsidR="008B1E97" w:rsidRPr="002A1A71">
              <w:rPr>
                <w:rStyle w:val="Hyperlink"/>
                <w:noProof/>
              </w:rPr>
              <w:t>Industrijska proizvodnja</w:t>
            </w:r>
            <w:r w:rsidR="008B1E97">
              <w:rPr>
                <w:noProof/>
                <w:webHidden/>
              </w:rPr>
              <w:tab/>
            </w:r>
            <w:r>
              <w:rPr>
                <w:noProof/>
                <w:webHidden/>
              </w:rPr>
              <w:fldChar w:fldCharType="begin"/>
            </w:r>
            <w:r w:rsidR="008B1E97">
              <w:rPr>
                <w:noProof/>
                <w:webHidden/>
              </w:rPr>
              <w:instrText xml:space="preserve"> PAGEREF _Toc389745266 \h </w:instrText>
            </w:r>
            <w:r>
              <w:rPr>
                <w:noProof/>
                <w:webHidden/>
              </w:rPr>
            </w:r>
            <w:r>
              <w:rPr>
                <w:noProof/>
                <w:webHidden/>
              </w:rPr>
              <w:fldChar w:fldCharType="separate"/>
            </w:r>
            <w:r w:rsidR="00B33D37">
              <w:rPr>
                <w:noProof/>
                <w:webHidden/>
              </w:rPr>
              <w:t>6</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67" w:history="1">
            <w:r w:rsidR="008B1E97" w:rsidRPr="002A1A71">
              <w:rPr>
                <w:rStyle w:val="Hyperlink"/>
                <w:noProof/>
              </w:rPr>
              <w:t>2.2.1.3</w:t>
            </w:r>
            <w:r w:rsidR="008B1E97">
              <w:rPr>
                <w:rFonts w:asciiTheme="minorHAnsi" w:eastAsiaTheme="minorEastAsia" w:hAnsiTheme="minorHAnsi" w:cstheme="minorBidi"/>
                <w:noProof/>
                <w:sz w:val="22"/>
              </w:rPr>
              <w:tab/>
            </w:r>
            <w:r w:rsidR="008B1E97" w:rsidRPr="002A1A71">
              <w:rPr>
                <w:rStyle w:val="Hyperlink"/>
                <w:noProof/>
              </w:rPr>
              <w:t>Poljoprivreda</w:t>
            </w:r>
            <w:r w:rsidR="008B1E97">
              <w:rPr>
                <w:noProof/>
                <w:webHidden/>
              </w:rPr>
              <w:tab/>
            </w:r>
            <w:r>
              <w:rPr>
                <w:noProof/>
                <w:webHidden/>
              </w:rPr>
              <w:fldChar w:fldCharType="begin"/>
            </w:r>
            <w:r w:rsidR="008B1E97">
              <w:rPr>
                <w:noProof/>
                <w:webHidden/>
              </w:rPr>
              <w:instrText xml:space="preserve"> PAGEREF _Toc389745267 \h </w:instrText>
            </w:r>
            <w:r>
              <w:rPr>
                <w:noProof/>
                <w:webHidden/>
              </w:rPr>
            </w:r>
            <w:r>
              <w:rPr>
                <w:noProof/>
                <w:webHidden/>
              </w:rPr>
              <w:fldChar w:fldCharType="separate"/>
            </w:r>
            <w:r w:rsidR="00B33D37">
              <w:rPr>
                <w:noProof/>
                <w:webHidden/>
              </w:rPr>
              <w:t>7</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68" w:history="1">
            <w:r w:rsidR="008B1E97" w:rsidRPr="002A1A71">
              <w:rPr>
                <w:rStyle w:val="Hyperlink"/>
                <w:noProof/>
              </w:rPr>
              <w:t>2.2.1.4</w:t>
            </w:r>
            <w:r w:rsidR="008B1E97">
              <w:rPr>
                <w:rFonts w:asciiTheme="minorHAnsi" w:eastAsiaTheme="minorEastAsia" w:hAnsiTheme="minorHAnsi" w:cstheme="minorBidi"/>
                <w:noProof/>
                <w:sz w:val="22"/>
              </w:rPr>
              <w:tab/>
            </w:r>
            <w:r w:rsidR="008B1E97" w:rsidRPr="002A1A71">
              <w:rPr>
                <w:rStyle w:val="Hyperlink"/>
                <w:noProof/>
              </w:rPr>
              <w:t>Trgovina</w:t>
            </w:r>
            <w:r w:rsidR="008B1E97">
              <w:rPr>
                <w:noProof/>
                <w:webHidden/>
              </w:rPr>
              <w:tab/>
            </w:r>
            <w:r>
              <w:rPr>
                <w:noProof/>
                <w:webHidden/>
              </w:rPr>
              <w:fldChar w:fldCharType="begin"/>
            </w:r>
            <w:r w:rsidR="008B1E97">
              <w:rPr>
                <w:noProof/>
                <w:webHidden/>
              </w:rPr>
              <w:instrText xml:space="preserve"> PAGEREF _Toc389745268 \h </w:instrText>
            </w:r>
            <w:r>
              <w:rPr>
                <w:noProof/>
                <w:webHidden/>
              </w:rPr>
            </w:r>
            <w:r>
              <w:rPr>
                <w:noProof/>
                <w:webHidden/>
              </w:rPr>
              <w:fldChar w:fldCharType="separate"/>
            </w:r>
            <w:r w:rsidR="00B33D37">
              <w:rPr>
                <w:noProof/>
                <w:webHidden/>
              </w:rPr>
              <w:t>7</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69" w:history="1">
            <w:r w:rsidR="008B1E97" w:rsidRPr="002A1A71">
              <w:rPr>
                <w:rStyle w:val="Hyperlink"/>
                <w:noProof/>
              </w:rPr>
              <w:t>2.2.1.5</w:t>
            </w:r>
            <w:r w:rsidR="008B1E97">
              <w:rPr>
                <w:rFonts w:asciiTheme="minorHAnsi" w:eastAsiaTheme="minorEastAsia" w:hAnsiTheme="minorHAnsi" w:cstheme="minorBidi"/>
                <w:noProof/>
                <w:sz w:val="22"/>
              </w:rPr>
              <w:tab/>
            </w:r>
            <w:r w:rsidR="008B1E97" w:rsidRPr="002A1A71">
              <w:rPr>
                <w:rStyle w:val="Hyperlink"/>
                <w:noProof/>
              </w:rPr>
              <w:t>Saobraćaj</w:t>
            </w:r>
            <w:r w:rsidR="008B1E97">
              <w:rPr>
                <w:noProof/>
                <w:webHidden/>
              </w:rPr>
              <w:tab/>
            </w:r>
            <w:r>
              <w:rPr>
                <w:noProof/>
                <w:webHidden/>
              </w:rPr>
              <w:fldChar w:fldCharType="begin"/>
            </w:r>
            <w:r w:rsidR="008B1E97">
              <w:rPr>
                <w:noProof/>
                <w:webHidden/>
              </w:rPr>
              <w:instrText xml:space="preserve"> PAGEREF _Toc389745269 \h </w:instrText>
            </w:r>
            <w:r>
              <w:rPr>
                <w:noProof/>
                <w:webHidden/>
              </w:rPr>
            </w:r>
            <w:r>
              <w:rPr>
                <w:noProof/>
                <w:webHidden/>
              </w:rPr>
              <w:fldChar w:fldCharType="separate"/>
            </w:r>
            <w:r w:rsidR="00B33D37">
              <w:rPr>
                <w:noProof/>
                <w:webHidden/>
              </w:rPr>
              <w:t>7</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70" w:history="1">
            <w:r w:rsidR="008B1E97" w:rsidRPr="002A1A71">
              <w:rPr>
                <w:rStyle w:val="Hyperlink"/>
                <w:noProof/>
              </w:rPr>
              <w:t>2.2.1.6</w:t>
            </w:r>
            <w:r w:rsidR="008B1E97">
              <w:rPr>
                <w:rFonts w:asciiTheme="minorHAnsi" w:eastAsiaTheme="minorEastAsia" w:hAnsiTheme="minorHAnsi" w:cstheme="minorBidi"/>
                <w:noProof/>
                <w:sz w:val="22"/>
              </w:rPr>
              <w:tab/>
            </w:r>
            <w:r w:rsidR="008B1E97" w:rsidRPr="002A1A71">
              <w:rPr>
                <w:rStyle w:val="Hyperlink"/>
                <w:noProof/>
              </w:rPr>
              <w:t>Građevinarstvo</w:t>
            </w:r>
            <w:r w:rsidR="008B1E97">
              <w:rPr>
                <w:noProof/>
                <w:webHidden/>
              </w:rPr>
              <w:tab/>
            </w:r>
            <w:r>
              <w:rPr>
                <w:noProof/>
                <w:webHidden/>
              </w:rPr>
              <w:fldChar w:fldCharType="begin"/>
            </w:r>
            <w:r w:rsidR="008B1E97">
              <w:rPr>
                <w:noProof/>
                <w:webHidden/>
              </w:rPr>
              <w:instrText xml:space="preserve"> PAGEREF _Toc389745270 \h </w:instrText>
            </w:r>
            <w:r>
              <w:rPr>
                <w:noProof/>
                <w:webHidden/>
              </w:rPr>
            </w:r>
            <w:r>
              <w:rPr>
                <w:noProof/>
                <w:webHidden/>
              </w:rPr>
              <w:fldChar w:fldCharType="separate"/>
            </w:r>
            <w:r w:rsidR="00B33D37">
              <w:rPr>
                <w:noProof/>
                <w:webHidden/>
              </w:rPr>
              <w:t>8</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71" w:history="1">
            <w:r w:rsidR="008B1E97" w:rsidRPr="002A1A71">
              <w:rPr>
                <w:rStyle w:val="Hyperlink"/>
                <w:noProof/>
              </w:rPr>
              <w:t>2.2.2</w:t>
            </w:r>
            <w:r w:rsidR="008B1E97">
              <w:rPr>
                <w:rFonts w:asciiTheme="minorHAnsi" w:eastAsiaTheme="minorEastAsia" w:hAnsiTheme="minorHAnsi" w:cstheme="minorBidi"/>
                <w:noProof/>
                <w:sz w:val="22"/>
              </w:rPr>
              <w:tab/>
            </w:r>
            <w:r w:rsidR="008B1E97" w:rsidRPr="002A1A71">
              <w:rPr>
                <w:rStyle w:val="Hyperlink"/>
                <w:noProof/>
              </w:rPr>
              <w:t>Inflacija</w:t>
            </w:r>
            <w:r w:rsidR="008B1E97">
              <w:rPr>
                <w:noProof/>
                <w:webHidden/>
              </w:rPr>
              <w:tab/>
            </w:r>
            <w:r>
              <w:rPr>
                <w:noProof/>
                <w:webHidden/>
              </w:rPr>
              <w:fldChar w:fldCharType="begin"/>
            </w:r>
            <w:r w:rsidR="008B1E97">
              <w:rPr>
                <w:noProof/>
                <w:webHidden/>
              </w:rPr>
              <w:instrText xml:space="preserve"> PAGEREF _Toc389745271 \h </w:instrText>
            </w:r>
            <w:r>
              <w:rPr>
                <w:noProof/>
                <w:webHidden/>
              </w:rPr>
            </w:r>
            <w:r>
              <w:rPr>
                <w:noProof/>
                <w:webHidden/>
              </w:rPr>
              <w:fldChar w:fldCharType="separate"/>
            </w:r>
            <w:r w:rsidR="00B33D37">
              <w:rPr>
                <w:noProof/>
                <w:webHidden/>
              </w:rPr>
              <w:t>8</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72" w:history="1">
            <w:r w:rsidR="008B1E97" w:rsidRPr="002A1A71">
              <w:rPr>
                <w:rStyle w:val="Hyperlink"/>
                <w:noProof/>
              </w:rPr>
              <w:t>2.2.3</w:t>
            </w:r>
            <w:r w:rsidR="008B1E97">
              <w:rPr>
                <w:rFonts w:asciiTheme="minorHAnsi" w:eastAsiaTheme="minorEastAsia" w:hAnsiTheme="minorHAnsi" w:cstheme="minorBidi"/>
                <w:noProof/>
                <w:sz w:val="22"/>
              </w:rPr>
              <w:tab/>
            </w:r>
            <w:r w:rsidR="008B1E97" w:rsidRPr="002A1A71">
              <w:rPr>
                <w:rStyle w:val="Hyperlink"/>
                <w:noProof/>
              </w:rPr>
              <w:t>Zaposlenost i zarade</w:t>
            </w:r>
            <w:r w:rsidR="008B1E97">
              <w:rPr>
                <w:noProof/>
                <w:webHidden/>
              </w:rPr>
              <w:tab/>
            </w:r>
            <w:r>
              <w:rPr>
                <w:noProof/>
                <w:webHidden/>
              </w:rPr>
              <w:fldChar w:fldCharType="begin"/>
            </w:r>
            <w:r w:rsidR="008B1E97">
              <w:rPr>
                <w:noProof/>
                <w:webHidden/>
              </w:rPr>
              <w:instrText xml:space="preserve"> PAGEREF _Toc389745272 \h </w:instrText>
            </w:r>
            <w:r>
              <w:rPr>
                <w:noProof/>
                <w:webHidden/>
              </w:rPr>
            </w:r>
            <w:r>
              <w:rPr>
                <w:noProof/>
                <w:webHidden/>
              </w:rPr>
              <w:fldChar w:fldCharType="separate"/>
            </w:r>
            <w:r w:rsidR="00B33D37">
              <w:rPr>
                <w:noProof/>
                <w:webHidden/>
              </w:rPr>
              <w:t>9</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73" w:history="1">
            <w:r w:rsidR="008B1E97" w:rsidRPr="002A1A71">
              <w:rPr>
                <w:rStyle w:val="Hyperlink"/>
                <w:noProof/>
              </w:rPr>
              <w:t>2.3</w:t>
            </w:r>
            <w:r w:rsidR="008B1E97">
              <w:rPr>
                <w:rFonts w:asciiTheme="minorHAnsi" w:eastAsiaTheme="minorEastAsia" w:hAnsiTheme="minorHAnsi" w:cstheme="minorBidi"/>
                <w:noProof/>
                <w:sz w:val="22"/>
                <w:szCs w:val="22"/>
                <w:lang w:val="en-US"/>
              </w:rPr>
              <w:tab/>
            </w:r>
            <w:r w:rsidR="008B1E97" w:rsidRPr="002A1A71">
              <w:rPr>
                <w:rStyle w:val="Hyperlink"/>
                <w:noProof/>
              </w:rPr>
              <w:t>BANKARSKI SEKTOR I LIKVIDNOST</w:t>
            </w:r>
            <w:r w:rsidR="008B1E97">
              <w:rPr>
                <w:noProof/>
                <w:webHidden/>
              </w:rPr>
              <w:tab/>
            </w:r>
            <w:r>
              <w:rPr>
                <w:noProof/>
                <w:webHidden/>
              </w:rPr>
              <w:fldChar w:fldCharType="begin"/>
            </w:r>
            <w:r w:rsidR="008B1E97">
              <w:rPr>
                <w:noProof/>
                <w:webHidden/>
              </w:rPr>
              <w:instrText xml:space="preserve"> PAGEREF _Toc389745273 \h </w:instrText>
            </w:r>
            <w:r>
              <w:rPr>
                <w:noProof/>
                <w:webHidden/>
              </w:rPr>
            </w:r>
            <w:r>
              <w:rPr>
                <w:noProof/>
                <w:webHidden/>
              </w:rPr>
              <w:fldChar w:fldCharType="separate"/>
            </w:r>
            <w:r w:rsidR="00B33D37">
              <w:rPr>
                <w:noProof/>
                <w:webHidden/>
              </w:rPr>
              <w:t>10</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74" w:history="1">
            <w:r w:rsidR="008B1E97" w:rsidRPr="002A1A71">
              <w:rPr>
                <w:rStyle w:val="Hyperlink"/>
                <w:noProof/>
              </w:rPr>
              <w:t>2.4</w:t>
            </w:r>
            <w:r w:rsidR="008B1E97">
              <w:rPr>
                <w:rFonts w:asciiTheme="minorHAnsi" w:eastAsiaTheme="minorEastAsia" w:hAnsiTheme="minorHAnsi" w:cstheme="minorBidi"/>
                <w:noProof/>
                <w:sz w:val="22"/>
                <w:szCs w:val="22"/>
                <w:lang w:val="en-US"/>
              </w:rPr>
              <w:tab/>
            </w:r>
            <w:r w:rsidR="008B1E97" w:rsidRPr="002A1A71">
              <w:rPr>
                <w:rStyle w:val="Hyperlink"/>
                <w:noProof/>
              </w:rPr>
              <w:t>EKSTERNI SEKTOR</w:t>
            </w:r>
            <w:r w:rsidR="008B1E97">
              <w:rPr>
                <w:noProof/>
                <w:webHidden/>
              </w:rPr>
              <w:tab/>
            </w:r>
            <w:r>
              <w:rPr>
                <w:noProof/>
                <w:webHidden/>
              </w:rPr>
              <w:fldChar w:fldCharType="begin"/>
            </w:r>
            <w:r w:rsidR="008B1E97">
              <w:rPr>
                <w:noProof/>
                <w:webHidden/>
              </w:rPr>
              <w:instrText xml:space="preserve"> PAGEREF _Toc389745274 \h </w:instrText>
            </w:r>
            <w:r>
              <w:rPr>
                <w:noProof/>
                <w:webHidden/>
              </w:rPr>
            </w:r>
            <w:r>
              <w:rPr>
                <w:noProof/>
                <w:webHidden/>
              </w:rPr>
              <w:fldChar w:fldCharType="separate"/>
            </w:r>
            <w:r w:rsidR="00B33D37">
              <w:rPr>
                <w:noProof/>
                <w:webHidden/>
              </w:rPr>
              <w:t>11</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75" w:history="1">
            <w:r w:rsidR="008B1E97" w:rsidRPr="002A1A71">
              <w:rPr>
                <w:rStyle w:val="Hyperlink"/>
                <w:noProof/>
              </w:rPr>
              <w:t>2.4.1</w:t>
            </w:r>
            <w:r w:rsidR="008B1E97">
              <w:rPr>
                <w:rFonts w:asciiTheme="minorHAnsi" w:eastAsiaTheme="minorEastAsia" w:hAnsiTheme="minorHAnsi" w:cstheme="minorBidi"/>
                <w:noProof/>
                <w:sz w:val="22"/>
              </w:rPr>
              <w:tab/>
            </w:r>
            <w:r w:rsidR="008B1E97" w:rsidRPr="002A1A71">
              <w:rPr>
                <w:rStyle w:val="Hyperlink"/>
                <w:noProof/>
              </w:rPr>
              <w:t>Platni bilans i spoljnotrgovinska razmjena</w:t>
            </w:r>
            <w:r w:rsidR="008B1E97">
              <w:rPr>
                <w:noProof/>
                <w:webHidden/>
              </w:rPr>
              <w:tab/>
            </w:r>
            <w:r>
              <w:rPr>
                <w:noProof/>
                <w:webHidden/>
              </w:rPr>
              <w:fldChar w:fldCharType="begin"/>
            </w:r>
            <w:r w:rsidR="008B1E97">
              <w:rPr>
                <w:noProof/>
                <w:webHidden/>
              </w:rPr>
              <w:instrText xml:space="preserve"> PAGEREF _Toc389745275 \h </w:instrText>
            </w:r>
            <w:r>
              <w:rPr>
                <w:noProof/>
                <w:webHidden/>
              </w:rPr>
            </w:r>
            <w:r>
              <w:rPr>
                <w:noProof/>
                <w:webHidden/>
              </w:rPr>
              <w:fldChar w:fldCharType="separate"/>
            </w:r>
            <w:r w:rsidR="00B33D37">
              <w:rPr>
                <w:noProof/>
                <w:webHidden/>
              </w:rPr>
              <w:t>11</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76" w:history="1">
            <w:r w:rsidR="008B1E97" w:rsidRPr="002A1A71">
              <w:rPr>
                <w:rStyle w:val="Hyperlink"/>
                <w:noProof/>
              </w:rPr>
              <w:t>2.4.2</w:t>
            </w:r>
            <w:r w:rsidR="008B1E97">
              <w:rPr>
                <w:rFonts w:asciiTheme="minorHAnsi" w:eastAsiaTheme="minorEastAsia" w:hAnsiTheme="minorHAnsi" w:cstheme="minorBidi"/>
                <w:noProof/>
                <w:sz w:val="22"/>
              </w:rPr>
              <w:tab/>
            </w:r>
            <w:r w:rsidR="008B1E97" w:rsidRPr="002A1A71">
              <w:rPr>
                <w:rStyle w:val="Hyperlink"/>
                <w:noProof/>
              </w:rPr>
              <w:t>Strane direktne investicije</w:t>
            </w:r>
            <w:r w:rsidR="008B1E97">
              <w:rPr>
                <w:noProof/>
                <w:webHidden/>
              </w:rPr>
              <w:tab/>
            </w:r>
            <w:r>
              <w:rPr>
                <w:noProof/>
                <w:webHidden/>
              </w:rPr>
              <w:fldChar w:fldCharType="begin"/>
            </w:r>
            <w:r w:rsidR="008B1E97">
              <w:rPr>
                <w:noProof/>
                <w:webHidden/>
              </w:rPr>
              <w:instrText xml:space="preserve"> PAGEREF _Toc389745276 \h </w:instrText>
            </w:r>
            <w:r>
              <w:rPr>
                <w:noProof/>
                <w:webHidden/>
              </w:rPr>
            </w:r>
            <w:r>
              <w:rPr>
                <w:noProof/>
                <w:webHidden/>
              </w:rPr>
              <w:fldChar w:fldCharType="separate"/>
            </w:r>
            <w:r w:rsidR="00B33D37">
              <w:rPr>
                <w:noProof/>
                <w:webHidden/>
              </w:rPr>
              <w:t>12</w:t>
            </w:r>
            <w:r>
              <w:rPr>
                <w:noProof/>
                <w:webHidden/>
              </w:rPr>
              <w:fldChar w:fldCharType="end"/>
            </w:r>
          </w:hyperlink>
        </w:p>
        <w:p w:rsidR="008B1E97" w:rsidRDefault="004C2077">
          <w:pPr>
            <w:pStyle w:val="TOC1"/>
            <w:tabs>
              <w:tab w:val="left" w:pos="440"/>
            </w:tabs>
            <w:rPr>
              <w:rFonts w:asciiTheme="minorHAnsi" w:eastAsiaTheme="minorEastAsia" w:hAnsiTheme="minorHAnsi" w:cstheme="minorBidi"/>
              <w:b w:val="0"/>
              <w:noProof/>
              <w:sz w:val="22"/>
              <w:szCs w:val="22"/>
            </w:rPr>
          </w:pPr>
          <w:hyperlink w:anchor="_Toc389745277" w:history="1">
            <w:r w:rsidR="008B1E97" w:rsidRPr="002A1A71">
              <w:rPr>
                <w:rStyle w:val="Hyperlink"/>
                <w:noProof/>
              </w:rPr>
              <w:t>3</w:t>
            </w:r>
            <w:r w:rsidR="008B1E97">
              <w:rPr>
                <w:rFonts w:asciiTheme="minorHAnsi" w:eastAsiaTheme="minorEastAsia" w:hAnsiTheme="minorHAnsi" w:cstheme="minorBidi"/>
                <w:b w:val="0"/>
                <w:noProof/>
                <w:sz w:val="22"/>
                <w:szCs w:val="22"/>
              </w:rPr>
              <w:tab/>
            </w:r>
            <w:r w:rsidR="008B1E97" w:rsidRPr="002A1A71">
              <w:rPr>
                <w:rStyle w:val="Hyperlink"/>
                <w:noProof/>
              </w:rPr>
              <w:t>JAVNE FINANSIJE</w:t>
            </w:r>
            <w:r w:rsidR="008B1E97">
              <w:rPr>
                <w:noProof/>
                <w:webHidden/>
              </w:rPr>
              <w:tab/>
            </w:r>
            <w:r>
              <w:rPr>
                <w:noProof/>
                <w:webHidden/>
              </w:rPr>
              <w:fldChar w:fldCharType="begin"/>
            </w:r>
            <w:r w:rsidR="008B1E97">
              <w:rPr>
                <w:noProof/>
                <w:webHidden/>
              </w:rPr>
              <w:instrText xml:space="preserve"> PAGEREF _Toc389745277 \h </w:instrText>
            </w:r>
            <w:r>
              <w:rPr>
                <w:noProof/>
                <w:webHidden/>
              </w:rPr>
            </w:r>
            <w:r>
              <w:rPr>
                <w:noProof/>
                <w:webHidden/>
              </w:rPr>
              <w:fldChar w:fldCharType="separate"/>
            </w:r>
            <w:r w:rsidR="00B33D37">
              <w:rPr>
                <w:noProof/>
                <w:webHidden/>
              </w:rPr>
              <w:t>14</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78" w:history="1">
            <w:r w:rsidR="008B1E97" w:rsidRPr="002A1A71">
              <w:rPr>
                <w:rStyle w:val="Hyperlink"/>
                <w:noProof/>
              </w:rPr>
              <w:t>3.1</w:t>
            </w:r>
            <w:r w:rsidR="008B1E97">
              <w:rPr>
                <w:rFonts w:asciiTheme="minorHAnsi" w:eastAsiaTheme="minorEastAsia" w:hAnsiTheme="minorHAnsi" w:cstheme="minorBidi"/>
                <w:noProof/>
                <w:sz w:val="22"/>
                <w:szCs w:val="22"/>
                <w:lang w:val="en-US"/>
              </w:rPr>
              <w:tab/>
            </w:r>
            <w:r w:rsidR="008B1E97" w:rsidRPr="002A1A71">
              <w:rPr>
                <w:rStyle w:val="Hyperlink"/>
                <w:noProof/>
              </w:rPr>
              <w:t>JAVNE FINANSIJE U 2013. GODINI</w:t>
            </w:r>
            <w:r w:rsidR="008B1E97">
              <w:rPr>
                <w:noProof/>
                <w:webHidden/>
              </w:rPr>
              <w:tab/>
            </w:r>
            <w:r>
              <w:rPr>
                <w:noProof/>
                <w:webHidden/>
              </w:rPr>
              <w:fldChar w:fldCharType="begin"/>
            </w:r>
            <w:r w:rsidR="008B1E97">
              <w:rPr>
                <w:noProof/>
                <w:webHidden/>
              </w:rPr>
              <w:instrText xml:space="preserve"> PAGEREF _Toc389745278 \h </w:instrText>
            </w:r>
            <w:r>
              <w:rPr>
                <w:noProof/>
                <w:webHidden/>
              </w:rPr>
            </w:r>
            <w:r>
              <w:rPr>
                <w:noProof/>
                <w:webHidden/>
              </w:rPr>
              <w:fldChar w:fldCharType="separate"/>
            </w:r>
            <w:r w:rsidR="00B33D37">
              <w:rPr>
                <w:noProof/>
                <w:webHidden/>
              </w:rPr>
              <w:t>14</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79" w:history="1">
            <w:r w:rsidR="008B1E97" w:rsidRPr="002A1A71">
              <w:rPr>
                <w:rStyle w:val="Hyperlink"/>
                <w:noProof/>
              </w:rPr>
              <w:t>3.2</w:t>
            </w:r>
            <w:r w:rsidR="008B1E97">
              <w:rPr>
                <w:rFonts w:asciiTheme="minorHAnsi" w:eastAsiaTheme="minorEastAsia" w:hAnsiTheme="minorHAnsi" w:cstheme="minorBidi"/>
                <w:noProof/>
                <w:sz w:val="22"/>
                <w:szCs w:val="22"/>
                <w:lang w:val="en-US"/>
              </w:rPr>
              <w:tab/>
            </w:r>
            <w:r w:rsidR="008B1E97" w:rsidRPr="002A1A71">
              <w:rPr>
                <w:rStyle w:val="Hyperlink"/>
                <w:noProof/>
              </w:rPr>
              <w:t>Budžet Crne Gore u 2014.godini</w:t>
            </w:r>
            <w:r w:rsidR="008B1E97">
              <w:rPr>
                <w:noProof/>
                <w:webHidden/>
              </w:rPr>
              <w:tab/>
            </w:r>
            <w:r>
              <w:rPr>
                <w:noProof/>
                <w:webHidden/>
              </w:rPr>
              <w:fldChar w:fldCharType="begin"/>
            </w:r>
            <w:r w:rsidR="008B1E97">
              <w:rPr>
                <w:noProof/>
                <w:webHidden/>
              </w:rPr>
              <w:instrText xml:space="preserve"> PAGEREF _Toc389745279 \h </w:instrText>
            </w:r>
            <w:r>
              <w:rPr>
                <w:noProof/>
                <w:webHidden/>
              </w:rPr>
            </w:r>
            <w:r>
              <w:rPr>
                <w:noProof/>
                <w:webHidden/>
              </w:rPr>
              <w:fldChar w:fldCharType="separate"/>
            </w:r>
            <w:r w:rsidR="00B33D37">
              <w:rPr>
                <w:noProof/>
                <w:webHidden/>
              </w:rPr>
              <w:t>15</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80" w:history="1">
            <w:r w:rsidR="008B1E97" w:rsidRPr="002A1A71">
              <w:rPr>
                <w:rStyle w:val="Hyperlink"/>
                <w:noProof/>
              </w:rPr>
              <w:t>3.2.1</w:t>
            </w:r>
            <w:r w:rsidR="008B1E97">
              <w:rPr>
                <w:rFonts w:asciiTheme="minorHAnsi" w:eastAsiaTheme="minorEastAsia" w:hAnsiTheme="minorHAnsi" w:cstheme="minorBidi"/>
                <w:noProof/>
                <w:sz w:val="22"/>
              </w:rPr>
              <w:tab/>
            </w:r>
            <w:r w:rsidR="008B1E97" w:rsidRPr="002A1A71">
              <w:rPr>
                <w:rStyle w:val="Hyperlink"/>
                <w:noProof/>
              </w:rPr>
              <w:t>Procjena Budžeta do kraja 2014. godine</w:t>
            </w:r>
            <w:r w:rsidR="008B1E97">
              <w:rPr>
                <w:noProof/>
                <w:webHidden/>
              </w:rPr>
              <w:tab/>
            </w:r>
            <w:r>
              <w:rPr>
                <w:noProof/>
                <w:webHidden/>
              </w:rPr>
              <w:fldChar w:fldCharType="begin"/>
            </w:r>
            <w:r w:rsidR="008B1E97">
              <w:rPr>
                <w:noProof/>
                <w:webHidden/>
              </w:rPr>
              <w:instrText xml:space="preserve"> PAGEREF _Toc389745280 \h </w:instrText>
            </w:r>
            <w:r>
              <w:rPr>
                <w:noProof/>
                <w:webHidden/>
              </w:rPr>
            </w:r>
            <w:r>
              <w:rPr>
                <w:noProof/>
                <w:webHidden/>
              </w:rPr>
              <w:fldChar w:fldCharType="separate"/>
            </w:r>
            <w:r w:rsidR="00B33D37">
              <w:rPr>
                <w:noProof/>
                <w:webHidden/>
              </w:rPr>
              <w:t>16</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81" w:history="1">
            <w:r w:rsidR="008B1E97" w:rsidRPr="002A1A71">
              <w:rPr>
                <w:rStyle w:val="Hyperlink"/>
                <w:noProof/>
              </w:rPr>
              <w:t>3.3</w:t>
            </w:r>
            <w:r w:rsidR="008B1E97">
              <w:rPr>
                <w:rFonts w:asciiTheme="minorHAnsi" w:eastAsiaTheme="minorEastAsia" w:hAnsiTheme="minorHAnsi" w:cstheme="minorBidi"/>
                <w:noProof/>
                <w:sz w:val="22"/>
                <w:szCs w:val="22"/>
                <w:lang w:val="en-US"/>
              </w:rPr>
              <w:tab/>
            </w:r>
            <w:r w:rsidR="008B1E97" w:rsidRPr="002A1A71">
              <w:rPr>
                <w:rStyle w:val="Hyperlink"/>
                <w:noProof/>
              </w:rPr>
              <w:t>DRŽAVNI DUG U 2014.GODINI</w:t>
            </w:r>
            <w:r w:rsidR="008B1E97">
              <w:rPr>
                <w:noProof/>
                <w:webHidden/>
              </w:rPr>
              <w:tab/>
            </w:r>
            <w:r>
              <w:rPr>
                <w:noProof/>
                <w:webHidden/>
              </w:rPr>
              <w:fldChar w:fldCharType="begin"/>
            </w:r>
            <w:r w:rsidR="008B1E97">
              <w:rPr>
                <w:noProof/>
                <w:webHidden/>
              </w:rPr>
              <w:instrText xml:space="preserve"> PAGEREF _Toc389745281 \h </w:instrText>
            </w:r>
            <w:r>
              <w:rPr>
                <w:noProof/>
                <w:webHidden/>
              </w:rPr>
            </w:r>
            <w:r>
              <w:rPr>
                <w:noProof/>
                <w:webHidden/>
              </w:rPr>
              <w:fldChar w:fldCharType="separate"/>
            </w:r>
            <w:r w:rsidR="00B33D37">
              <w:rPr>
                <w:noProof/>
                <w:webHidden/>
              </w:rPr>
              <w:t>17</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82" w:history="1">
            <w:r w:rsidR="008B1E97" w:rsidRPr="002A1A71">
              <w:rPr>
                <w:rStyle w:val="Hyperlink"/>
                <w:noProof/>
              </w:rPr>
              <w:t>3.4</w:t>
            </w:r>
            <w:r w:rsidR="008B1E97">
              <w:rPr>
                <w:rFonts w:asciiTheme="minorHAnsi" w:eastAsiaTheme="minorEastAsia" w:hAnsiTheme="minorHAnsi" w:cstheme="minorBidi"/>
                <w:noProof/>
                <w:sz w:val="22"/>
                <w:szCs w:val="22"/>
                <w:lang w:val="en-US"/>
              </w:rPr>
              <w:tab/>
            </w:r>
            <w:r w:rsidR="008B1E97" w:rsidRPr="002A1A71">
              <w:rPr>
                <w:rStyle w:val="Hyperlink"/>
                <w:noProof/>
              </w:rPr>
              <w:t>FISKALNI RIZICI U SREDNJEM ROKU</w:t>
            </w:r>
            <w:r w:rsidR="008B1E97">
              <w:rPr>
                <w:noProof/>
                <w:webHidden/>
              </w:rPr>
              <w:tab/>
            </w:r>
            <w:r>
              <w:rPr>
                <w:noProof/>
                <w:webHidden/>
              </w:rPr>
              <w:fldChar w:fldCharType="begin"/>
            </w:r>
            <w:r w:rsidR="008B1E97">
              <w:rPr>
                <w:noProof/>
                <w:webHidden/>
              </w:rPr>
              <w:instrText xml:space="preserve"> PAGEREF _Toc389745282 \h </w:instrText>
            </w:r>
            <w:r>
              <w:rPr>
                <w:noProof/>
                <w:webHidden/>
              </w:rPr>
            </w:r>
            <w:r>
              <w:rPr>
                <w:noProof/>
                <w:webHidden/>
              </w:rPr>
              <w:fldChar w:fldCharType="separate"/>
            </w:r>
            <w:r w:rsidR="00B33D37">
              <w:rPr>
                <w:noProof/>
                <w:webHidden/>
              </w:rPr>
              <w:t>18</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83" w:history="1">
            <w:r w:rsidR="008B1E97" w:rsidRPr="002A1A71">
              <w:rPr>
                <w:rStyle w:val="Hyperlink"/>
                <w:noProof/>
              </w:rPr>
              <w:t>3.5</w:t>
            </w:r>
            <w:r w:rsidR="008B1E97">
              <w:rPr>
                <w:rFonts w:asciiTheme="minorHAnsi" w:eastAsiaTheme="minorEastAsia" w:hAnsiTheme="minorHAnsi" w:cstheme="minorBidi"/>
                <w:noProof/>
                <w:sz w:val="22"/>
                <w:szCs w:val="22"/>
                <w:lang w:val="en-US"/>
              </w:rPr>
              <w:tab/>
            </w:r>
            <w:r w:rsidR="008B1E97" w:rsidRPr="002A1A71">
              <w:rPr>
                <w:rStyle w:val="Hyperlink"/>
                <w:noProof/>
              </w:rPr>
              <w:t>KVALITET JAVNIH FINANSIJA I INSTITUCIONALNI OKVIR</w:t>
            </w:r>
            <w:r w:rsidR="008B1E97">
              <w:rPr>
                <w:noProof/>
                <w:webHidden/>
              </w:rPr>
              <w:tab/>
            </w:r>
            <w:r>
              <w:rPr>
                <w:noProof/>
                <w:webHidden/>
              </w:rPr>
              <w:fldChar w:fldCharType="begin"/>
            </w:r>
            <w:r w:rsidR="008B1E97">
              <w:rPr>
                <w:noProof/>
                <w:webHidden/>
              </w:rPr>
              <w:instrText xml:space="preserve"> PAGEREF _Toc389745283 \h </w:instrText>
            </w:r>
            <w:r>
              <w:rPr>
                <w:noProof/>
                <w:webHidden/>
              </w:rPr>
            </w:r>
            <w:r>
              <w:rPr>
                <w:noProof/>
                <w:webHidden/>
              </w:rPr>
              <w:fldChar w:fldCharType="separate"/>
            </w:r>
            <w:r w:rsidR="00B33D37">
              <w:rPr>
                <w:noProof/>
                <w:webHidden/>
              </w:rPr>
              <w:t>19</w:t>
            </w:r>
            <w:r>
              <w:rPr>
                <w:noProof/>
                <w:webHidden/>
              </w:rPr>
              <w:fldChar w:fldCharType="end"/>
            </w:r>
          </w:hyperlink>
        </w:p>
        <w:p w:rsidR="008B1E97" w:rsidRDefault="004C2077">
          <w:pPr>
            <w:pStyle w:val="TOC1"/>
            <w:tabs>
              <w:tab w:val="left" w:pos="440"/>
            </w:tabs>
            <w:rPr>
              <w:rFonts w:asciiTheme="minorHAnsi" w:eastAsiaTheme="minorEastAsia" w:hAnsiTheme="minorHAnsi" w:cstheme="minorBidi"/>
              <w:b w:val="0"/>
              <w:noProof/>
              <w:sz w:val="22"/>
              <w:szCs w:val="22"/>
            </w:rPr>
          </w:pPr>
          <w:hyperlink w:anchor="_Toc389745284" w:history="1">
            <w:r w:rsidR="008B1E97" w:rsidRPr="002A1A71">
              <w:rPr>
                <w:rStyle w:val="Hyperlink"/>
                <w:noProof/>
              </w:rPr>
              <w:t>4</w:t>
            </w:r>
            <w:r w:rsidR="008B1E97">
              <w:rPr>
                <w:rFonts w:asciiTheme="minorHAnsi" w:eastAsiaTheme="minorEastAsia" w:hAnsiTheme="minorHAnsi" w:cstheme="minorBidi"/>
                <w:b w:val="0"/>
                <w:noProof/>
                <w:sz w:val="22"/>
                <w:szCs w:val="22"/>
              </w:rPr>
              <w:tab/>
            </w:r>
            <w:r w:rsidR="008B1E97" w:rsidRPr="002A1A71">
              <w:rPr>
                <w:rStyle w:val="Hyperlink"/>
                <w:noProof/>
              </w:rPr>
              <w:t>STRUKTURNE POLITIKE</w:t>
            </w:r>
            <w:r w:rsidR="008B1E97">
              <w:rPr>
                <w:noProof/>
                <w:webHidden/>
              </w:rPr>
              <w:tab/>
            </w:r>
            <w:r>
              <w:rPr>
                <w:noProof/>
                <w:webHidden/>
              </w:rPr>
              <w:fldChar w:fldCharType="begin"/>
            </w:r>
            <w:r w:rsidR="008B1E97">
              <w:rPr>
                <w:noProof/>
                <w:webHidden/>
              </w:rPr>
              <w:instrText xml:space="preserve"> PAGEREF _Toc389745284 \h </w:instrText>
            </w:r>
            <w:r>
              <w:rPr>
                <w:noProof/>
                <w:webHidden/>
              </w:rPr>
            </w:r>
            <w:r>
              <w:rPr>
                <w:noProof/>
                <w:webHidden/>
              </w:rPr>
              <w:fldChar w:fldCharType="separate"/>
            </w:r>
            <w:r w:rsidR="00B33D37">
              <w:rPr>
                <w:noProof/>
                <w:webHidden/>
              </w:rPr>
              <w:t>20</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85" w:history="1">
            <w:r w:rsidR="008B1E97" w:rsidRPr="002A1A71">
              <w:rPr>
                <w:rStyle w:val="Hyperlink"/>
                <w:noProof/>
              </w:rPr>
              <w:t>4.1</w:t>
            </w:r>
            <w:r w:rsidR="008B1E97">
              <w:rPr>
                <w:rFonts w:asciiTheme="minorHAnsi" w:eastAsiaTheme="minorEastAsia" w:hAnsiTheme="minorHAnsi" w:cstheme="minorBidi"/>
                <w:noProof/>
                <w:sz w:val="22"/>
                <w:szCs w:val="22"/>
                <w:lang w:val="en-US"/>
              </w:rPr>
              <w:tab/>
            </w:r>
            <w:r w:rsidR="008B1E97" w:rsidRPr="002A1A71">
              <w:rPr>
                <w:rStyle w:val="Hyperlink"/>
                <w:noProof/>
              </w:rPr>
              <w:t>SEKTOR PREDUZEĆA</w:t>
            </w:r>
            <w:r w:rsidR="008B1E97">
              <w:rPr>
                <w:noProof/>
                <w:webHidden/>
              </w:rPr>
              <w:tab/>
            </w:r>
            <w:r>
              <w:rPr>
                <w:noProof/>
                <w:webHidden/>
              </w:rPr>
              <w:fldChar w:fldCharType="begin"/>
            </w:r>
            <w:r w:rsidR="008B1E97">
              <w:rPr>
                <w:noProof/>
                <w:webHidden/>
              </w:rPr>
              <w:instrText xml:space="preserve"> PAGEREF _Toc389745285 \h </w:instrText>
            </w:r>
            <w:r>
              <w:rPr>
                <w:noProof/>
                <w:webHidden/>
              </w:rPr>
            </w:r>
            <w:r>
              <w:rPr>
                <w:noProof/>
                <w:webHidden/>
              </w:rPr>
              <w:fldChar w:fldCharType="separate"/>
            </w:r>
            <w:r w:rsidR="00B33D37">
              <w:rPr>
                <w:noProof/>
                <w:webHidden/>
              </w:rPr>
              <w:t>20</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86" w:history="1">
            <w:r w:rsidR="008B1E97" w:rsidRPr="002A1A71">
              <w:rPr>
                <w:rStyle w:val="Hyperlink"/>
                <w:noProof/>
              </w:rPr>
              <w:t>4.1.1</w:t>
            </w:r>
            <w:r w:rsidR="008B1E97">
              <w:rPr>
                <w:rFonts w:asciiTheme="minorHAnsi" w:eastAsiaTheme="minorEastAsia" w:hAnsiTheme="minorHAnsi" w:cstheme="minorBidi"/>
                <w:noProof/>
                <w:sz w:val="22"/>
              </w:rPr>
              <w:tab/>
            </w:r>
            <w:r w:rsidR="008B1E97" w:rsidRPr="002A1A71">
              <w:rPr>
                <w:rStyle w:val="Hyperlink"/>
                <w:noProof/>
              </w:rPr>
              <w:t>Privatizacija i javno-privatna partnerstva</w:t>
            </w:r>
            <w:r w:rsidR="008B1E97">
              <w:rPr>
                <w:noProof/>
                <w:webHidden/>
              </w:rPr>
              <w:tab/>
            </w:r>
            <w:r>
              <w:rPr>
                <w:noProof/>
                <w:webHidden/>
              </w:rPr>
              <w:fldChar w:fldCharType="begin"/>
            </w:r>
            <w:r w:rsidR="008B1E97">
              <w:rPr>
                <w:noProof/>
                <w:webHidden/>
              </w:rPr>
              <w:instrText xml:space="preserve"> PAGEREF _Toc389745286 \h </w:instrText>
            </w:r>
            <w:r>
              <w:rPr>
                <w:noProof/>
                <w:webHidden/>
              </w:rPr>
            </w:r>
            <w:r>
              <w:rPr>
                <w:noProof/>
                <w:webHidden/>
              </w:rPr>
              <w:fldChar w:fldCharType="separate"/>
            </w:r>
            <w:r w:rsidR="00B33D37">
              <w:rPr>
                <w:noProof/>
                <w:webHidden/>
              </w:rPr>
              <w:t>20</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87" w:history="1">
            <w:r w:rsidR="008B1E97" w:rsidRPr="002A1A71">
              <w:rPr>
                <w:rStyle w:val="Hyperlink"/>
                <w:noProof/>
              </w:rPr>
              <w:t>4.1.2</w:t>
            </w:r>
            <w:r w:rsidR="008B1E97">
              <w:rPr>
                <w:rFonts w:asciiTheme="minorHAnsi" w:eastAsiaTheme="minorEastAsia" w:hAnsiTheme="minorHAnsi" w:cstheme="minorBidi"/>
                <w:noProof/>
                <w:sz w:val="22"/>
              </w:rPr>
              <w:tab/>
            </w:r>
            <w:r w:rsidR="008B1E97" w:rsidRPr="002A1A71">
              <w:rPr>
                <w:rStyle w:val="Hyperlink"/>
                <w:noProof/>
              </w:rPr>
              <w:t>Biznis okruženje</w:t>
            </w:r>
            <w:r w:rsidR="008B1E97">
              <w:rPr>
                <w:noProof/>
                <w:webHidden/>
              </w:rPr>
              <w:tab/>
            </w:r>
            <w:r>
              <w:rPr>
                <w:noProof/>
                <w:webHidden/>
              </w:rPr>
              <w:fldChar w:fldCharType="begin"/>
            </w:r>
            <w:r w:rsidR="008B1E97">
              <w:rPr>
                <w:noProof/>
                <w:webHidden/>
              </w:rPr>
              <w:instrText xml:space="preserve"> PAGEREF _Toc389745287 \h </w:instrText>
            </w:r>
            <w:r>
              <w:rPr>
                <w:noProof/>
                <w:webHidden/>
              </w:rPr>
            </w:r>
            <w:r>
              <w:rPr>
                <w:noProof/>
                <w:webHidden/>
              </w:rPr>
              <w:fldChar w:fldCharType="separate"/>
            </w:r>
            <w:r w:rsidR="00B33D37">
              <w:rPr>
                <w:noProof/>
                <w:webHidden/>
              </w:rPr>
              <w:t>21</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88" w:history="1">
            <w:r w:rsidR="008B1E97" w:rsidRPr="002A1A71">
              <w:rPr>
                <w:rStyle w:val="Hyperlink"/>
                <w:noProof/>
              </w:rPr>
              <w:t>4.1.2.1</w:t>
            </w:r>
            <w:r w:rsidR="008B1E97">
              <w:rPr>
                <w:rFonts w:asciiTheme="minorHAnsi" w:eastAsiaTheme="minorEastAsia" w:hAnsiTheme="minorHAnsi" w:cstheme="minorBidi"/>
                <w:noProof/>
                <w:sz w:val="22"/>
              </w:rPr>
              <w:tab/>
            </w:r>
            <w:r w:rsidR="008B1E97" w:rsidRPr="002A1A71">
              <w:rPr>
                <w:rStyle w:val="Hyperlink"/>
                <w:noProof/>
              </w:rPr>
              <w:t>Poreska politika</w:t>
            </w:r>
            <w:r w:rsidR="008B1E97">
              <w:rPr>
                <w:noProof/>
                <w:webHidden/>
              </w:rPr>
              <w:tab/>
            </w:r>
            <w:r>
              <w:rPr>
                <w:noProof/>
                <w:webHidden/>
              </w:rPr>
              <w:fldChar w:fldCharType="begin"/>
            </w:r>
            <w:r w:rsidR="008B1E97">
              <w:rPr>
                <w:noProof/>
                <w:webHidden/>
              </w:rPr>
              <w:instrText xml:space="preserve"> PAGEREF _Toc389745288 \h </w:instrText>
            </w:r>
            <w:r>
              <w:rPr>
                <w:noProof/>
                <w:webHidden/>
              </w:rPr>
            </w:r>
            <w:r>
              <w:rPr>
                <w:noProof/>
                <w:webHidden/>
              </w:rPr>
              <w:fldChar w:fldCharType="separate"/>
            </w:r>
            <w:r w:rsidR="00B33D37">
              <w:rPr>
                <w:noProof/>
                <w:webHidden/>
              </w:rPr>
              <w:t>21</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89" w:history="1">
            <w:r w:rsidR="008B1E97" w:rsidRPr="002A1A71">
              <w:rPr>
                <w:rStyle w:val="Hyperlink"/>
                <w:noProof/>
              </w:rPr>
              <w:t>4.1.2.2</w:t>
            </w:r>
            <w:r w:rsidR="008B1E97">
              <w:rPr>
                <w:rFonts w:asciiTheme="minorHAnsi" w:eastAsiaTheme="minorEastAsia" w:hAnsiTheme="minorHAnsi" w:cstheme="minorBidi"/>
                <w:noProof/>
                <w:sz w:val="22"/>
              </w:rPr>
              <w:tab/>
            </w:r>
            <w:r w:rsidR="008B1E97" w:rsidRPr="002A1A71">
              <w:rPr>
                <w:rStyle w:val="Hyperlink"/>
                <w:noProof/>
              </w:rPr>
              <w:t>Unapređenje poslovnog ambijenta</w:t>
            </w:r>
            <w:r w:rsidR="008B1E97">
              <w:rPr>
                <w:noProof/>
                <w:webHidden/>
              </w:rPr>
              <w:tab/>
            </w:r>
            <w:r>
              <w:rPr>
                <w:noProof/>
                <w:webHidden/>
              </w:rPr>
              <w:fldChar w:fldCharType="begin"/>
            </w:r>
            <w:r w:rsidR="008B1E97">
              <w:rPr>
                <w:noProof/>
                <w:webHidden/>
              </w:rPr>
              <w:instrText xml:space="preserve"> PAGEREF _Toc389745289 \h </w:instrText>
            </w:r>
            <w:r>
              <w:rPr>
                <w:noProof/>
                <w:webHidden/>
              </w:rPr>
            </w:r>
            <w:r>
              <w:rPr>
                <w:noProof/>
                <w:webHidden/>
              </w:rPr>
              <w:fldChar w:fldCharType="separate"/>
            </w:r>
            <w:r w:rsidR="00B33D37">
              <w:rPr>
                <w:noProof/>
                <w:webHidden/>
              </w:rPr>
              <w:t>21</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90" w:history="1">
            <w:r w:rsidR="008B1E97" w:rsidRPr="002A1A71">
              <w:rPr>
                <w:rStyle w:val="Hyperlink"/>
                <w:noProof/>
              </w:rPr>
              <w:t>4.1.2.3</w:t>
            </w:r>
            <w:r w:rsidR="008B1E97">
              <w:rPr>
                <w:rFonts w:asciiTheme="minorHAnsi" w:eastAsiaTheme="minorEastAsia" w:hAnsiTheme="minorHAnsi" w:cstheme="minorBidi"/>
                <w:noProof/>
                <w:sz w:val="22"/>
              </w:rPr>
              <w:tab/>
            </w:r>
            <w:r w:rsidR="008B1E97" w:rsidRPr="002A1A71">
              <w:rPr>
                <w:rStyle w:val="Hyperlink"/>
                <w:noProof/>
              </w:rPr>
              <w:t>Sektor malih i srednjih preduzeća</w:t>
            </w:r>
            <w:r w:rsidR="008B1E97">
              <w:rPr>
                <w:noProof/>
                <w:webHidden/>
              </w:rPr>
              <w:tab/>
            </w:r>
            <w:r>
              <w:rPr>
                <w:noProof/>
                <w:webHidden/>
              </w:rPr>
              <w:fldChar w:fldCharType="begin"/>
            </w:r>
            <w:r w:rsidR="008B1E97">
              <w:rPr>
                <w:noProof/>
                <w:webHidden/>
              </w:rPr>
              <w:instrText xml:space="preserve"> PAGEREF _Toc389745290 \h </w:instrText>
            </w:r>
            <w:r>
              <w:rPr>
                <w:noProof/>
                <w:webHidden/>
              </w:rPr>
            </w:r>
            <w:r>
              <w:rPr>
                <w:noProof/>
                <w:webHidden/>
              </w:rPr>
              <w:fldChar w:fldCharType="separate"/>
            </w:r>
            <w:r w:rsidR="00B33D37">
              <w:rPr>
                <w:noProof/>
                <w:webHidden/>
              </w:rPr>
              <w:t>23</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91" w:history="1">
            <w:r w:rsidR="008B1E97" w:rsidRPr="002A1A71">
              <w:rPr>
                <w:rStyle w:val="Hyperlink"/>
                <w:rFonts w:cstheme="minorHAnsi"/>
                <w:noProof/>
              </w:rPr>
              <w:t>4.1.3</w:t>
            </w:r>
            <w:r w:rsidR="008B1E97">
              <w:rPr>
                <w:rFonts w:asciiTheme="minorHAnsi" w:eastAsiaTheme="minorEastAsia" w:hAnsiTheme="minorHAnsi" w:cstheme="minorBidi"/>
                <w:noProof/>
                <w:sz w:val="22"/>
              </w:rPr>
              <w:tab/>
            </w:r>
            <w:r w:rsidR="008B1E97" w:rsidRPr="002A1A71">
              <w:rPr>
                <w:rStyle w:val="Hyperlink"/>
                <w:noProof/>
              </w:rPr>
              <w:t>Mrežne industrije</w:t>
            </w:r>
            <w:r w:rsidR="008B1E97">
              <w:rPr>
                <w:noProof/>
                <w:webHidden/>
              </w:rPr>
              <w:tab/>
            </w:r>
            <w:r>
              <w:rPr>
                <w:noProof/>
                <w:webHidden/>
              </w:rPr>
              <w:fldChar w:fldCharType="begin"/>
            </w:r>
            <w:r w:rsidR="008B1E97">
              <w:rPr>
                <w:noProof/>
                <w:webHidden/>
              </w:rPr>
              <w:instrText xml:space="preserve"> PAGEREF _Toc389745291 \h </w:instrText>
            </w:r>
            <w:r>
              <w:rPr>
                <w:noProof/>
                <w:webHidden/>
              </w:rPr>
            </w:r>
            <w:r>
              <w:rPr>
                <w:noProof/>
                <w:webHidden/>
              </w:rPr>
              <w:fldChar w:fldCharType="separate"/>
            </w:r>
            <w:r w:rsidR="00B33D37">
              <w:rPr>
                <w:noProof/>
                <w:webHidden/>
              </w:rPr>
              <w:t>24</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92" w:history="1">
            <w:r w:rsidR="008B1E97" w:rsidRPr="002A1A71">
              <w:rPr>
                <w:rStyle w:val="Hyperlink"/>
                <w:noProof/>
              </w:rPr>
              <w:t>4.1.3.1</w:t>
            </w:r>
            <w:r w:rsidR="008B1E97">
              <w:rPr>
                <w:rFonts w:asciiTheme="minorHAnsi" w:eastAsiaTheme="minorEastAsia" w:hAnsiTheme="minorHAnsi" w:cstheme="minorBidi"/>
                <w:noProof/>
                <w:sz w:val="22"/>
              </w:rPr>
              <w:tab/>
            </w:r>
            <w:r w:rsidR="008B1E97" w:rsidRPr="002A1A71">
              <w:rPr>
                <w:rStyle w:val="Hyperlink"/>
                <w:noProof/>
              </w:rPr>
              <w:t>Energetika</w:t>
            </w:r>
            <w:r w:rsidR="008B1E97">
              <w:rPr>
                <w:noProof/>
                <w:webHidden/>
              </w:rPr>
              <w:tab/>
            </w:r>
            <w:r>
              <w:rPr>
                <w:noProof/>
                <w:webHidden/>
              </w:rPr>
              <w:fldChar w:fldCharType="begin"/>
            </w:r>
            <w:r w:rsidR="008B1E97">
              <w:rPr>
                <w:noProof/>
                <w:webHidden/>
              </w:rPr>
              <w:instrText xml:space="preserve"> PAGEREF _Toc389745292 \h </w:instrText>
            </w:r>
            <w:r>
              <w:rPr>
                <w:noProof/>
                <w:webHidden/>
              </w:rPr>
            </w:r>
            <w:r>
              <w:rPr>
                <w:noProof/>
                <w:webHidden/>
              </w:rPr>
              <w:fldChar w:fldCharType="separate"/>
            </w:r>
            <w:r w:rsidR="00B33D37">
              <w:rPr>
                <w:noProof/>
                <w:webHidden/>
              </w:rPr>
              <w:t>24</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93" w:history="1">
            <w:r w:rsidR="008B1E97" w:rsidRPr="002A1A71">
              <w:rPr>
                <w:rStyle w:val="Hyperlink"/>
                <w:noProof/>
              </w:rPr>
              <w:t>4.1.3.2</w:t>
            </w:r>
            <w:r w:rsidR="008B1E97">
              <w:rPr>
                <w:rFonts w:asciiTheme="minorHAnsi" w:eastAsiaTheme="minorEastAsia" w:hAnsiTheme="minorHAnsi" w:cstheme="minorBidi"/>
                <w:noProof/>
                <w:sz w:val="22"/>
              </w:rPr>
              <w:tab/>
            </w:r>
            <w:r w:rsidR="008B1E97" w:rsidRPr="002A1A71">
              <w:rPr>
                <w:rStyle w:val="Hyperlink"/>
                <w:noProof/>
              </w:rPr>
              <w:t>Transport</w:t>
            </w:r>
            <w:r w:rsidR="008B1E97">
              <w:rPr>
                <w:noProof/>
                <w:webHidden/>
              </w:rPr>
              <w:tab/>
            </w:r>
            <w:r>
              <w:rPr>
                <w:noProof/>
                <w:webHidden/>
              </w:rPr>
              <w:fldChar w:fldCharType="begin"/>
            </w:r>
            <w:r w:rsidR="008B1E97">
              <w:rPr>
                <w:noProof/>
                <w:webHidden/>
              </w:rPr>
              <w:instrText xml:space="preserve"> PAGEREF _Toc389745293 \h </w:instrText>
            </w:r>
            <w:r>
              <w:rPr>
                <w:noProof/>
                <w:webHidden/>
              </w:rPr>
            </w:r>
            <w:r>
              <w:rPr>
                <w:noProof/>
                <w:webHidden/>
              </w:rPr>
              <w:fldChar w:fldCharType="separate"/>
            </w:r>
            <w:r w:rsidR="00B33D37">
              <w:rPr>
                <w:noProof/>
                <w:webHidden/>
              </w:rPr>
              <w:t>26</w:t>
            </w:r>
            <w:r>
              <w:rPr>
                <w:noProof/>
                <w:webHidden/>
              </w:rPr>
              <w:fldChar w:fldCharType="end"/>
            </w:r>
          </w:hyperlink>
        </w:p>
        <w:p w:rsidR="008B1E97" w:rsidRDefault="004C2077">
          <w:pPr>
            <w:pStyle w:val="TOC4"/>
            <w:tabs>
              <w:tab w:val="left" w:pos="1540"/>
              <w:tab w:val="right" w:leader="dot" w:pos="9017"/>
            </w:tabs>
            <w:rPr>
              <w:rFonts w:asciiTheme="minorHAnsi" w:eastAsiaTheme="minorEastAsia" w:hAnsiTheme="minorHAnsi" w:cstheme="minorBidi"/>
              <w:noProof/>
              <w:sz w:val="22"/>
            </w:rPr>
          </w:pPr>
          <w:hyperlink w:anchor="_Toc389745294" w:history="1">
            <w:r w:rsidR="008B1E97" w:rsidRPr="002A1A71">
              <w:rPr>
                <w:rStyle w:val="Hyperlink"/>
                <w:noProof/>
              </w:rPr>
              <w:t>4.1.3.3</w:t>
            </w:r>
            <w:r w:rsidR="008B1E97">
              <w:rPr>
                <w:rFonts w:asciiTheme="minorHAnsi" w:eastAsiaTheme="minorEastAsia" w:hAnsiTheme="minorHAnsi" w:cstheme="minorBidi"/>
                <w:noProof/>
                <w:sz w:val="22"/>
              </w:rPr>
              <w:tab/>
            </w:r>
            <w:r w:rsidR="008B1E97" w:rsidRPr="002A1A71">
              <w:rPr>
                <w:rStyle w:val="Hyperlink"/>
                <w:noProof/>
              </w:rPr>
              <w:t>Informaciono društvo i telekomunikacije</w:t>
            </w:r>
            <w:r w:rsidR="008B1E97">
              <w:rPr>
                <w:noProof/>
                <w:webHidden/>
              </w:rPr>
              <w:tab/>
            </w:r>
            <w:r>
              <w:rPr>
                <w:noProof/>
                <w:webHidden/>
              </w:rPr>
              <w:fldChar w:fldCharType="begin"/>
            </w:r>
            <w:r w:rsidR="008B1E97">
              <w:rPr>
                <w:noProof/>
                <w:webHidden/>
              </w:rPr>
              <w:instrText xml:space="preserve"> PAGEREF _Toc389745294 \h </w:instrText>
            </w:r>
            <w:r>
              <w:rPr>
                <w:noProof/>
                <w:webHidden/>
              </w:rPr>
            </w:r>
            <w:r>
              <w:rPr>
                <w:noProof/>
                <w:webHidden/>
              </w:rPr>
              <w:fldChar w:fldCharType="separate"/>
            </w:r>
            <w:r w:rsidR="00B33D37">
              <w:rPr>
                <w:noProof/>
                <w:webHidden/>
              </w:rPr>
              <w:t>27</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95" w:history="1">
            <w:r w:rsidR="008B1E97" w:rsidRPr="002A1A71">
              <w:rPr>
                <w:rStyle w:val="Hyperlink"/>
                <w:noProof/>
              </w:rPr>
              <w:t>4.2</w:t>
            </w:r>
            <w:r w:rsidR="008B1E97">
              <w:rPr>
                <w:rFonts w:asciiTheme="minorHAnsi" w:eastAsiaTheme="minorEastAsia" w:hAnsiTheme="minorHAnsi" w:cstheme="minorBidi"/>
                <w:noProof/>
                <w:sz w:val="22"/>
                <w:szCs w:val="22"/>
                <w:lang w:val="en-US"/>
              </w:rPr>
              <w:tab/>
            </w:r>
            <w:r w:rsidR="008B1E97" w:rsidRPr="002A1A71">
              <w:rPr>
                <w:rStyle w:val="Hyperlink"/>
                <w:noProof/>
              </w:rPr>
              <w:t>FINANSIJSKI SEKTOR</w:t>
            </w:r>
            <w:r w:rsidR="008B1E97">
              <w:rPr>
                <w:noProof/>
                <w:webHidden/>
              </w:rPr>
              <w:tab/>
            </w:r>
            <w:r>
              <w:rPr>
                <w:noProof/>
                <w:webHidden/>
              </w:rPr>
              <w:fldChar w:fldCharType="begin"/>
            </w:r>
            <w:r w:rsidR="008B1E97">
              <w:rPr>
                <w:noProof/>
                <w:webHidden/>
              </w:rPr>
              <w:instrText xml:space="preserve"> PAGEREF _Toc389745295 \h </w:instrText>
            </w:r>
            <w:r>
              <w:rPr>
                <w:noProof/>
                <w:webHidden/>
              </w:rPr>
            </w:r>
            <w:r>
              <w:rPr>
                <w:noProof/>
                <w:webHidden/>
              </w:rPr>
              <w:fldChar w:fldCharType="separate"/>
            </w:r>
            <w:r w:rsidR="00B33D37">
              <w:rPr>
                <w:noProof/>
                <w:webHidden/>
              </w:rPr>
              <w:t>27</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96" w:history="1">
            <w:r w:rsidR="008B1E97" w:rsidRPr="002A1A71">
              <w:rPr>
                <w:rStyle w:val="Hyperlink"/>
                <w:noProof/>
              </w:rPr>
              <w:t>4.2.1</w:t>
            </w:r>
            <w:r w:rsidR="008B1E97">
              <w:rPr>
                <w:rFonts w:asciiTheme="minorHAnsi" w:eastAsiaTheme="minorEastAsia" w:hAnsiTheme="minorHAnsi" w:cstheme="minorBidi"/>
                <w:noProof/>
                <w:sz w:val="22"/>
              </w:rPr>
              <w:tab/>
            </w:r>
            <w:r w:rsidR="008B1E97" w:rsidRPr="002A1A71">
              <w:rPr>
                <w:rStyle w:val="Hyperlink"/>
                <w:noProof/>
              </w:rPr>
              <w:t>Bankarski sektor</w:t>
            </w:r>
            <w:r w:rsidR="008B1E97">
              <w:rPr>
                <w:noProof/>
                <w:webHidden/>
              </w:rPr>
              <w:tab/>
            </w:r>
            <w:r>
              <w:rPr>
                <w:noProof/>
                <w:webHidden/>
              </w:rPr>
              <w:fldChar w:fldCharType="begin"/>
            </w:r>
            <w:r w:rsidR="008B1E97">
              <w:rPr>
                <w:noProof/>
                <w:webHidden/>
              </w:rPr>
              <w:instrText xml:space="preserve"> PAGEREF _Toc389745296 \h </w:instrText>
            </w:r>
            <w:r>
              <w:rPr>
                <w:noProof/>
                <w:webHidden/>
              </w:rPr>
            </w:r>
            <w:r>
              <w:rPr>
                <w:noProof/>
                <w:webHidden/>
              </w:rPr>
              <w:fldChar w:fldCharType="separate"/>
            </w:r>
            <w:r w:rsidR="00B33D37">
              <w:rPr>
                <w:noProof/>
                <w:webHidden/>
              </w:rPr>
              <w:t>27</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97" w:history="1">
            <w:r w:rsidR="008B1E97" w:rsidRPr="002A1A71">
              <w:rPr>
                <w:rStyle w:val="Hyperlink"/>
                <w:noProof/>
              </w:rPr>
              <w:t>4.2.2</w:t>
            </w:r>
            <w:r w:rsidR="008B1E97">
              <w:rPr>
                <w:rFonts w:asciiTheme="minorHAnsi" w:eastAsiaTheme="minorEastAsia" w:hAnsiTheme="minorHAnsi" w:cstheme="minorBidi"/>
                <w:noProof/>
                <w:sz w:val="22"/>
              </w:rPr>
              <w:tab/>
            </w:r>
            <w:r w:rsidR="008B1E97" w:rsidRPr="002A1A71">
              <w:rPr>
                <w:rStyle w:val="Hyperlink"/>
                <w:noProof/>
              </w:rPr>
              <w:t>Nebankarski sektor</w:t>
            </w:r>
            <w:r w:rsidR="008B1E97">
              <w:rPr>
                <w:noProof/>
                <w:webHidden/>
              </w:rPr>
              <w:tab/>
            </w:r>
            <w:r>
              <w:rPr>
                <w:noProof/>
                <w:webHidden/>
              </w:rPr>
              <w:fldChar w:fldCharType="begin"/>
            </w:r>
            <w:r w:rsidR="008B1E97">
              <w:rPr>
                <w:noProof/>
                <w:webHidden/>
              </w:rPr>
              <w:instrText xml:space="preserve"> PAGEREF _Toc389745297 \h </w:instrText>
            </w:r>
            <w:r>
              <w:rPr>
                <w:noProof/>
                <w:webHidden/>
              </w:rPr>
            </w:r>
            <w:r>
              <w:rPr>
                <w:noProof/>
                <w:webHidden/>
              </w:rPr>
              <w:fldChar w:fldCharType="separate"/>
            </w:r>
            <w:r w:rsidR="00B33D37">
              <w:rPr>
                <w:noProof/>
                <w:webHidden/>
              </w:rPr>
              <w:t>28</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298" w:history="1">
            <w:r w:rsidR="008B1E97" w:rsidRPr="002A1A71">
              <w:rPr>
                <w:rStyle w:val="Hyperlink"/>
                <w:bCs/>
                <w:noProof/>
              </w:rPr>
              <w:t>4.3</w:t>
            </w:r>
            <w:r w:rsidR="008B1E97">
              <w:rPr>
                <w:rFonts w:asciiTheme="minorHAnsi" w:eastAsiaTheme="minorEastAsia" w:hAnsiTheme="minorHAnsi" w:cstheme="minorBidi"/>
                <w:noProof/>
                <w:sz w:val="22"/>
                <w:szCs w:val="22"/>
                <w:lang w:val="en-US"/>
              </w:rPr>
              <w:tab/>
            </w:r>
            <w:r w:rsidR="008B1E97" w:rsidRPr="002A1A71">
              <w:rPr>
                <w:rStyle w:val="Hyperlink"/>
                <w:bCs/>
                <w:noProof/>
              </w:rPr>
              <w:t>TRŽIŠTE RADA I SOCIJALNA ZAŠTITA</w:t>
            </w:r>
            <w:r w:rsidR="008B1E97">
              <w:rPr>
                <w:noProof/>
                <w:webHidden/>
              </w:rPr>
              <w:tab/>
            </w:r>
            <w:r>
              <w:rPr>
                <w:noProof/>
                <w:webHidden/>
              </w:rPr>
              <w:fldChar w:fldCharType="begin"/>
            </w:r>
            <w:r w:rsidR="008B1E97">
              <w:rPr>
                <w:noProof/>
                <w:webHidden/>
              </w:rPr>
              <w:instrText xml:space="preserve"> PAGEREF _Toc389745298 \h </w:instrText>
            </w:r>
            <w:r>
              <w:rPr>
                <w:noProof/>
                <w:webHidden/>
              </w:rPr>
            </w:r>
            <w:r>
              <w:rPr>
                <w:noProof/>
                <w:webHidden/>
              </w:rPr>
              <w:fldChar w:fldCharType="separate"/>
            </w:r>
            <w:r w:rsidR="00B33D37">
              <w:rPr>
                <w:noProof/>
                <w:webHidden/>
              </w:rPr>
              <w:t>29</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299" w:history="1">
            <w:r w:rsidR="008B1E97" w:rsidRPr="002A1A71">
              <w:rPr>
                <w:rStyle w:val="Hyperlink"/>
                <w:noProof/>
              </w:rPr>
              <w:t>4.3.1</w:t>
            </w:r>
            <w:r w:rsidR="008B1E97">
              <w:rPr>
                <w:rFonts w:asciiTheme="minorHAnsi" w:eastAsiaTheme="minorEastAsia" w:hAnsiTheme="minorHAnsi" w:cstheme="minorBidi"/>
                <w:noProof/>
                <w:sz w:val="22"/>
              </w:rPr>
              <w:tab/>
            </w:r>
            <w:r w:rsidR="008B1E97" w:rsidRPr="002A1A71">
              <w:rPr>
                <w:rStyle w:val="Hyperlink"/>
                <w:noProof/>
              </w:rPr>
              <w:t>Tržište rada</w:t>
            </w:r>
            <w:r w:rsidR="008B1E97">
              <w:rPr>
                <w:noProof/>
                <w:webHidden/>
              </w:rPr>
              <w:tab/>
            </w:r>
            <w:r>
              <w:rPr>
                <w:noProof/>
                <w:webHidden/>
              </w:rPr>
              <w:fldChar w:fldCharType="begin"/>
            </w:r>
            <w:r w:rsidR="008B1E97">
              <w:rPr>
                <w:noProof/>
                <w:webHidden/>
              </w:rPr>
              <w:instrText xml:space="preserve"> PAGEREF _Toc389745299 \h </w:instrText>
            </w:r>
            <w:r>
              <w:rPr>
                <w:noProof/>
                <w:webHidden/>
              </w:rPr>
            </w:r>
            <w:r>
              <w:rPr>
                <w:noProof/>
                <w:webHidden/>
              </w:rPr>
              <w:fldChar w:fldCharType="separate"/>
            </w:r>
            <w:r w:rsidR="00B33D37">
              <w:rPr>
                <w:noProof/>
                <w:webHidden/>
              </w:rPr>
              <w:t>29</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300" w:history="1">
            <w:r w:rsidR="008B1E97" w:rsidRPr="002A1A71">
              <w:rPr>
                <w:rStyle w:val="Hyperlink"/>
                <w:noProof/>
              </w:rPr>
              <w:t>4.3.2</w:t>
            </w:r>
            <w:r w:rsidR="008B1E97">
              <w:rPr>
                <w:rFonts w:asciiTheme="minorHAnsi" w:eastAsiaTheme="minorEastAsia" w:hAnsiTheme="minorHAnsi" w:cstheme="minorBidi"/>
                <w:noProof/>
                <w:sz w:val="22"/>
              </w:rPr>
              <w:tab/>
            </w:r>
            <w:r w:rsidR="008B1E97" w:rsidRPr="002A1A71">
              <w:rPr>
                <w:rStyle w:val="Hyperlink"/>
                <w:noProof/>
              </w:rPr>
              <w:t>Obrazovanje i istraživanje</w:t>
            </w:r>
            <w:r w:rsidR="008B1E97">
              <w:rPr>
                <w:noProof/>
                <w:webHidden/>
              </w:rPr>
              <w:tab/>
            </w:r>
            <w:r>
              <w:rPr>
                <w:noProof/>
                <w:webHidden/>
              </w:rPr>
              <w:fldChar w:fldCharType="begin"/>
            </w:r>
            <w:r w:rsidR="008B1E97">
              <w:rPr>
                <w:noProof/>
                <w:webHidden/>
              </w:rPr>
              <w:instrText xml:space="preserve"> PAGEREF _Toc389745300 \h </w:instrText>
            </w:r>
            <w:r>
              <w:rPr>
                <w:noProof/>
                <w:webHidden/>
              </w:rPr>
            </w:r>
            <w:r>
              <w:rPr>
                <w:noProof/>
                <w:webHidden/>
              </w:rPr>
              <w:fldChar w:fldCharType="separate"/>
            </w:r>
            <w:r w:rsidR="00B33D37">
              <w:rPr>
                <w:noProof/>
                <w:webHidden/>
              </w:rPr>
              <w:t>31</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301" w:history="1">
            <w:r w:rsidR="008B1E97" w:rsidRPr="002A1A71">
              <w:rPr>
                <w:rStyle w:val="Hyperlink"/>
                <w:noProof/>
              </w:rPr>
              <w:t>4.3.3</w:t>
            </w:r>
            <w:r w:rsidR="008B1E97">
              <w:rPr>
                <w:rFonts w:asciiTheme="minorHAnsi" w:eastAsiaTheme="minorEastAsia" w:hAnsiTheme="minorHAnsi" w:cstheme="minorBidi"/>
                <w:noProof/>
                <w:sz w:val="22"/>
              </w:rPr>
              <w:tab/>
            </w:r>
            <w:r w:rsidR="008B1E97" w:rsidRPr="002A1A71">
              <w:rPr>
                <w:rStyle w:val="Hyperlink"/>
                <w:noProof/>
              </w:rPr>
              <w:t>Penzijski i zdravstveni sistem</w:t>
            </w:r>
            <w:r w:rsidR="008B1E97">
              <w:rPr>
                <w:noProof/>
                <w:webHidden/>
              </w:rPr>
              <w:tab/>
            </w:r>
            <w:r>
              <w:rPr>
                <w:noProof/>
                <w:webHidden/>
              </w:rPr>
              <w:fldChar w:fldCharType="begin"/>
            </w:r>
            <w:r w:rsidR="008B1E97">
              <w:rPr>
                <w:noProof/>
                <w:webHidden/>
              </w:rPr>
              <w:instrText xml:space="preserve"> PAGEREF _Toc389745301 \h </w:instrText>
            </w:r>
            <w:r>
              <w:rPr>
                <w:noProof/>
                <w:webHidden/>
              </w:rPr>
            </w:r>
            <w:r>
              <w:rPr>
                <w:noProof/>
                <w:webHidden/>
              </w:rPr>
              <w:fldChar w:fldCharType="separate"/>
            </w:r>
            <w:r w:rsidR="00B33D37">
              <w:rPr>
                <w:noProof/>
                <w:webHidden/>
              </w:rPr>
              <w:t>32</w:t>
            </w:r>
            <w:r>
              <w:rPr>
                <w:noProof/>
                <w:webHidden/>
              </w:rPr>
              <w:fldChar w:fldCharType="end"/>
            </w:r>
          </w:hyperlink>
        </w:p>
        <w:p w:rsidR="008B1E97" w:rsidRDefault="004C2077">
          <w:pPr>
            <w:pStyle w:val="TOC3"/>
            <w:tabs>
              <w:tab w:val="left" w:pos="1100"/>
              <w:tab w:val="right" w:leader="dot" w:pos="9017"/>
            </w:tabs>
            <w:rPr>
              <w:rFonts w:asciiTheme="minorHAnsi" w:eastAsiaTheme="minorEastAsia" w:hAnsiTheme="minorHAnsi" w:cstheme="minorBidi"/>
              <w:noProof/>
              <w:sz w:val="22"/>
            </w:rPr>
          </w:pPr>
          <w:hyperlink w:anchor="_Toc389745302" w:history="1">
            <w:r w:rsidR="008B1E97" w:rsidRPr="002A1A71">
              <w:rPr>
                <w:rStyle w:val="Hyperlink"/>
                <w:noProof/>
              </w:rPr>
              <w:t>4.3.4</w:t>
            </w:r>
            <w:r w:rsidR="008B1E97">
              <w:rPr>
                <w:rFonts w:asciiTheme="minorHAnsi" w:eastAsiaTheme="minorEastAsia" w:hAnsiTheme="minorHAnsi" w:cstheme="minorBidi"/>
                <w:noProof/>
                <w:sz w:val="22"/>
              </w:rPr>
              <w:tab/>
            </w:r>
            <w:r w:rsidR="008B1E97" w:rsidRPr="002A1A71">
              <w:rPr>
                <w:rStyle w:val="Hyperlink"/>
                <w:noProof/>
              </w:rPr>
              <w:t>Socijalna zaštita</w:t>
            </w:r>
            <w:r w:rsidR="008B1E97">
              <w:rPr>
                <w:noProof/>
                <w:webHidden/>
              </w:rPr>
              <w:tab/>
            </w:r>
            <w:r>
              <w:rPr>
                <w:noProof/>
                <w:webHidden/>
              </w:rPr>
              <w:fldChar w:fldCharType="begin"/>
            </w:r>
            <w:r w:rsidR="008B1E97">
              <w:rPr>
                <w:noProof/>
                <w:webHidden/>
              </w:rPr>
              <w:instrText xml:space="preserve"> PAGEREF _Toc389745302 \h </w:instrText>
            </w:r>
            <w:r>
              <w:rPr>
                <w:noProof/>
                <w:webHidden/>
              </w:rPr>
            </w:r>
            <w:r>
              <w:rPr>
                <w:noProof/>
                <w:webHidden/>
              </w:rPr>
              <w:fldChar w:fldCharType="separate"/>
            </w:r>
            <w:r w:rsidR="00B33D37">
              <w:rPr>
                <w:noProof/>
                <w:webHidden/>
              </w:rPr>
              <w:t>33</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303" w:history="1">
            <w:r w:rsidR="008B1E97" w:rsidRPr="002A1A71">
              <w:rPr>
                <w:rStyle w:val="Hyperlink"/>
                <w:noProof/>
              </w:rPr>
              <w:t>4.4</w:t>
            </w:r>
            <w:r w:rsidR="008B1E97">
              <w:rPr>
                <w:rFonts w:asciiTheme="minorHAnsi" w:eastAsiaTheme="minorEastAsia" w:hAnsiTheme="minorHAnsi" w:cstheme="minorBidi"/>
                <w:noProof/>
                <w:sz w:val="22"/>
                <w:szCs w:val="22"/>
                <w:lang w:val="en-US"/>
              </w:rPr>
              <w:tab/>
            </w:r>
            <w:r w:rsidR="008B1E97" w:rsidRPr="002A1A71">
              <w:rPr>
                <w:rStyle w:val="Hyperlink"/>
                <w:noProof/>
              </w:rPr>
              <w:t>POLJOPRIVREDA I RURALNI RAZVOJ</w:t>
            </w:r>
            <w:r w:rsidR="008B1E97">
              <w:rPr>
                <w:noProof/>
                <w:webHidden/>
              </w:rPr>
              <w:tab/>
            </w:r>
            <w:r>
              <w:rPr>
                <w:noProof/>
                <w:webHidden/>
              </w:rPr>
              <w:fldChar w:fldCharType="begin"/>
            </w:r>
            <w:r w:rsidR="008B1E97">
              <w:rPr>
                <w:noProof/>
                <w:webHidden/>
              </w:rPr>
              <w:instrText xml:space="preserve"> PAGEREF _Toc389745303 \h </w:instrText>
            </w:r>
            <w:r>
              <w:rPr>
                <w:noProof/>
                <w:webHidden/>
              </w:rPr>
            </w:r>
            <w:r>
              <w:rPr>
                <w:noProof/>
                <w:webHidden/>
              </w:rPr>
              <w:fldChar w:fldCharType="separate"/>
            </w:r>
            <w:r w:rsidR="00B33D37">
              <w:rPr>
                <w:noProof/>
                <w:webHidden/>
              </w:rPr>
              <w:t>34</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304" w:history="1">
            <w:r w:rsidR="008B1E97" w:rsidRPr="002A1A71">
              <w:rPr>
                <w:rStyle w:val="Hyperlink"/>
                <w:noProof/>
              </w:rPr>
              <w:t>4.5</w:t>
            </w:r>
            <w:r w:rsidR="008B1E97">
              <w:rPr>
                <w:rFonts w:asciiTheme="minorHAnsi" w:eastAsiaTheme="minorEastAsia" w:hAnsiTheme="minorHAnsi" w:cstheme="minorBidi"/>
                <w:noProof/>
                <w:sz w:val="22"/>
                <w:szCs w:val="22"/>
                <w:lang w:val="en-US"/>
              </w:rPr>
              <w:tab/>
            </w:r>
            <w:r w:rsidR="008B1E97" w:rsidRPr="002A1A71">
              <w:rPr>
                <w:rStyle w:val="Hyperlink"/>
                <w:noProof/>
              </w:rPr>
              <w:t>ZAŠTITA ŽIVOTNE SREDINE</w:t>
            </w:r>
            <w:r w:rsidR="008B1E97">
              <w:rPr>
                <w:noProof/>
                <w:webHidden/>
              </w:rPr>
              <w:tab/>
            </w:r>
            <w:r>
              <w:rPr>
                <w:noProof/>
                <w:webHidden/>
              </w:rPr>
              <w:fldChar w:fldCharType="begin"/>
            </w:r>
            <w:r w:rsidR="008B1E97">
              <w:rPr>
                <w:noProof/>
                <w:webHidden/>
              </w:rPr>
              <w:instrText xml:space="preserve"> PAGEREF _Toc389745304 \h </w:instrText>
            </w:r>
            <w:r>
              <w:rPr>
                <w:noProof/>
                <w:webHidden/>
              </w:rPr>
            </w:r>
            <w:r>
              <w:rPr>
                <w:noProof/>
                <w:webHidden/>
              </w:rPr>
              <w:fldChar w:fldCharType="separate"/>
            </w:r>
            <w:r w:rsidR="00B33D37">
              <w:rPr>
                <w:noProof/>
                <w:webHidden/>
              </w:rPr>
              <w:t>36</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305" w:history="1">
            <w:r w:rsidR="008B1E97" w:rsidRPr="002A1A71">
              <w:rPr>
                <w:rStyle w:val="Hyperlink"/>
                <w:bCs/>
                <w:noProof/>
              </w:rPr>
              <w:t>4.6</w:t>
            </w:r>
            <w:r w:rsidR="008B1E97">
              <w:rPr>
                <w:rFonts w:asciiTheme="minorHAnsi" w:eastAsiaTheme="minorEastAsia" w:hAnsiTheme="minorHAnsi" w:cstheme="minorBidi"/>
                <w:noProof/>
                <w:sz w:val="22"/>
                <w:szCs w:val="22"/>
                <w:lang w:val="en-US"/>
              </w:rPr>
              <w:tab/>
            </w:r>
            <w:r w:rsidR="008B1E97" w:rsidRPr="002A1A71">
              <w:rPr>
                <w:rStyle w:val="Hyperlink"/>
                <w:bCs/>
                <w:noProof/>
              </w:rPr>
              <w:t>UPRAVLJANJE PROSTOROM</w:t>
            </w:r>
            <w:r w:rsidR="008B1E97">
              <w:rPr>
                <w:noProof/>
                <w:webHidden/>
              </w:rPr>
              <w:tab/>
            </w:r>
            <w:r>
              <w:rPr>
                <w:noProof/>
                <w:webHidden/>
              </w:rPr>
              <w:fldChar w:fldCharType="begin"/>
            </w:r>
            <w:r w:rsidR="008B1E97">
              <w:rPr>
                <w:noProof/>
                <w:webHidden/>
              </w:rPr>
              <w:instrText xml:space="preserve"> PAGEREF _Toc389745305 \h </w:instrText>
            </w:r>
            <w:r>
              <w:rPr>
                <w:noProof/>
                <w:webHidden/>
              </w:rPr>
            </w:r>
            <w:r>
              <w:rPr>
                <w:noProof/>
                <w:webHidden/>
              </w:rPr>
              <w:fldChar w:fldCharType="separate"/>
            </w:r>
            <w:r w:rsidR="00B33D37">
              <w:rPr>
                <w:noProof/>
                <w:webHidden/>
              </w:rPr>
              <w:t>37</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306" w:history="1">
            <w:r w:rsidR="008B1E97" w:rsidRPr="002A1A71">
              <w:rPr>
                <w:rStyle w:val="Hyperlink"/>
                <w:noProof/>
              </w:rPr>
              <w:t>4.7</w:t>
            </w:r>
            <w:r w:rsidR="008B1E97">
              <w:rPr>
                <w:rFonts w:asciiTheme="minorHAnsi" w:eastAsiaTheme="minorEastAsia" w:hAnsiTheme="minorHAnsi" w:cstheme="minorBidi"/>
                <w:noProof/>
                <w:sz w:val="22"/>
                <w:szCs w:val="22"/>
                <w:lang w:val="en-US"/>
              </w:rPr>
              <w:tab/>
            </w:r>
            <w:r w:rsidR="008B1E97" w:rsidRPr="002A1A71">
              <w:rPr>
                <w:rStyle w:val="Hyperlink"/>
                <w:noProof/>
              </w:rPr>
              <w:t>REGIONALNI RAZVOJ</w:t>
            </w:r>
            <w:r w:rsidR="008B1E97">
              <w:rPr>
                <w:noProof/>
                <w:webHidden/>
              </w:rPr>
              <w:tab/>
            </w:r>
            <w:r>
              <w:rPr>
                <w:noProof/>
                <w:webHidden/>
              </w:rPr>
              <w:fldChar w:fldCharType="begin"/>
            </w:r>
            <w:r w:rsidR="008B1E97">
              <w:rPr>
                <w:noProof/>
                <w:webHidden/>
              </w:rPr>
              <w:instrText xml:space="preserve"> PAGEREF _Toc389745306 \h </w:instrText>
            </w:r>
            <w:r>
              <w:rPr>
                <w:noProof/>
                <w:webHidden/>
              </w:rPr>
            </w:r>
            <w:r>
              <w:rPr>
                <w:noProof/>
                <w:webHidden/>
              </w:rPr>
              <w:fldChar w:fldCharType="separate"/>
            </w:r>
            <w:r w:rsidR="00B33D37">
              <w:rPr>
                <w:noProof/>
                <w:webHidden/>
              </w:rPr>
              <w:t>38</w:t>
            </w:r>
            <w:r>
              <w:rPr>
                <w:noProof/>
                <w:webHidden/>
              </w:rPr>
              <w:fldChar w:fldCharType="end"/>
            </w:r>
          </w:hyperlink>
        </w:p>
        <w:p w:rsidR="008B1E97" w:rsidRDefault="004C2077">
          <w:pPr>
            <w:pStyle w:val="TOC2"/>
            <w:tabs>
              <w:tab w:val="left" w:pos="660"/>
            </w:tabs>
            <w:rPr>
              <w:rFonts w:asciiTheme="minorHAnsi" w:eastAsiaTheme="minorEastAsia" w:hAnsiTheme="minorHAnsi" w:cstheme="minorBidi"/>
              <w:noProof/>
              <w:sz w:val="22"/>
              <w:szCs w:val="22"/>
              <w:lang w:val="en-US"/>
            </w:rPr>
          </w:pPr>
          <w:hyperlink w:anchor="_Toc389745307" w:history="1">
            <w:r w:rsidR="008B1E97" w:rsidRPr="002A1A71">
              <w:rPr>
                <w:rStyle w:val="Hyperlink"/>
                <w:noProof/>
              </w:rPr>
              <w:t>4.8</w:t>
            </w:r>
            <w:r w:rsidR="008B1E97">
              <w:rPr>
                <w:rFonts w:asciiTheme="minorHAnsi" w:eastAsiaTheme="minorEastAsia" w:hAnsiTheme="minorHAnsi" w:cstheme="minorBidi"/>
                <w:noProof/>
                <w:sz w:val="22"/>
                <w:szCs w:val="22"/>
                <w:lang w:val="en-US"/>
              </w:rPr>
              <w:tab/>
            </w:r>
            <w:r w:rsidR="008B1E97" w:rsidRPr="002A1A71">
              <w:rPr>
                <w:rStyle w:val="Hyperlink"/>
                <w:noProof/>
              </w:rPr>
              <w:t>ADMINISTRATIVNA REFORMA</w:t>
            </w:r>
            <w:r w:rsidR="008B1E97">
              <w:rPr>
                <w:noProof/>
                <w:webHidden/>
              </w:rPr>
              <w:tab/>
            </w:r>
            <w:r>
              <w:rPr>
                <w:noProof/>
                <w:webHidden/>
              </w:rPr>
              <w:fldChar w:fldCharType="begin"/>
            </w:r>
            <w:r w:rsidR="008B1E97">
              <w:rPr>
                <w:noProof/>
                <w:webHidden/>
              </w:rPr>
              <w:instrText xml:space="preserve"> PAGEREF _Toc389745307 \h </w:instrText>
            </w:r>
            <w:r>
              <w:rPr>
                <w:noProof/>
                <w:webHidden/>
              </w:rPr>
            </w:r>
            <w:r>
              <w:rPr>
                <w:noProof/>
                <w:webHidden/>
              </w:rPr>
              <w:fldChar w:fldCharType="separate"/>
            </w:r>
            <w:r w:rsidR="00B33D37">
              <w:rPr>
                <w:noProof/>
                <w:webHidden/>
              </w:rPr>
              <w:t>38</w:t>
            </w:r>
            <w:r>
              <w:rPr>
                <w:noProof/>
                <w:webHidden/>
              </w:rPr>
              <w:fldChar w:fldCharType="end"/>
            </w:r>
          </w:hyperlink>
        </w:p>
        <w:p w:rsidR="005245F5" w:rsidRPr="009C047C" w:rsidRDefault="004C2077" w:rsidP="009C047C">
          <w:pPr>
            <w:pStyle w:val="TOCHeading"/>
            <w:jc w:val="center"/>
          </w:pPr>
          <w:r>
            <w:fldChar w:fldCharType="end"/>
          </w:r>
        </w:p>
      </w:sdtContent>
    </w:sdt>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Default="009C047C" w:rsidP="009C047C"/>
    <w:p w:rsidR="009C047C" w:rsidRPr="009C047C" w:rsidRDefault="009C047C" w:rsidP="009C047C"/>
    <w:p w:rsidR="000D1450" w:rsidRPr="009D407D" w:rsidRDefault="000D1450" w:rsidP="0081518B">
      <w:pPr>
        <w:spacing w:after="0" w:line="240" w:lineRule="auto"/>
        <w:rPr>
          <w:rFonts w:cs="Arial"/>
          <w:b/>
          <w:sz w:val="24"/>
          <w:szCs w:val="24"/>
        </w:rPr>
      </w:pPr>
    </w:p>
    <w:p w:rsidR="009C047C" w:rsidRPr="00994469" w:rsidRDefault="009C047C" w:rsidP="009C047C">
      <w:pPr>
        <w:pStyle w:val="Heading1"/>
        <w:rPr>
          <w:sz w:val="32"/>
          <w:szCs w:val="32"/>
        </w:rPr>
      </w:pPr>
      <w:bookmarkStart w:id="8" w:name="_Toc389745260"/>
      <w:r w:rsidRPr="00994469">
        <w:rPr>
          <w:sz w:val="32"/>
          <w:szCs w:val="32"/>
        </w:rPr>
        <w:lastRenderedPageBreak/>
        <w:t>UVOD I REZIME</w:t>
      </w:r>
      <w:bookmarkEnd w:id="8"/>
    </w:p>
    <w:p w:rsidR="00D162C5" w:rsidRDefault="00D162C5" w:rsidP="00994469">
      <w:pPr>
        <w:spacing w:after="0" w:line="240" w:lineRule="auto"/>
        <w:jc w:val="both"/>
        <w:rPr>
          <w:rFonts w:cs="Arial"/>
          <w:i/>
        </w:rPr>
      </w:pPr>
      <w:r w:rsidRPr="009D407D">
        <w:rPr>
          <w:rFonts w:cs="Arial"/>
          <w:i/>
        </w:rPr>
        <w:t>Ministarstvo finansija dva puta godišnje priprema analize makroekonomskih trendova i strukturnih reformi, u kojima su prikazana kretanja</w:t>
      </w:r>
      <w:r w:rsidR="000E2475" w:rsidRPr="009D407D">
        <w:rPr>
          <w:rFonts w:cs="Arial"/>
          <w:i/>
        </w:rPr>
        <w:t xml:space="preserve"> u međ</w:t>
      </w:r>
      <w:r w:rsidRPr="009D407D">
        <w:rPr>
          <w:rFonts w:cs="Arial"/>
          <w:i/>
        </w:rPr>
        <w:t xml:space="preserve">unarodnom okruženju, makroekonomskim sektorima (BDP, cijene, tržište rada, monetarni, eksterni), javnim finansijama i strukturnim politikama u prethodnom periodu. Ovom Analizom dati su ekonomski trendovi </w:t>
      </w:r>
      <w:r w:rsidR="0051709E">
        <w:rPr>
          <w:rFonts w:cs="Arial"/>
          <w:i/>
        </w:rPr>
        <w:t>u 2013. godini i četiri mjeseca 2014</w:t>
      </w:r>
      <w:r w:rsidRPr="009D407D">
        <w:rPr>
          <w:rFonts w:cs="Arial"/>
          <w:i/>
        </w:rPr>
        <w:t xml:space="preserve">. </w:t>
      </w:r>
      <w:r w:rsidR="0051709E">
        <w:rPr>
          <w:rFonts w:cs="Arial"/>
          <w:i/>
        </w:rPr>
        <w:t>godine</w:t>
      </w:r>
      <w:r w:rsidRPr="009D407D">
        <w:rPr>
          <w:rFonts w:cs="Arial"/>
          <w:i/>
        </w:rPr>
        <w:t xml:space="preserve">. Osim analize ostvarenja, dokument sadrži projekcije osnovnih makroekonomskih i fiskalnih agregata za </w:t>
      </w:r>
      <w:r w:rsidR="00B629AB">
        <w:rPr>
          <w:rFonts w:cs="Arial"/>
          <w:i/>
        </w:rPr>
        <w:t>period do kraja godine</w:t>
      </w:r>
      <w:r w:rsidR="00033BED">
        <w:rPr>
          <w:rFonts w:cs="Arial"/>
          <w:i/>
        </w:rPr>
        <w:t xml:space="preserve"> koje su u skladu sa ovogodišnjim Smjernicama makroekonosmke i fiskalne politike</w:t>
      </w:r>
      <w:r w:rsidR="00B629AB">
        <w:rPr>
          <w:rFonts w:cs="Arial"/>
          <w:i/>
        </w:rPr>
        <w:t>.</w:t>
      </w:r>
    </w:p>
    <w:p w:rsidR="005F0468" w:rsidRPr="00994469" w:rsidRDefault="005F0468" w:rsidP="00994469">
      <w:pPr>
        <w:spacing w:after="0" w:line="240" w:lineRule="auto"/>
        <w:jc w:val="both"/>
        <w:rPr>
          <w:rFonts w:cs="Arial"/>
          <w:i/>
          <w:sz w:val="10"/>
          <w:szCs w:val="10"/>
        </w:rPr>
      </w:pPr>
    </w:p>
    <w:p w:rsidR="005F0468" w:rsidRDefault="005F0468" w:rsidP="00994469">
      <w:pPr>
        <w:spacing w:after="0" w:line="240" w:lineRule="auto"/>
        <w:jc w:val="both"/>
        <w:rPr>
          <w:rFonts w:cs="Arial"/>
          <w:i/>
        </w:rPr>
      </w:pPr>
      <w:r>
        <w:rPr>
          <w:rFonts w:cs="Arial"/>
          <w:i/>
        </w:rPr>
        <w:t>Projekcije kretanja ekonomske aktivnosti i indikatori povjerenja u EU, kao šireg okruženja Crne Gore, predviđaju i pokazuju oporavak. Indikatori povjerenja menadžera i potrošača rastu od novembra 2013. godine, što</w:t>
      </w:r>
      <w:r w:rsidR="00C20480">
        <w:rPr>
          <w:rFonts w:cs="Arial"/>
          <w:i/>
        </w:rPr>
        <w:t xml:space="preserve"> </w:t>
      </w:r>
      <w:r>
        <w:rPr>
          <w:rFonts w:cs="Arial"/>
          <w:i/>
        </w:rPr>
        <w:t>je znak očekivanja rasta ekonomske aktivnosti</w:t>
      </w:r>
      <w:r w:rsidR="002A0D12">
        <w:rPr>
          <w:rFonts w:cs="Arial"/>
          <w:i/>
        </w:rPr>
        <w:t xml:space="preserve"> i povjerenja u buduća kretanja ekonomije</w:t>
      </w:r>
      <w:r>
        <w:rPr>
          <w:rFonts w:cs="Arial"/>
          <w:i/>
        </w:rPr>
        <w:t>. Ipak</w:t>
      </w:r>
      <w:r w:rsidR="00C20480">
        <w:rPr>
          <w:rFonts w:cs="Arial"/>
          <w:i/>
        </w:rPr>
        <w:t xml:space="preserve">, </w:t>
      </w:r>
      <w:r>
        <w:rPr>
          <w:rFonts w:cs="Arial"/>
          <w:i/>
        </w:rPr>
        <w:t>indikatori koji prate rast ekonomske aktivnosti se nisu u potpunosti pretočili u snažniji oporavak</w:t>
      </w:r>
      <w:r w:rsidR="00033BED">
        <w:rPr>
          <w:rFonts w:cs="Arial"/>
          <w:i/>
        </w:rPr>
        <w:t>,</w:t>
      </w:r>
      <w:r>
        <w:rPr>
          <w:rFonts w:cs="Arial"/>
          <w:i/>
        </w:rPr>
        <w:t xml:space="preserve"> jer je EU u prvom kvar</w:t>
      </w:r>
      <w:r w:rsidR="00C20480">
        <w:rPr>
          <w:rFonts w:cs="Arial"/>
          <w:i/>
        </w:rPr>
        <w:t xml:space="preserve">talu zabilježila </w:t>
      </w:r>
      <w:r w:rsidR="00033BED">
        <w:rPr>
          <w:rFonts w:cs="Arial"/>
          <w:i/>
        </w:rPr>
        <w:t xml:space="preserve">blagi </w:t>
      </w:r>
      <w:r w:rsidR="00C20480">
        <w:rPr>
          <w:rFonts w:cs="Arial"/>
          <w:i/>
        </w:rPr>
        <w:t>rast od 0,3%</w:t>
      </w:r>
      <w:r>
        <w:rPr>
          <w:rFonts w:cs="Arial"/>
          <w:i/>
        </w:rPr>
        <w:t>. Ova stopa odgovara godišnjoj stopi od 1,4%</w:t>
      </w:r>
      <w:r w:rsidR="002A0D12">
        <w:rPr>
          <w:rFonts w:cs="Arial"/>
          <w:i/>
        </w:rPr>
        <w:t>,</w:t>
      </w:r>
      <w:r>
        <w:rPr>
          <w:rFonts w:cs="Arial"/>
          <w:i/>
        </w:rPr>
        <w:t xml:space="preserve"> što je ispod projekcija Evropske komisije (1,8%). Nezaposlenost je i dalje visokih 11,8%, a inflacija je ispod targetiranih vrijednosti</w:t>
      </w:r>
      <w:r w:rsidR="002A0D12">
        <w:rPr>
          <w:rFonts w:cs="Arial"/>
          <w:i/>
        </w:rPr>
        <w:t xml:space="preserve"> (2%)</w:t>
      </w:r>
      <w:r>
        <w:rPr>
          <w:rFonts w:cs="Arial"/>
          <w:i/>
        </w:rPr>
        <w:t xml:space="preserve"> i predstavlja podatak koji </w:t>
      </w:r>
      <w:r w:rsidR="002A0D12">
        <w:rPr>
          <w:rFonts w:cs="Arial"/>
          <w:i/>
        </w:rPr>
        <w:t>zabrinjava.</w:t>
      </w:r>
      <w:r>
        <w:rPr>
          <w:rFonts w:cs="Arial"/>
          <w:i/>
        </w:rPr>
        <w:t xml:space="preserve"> (0,7% u aprilu)</w:t>
      </w:r>
      <w:r w:rsidR="002A0D12">
        <w:rPr>
          <w:rFonts w:cs="Arial"/>
          <w:i/>
        </w:rPr>
        <w:t>.</w:t>
      </w:r>
    </w:p>
    <w:p w:rsidR="002A0D12" w:rsidRPr="00994469" w:rsidRDefault="002A0D12" w:rsidP="00994469">
      <w:pPr>
        <w:spacing w:after="0" w:line="240" w:lineRule="auto"/>
        <w:jc w:val="both"/>
        <w:rPr>
          <w:rFonts w:cs="Arial"/>
          <w:i/>
          <w:sz w:val="10"/>
          <w:szCs w:val="10"/>
        </w:rPr>
      </w:pPr>
    </w:p>
    <w:p w:rsidR="002A0D12" w:rsidRPr="002A0D12" w:rsidRDefault="002A0D12" w:rsidP="00994469">
      <w:pPr>
        <w:pStyle w:val="Default"/>
        <w:jc w:val="both"/>
        <w:rPr>
          <w:rFonts w:ascii="Calibri" w:hAnsi="Calibri" w:cs="Arial"/>
          <w:i/>
          <w:color w:val="auto"/>
          <w:sz w:val="22"/>
          <w:szCs w:val="22"/>
        </w:rPr>
      </w:pPr>
      <w:r w:rsidRPr="002A0D12">
        <w:rPr>
          <w:rFonts w:ascii="Calibri" w:hAnsi="Calibri" w:cs="Arial"/>
          <w:i/>
          <w:color w:val="auto"/>
          <w:sz w:val="22"/>
          <w:szCs w:val="22"/>
        </w:rPr>
        <w:t>Crnogorska ekonomija je</w:t>
      </w:r>
      <w:r w:rsidR="00B05F4F">
        <w:rPr>
          <w:rFonts w:ascii="Calibri" w:hAnsi="Calibri" w:cs="Arial"/>
          <w:i/>
          <w:color w:val="auto"/>
          <w:sz w:val="22"/>
          <w:szCs w:val="22"/>
        </w:rPr>
        <w:t xml:space="preserve"> </w:t>
      </w:r>
      <w:r w:rsidR="00B05F4F" w:rsidRPr="002A0D12">
        <w:rPr>
          <w:rFonts w:ascii="Calibri" w:hAnsi="Calibri" w:cs="Arial"/>
          <w:i/>
          <w:color w:val="auto"/>
          <w:sz w:val="22"/>
          <w:szCs w:val="22"/>
        </w:rPr>
        <w:t>u 2013. godini</w:t>
      </w:r>
      <w:r w:rsidRPr="002A0D12">
        <w:rPr>
          <w:rFonts w:ascii="Calibri" w:hAnsi="Calibri" w:cs="Arial"/>
          <w:i/>
          <w:color w:val="auto"/>
          <w:sz w:val="22"/>
          <w:szCs w:val="22"/>
        </w:rPr>
        <w:t xml:space="preserve"> ostvarila solidnu stopu rasta BDP-a od 3,5%. </w:t>
      </w:r>
      <w:r w:rsidR="00B05F4F">
        <w:rPr>
          <w:rFonts w:ascii="Calibri" w:hAnsi="Calibri" w:cs="Arial"/>
          <w:i/>
          <w:color w:val="auto"/>
          <w:sz w:val="22"/>
          <w:szCs w:val="22"/>
        </w:rPr>
        <w:t>P</w:t>
      </w:r>
      <w:r w:rsidRPr="002A0D12">
        <w:rPr>
          <w:rFonts w:ascii="Calibri" w:hAnsi="Calibri" w:cs="Arial"/>
          <w:i/>
          <w:color w:val="auto"/>
          <w:sz w:val="22"/>
          <w:szCs w:val="22"/>
        </w:rPr>
        <w:t>rema preliminarnim podacima Monstat-a, crnogorska ekonomija je tokom 2013. godine bilježila kontinuirani rast, koji se kretao od 1,1% u prvom</w:t>
      </w:r>
      <w:r>
        <w:rPr>
          <w:rFonts w:ascii="Calibri" w:hAnsi="Calibri" w:cs="Arial"/>
          <w:i/>
          <w:color w:val="auto"/>
          <w:sz w:val="22"/>
          <w:szCs w:val="22"/>
        </w:rPr>
        <w:t>,</w:t>
      </w:r>
      <w:r w:rsidR="00B05F4F">
        <w:rPr>
          <w:rFonts w:ascii="Calibri" w:hAnsi="Calibri" w:cs="Arial"/>
          <w:i/>
          <w:color w:val="auto"/>
          <w:sz w:val="22"/>
          <w:szCs w:val="22"/>
        </w:rPr>
        <w:t xml:space="preserve"> </w:t>
      </w:r>
      <w:r>
        <w:rPr>
          <w:rFonts w:ascii="Calibri" w:hAnsi="Calibri" w:cs="Arial"/>
          <w:i/>
          <w:color w:val="auto"/>
          <w:sz w:val="22"/>
          <w:szCs w:val="22"/>
        </w:rPr>
        <w:t xml:space="preserve">3,4% </w:t>
      </w:r>
      <w:r w:rsidR="00B05F4F">
        <w:rPr>
          <w:rFonts w:ascii="Calibri" w:hAnsi="Calibri" w:cs="Arial"/>
          <w:i/>
          <w:color w:val="auto"/>
          <w:sz w:val="22"/>
          <w:szCs w:val="22"/>
        </w:rPr>
        <w:t xml:space="preserve"> </w:t>
      </w:r>
      <w:r>
        <w:rPr>
          <w:rFonts w:ascii="Calibri" w:hAnsi="Calibri" w:cs="Arial"/>
          <w:i/>
          <w:color w:val="auto"/>
          <w:sz w:val="22"/>
          <w:szCs w:val="22"/>
        </w:rPr>
        <w:t>u drugom</w:t>
      </w:r>
      <w:r w:rsidR="00B05F4F">
        <w:rPr>
          <w:rFonts w:ascii="Calibri" w:hAnsi="Calibri" w:cs="Arial"/>
          <w:i/>
          <w:color w:val="auto"/>
          <w:sz w:val="22"/>
          <w:szCs w:val="22"/>
        </w:rPr>
        <w:t xml:space="preserve"> </w:t>
      </w:r>
      <w:r>
        <w:rPr>
          <w:rFonts w:ascii="Calibri" w:hAnsi="Calibri" w:cs="Arial"/>
          <w:i/>
          <w:color w:val="auto"/>
          <w:sz w:val="22"/>
          <w:szCs w:val="22"/>
        </w:rPr>
        <w:t>4,0% u trećem</w:t>
      </w:r>
      <w:r w:rsidRPr="002A0D12">
        <w:rPr>
          <w:rFonts w:ascii="Calibri" w:hAnsi="Calibri" w:cs="Arial"/>
          <w:i/>
          <w:color w:val="auto"/>
          <w:sz w:val="22"/>
          <w:szCs w:val="22"/>
        </w:rPr>
        <w:t xml:space="preserve"> </w:t>
      </w:r>
      <w:r>
        <w:rPr>
          <w:rFonts w:ascii="Calibri" w:hAnsi="Calibri" w:cs="Arial"/>
          <w:i/>
          <w:color w:val="auto"/>
          <w:sz w:val="22"/>
          <w:szCs w:val="22"/>
        </w:rPr>
        <w:t>i  4,7% u posljednjem kvartalu. Procijenjeni b</w:t>
      </w:r>
      <w:r w:rsidRPr="002A0D12">
        <w:rPr>
          <w:rFonts w:ascii="Calibri" w:hAnsi="Calibri" w:cs="Arial"/>
          <w:i/>
          <w:color w:val="auto"/>
          <w:sz w:val="22"/>
          <w:szCs w:val="22"/>
        </w:rPr>
        <w:t>ruto domaći proizvod u tekućim cijenama iznosio je 3.335,9 mil.€.</w:t>
      </w:r>
    </w:p>
    <w:p w:rsidR="002A0D12" w:rsidRPr="00994469" w:rsidRDefault="002A0D12" w:rsidP="00994469">
      <w:pPr>
        <w:pStyle w:val="Default"/>
        <w:jc w:val="both"/>
        <w:rPr>
          <w:rFonts w:ascii="Calibri" w:hAnsi="Calibri" w:cs="Arial"/>
          <w:i/>
          <w:color w:val="auto"/>
          <w:sz w:val="10"/>
          <w:szCs w:val="10"/>
        </w:rPr>
      </w:pPr>
    </w:p>
    <w:p w:rsidR="001823BC" w:rsidRDefault="002A0D12" w:rsidP="00994469">
      <w:pPr>
        <w:spacing w:after="0" w:line="240" w:lineRule="auto"/>
        <w:jc w:val="both"/>
        <w:rPr>
          <w:rFonts w:cs="Arial"/>
          <w:i/>
        </w:rPr>
      </w:pPr>
      <w:r w:rsidRPr="002A0D12">
        <w:rPr>
          <w:rFonts w:cs="Arial"/>
          <w:i/>
        </w:rPr>
        <w:t>Indikatori aktivnosti realnog sektora pokazuju da je u 2013, u odnosu na 2012. godinu, ostvaren rast u većini oblasti. Industrijska proizvodnja je ostvarila rast od 10,6%, promet u trgovini na malo (tekuće cijene) veći je 11,3%, dolasci i noćenja turista bilježe rast od 3,6 i 2,8%, vrijednost izvršenih građevinskih radova veća je za 9,7%, a i većina vidova saobraćaja bilježi rast u odnosu na uporedni period (drumski, željeznički).</w:t>
      </w:r>
    </w:p>
    <w:p w:rsidR="00994469" w:rsidRPr="00994469" w:rsidRDefault="00994469" w:rsidP="00994469">
      <w:pPr>
        <w:spacing w:after="0" w:line="240" w:lineRule="auto"/>
        <w:jc w:val="both"/>
        <w:rPr>
          <w:rFonts w:cs="Arial"/>
          <w:i/>
          <w:sz w:val="10"/>
          <w:szCs w:val="10"/>
        </w:rPr>
      </w:pPr>
    </w:p>
    <w:p w:rsidR="00007042" w:rsidRDefault="002A0D12" w:rsidP="00994469">
      <w:pPr>
        <w:spacing w:after="0" w:line="240" w:lineRule="auto"/>
        <w:jc w:val="both"/>
        <w:rPr>
          <w:rFonts w:cs="Arial"/>
          <w:bCs/>
          <w:i/>
        </w:rPr>
      </w:pPr>
      <w:r w:rsidRPr="002A0D12">
        <w:rPr>
          <w:rFonts w:cs="Arial"/>
          <w:bCs/>
          <w:i/>
        </w:rPr>
        <w:t>Na osnovu dostupnih indikatora za prvi kvartal 2014. godine procjenjeno je da je crnogorska ekonomija rasla oko 2,3%  g-n-g. Ovaj rast podstaknut je rastom u sektorima vađenja ruda i kamena, prerađivačkoj industriji, građevinarstvu, maloprodaji i poslovanju s nekretninama uz dobru naplatu poreza na robe. Negativan uticaj na formiranje BDP-a očekivano je došao od sektora proizvodnje i snabdijevanja električnom energijom (pad proizvodnje od 25%) zbog vrlo visoke osnove u prethodnoj godini</w:t>
      </w:r>
      <w:r>
        <w:rPr>
          <w:rFonts w:cs="Arial"/>
          <w:bCs/>
          <w:i/>
        </w:rPr>
        <w:t>.</w:t>
      </w:r>
      <w:r w:rsidR="003200E4">
        <w:rPr>
          <w:rFonts w:cs="Arial"/>
          <w:bCs/>
          <w:i/>
        </w:rPr>
        <w:t xml:space="preserve"> Do kraja </w:t>
      </w:r>
      <w:r w:rsidR="00DE0CC3">
        <w:rPr>
          <w:rFonts w:cs="Arial"/>
          <w:bCs/>
          <w:i/>
        </w:rPr>
        <w:t>2014.</w:t>
      </w:r>
      <w:r w:rsidR="003200E4">
        <w:rPr>
          <w:rFonts w:cs="Arial"/>
          <w:bCs/>
          <w:i/>
        </w:rPr>
        <w:t>godine je projektovana stopa rasta na istom nivou kao prethodne godine</w:t>
      </w:r>
      <w:r w:rsidR="00B05F4F">
        <w:rPr>
          <w:rFonts w:cs="Arial"/>
          <w:bCs/>
          <w:i/>
        </w:rPr>
        <w:t xml:space="preserve"> </w:t>
      </w:r>
      <w:r w:rsidR="00DE0CC3">
        <w:rPr>
          <w:rFonts w:cs="Arial"/>
          <w:bCs/>
          <w:i/>
        </w:rPr>
        <w:t>(3,5%). Izvori rasta su grane koje imaju komparativne prednosti, a to su: turizam i poljoprivreda, potpomognute snažnim impulsom od najavljene investicione aktivnosti</w:t>
      </w:r>
      <w:r w:rsidR="00033BED">
        <w:rPr>
          <w:rFonts w:cs="Arial"/>
          <w:bCs/>
          <w:i/>
        </w:rPr>
        <w:t>,</w:t>
      </w:r>
      <w:r w:rsidR="00DE0CC3">
        <w:rPr>
          <w:rFonts w:cs="Arial"/>
          <w:bCs/>
          <w:i/>
        </w:rPr>
        <w:t xml:space="preserve"> koji ć</w:t>
      </w:r>
      <w:r w:rsidR="00B05F4F">
        <w:rPr>
          <w:rFonts w:cs="Arial"/>
          <w:bCs/>
          <w:i/>
        </w:rPr>
        <w:t>e se materijalizovati kroz rast</w:t>
      </w:r>
      <w:r w:rsidR="00DE0CC3">
        <w:rPr>
          <w:rFonts w:cs="Arial"/>
          <w:bCs/>
          <w:i/>
        </w:rPr>
        <w:t xml:space="preserve"> sektora građevinarstva, trgovine i transporta. Negativan uticaj proizvešće se</w:t>
      </w:r>
      <w:r w:rsidR="00B05F4F">
        <w:rPr>
          <w:rFonts w:cs="Arial"/>
          <w:bCs/>
          <w:i/>
        </w:rPr>
        <w:t>k</w:t>
      </w:r>
      <w:r w:rsidR="00DE0CC3">
        <w:rPr>
          <w:rFonts w:cs="Arial"/>
          <w:bCs/>
          <w:i/>
        </w:rPr>
        <w:t>tor proizvodnje i snabdijevanja električnom energijom zbog izuzetno visoke osnove iz 2013. godine.</w:t>
      </w:r>
    </w:p>
    <w:p w:rsidR="00033BED" w:rsidRDefault="001823BC" w:rsidP="00994469">
      <w:pPr>
        <w:spacing w:after="0" w:line="240" w:lineRule="auto"/>
        <w:jc w:val="both"/>
        <w:rPr>
          <w:rFonts w:cs="Arial"/>
          <w:bCs/>
          <w:i/>
        </w:rPr>
      </w:pPr>
      <w:r w:rsidRPr="001823BC">
        <w:rPr>
          <w:rFonts w:cs="Arial"/>
          <w:bCs/>
          <w:i/>
        </w:rPr>
        <w:t>Nastavlja se trend pada potrošačkih cijena i u 2014. godini. Godišnja stopa inflacije (CPI) u aprilu je iznosila  -1,4%, što je pad od 1,0p.p</w:t>
      </w:r>
      <w:r w:rsidR="00033BED">
        <w:rPr>
          <w:rFonts w:cs="Arial"/>
          <w:bCs/>
          <w:i/>
        </w:rPr>
        <w:t>.</w:t>
      </w:r>
      <w:r w:rsidRPr="001823BC">
        <w:rPr>
          <w:rFonts w:cs="Arial"/>
          <w:bCs/>
          <w:i/>
        </w:rPr>
        <w:t xml:space="preserve"> u odnosu na januar, dok je prosječna stopa u periodu januar-april 2014. godine iznosila -0,8%.</w:t>
      </w:r>
    </w:p>
    <w:p w:rsidR="00994469" w:rsidRPr="00994469" w:rsidRDefault="00994469" w:rsidP="00994469">
      <w:pPr>
        <w:spacing w:after="0" w:line="240" w:lineRule="auto"/>
        <w:jc w:val="both"/>
        <w:rPr>
          <w:rFonts w:cs="Arial"/>
          <w:bCs/>
          <w:i/>
          <w:sz w:val="10"/>
          <w:szCs w:val="10"/>
        </w:rPr>
      </w:pPr>
    </w:p>
    <w:p w:rsidR="00DE0CC3" w:rsidRDefault="001823BC" w:rsidP="00994469">
      <w:pPr>
        <w:spacing w:after="0" w:line="240" w:lineRule="auto"/>
        <w:jc w:val="both"/>
        <w:rPr>
          <w:rFonts w:cs="Arial"/>
          <w:bCs/>
          <w:i/>
        </w:rPr>
      </w:pPr>
      <w:r>
        <w:rPr>
          <w:rFonts w:cs="Arial"/>
          <w:bCs/>
          <w:i/>
        </w:rPr>
        <w:t>U period januar-april 2014 zaposlenost je rasla po stopi od 0,9% dok zarade nominalno blago padaju(1%), ali je zbog deflacije realna zarada na skoro istom nivou kao prethodne godine.</w:t>
      </w:r>
    </w:p>
    <w:p w:rsidR="001823BC" w:rsidRDefault="00B05F4F" w:rsidP="00994469">
      <w:pPr>
        <w:spacing w:after="0" w:line="240" w:lineRule="auto"/>
        <w:jc w:val="both"/>
        <w:rPr>
          <w:rFonts w:cs="Arial"/>
          <w:bCs/>
          <w:i/>
        </w:rPr>
      </w:pPr>
      <w:r>
        <w:rPr>
          <w:rFonts w:cs="Arial"/>
          <w:bCs/>
          <w:i/>
        </w:rPr>
        <w:t xml:space="preserve">Kreditiranje </w:t>
      </w:r>
      <w:r w:rsidR="001823BC" w:rsidRPr="001823BC">
        <w:rPr>
          <w:rFonts w:cs="Arial"/>
          <w:bCs/>
          <w:i/>
        </w:rPr>
        <w:t xml:space="preserve">nije na </w:t>
      </w:r>
      <w:r w:rsidR="001823BC">
        <w:rPr>
          <w:rFonts w:cs="Arial"/>
          <w:bCs/>
          <w:i/>
        </w:rPr>
        <w:t>nivou</w:t>
      </w:r>
      <w:r w:rsidR="001823BC" w:rsidRPr="001823BC">
        <w:rPr>
          <w:rFonts w:cs="Arial"/>
          <w:bCs/>
          <w:i/>
        </w:rPr>
        <w:t xml:space="preserve"> koji bi bio zadovoljavajući za privredne subjekte, dok su visoke kamatne stope uticale na destimulisanje privrednih aktivnosti. Tako je kreditna aktivnost banaka u aprilu 2014 godine smanjena na mjesečnom nivou za 0,8%, dok je pad na godišnjem nivou iznosio 3,2%.</w:t>
      </w:r>
      <w:r w:rsidR="001823BC">
        <w:rPr>
          <w:rFonts w:cs="Arial"/>
          <w:bCs/>
          <w:i/>
        </w:rPr>
        <w:t xml:space="preserve"> U isto vrijeme depoziti rastu po stopi od 7,3%. </w:t>
      </w:r>
      <w:r w:rsidR="003200E4">
        <w:rPr>
          <w:rFonts w:cs="Arial"/>
          <w:bCs/>
          <w:i/>
        </w:rPr>
        <w:t>Potencijalni rizik</w:t>
      </w:r>
      <w:r w:rsidR="00033BED">
        <w:rPr>
          <w:rFonts w:cs="Arial"/>
          <w:bCs/>
          <w:i/>
        </w:rPr>
        <w:t xml:space="preserve"> za očuvanje</w:t>
      </w:r>
      <w:r w:rsidR="001823BC" w:rsidRPr="003200E4">
        <w:rPr>
          <w:rFonts w:cs="Arial"/>
          <w:bCs/>
          <w:i/>
        </w:rPr>
        <w:t xml:space="preserve"> finansijske stabilnosti i prepreka rastu kreditne aktivnosti  je i dalje visok nivo nekvalitetnih kredita (NPL), što zahtijeva produženje procesa konsolidacije banaka i obezbjeđenje rezervacija za kreditne gubitke. I pored visokog nivoa nekvalitetnih kredita, koji u aprilu iznosi 393,9 mil.€, došlo je do njihovog smanjenja na godišnjem </w:t>
      </w:r>
      <w:r w:rsidR="001823BC" w:rsidRPr="003200E4">
        <w:rPr>
          <w:rFonts w:cs="Arial"/>
          <w:bCs/>
          <w:i/>
        </w:rPr>
        <w:lastRenderedPageBreak/>
        <w:t xml:space="preserve">nivou od 18,1%. Pri tome, njihovo učešće u ukupnim kreditima je smanjeno i u aprilu ove godine iznosi 16,38%. </w:t>
      </w:r>
    </w:p>
    <w:p w:rsidR="00994469" w:rsidRPr="00994469" w:rsidRDefault="00994469" w:rsidP="00994469">
      <w:pPr>
        <w:spacing w:after="0" w:line="240" w:lineRule="auto"/>
        <w:jc w:val="both"/>
        <w:rPr>
          <w:rFonts w:cs="Arial"/>
          <w:bCs/>
          <w:i/>
          <w:sz w:val="10"/>
          <w:szCs w:val="10"/>
        </w:rPr>
      </w:pPr>
    </w:p>
    <w:p w:rsidR="00DE0CC3" w:rsidRDefault="00DE0CC3" w:rsidP="00994469">
      <w:pPr>
        <w:spacing w:after="0" w:line="240" w:lineRule="auto"/>
        <w:jc w:val="both"/>
        <w:rPr>
          <w:rFonts w:cs="Arial"/>
          <w:bCs/>
          <w:i/>
        </w:rPr>
      </w:pPr>
      <w:r w:rsidRPr="00DE0CC3">
        <w:rPr>
          <w:rFonts w:cs="Arial"/>
          <w:bCs/>
          <w:i/>
        </w:rPr>
        <w:t>Spoljnotrgovinska pozicija Crne Gore u periodu januar – april 2014. je evidentno slabija, usljed dugoročno prisutnih negativnih promjena u segmentu izvozne proizvodnje metalske industrije, negativnog energetskog bilansa, kao i smanjene agregatne tražnje.</w:t>
      </w:r>
    </w:p>
    <w:p w:rsidR="00994469" w:rsidRPr="00994469" w:rsidRDefault="00994469" w:rsidP="00994469">
      <w:pPr>
        <w:spacing w:after="0" w:line="240" w:lineRule="auto"/>
        <w:jc w:val="both"/>
        <w:rPr>
          <w:rFonts w:cs="Arial"/>
          <w:bCs/>
          <w:i/>
          <w:sz w:val="10"/>
          <w:szCs w:val="10"/>
        </w:rPr>
      </w:pPr>
    </w:p>
    <w:p w:rsidR="001823BC" w:rsidRDefault="00DE0CC3" w:rsidP="00994469">
      <w:pPr>
        <w:spacing w:after="0" w:line="240" w:lineRule="auto"/>
        <w:jc w:val="both"/>
        <w:rPr>
          <w:rFonts w:cs="Arial"/>
          <w:bCs/>
          <w:i/>
        </w:rPr>
      </w:pPr>
      <w:r w:rsidRPr="00DE0CC3">
        <w:rPr>
          <w:rFonts w:cs="Arial"/>
          <w:bCs/>
          <w:i/>
        </w:rPr>
        <w:t>Eksterna robna razmjena bilježi brži pad izvoza od uvoza robe, koji je doprinio povećanju spoljnotrgovinskog deficita za 1,9% i njegovoj vrijednosti  od 406,9 mil.€. Ukupna robna razmjena je iznosila 591,9 mil.€ i smanjena je za 9,1%, pod uticajem kretanja izvoza i uvoza robe. Ostvaren je  izvoz u vrijednosti od 92,5mil.€, dok je uvoz iznosio 499,4mil.</w:t>
      </w:r>
      <w:r>
        <w:rPr>
          <w:rFonts w:cs="Arial"/>
          <w:bCs/>
          <w:i/>
        </w:rPr>
        <w:t>€, što je za 26,7% i 4,9% manje.</w:t>
      </w:r>
    </w:p>
    <w:p w:rsidR="00B16712" w:rsidRDefault="00033BED" w:rsidP="00994469">
      <w:pPr>
        <w:spacing w:after="0" w:line="240" w:lineRule="auto"/>
        <w:jc w:val="both"/>
        <w:rPr>
          <w:i/>
        </w:rPr>
      </w:pPr>
      <w:r>
        <w:rPr>
          <w:i/>
        </w:rPr>
        <w:t>Mjere fiskalne politike u 2014.</w:t>
      </w:r>
      <w:r w:rsidR="000376B4" w:rsidRPr="000376B4">
        <w:rPr>
          <w:i/>
        </w:rPr>
        <w:t xml:space="preserve"> godini usmjerene su na konsolidaciju javnih finansija, održivost javnog duga i smanjenje budžetskog deficita. Komisija za suzbijanje sive ekonomije preduzima efikasne mjere na suzbijanju sive ekonomije, koje su usmjerene na unaprijeđenje poreske discipline i proširenje poreske baze. </w:t>
      </w:r>
    </w:p>
    <w:p w:rsidR="00994469" w:rsidRPr="00994469" w:rsidRDefault="00994469" w:rsidP="00994469">
      <w:pPr>
        <w:spacing w:after="0" w:line="240" w:lineRule="auto"/>
        <w:jc w:val="both"/>
        <w:rPr>
          <w:i/>
          <w:sz w:val="10"/>
          <w:szCs w:val="10"/>
        </w:rPr>
      </w:pPr>
    </w:p>
    <w:p w:rsidR="00B16712" w:rsidRDefault="000376B4" w:rsidP="00994469">
      <w:pPr>
        <w:spacing w:after="0" w:line="240" w:lineRule="auto"/>
        <w:jc w:val="both"/>
        <w:rPr>
          <w:i/>
        </w:rPr>
      </w:pPr>
      <w:r w:rsidRPr="000376B4">
        <w:rPr>
          <w:b/>
          <w:i/>
        </w:rPr>
        <w:t>Prihodi Budžeta</w:t>
      </w:r>
      <w:r w:rsidRPr="000376B4">
        <w:rPr>
          <w:i/>
        </w:rPr>
        <w:t xml:space="preserve"> u periodu januar-april 2014. godine kontinuirano rastu. U ovom periodu naplaćeno je 362,2 mil. €, što predstavlja rast od 11,9% u odnosu na isti period 2013. godine. Najveći doprinos povećanju prihoda ostvaren je kod prihoda od PDV-a, koji su u ovom periodu naplaćeni u iznosu 137,3 mil. € i povećani su u odnosu na isti period 2013. godine za 21,6%. Prihodi od PDV-a povećani su zbog povećanja osnovne stope PDV-a na 19%, sredinom 2013. godine, kao i zbog rasta ekonomske aktivnosti i smanjenja sive ekonomije. Takođe, porast u odnosu na prethodnu godinu bilježe doprinosi koji su naplaćeni u iznosu od 107,2 mil. €, što predstavlja rast od 11,8% u odnosu na isti period prošle godine. Na porast doprinosa uticalo je povećanje broja legalno zaposlenih lica, kao i smanjenje poreskog duga po ovom osnovu. Rast od 20,9% u odnosu na isti period 2013. godine ostvaren je kod naplate poreza na dobit pravnih lica. </w:t>
      </w:r>
    </w:p>
    <w:p w:rsidR="00994469" w:rsidRPr="00994469" w:rsidRDefault="00994469" w:rsidP="00994469">
      <w:pPr>
        <w:spacing w:after="0" w:line="240" w:lineRule="auto"/>
        <w:jc w:val="both"/>
        <w:rPr>
          <w:i/>
          <w:sz w:val="10"/>
          <w:szCs w:val="10"/>
        </w:rPr>
      </w:pPr>
    </w:p>
    <w:p w:rsidR="00B16712" w:rsidRDefault="000376B4" w:rsidP="00994469">
      <w:pPr>
        <w:spacing w:after="0" w:line="240" w:lineRule="auto"/>
        <w:jc w:val="both"/>
        <w:rPr>
          <w:i/>
        </w:rPr>
      </w:pPr>
      <w:r w:rsidRPr="000376B4">
        <w:rPr>
          <w:b/>
          <w:i/>
        </w:rPr>
        <w:t xml:space="preserve">Rashodi budžeta </w:t>
      </w:r>
      <w:r w:rsidRPr="000376B4">
        <w:rPr>
          <w:i/>
        </w:rPr>
        <w:t xml:space="preserve">za prva četiri mjeseca 2014. godine izvršeni su u iznosu od 421,4 mi. € i u odnosu na 2013.godinu  povećani su za 22,3 mil. € ili za 5,6%, uglavnom zbog povećanja rashoda za plaćanje garancija i kamata. U cilju racionalizacije budžetske potrošnje primjenjuju se mjere štednje. Imajući u vidu da se ove mjere primjenjuju od 2009. godine prostor za njihovo djelovanje je u velikoj mjeri smanjen. Takođe, vodi se računa da se pri tome ne ugrožava efikasno funkcionisanje cijelog sistema javnog sektora. </w:t>
      </w:r>
    </w:p>
    <w:p w:rsidR="00994469" w:rsidRPr="00994469" w:rsidRDefault="00994469" w:rsidP="00994469">
      <w:pPr>
        <w:spacing w:after="0" w:line="240" w:lineRule="auto"/>
        <w:jc w:val="both"/>
        <w:rPr>
          <w:i/>
          <w:sz w:val="10"/>
          <w:szCs w:val="10"/>
        </w:rPr>
      </w:pPr>
    </w:p>
    <w:p w:rsidR="000376B4" w:rsidRDefault="000376B4" w:rsidP="00994469">
      <w:pPr>
        <w:spacing w:after="0" w:line="240" w:lineRule="auto"/>
        <w:jc w:val="both"/>
        <w:rPr>
          <w:i/>
          <w:lang w:val="sr-Latn-CS"/>
        </w:rPr>
      </w:pPr>
      <w:r w:rsidRPr="000376B4">
        <w:rPr>
          <w:b/>
          <w:i/>
        </w:rPr>
        <w:t>Deficit</w:t>
      </w:r>
      <w:r w:rsidRPr="000376B4">
        <w:rPr>
          <w:i/>
        </w:rPr>
        <w:t xml:space="preserve"> državnog Budžeta u 2014. godini  planiran je u iznosu od 61,6 mil€ ili 1,7 %BDP-a prema ZOB-u za 2014.g. Međutim, procjena je da će se do kraja godine smanjiti na iznos od  51,4 mil. € ili 1,5% BDP-a na osnovu dinamike naplate prihoda za prva četiri mjeseca ove godine. Primarni suficit budžeta (deficit umanjen za</w:t>
      </w:r>
      <w:r w:rsidR="00033BED">
        <w:rPr>
          <w:i/>
        </w:rPr>
        <w:t xml:space="preserve"> rashode za kamate) procijenjen</w:t>
      </w:r>
      <w:r w:rsidRPr="000376B4">
        <w:rPr>
          <w:i/>
        </w:rPr>
        <w:t xml:space="preserve"> je u iznosu od 21,9 mil. €. </w:t>
      </w:r>
      <w:r w:rsidRPr="000376B4">
        <w:rPr>
          <w:b/>
          <w:i/>
          <w:lang w:val="sr-Latn-CS"/>
        </w:rPr>
        <w:t xml:space="preserve">Državni dug na kraju aprila 2014.godine </w:t>
      </w:r>
      <w:r w:rsidRPr="000376B4">
        <w:rPr>
          <w:i/>
          <w:lang w:val="sr-Latn-CS"/>
        </w:rPr>
        <w:t>iznosio je 1.990,2 mil.€ ili 56,6 % procijenjenog BDP-a i smanjen  je za 0,4p.p. u odnosu na prethodni mjesec. Unutrašnji dug je iznosio 588,1 mil€ ili 16,7 % BDP, dok je dug prema nerezidentima 1.402,1 mil€ ili 39,9%BDP.</w:t>
      </w:r>
    </w:p>
    <w:p w:rsidR="00994469" w:rsidRPr="00994469" w:rsidRDefault="00994469" w:rsidP="00994469">
      <w:pPr>
        <w:spacing w:after="0" w:line="240" w:lineRule="auto"/>
        <w:jc w:val="both"/>
        <w:rPr>
          <w:rFonts w:cs="Arial"/>
          <w:bCs/>
          <w:i/>
          <w:sz w:val="10"/>
          <w:szCs w:val="10"/>
          <w:lang w:val="sr-Latn-CS"/>
        </w:rPr>
      </w:pPr>
    </w:p>
    <w:p w:rsidR="00007042" w:rsidRPr="002A0D12" w:rsidRDefault="00007042" w:rsidP="00994469">
      <w:pPr>
        <w:autoSpaceDE w:val="0"/>
        <w:autoSpaceDN w:val="0"/>
        <w:adjustRightInd w:val="0"/>
        <w:spacing w:after="0" w:line="240" w:lineRule="auto"/>
        <w:jc w:val="both"/>
        <w:rPr>
          <w:rFonts w:cs="Arial"/>
          <w:i/>
        </w:rPr>
      </w:pPr>
      <w:r w:rsidRPr="002A0D12">
        <w:rPr>
          <w:rFonts w:cs="Arial"/>
          <w:i/>
        </w:rPr>
        <w:t>Proces evroatlanskih integracija nametnuo je ozbiljan pristup strukturnim reformama, koje je Crna Gora prepoznala kao uslov za prevazilaženje posljedica krize, a, na dugi rok, stvaranje konkurentnog sistema koji će obezbijediti održiv ekonomski rast i razvoj. S tim u vezi, kao odgovor na razvojni imperativ, sprovode se makroekonomske politike u pravcu jačanja konkurentnosti ekonomskog sistema, razvoja preduzetništva, sektora malog i srednjeg biznisa i njegove ravnomjernije regionalne alokacije. Istovremeno, strukturne transformacije su od ključnog značaja za alokaciju resursa u privredne grane koje Crnoj Gori obezbjeđuju komparativnu prednost (turizam, poljoprivreda, energetika i sl.), a koje, sa druge strane, imaju značajan multiplikativni efekat na društveno-ekonomski razvoj u cjelini. Razvojna šansa za crnogorsku ekonomiju, pored domaćih pokretača rasta, je i angažovanje inostranog kapitala u realizaciji većih infrastrukturnih projekata.</w:t>
      </w:r>
    </w:p>
    <w:p w:rsidR="00007042" w:rsidRPr="009D407D" w:rsidRDefault="00007042" w:rsidP="00994469">
      <w:pPr>
        <w:spacing w:after="0" w:line="240" w:lineRule="auto"/>
        <w:jc w:val="both"/>
        <w:rPr>
          <w:rFonts w:cs="Arial"/>
          <w:i/>
        </w:rPr>
      </w:pPr>
    </w:p>
    <w:p w:rsidR="00357A96" w:rsidRPr="009D407D" w:rsidRDefault="00652D32" w:rsidP="00652D32">
      <w:pPr>
        <w:tabs>
          <w:tab w:val="left" w:pos="2093"/>
        </w:tabs>
        <w:spacing w:after="0" w:line="240" w:lineRule="auto"/>
        <w:jc w:val="both"/>
        <w:rPr>
          <w:rFonts w:cs="Arial"/>
          <w:i/>
        </w:rPr>
      </w:pPr>
      <w:r w:rsidRPr="009D407D">
        <w:rPr>
          <w:rFonts w:cs="Arial"/>
          <w:i/>
        </w:rPr>
        <w:tab/>
      </w:r>
    </w:p>
    <w:p w:rsidR="009B596C" w:rsidRPr="00994469" w:rsidRDefault="009E08CA" w:rsidP="00994469">
      <w:pPr>
        <w:pStyle w:val="Heading1"/>
        <w:spacing w:after="0"/>
        <w:rPr>
          <w:sz w:val="32"/>
          <w:szCs w:val="32"/>
        </w:rPr>
      </w:pPr>
      <w:bookmarkStart w:id="9" w:name="_Toc389745261"/>
      <w:r w:rsidRPr="00994469">
        <w:rPr>
          <w:sz w:val="32"/>
          <w:szCs w:val="32"/>
        </w:rPr>
        <w:lastRenderedPageBreak/>
        <w:t>MAKROEKONOMSKI TRENDOVI U PERIOD</w:t>
      </w:r>
      <w:r w:rsidR="00A52839" w:rsidRPr="00994469">
        <w:rPr>
          <w:sz w:val="32"/>
          <w:szCs w:val="32"/>
        </w:rPr>
        <w:t>U</w:t>
      </w:r>
      <w:r w:rsidRPr="00994469">
        <w:rPr>
          <w:sz w:val="32"/>
          <w:szCs w:val="32"/>
        </w:rPr>
        <w:t xml:space="preserve"> JANUAR-APRIL 2014.</w:t>
      </w:r>
      <w:bookmarkEnd w:id="9"/>
    </w:p>
    <w:p w:rsidR="00994469" w:rsidRPr="00994469" w:rsidRDefault="00994469" w:rsidP="00994469"/>
    <w:p w:rsidR="00231F5E" w:rsidRPr="00994469" w:rsidRDefault="007D1275" w:rsidP="00994469">
      <w:pPr>
        <w:pStyle w:val="Heading2"/>
        <w:spacing w:after="0" w:line="240" w:lineRule="auto"/>
        <w:rPr>
          <w:sz w:val="24"/>
          <w:szCs w:val="24"/>
        </w:rPr>
      </w:pPr>
      <w:bookmarkStart w:id="10" w:name="_Toc389745262"/>
      <w:r w:rsidRPr="00994469">
        <w:rPr>
          <w:sz w:val="24"/>
          <w:szCs w:val="24"/>
        </w:rPr>
        <w:t>MEĐUNARODNO OKRUŽENJE</w:t>
      </w:r>
      <w:bookmarkEnd w:id="10"/>
    </w:p>
    <w:p w:rsidR="00994469" w:rsidRPr="00994469" w:rsidRDefault="00994469" w:rsidP="00994469"/>
    <w:p w:rsidR="00942280" w:rsidRDefault="00942280" w:rsidP="00994469">
      <w:pPr>
        <w:spacing w:after="0" w:line="240" w:lineRule="auto"/>
        <w:jc w:val="both"/>
        <w:rPr>
          <w:rStyle w:val="hps"/>
          <w:rFonts w:cs="Calibri"/>
          <w:bCs/>
        </w:rPr>
      </w:pPr>
      <w:r w:rsidRPr="00654317">
        <w:rPr>
          <w:rStyle w:val="hps"/>
          <w:rFonts w:cs="Calibri"/>
          <w:b/>
          <w:bCs/>
        </w:rPr>
        <w:t>Ekonomski sentiment Eurozone, mjeren kompozitnim indikatorom (ESI) kontinuirano raste od novembra 2013. godine, a u maju 2014. godine je  dostigao vrijednost od 102,7  što ukazuje na rast povjerenja potrošača i menadžera u buduća kretanja ekonomije</w:t>
      </w:r>
      <w:r w:rsidRPr="00654317">
        <w:rPr>
          <w:rStyle w:val="FootnoteReference"/>
          <w:rFonts w:cs="Calibri"/>
          <w:b/>
          <w:bCs/>
        </w:rPr>
        <w:footnoteReference w:id="2"/>
      </w:r>
      <w:r w:rsidRPr="00654317">
        <w:rPr>
          <w:rStyle w:val="hps"/>
          <w:rFonts w:cs="Calibri"/>
          <w:b/>
          <w:bCs/>
        </w:rPr>
        <w:t xml:space="preserve">. </w:t>
      </w:r>
      <w:r>
        <w:rPr>
          <w:rStyle w:val="hps"/>
          <w:rFonts w:cs="Calibri"/>
          <w:bCs/>
        </w:rPr>
        <w:t>U maju je ovaj indeks praktično stagnirao u EU (</w:t>
      </w:r>
      <w:r w:rsidR="009246A8">
        <w:rPr>
          <w:rStyle w:val="hps"/>
          <w:rFonts w:cs="Calibri"/>
          <w:bCs/>
        </w:rPr>
        <w:t>106,5,</w:t>
      </w:r>
      <w:r w:rsidR="00807A20">
        <w:rPr>
          <w:rStyle w:val="hps"/>
          <w:rFonts w:cs="Calibri"/>
          <w:bCs/>
        </w:rPr>
        <w:t xml:space="preserve"> </w:t>
      </w:r>
      <w:r w:rsidR="00571B54">
        <w:rPr>
          <w:rStyle w:val="hps"/>
          <w:rFonts w:cs="Calibri"/>
          <w:bCs/>
        </w:rPr>
        <w:t xml:space="preserve">za </w:t>
      </w:r>
      <w:r>
        <w:rPr>
          <w:rStyle w:val="hps"/>
          <w:rFonts w:cs="Calibri"/>
          <w:bCs/>
        </w:rPr>
        <w:t>0,2</w:t>
      </w:r>
      <w:r w:rsidR="00571B54">
        <w:rPr>
          <w:rStyle w:val="hps"/>
          <w:rFonts w:cs="Calibri"/>
          <w:bCs/>
        </w:rPr>
        <w:t xml:space="preserve"> poena viši</w:t>
      </w:r>
      <w:r>
        <w:rPr>
          <w:rStyle w:val="hps"/>
          <w:rFonts w:cs="Calibri"/>
          <w:bCs/>
        </w:rPr>
        <w:t xml:space="preserve"> u odnosu na april). U eurozoni je porastao kao posljedica jačanja povjerenja potrošača, menadžera u industriji kao i menadžera u građevinarstvu. Indikatori uslužnih djelatnosti i maloprodaje ostaju stab</w:t>
      </w:r>
      <w:r w:rsidR="0030612A">
        <w:rPr>
          <w:rStyle w:val="hps"/>
          <w:rFonts w:cs="Calibri"/>
          <w:bCs/>
        </w:rPr>
        <w:t>ilni. ESI je rastao u Španiji (</w:t>
      </w:r>
      <w:r>
        <w:rPr>
          <w:rStyle w:val="hps"/>
          <w:rFonts w:cs="Calibri"/>
          <w:bCs/>
        </w:rPr>
        <w:t>0,4), Italiji (</w:t>
      </w:r>
      <w:r w:rsidR="0030612A">
        <w:rPr>
          <w:rStyle w:val="hps"/>
          <w:rFonts w:cs="Calibri"/>
          <w:bCs/>
        </w:rPr>
        <w:t>0,5), Njemačkoj (0,6) i naročito u Holandiji (</w:t>
      </w:r>
      <w:r>
        <w:rPr>
          <w:rStyle w:val="hps"/>
          <w:rFonts w:cs="Calibri"/>
          <w:bCs/>
        </w:rPr>
        <w:t>1,3). Pad povjeren</w:t>
      </w:r>
      <w:r w:rsidR="0030612A">
        <w:rPr>
          <w:rStyle w:val="hps"/>
          <w:rFonts w:cs="Calibri"/>
          <w:bCs/>
        </w:rPr>
        <w:t>ja je zabilježen u Francuskoj (</w:t>
      </w:r>
      <w:r>
        <w:rPr>
          <w:rStyle w:val="hps"/>
          <w:rFonts w:cs="Calibri"/>
          <w:bCs/>
        </w:rPr>
        <w:t xml:space="preserve">0,4). Iako indikatori povjerenja rastu, snažniji rast ekonomske aktivnosti izostaje, dok je nezaposlenost i dalje na visokom nivou koji podriva socijalnu koheziju. Posljedice krize u Eurozoni i visoke stope nezaposlenosti su se pretočile u snažan </w:t>
      </w:r>
      <w:r w:rsidR="0030612A">
        <w:rPr>
          <w:rStyle w:val="hps"/>
          <w:rFonts w:cs="Calibri"/>
          <w:bCs/>
        </w:rPr>
        <w:t>rast</w:t>
      </w:r>
      <w:r>
        <w:rPr>
          <w:rStyle w:val="hps"/>
          <w:rFonts w:cs="Calibri"/>
          <w:bCs/>
        </w:rPr>
        <w:t xml:space="preserve"> povjerenja u euroskeptične stranke na izborima za evropski parlament završenim krajem maja 2014. godine.</w:t>
      </w:r>
    </w:p>
    <w:p w:rsidR="00942280" w:rsidRDefault="00942280" w:rsidP="00994469">
      <w:pPr>
        <w:spacing w:after="0" w:line="240" w:lineRule="auto"/>
        <w:jc w:val="both"/>
        <w:rPr>
          <w:rStyle w:val="hps"/>
          <w:rFonts w:cs="Calibri"/>
          <w:bCs/>
        </w:rPr>
      </w:pPr>
    </w:p>
    <w:p w:rsidR="00942280" w:rsidRDefault="00942280" w:rsidP="00994469">
      <w:pPr>
        <w:spacing w:after="0" w:line="240" w:lineRule="auto"/>
        <w:jc w:val="both"/>
        <w:rPr>
          <w:rStyle w:val="hps"/>
          <w:rFonts w:cs="Calibri"/>
          <w:bCs/>
        </w:rPr>
      </w:pPr>
      <w:r w:rsidRPr="00654317">
        <w:rPr>
          <w:rStyle w:val="hps"/>
          <w:rFonts w:cs="Calibri"/>
          <w:b/>
          <w:bCs/>
        </w:rPr>
        <w:t>Podaci pokazuju da je Eurozona u prvom kvartalu 2014</w:t>
      </w:r>
      <w:r w:rsidR="009D26E5" w:rsidRPr="00654317">
        <w:rPr>
          <w:rStyle w:val="hps"/>
          <w:rFonts w:cs="Calibri"/>
          <w:b/>
          <w:bCs/>
        </w:rPr>
        <w:t>.</w:t>
      </w:r>
      <w:r w:rsidRPr="00654317">
        <w:rPr>
          <w:rStyle w:val="hps"/>
          <w:rFonts w:cs="Calibri"/>
          <w:b/>
          <w:bCs/>
        </w:rPr>
        <w:t xml:space="preserve"> zabilježila rast BDP-a u odnosu na prethodni od svega 0,2%, kao i u </w:t>
      </w:r>
      <w:r w:rsidR="0030612A" w:rsidRPr="00654317">
        <w:rPr>
          <w:rStyle w:val="hps"/>
          <w:rFonts w:cs="Calibri"/>
          <w:b/>
          <w:bCs/>
        </w:rPr>
        <w:t>IV</w:t>
      </w:r>
      <w:r w:rsidRPr="00654317">
        <w:rPr>
          <w:rStyle w:val="hps"/>
          <w:rFonts w:cs="Calibri"/>
          <w:b/>
          <w:bCs/>
        </w:rPr>
        <w:t xml:space="preserve"> kvartalu</w:t>
      </w:r>
      <w:r w:rsidR="0030612A" w:rsidRPr="00654317">
        <w:rPr>
          <w:rStyle w:val="hps"/>
          <w:rFonts w:cs="Calibri"/>
          <w:b/>
          <w:bCs/>
        </w:rPr>
        <w:t xml:space="preserve"> 2013</w:t>
      </w:r>
      <w:r w:rsidRPr="00654317">
        <w:rPr>
          <w:rStyle w:val="hps"/>
          <w:rFonts w:cs="Calibri"/>
          <w:b/>
          <w:bCs/>
        </w:rPr>
        <w:t xml:space="preserve">, što je ispod očekivanja tržišta i kretanja indikatora povjerenja. </w:t>
      </w:r>
      <w:r>
        <w:rPr>
          <w:rStyle w:val="hps"/>
          <w:rFonts w:cs="Calibri"/>
          <w:bCs/>
        </w:rPr>
        <w:t>Pri tome je Njemačka ekonomija rasla najače, Francuska stagnirala, a Italija zabilježila kontrakciju. EU je u istom period</w:t>
      </w:r>
      <w:r w:rsidR="009D26E5">
        <w:rPr>
          <w:rStyle w:val="hps"/>
          <w:rFonts w:cs="Calibri"/>
          <w:bCs/>
        </w:rPr>
        <w:t>u</w:t>
      </w:r>
      <w:r>
        <w:rPr>
          <w:rStyle w:val="hps"/>
          <w:rFonts w:cs="Calibri"/>
          <w:bCs/>
        </w:rPr>
        <w:t xml:space="preserve"> zabilježila rast ekonomije od 0,3%, dok je u prethodnom kvartalu taj rast bio 0,4%</w:t>
      </w:r>
      <w:r>
        <w:rPr>
          <w:rStyle w:val="FootnoteReference"/>
          <w:rFonts w:cs="Calibri"/>
          <w:bCs/>
        </w:rPr>
        <w:footnoteReference w:id="3"/>
      </w:r>
      <w:r>
        <w:rPr>
          <w:rStyle w:val="hps"/>
          <w:rFonts w:cs="Calibri"/>
          <w:bCs/>
        </w:rPr>
        <w:t>. U Eurozoni je najviše</w:t>
      </w:r>
      <w:r w:rsidR="0030612A">
        <w:rPr>
          <w:rStyle w:val="hps"/>
          <w:rFonts w:cs="Calibri"/>
          <w:bCs/>
        </w:rPr>
        <w:t xml:space="preserve"> padala aktivnost u Holandiji (1,4), Estoniji (1,2),  Kipru (0,7) i Portugalu (0,7). U Finskoj je taj pad bio 0,4% i u Italiji </w:t>
      </w:r>
      <w:r>
        <w:rPr>
          <w:rStyle w:val="hps"/>
          <w:rFonts w:cs="Calibri"/>
          <w:bCs/>
        </w:rPr>
        <w:t>0,1. R</w:t>
      </w:r>
      <w:r w:rsidR="0030612A">
        <w:rPr>
          <w:rStyle w:val="hps"/>
          <w:rFonts w:cs="Calibri"/>
          <w:bCs/>
        </w:rPr>
        <w:t>ast je bio najači u Njemačkoj (</w:t>
      </w:r>
      <w:r>
        <w:rPr>
          <w:rStyle w:val="hps"/>
          <w:rFonts w:cs="Calibri"/>
          <w:bCs/>
        </w:rPr>
        <w:t xml:space="preserve">0,8), Španiji i Belgiji po 0,4%. Ovaj rast odgovara godišnjem rastu od 0,9% u Eurozoni i 1,4% u Evropskoj uniji. </w:t>
      </w:r>
      <w:r w:rsidR="00D8542F">
        <w:rPr>
          <w:rStyle w:val="hps"/>
          <w:rFonts w:cs="Calibri"/>
          <w:bCs/>
        </w:rPr>
        <w:t>Proljećnim</w:t>
      </w:r>
      <w:r>
        <w:rPr>
          <w:rStyle w:val="hps"/>
          <w:rFonts w:cs="Calibri"/>
          <w:bCs/>
        </w:rPr>
        <w:t xml:space="preserve"> projekci</w:t>
      </w:r>
      <w:r w:rsidR="00D8542F">
        <w:rPr>
          <w:rStyle w:val="hps"/>
          <w:rFonts w:cs="Calibri"/>
          <w:bCs/>
        </w:rPr>
        <w:t>jama Evropske komisije prikazan je</w:t>
      </w:r>
      <w:r>
        <w:rPr>
          <w:rStyle w:val="hps"/>
          <w:rFonts w:cs="Calibri"/>
          <w:bCs/>
        </w:rPr>
        <w:t xml:space="preserve"> godišnji rast BDP-a od 1,2% u Eurozoni i 1,6% u Evropskoj uniji.</w:t>
      </w:r>
    </w:p>
    <w:p w:rsidR="00942280" w:rsidRDefault="00942280" w:rsidP="00994469">
      <w:pPr>
        <w:spacing w:after="0" w:line="240" w:lineRule="auto"/>
        <w:jc w:val="both"/>
        <w:rPr>
          <w:rStyle w:val="hps"/>
          <w:rFonts w:cs="Calibri"/>
          <w:bCs/>
        </w:rPr>
      </w:pPr>
    </w:p>
    <w:p w:rsidR="004B391B" w:rsidRDefault="00942280" w:rsidP="00994469">
      <w:pPr>
        <w:spacing w:after="0" w:line="240" w:lineRule="auto"/>
        <w:jc w:val="both"/>
        <w:rPr>
          <w:rStyle w:val="hps"/>
          <w:rFonts w:cs="Calibri"/>
          <w:bCs/>
        </w:rPr>
      </w:pPr>
      <w:r w:rsidRPr="00654317">
        <w:rPr>
          <w:rStyle w:val="hps"/>
          <w:rFonts w:cs="Calibri"/>
          <w:b/>
          <w:bCs/>
        </w:rPr>
        <w:t>Stopa inflacije u Eurozoni je u aprilu 2014. godine zabilježila blagi rast u odnosu na</w:t>
      </w:r>
      <w:r w:rsidR="00D8542F" w:rsidRPr="00654317">
        <w:rPr>
          <w:rStyle w:val="hps"/>
          <w:rFonts w:cs="Calibri"/>
          <w:b/>
          <w:bCs/>
        </w:rPr>
        <w:t xml:space="preserve"> mart (0,5%) i iznosila je 0,7%</w:t>
      </w:r>
      <w:r w:rsidRPr="00654317">
        <w:rPr>
          <w:rStyle w:val="hps"/>
          <w:rFonts w:cs="Calibri"/>
          <w:b/>
          <w:bCs/>
        </w:rPr>
        <w:t>.</w:t>
      </w:r>
      <w:r>
        <w:rPr>
          <w:rStyle w:val="hps"/>
          <w:rFonts w:cs="Calibri"/>
          <w:bCs/>
        </w:rPr>
        <w:t xml:space="preserve"> Negativne stope su zabilježene u Grčkoj (-1,6%)</w:t>
      </w:r>
      <w:r w:rsidR="00BF73DF">
        <w:rPr>
          <w:rStyle w:val="hps"/>
          <w:rFonts w:cs="Calibri"/>
          <w:bCs/>
        </w:rPr>
        <w:t>,</w:t>
      </w:r>
      <w:r>
        <w:rPr>
          <w:rStyle w:val="hps"/>
          <w:rFonts w:cs="Calibri"/>
          <w:bCs/>
        </w:rPr>
        <w:t xml:space="preserve"> Bugarskoj</w:t>
      </w:r>
      <w:r w:rsidRPr="00C05B93">
        <w:rPr>
          <w:rStyle w:val="hps"/>
          <w:rFonts w:cs="Calibri"/>
          <w:bCs/>
        </w:rPr>
        <w:t xml:space="preserve"> (-1.3 </w:t>
      </w:r>
      <w:r>
        <w:rPr>
          <w:rStyle w:val="hps"/>
          <w:rFonts w:cs="Calibri"/>
          <w:bCs/>
        </w:rPr>
        <w:t>%</w:t>
      </w:r>
      <w:r w:rsidRPr="00C05B93">
        <w:rPr>
          <w:rStyle w:val="hps"/>
          <w:rFonts w:cs="Calibri"/>
          <w:bCs/>
        </w:rPr>
        <w:t xml:space="preserve">), </w:t>
      </w:r>
      <w:r>
        <w:rPr>
          <w:rStyle w:val="hps"/>
          <w:rFonts w:cs="Calibri"/>
          <w:bCs/>
        </w:rPr>
        <w:t>Kipru</w:t>
      </w:r>
      <w:r w:rsidRPr="00C05B93">
        <w:rPr>
          <w:rStyle w:val="hps"/>
          <w:rFonts w:cs="Calibri"/>
          <w:bCs/>
        </w:rPr>
        <w:t xml:space="preserve"> (-0.4 </w:t>
      </w:r>
      <w:r>
        <w:rPr>
          <w:rStyle w:val="hps"/>
          <w:rFonts w:cs="Calibri"/>
          <w:bCs/>
        </w:rPr>
        <w:t>%</w:t>
      </w:r>
      <w:r w:rsidRPr="00C05B93">
        <w:rPr>
          <w:rStyle w:val="hps"/>
          <w:rFonts w:cs="Calibri"/>
          <w:bCs/>
        </w:rPr>
        <w:t xml:space="preserve">), </w:t>
      </w:r>
      <w:r>
        <w:rPr>
          <w:rStyle w:val="hps"/>
          <w:rFonts w:cs="Calibri"/>
          <w:bCs/>
        </w:rPr>
        <w:t>Mađarskoj i Slovačkoj</w:t>
      </w:r>
      <w:r w:rsidRPr="00C05B93">
        <w:rPr>
          <w:rStyle w:val="hps"/>
          <w:rFonts w:cs="Calibri"/>
          <w:bCs/>
        </w:rPr>
        <w:t xml:space="preserve"> (</w:t>
      </w:r>
      <w:r>
        <w:rPr>
          <w:rStyle w:val="hps"/>
          <w:rFonts w:cs="Calibri"/>
          <w:bCs/>
        </w:rPr>
        <w:t>obje</w:t>
      </w:r>
      <w:r w:rsidRPr="00C05B93">
        <w:rPr>
          <w:rStyle w:val="hps"/>
          <w:rFonts w:cs="Calibri"/>
          <w:bCs/>
        </w:rPr>
        <w:t xml:space="preserve"> -0.2 </w:t>
      </w:r>
      <w:r>
        <w:rPr>
          <w:rStyle w:val="hps"/>
          <w:rFonts w:cs="Calibri"/>
          <w:bCs/>
        </w:rPr>
        <w:t>%</w:t>
      </w:r>
      <w:r w:rsidRPr="00C05B93">
        <w:rPr>
          <w:rStyle w:val="hps"/>
          <w:rFonts w:cs="Calibri"/>
          <w:bCs/>
        </w:rPr>
        <w:t xml:space="preserve">), </w:t>
      </w:r>
      <w:r>
        <w:rPr>
          <w:rStyle w:val="hps"/>
          <w:rFonts w:cs="Calibri"/>
          <w:bCs/>
        </w:rPr>
        <w:t>Hrvatskoj i</w:t>
      </w:r>
      <w:r w:rsidRPr="00C05B93">
        <w:rPr>
          <w:rStyle w:val="hps"/>
          <w:rFonts w:cs="Calibri"/>
          <w:bCs/>
        </w:rPr>
        <w:t xml:space="preserve"> Portugal</w:t>
      </w:r>
      <w:r>
        <w:rPr>
          <w:rStyle w:val="hps"/>
          <w:rFonts w:cs="Calibri"/>
          <w:bCs/>
        </w:rPr>
        <w:t>u</w:t>
      </w:r>
      <w:r w:rsidRPr="00C05B93">
        <w:rPr>
          <w:rStyle w:val="hps"/>
          <w:rFonts w:cs="Calibri"/>
          <w:bCs/>
        </w:rPr>
        <w:t xml:space="preserve"> (</w:t>
      </w:r>
      <w:r>
        <w:rPr>
          <w:rStyle w:val="hps"/>
          <w:rFonts w:cs="Calibri"/>
          <w:bCs/>
        </w:rPr>
        <w:t>obje</w:t>
      </w:r>
      <w:r w:rsidRPr="00C05B93">
        <w:rPr>
          <w:rStyle w:val="hps"/>
          <w:rFonts w:cs="Calibri"/>
          <w:bCs/>
        </w:rPr>
        <w:t xml:space="preserve"> -0.1 </w:t>
      </w:r>
      <w:r>
        <w:rPr>
          <w:rStyle w:val="hps"/>
          <w:rFonts w:cs="Calibri"/>
          <w:bCs/>
        </w:rPr>
        <w:t>%</w:t>
      </w:r>
      <w:r w:rsidRPr="00C05B93">
        <w:rPr>
          <w:rStyle w:val="hps"/>
          <w:rFonts w:cs="Calibri"/>
          <w:bCs/>
        </w:rPr>
        <w:t>)</w:t>
      </w:r>
      <w:r>
        <w:rPr>
          <w:rStyle w:val="hps"/>
          <w:rFonts w:cs="Calibri"/>
          <w:bCs/>
        </w:rPr>
        <w:t>. Najviše su rasle cijene</w:t>
      </w:r>
      <w:r w:rsidR="00BF73DF">
        <w:rPr>
          <w:rStyle w:val="hps"/>
          <w:rFonts w:cs="Calibri"/>
          <w:bCs/>
        </w:rPr>
        <w:t xml:space="preserve"> u Austriji i Rumuniji (po 1,6%),</w:t>
      </w:r>
      <w:r>
        <w:rPr>
          <w:rStyle w:val="hps"/>
          <w:rFonts w:cs="Calibri"/>
          <w:bCs/>
        </w:rPr>
        <w:t xml:space="preserve"> Finskoj (1,3%) i Njemačkoj (1,1%). </w:t>
      </w:r>
      <w:r w:rsidRPr="00C06122">
        <w:rPr>
          <w:rStyle w:val="hps"/>
          <w:rFonts w:cs="Calibri"/>
          <w:b/>
          <w:bCs/>
        </w:rPr>
        <w:t>Stopa nezaposlenosti</w:t>
      </w:r>
      <w:r>
        <w:rPr>
          <w:rStyle w:val="hps"/>
          <w:rFonts w:cs="Calibri"/>
          <w:bCs/>
        </w:rPr>
        <w:t xml:space="preserve"> ostaje nepromijenjena u posljednja četiri mjeseca zaključno s</w:t>
      </w:r>
      <w:r w:rsidR="00D8542F">
        <w:rPr>
          <w:rStyle w:val="hps"/>
          <w:rFonts w:cs="Calibri"/>
          <w:bCs/>
        </w:rPr>
        <w:t>a</w:t>
      </w:r>
      <w:r>
        <w:rPr>
          <w:rStyle w:val="hps"/>
          <w:rFonts w:cs="Calibri"/>
          <w:bCs/>
        </w:rPr>
        <w:t xml:space="preserve"> martom 2014. godine kad je iznosila 11,8% ili 18,9 miliona nezaposlenih. Među zemljama članicama najniža stopa je zabilježena u Austriji</w:t>
      </w:r>
      <w:r w:rsidRPr="00C06122">
        <w:rPr>
          <w:rStyle w:val="hps"/>
          <w:rFonts w:cs="Calibri"/>
          <w:bCs/>
        </w:rPr>
        <w:t xml:space="preserve"> (4.9 </w:t>
      </w:r>
      <w:r>
        <w:rPr>
          <w:rStyle w:val="hps"/>
          <w:rFonts w:cs="Calibri"/>
          <w:bCs/>
        </w:rPr>
        <w:t>%</w:t>
      </w:r>
      <w:r w:rsidRPr="00C06122">
        <w:rPr>
          <w:rStyle w:val="hps"/>
          <w:rFonts w:cs="Calibri"/>
          <w:bCs/>
        </w:rPr>
        <w:t xml:space="preserve">), </w:t>
      </w:r>
      <w:r>
        <w:rPr>
          <w:rStyle w:val="hps"/>
          <w:rFonts w:cs="Calibri"/>
          <w:bCs/>
        </w:rPr>
        <w:t>Njemačkoj</w:t>
      </w:r>
      <w:r w:rsidRPr="00C06122">
        <w:rPr>
          <w:rStyle w:val="hps"/>
          <w:rFonts w:cs="Calibri"/>
          <w:bCs/>
        </w:rPr>
        <w:t xml:space="preserve"> (5.1 </w:t>
      </w:r>
      <w:r>
        <w:rPr>
          <w:rStyle w:val="hps"/>
          <w:rFonts w:cs="Calibri"/>
          <w:bCs/>
        </w:rPr>
        <w:t>%) i</w:t>
      </w:r>
      <w:r w:rsidRPr="00C06122">
        <w:rPr>
          <w:rStyle w:val="hps"/>
          <w:rFonts w:cs="Calibri"/>
          <w:bCs/>
        </w:rPr>
        <w:t xml:space="preserve"> </w:t>
      </w:r>
      <w:r>
        <w:rPr>
          <w:rStyle w:val="hps"/>
          <w:rFonts w:cs="Calibri"/>
          <w:bCs/>
        </w:rPr>
        <w:t>Luksemburgu</w:t>
      </w:r>
      <w:r w:rsidRPr="00C06122">
        <w:rPr>
          <w:rStyle w:val="hps"/>
          <w:rFonts w:cs="Calibri"/>
          <w:bCs/>
        </w:rPr>
        <w:t xml:space="preserve"> (6.1 </w:t>
      </w:r>
      <w:r>
        <w:rPr>
          <w:rStyle w:val="hps"/>
          <w:rFonts w:cs="Calibri"/>
          <w:bCs/>
        </w:rPr>
        <w:t>%</w:t>
      </w:r>
      <w:r w:rsidRPr="00C06122">
        <w:rPr>
          <w:rStyle w:val="hps"/>
          <w:rFonts w:cs="Calibri"/>
          <w:bCs/>
        </w:rPr>
        <w:t xml:space="preserve">), </w:t>
      </w:r>
      <w:r>
        <w:rPr>
          <w:rStyle w:val="hps"/>
          <w:rFonts w:cs="Calibri"/>
          <w:bCs/>
        </w:rPr>
        <w:t>a najveća u Grčkoj</w:t>
      </w:r>
      <w:r w:rsidRPr="00C06122">
        <w:rPr>
          <w:rStyle w:val="hps"/>
          <w:rFonts w:cs="Calibri"/>
          <w:bCs/>
        </w:rPr>
        <w:t xml:space="preserve"> (26.7 </w:t>
      </w:r>
      <w:r>
        <w:rPr>
          <w:rStyle w:val="hps"/>
          <w:rFonts w:cs="Calibri"/>
          <w:bCs/>
        </w:rPr>
        <w:t>%</w:t>
      </w:r>
      <w:r w:rsidRPr="00C06122">
        <w:rPr>
          <w:rStyle w:val="hps"/>
          <w:rFonts w:cs="Calibri"/>
          <w:bCs/>
        </w:rPr>
        <w:t xml:space="preserve"> </w:t>
      </w:r>
      <w:r>
        <w:rPr>
          <w:rStyle w:val="hps"/>
          <w:rFonts w:cs="Calibri"/>
          <w:bCs/>
        </w:rPr>
        <w:t>u januaru 2014) i Španiji</w:t>
      </w:r>
      <w:r w:rsidRPr="00C06122">
        <w:rPr>
          <w:rStyle w:val="hps"/>
          <w:rFonts w:cs="Calibri"/>
          <w:bCs/>
        </w:rPr>
        <w:t xml:space="preserve"> (25.3 </w:t>
      </w:r>
      <w:r>
        <w:rPr>
          <w:rStyle w:val="hps"/>
          <w:rFonts w:cs="Calibri"/>
          <w:bCs/>
        </w:rPr>
        <w:t>%</w:t>
      </w:r>
      <w:r w:rsidRPr="00C06122">
        <w:rPr>
          <w:rStyle w:val="hps"/>
          <w:rFonts w:cs="Calibri"/>
          <w:bCs/>
        </w:rPr>
        <w:t>).</w:t>
      </w:r>
      <w:r>
        <w:rPr>
          <w:rStyle w:val="hps"/>
          <w:rFonts w:cs="Calibri"/>
          <w:bCs/>
        </w:rPr>
        <w:t xml:space="preserve"> </w:t>
      </w:r>
    </w:p>
    <w:p w:rsidR="004B391B" w:rsidRDefault="004B391B" w:rsidP="00994469">
      <w:pPr>
        <w:spacing w:after="0" w:line="240" w:lineRule="auto"/>
        <w:jc w:val="both"/>
        <w:rPr>
          <w:rStyle w:val="hps"/>
          <w:rFonts w:cs="Calibri"/>
          <w:bCs/>
        </w:rPr>
      </w:pPr>
    </w:p>
    <w:p w:rsidR="00942280" w:rsidRPr="004B391B" w:rsidRDefault="00654317" w:rsidP="00994469">
      <w:pPr>
        <w:spacing w:after="0" w:line="240" w:lineRule="auto"/>
        <w:jc w:val="both"/>
        <w:rPr>
          <w:rStyle w:val="hps"/>
          <w:rFonts w:cs="Calibri"/>
          <w:bCs/>
        </w:rPr>
      </w:pPr>
      <w:r w:rsidRPr="00654317">
        <w:rPr>
          <w:rStyle w:val="hps"/>
          <w:rFonts w:cs="Calibri"/>
          <w:b/>
          <w:bCs/>
        </w:rPr>
        <w:t>Kao otvorena ekonomija, Crna Gora se suočava sa posljedicama kretanja prenesenih iz neposrednog i šireg okruženja.</w:t>
      </w:r>
      <w:r>
        <w:rPr>
          <w:rStyle w:val="hps"/>
          <w:rFonts w:cs="Calibri"/>
          <w:b/>
          <w:bCs/>
        </w:rPr>
        <w:t xml:space="preserve"> </w:t>
      </w:r>
      <w:r w:rsidR="00942280" w:rsidRPr="00C90858">
        <w:rPr>
          <w:rStyle w:val="hps"/>
          <w:rFonts w:cs="Calibri"/>
          <w:bCs/>
        </w:rPr>
        <w:t>Obim trgovinske razmjene</w:t>
      </w:r>
      <w:r>
        <w:rPr>
          <w:rStyle w:val="hps"/>
          <w:rFonts w:cs="Calibri"/>
          <w:bCs/>
        </w:rPr>
        <w:t xml:space="preserve"> Crne Gore</w:t>
      </w:r>
      <w:r w:rsidR="00942280" w:rsidRPr="00C90858">
        <w:rPr>
          <w:rStyle w:val="hps"/>
          <w:rFonts w:cs="Calibri"/>
          <w:bCs/>
        </w:rPr>
        <w:t xml:space="preserve"> sa zemljama EU, koja čini ¾ ukupne razmjene, bankarski sektor </w:t>
      </w:r>
      <w:r w:rsidR="00CF7452" w:rsidRPr="00CF7452">
        <w:rPr>
          <w:rStyle w:val="hps"/>
          <w:rFonts w:cs="Calibri"/>
          <w:bCs/>
        </w:rPr>
        <w:t>koji je u većinskom stranom vlasništvu</w:t>
      </w:r>
      <w:r w:rsidR="00CF7452" w:rsidRPr="00C90858">
        <w:rPr>
          <w:rStyle w:val="hps"/>
          <w:rFonts w:cs="Calibri"/>
          <w:bCs/>
        </w:rPr>
        <w:t xml:space="preserve"> </w:t>
      </w:r>
      <w:r w:rsidR="00942280" w:rsidRPr="00C90858">
        <w:rPr>
          <w:rStyle w:val="hps"/>
          <w:rFonts w:cs="Calibri"/>
          <w:bCs/>
        </w:rPr>
        <w:t>i priliv investicija iz evropskih zemalja, čine našu ekonomiju vrlo osjetljivom na negativna kretanja u okruženju</w:t>
      </w:r>
      <w:r w:rsidR="00942280">
        <w:rPr>
          <w:rStyle w:val="hps"/>
          <w:rFonts w:cs="Calibri"/>
          <w:bCs/>
        </w:rPr>
        <w:t xml:space="preserve">. </w:t>
      </w:r>
      <w:r w:rsidR="00CF7452">
        <w:rPr>
          <w:rStyle w:val="hps"/>
          <w:rFonts w:cs="Calibri"/>
          <w:bCs/>
        </w:rPr>
        <w:t>Kriza</w:t>
      </w:r>
      <w:r w:rsidR="00942280">
        <w:rPr>
          <w:rStyle w:val="hps"/>
          <w:rFonts w:cs="Calibri"/>
          <w:bCs/>
        </w:rPr>
        <w:t xml:space="preserve"> u Ukrajini</w:t>
      </w:r>
      <w:r w:rsidR="00942280" w:rsidRPr="00C90858">
        <w:rPr>
          <w:rStyle w:val="hps"/>
          <w:rFonts w:cs="Calibri"/>
          <w:bCs/>
        </w:rPr>
        <w:t>, kao i katastrofalne poplave u Srbiji, Bosni i Hercegovini i Hrvatskoj mogu imati negativan uticaj na našu ekonomiju, jer su pomenute zemlje naši značajni trgovinski partneri. Turisti iz Srbije, Rusije i Ukrajine ostvarili su preko 50% noćenja turista u prethodnoj godini.</w:t>
      </w:r>
      <w:r w:rsidR="002B2915">
        <w:rPr>
          <w:rStyle w:val="hps"/>
          <w:rFonts w:cs="Calibri"/>
          <w:bCs/>
        </w:rPr>
        <w:t xml:space="preserve"> </w:t>
      </w:r>
      <w:r w:rsidR="003F4593">
        <w:rPr>
          <w:rStyle w:val="hps"/>
          <w:rFonts w:cs="Calibri"/>
          <w:bCs/>
        </w:rPr>
        <w:t>U 2013. godini SDI iz Rusije su učestvovale s</w:t>
      </w:r>
      <w:r w:rsidR="00D8542F">
        <w:rPr>
          <w:rStyle w:val="hps"/>
          <w:rFonts w:cs="Calibri"/>
          <w:bCs/>
        </w:rPr>
        <w:t>a</w:t>
      </w:r>
      <w:r w:rsidR="003F4593">
        <w:rPr>
          <w:rStyle w:val="hps"/>
          <w:rFonts w:cs="Calibri"/>
          <w:bCs/>
        </w:rPr>
        <w:t xml:space="preserve"> 28%</w:t>
      </w:r>
      <w:r w:rsidR="002B2915">
        <w:rPr>
          <w:rStyle w:val="hps"/>
          <w:rFonts w:cs="Calibri"/>
          <w:bCs/>
        </w:rPr>
        <w:t>,</w:t>
      </w:r>
      <w:r w:rsidR="003F4593">
        <w:rPr>
          <w:rStyle w:val="hps"/>
          <w:rFonts w:cs="Calibri"/>
          <w:bCs/>
        </w:rPr>
        <w:t xml:space="preserve"> </w:t>
      </w:r>
      <w:r w:rsidR="002B2915">
        <w:rPr>
          <w:rStyle w:val="hps"/>
          <w:rFonts w:cs="Calibri"/>
          <w:bCs/>
        </w:rPr>
        <w:t>dok je u</w:t>
      </w:r>
      <w:r w:rsidR="00942280" w:rsidRPr="00C90858">
        <w:rPr>
          <w:rStyle w:val="hps"/>
          <w:rFonts w:cs="Calibri"/>
          <w:bCs/>
        </w:rPr>
        <w:t xml:space="preserve"> period</w:t>
      </w:r>
      <w:r w:rsidR="00942280">
        <w:rPr>
          <w:rStyle w:val="hps"/>
          <w:rFonts w:cs="Calibri"/>
          <w:bCs/>
        </w:rPr>
        <w:t>u</w:t>
      </w:r>
      <w:r w:rsidR="00BF73DF">
        <w:rPr>
          <w:rStyle w:val="hps"/>
          <w:rFonts w:cs="Calibri"/>
          <w:bCs/>
        </w:rPr>
        <w:t xml:space="preserve"> ja</w:t>
      </w:r>
      <w:r w:rsidR="00942280" w:rsidRPr="00C90858">
        <w:rPr>
          <w:rStyle w:val="hps"/>
          <w:rFonts w:cs="Calibri"/>
          <w:bCs/>
        </w:rPr>
        <w:t>nuar-mart 2014</w:t>
      </w:r>
      <w:r w:rsidR="00942280">
        <w:rPr>
          <w:rStyle w:val="hps"/>
          <w:rFonts w:cs="Calibri"/>
          <w:bCs/>
        </w:rPr>
        <w:t>.</w:t>
      </w:r>
      <w:r w:rsidR="002B2915">
        <w:rPr>
          <w:rStyle w:val="hps"/>
          <w:rFonts w:cs="Calibri"/>
          <w:bCs/>
        </w:rPr>
        <w:t xml:space="preserve"> godine priliv SDI iz Ru</w:t>
      </w:r>
      <w:r w:rsidR="00D8542F">
        <w:rPr>
          <w:rStyle w:val="hps"/>
          <w:rFonts w:cs="Calibri"/>
          <w:bCs/>
        </w:rPr>
        <w:t>sije</w:t>
      </w:r>
      <w:r w:rsidR="00942280" w:rsidRPr="00C90858">
        <w:rPr>
          <w:rStyle w:val="hps"/>
          <w:rFonts w:cs="Calibri"/>
          <w:bCs/>
        </w:rPr>
        <w:t xml:space="preserve"> činio 26% ukupnih neto priliva.</w:t>
      </w:r>
      <w:r>
        <w:rPr>
          <w:rStyle w:val="hps"/>
          <w:rFonts w:cs="Calibri"/>
          <w:bCs/>
        </w:rPr>
        <w:t xml:space="preserve"> </w:t>
      </w:r>
    </w:p>
    <w:p w:rsidR="000D1450" w:rsidRDefault="000D1450" w:rsidP="00994469">
      <w:pPr>
        <w:spacing w:after="0" w:line="240" w:lineRule="auto"/>
        <w:jc w:val="both"/>
        <w:rPr>
          <w:rFonts w:cs="Calibri"/>
          <w:szCs w:val="20"/>
        </w:rPr>
      </w:pPr>
    </w:p>
    <w:p w:rsidR="00994469" w:rsidRDefault="00994469" w:rsidP="00994469">
      <w:pPr>
        <w:spacing w:after="0" w:line="240" w:lineRule="auto"/>
        <w:jc w:val="both"/>
        <w:rPr>
          <w:rFonts w:cs="Calibri"/>
          <w:szCs w:val="20"/>
        </w:rPr>
      </w:pPr>
    </w:p>
    <w:p w:rsidR="00994469" w:rsidRPr="009D407D" w:rsidRDefault="00994469" w:rsidP="00994469">
      <w:pPr>
        <w:spacing w:after="0" w:line="240" w:lineRule="auto"/>
        <w:jc w:val="both"/>
        <w:rPr>
          <w:rFonts w:cs="Calibri"/>
          <w:szCs w:val="20"/>
        </w:rPr>
      </w:pPr>
    </w:p>
    <w:p w:rsidR="00CE36A6" w:rsidRDefault="007D1275" w:rsidP="00C8677B">
      <w:pPr>
        <w:pStyle w:val="Heading2"/>
        <w:spacing w:after="0" w:line="240" w:lineRule="auto"/>
        <w:rPr>
          <w:sz w:val="24"/>
          <w:szCs w:val="24"/>
        </w:rPr>
      </w:pPr>
      <w:bookmarkStart w:id="11" w:name="_Toc389745263"/>
      <w:r w:rsidRPr="00994469">
        <w:rPr>
          <w:sz w:val="24"/>
          <w:szCs w:val="24"/>
        </w:rPr>
        <w:lastRenderedPageBreak/>
        <w:t>REALNI SEKTOR</w:t>
      </w:r>
      <w:bookmarkEnd w:id="11"/>
      <w:r w:rsidRPr="00994469">
        <w:rPr>
          <w:sz w:val="24"/>
          <w:szCs w:val="24"/>
        </w:rPr>
        <w:t xml:space="preserve"> </w:t>
      </w:r>
    </w:p>
    <w:p w:rsidR="00C8677B" w:rsidRPr="00C8677B" w:rsidRDefault="00C8677B" w:rsidP="00C8677B">
      <w:pPr>
        <w:spacing w:after="0" w:line="240" w:lineRule="auto"/>
      </w:pPr>
    </w:p>
    <w:p w:rsidR="000D1450" w:rsidRPr="00994469" w:rsidRDefault="009E08CA" w:rsidP="00C8677B">
      <w:pPr>
        <w:pStyle w:val="Heading3"/>
        <w:spacing w:before="0"/>
        <w:rPr>
          <w:sz w:val="22"/>
          <w:szCs w:val="22"/>
        </w:rPr>
      </w:pPr>
      <w:bookmarkStart w:id="12" w:name="_Toc389745264"/>
      <w:r w:rsidRPr="00994469">
        <w:rPr>
          <w:sz w:val="22"/>
          <w:szCs w:val="22"/>
        </w:rPr>
        <w:t>Bruto domaći proizvod u prvom kvartalu 2014. godine</w:t>
      </w:r>
      <w:bookmarkEnd w:id="12"/>
    </w:p>
    <w:p w:rsidR="009834F4" w:rsidRPr="009D407D" w:rsidRDefault="009834F4" w:rsidP="00C8677B">
      <w:pPr>
        <w:spacing w:after="0" w:line="240" w:lineRule="auto"/>
      </w:pPr>
    </w:p>
    <w:p w:rsidR="00F26A73" w:rsidRPr="00F26A73" w:rsidRDefault="00F26A73" w:rsidP="00C8677B">
      <w:pPr>
        <w:spacing w:after="0" w:line="240" w:lineRule="auto"/>
        <w:jc w:val="both"/>
        <w:rPr>
          <w:rStyle w:val="Strong"/>
          <w:rFonts w:cs="Calibri"/>
          <w:b w:val="0"/>
          <w:szCs w:val="20"/>
        </w:rPr>
      </w:pPr>
      <w:r w:rsidRPr="00A90D3D">
        <w:rPr>
          <w:rStyle w:val="Strong"/>
          <w:rFonts w:cs="Calibri"/>
          <w:szCs w:val="20"/>
        </w:rPr>
        <w:t>Na osnovu dostupnih indikatora za prvi kvartal 2014. godine procjenj</w:t>
      </w:r>
      <w:r w:rsidR="00696A03" w:rsidRPr="00A90D3D">
        <w:rPr>
          <w:rStyle w:val="Strong"/>
          <w:rFonts w:cs="Calibri"/>
          <w:szCs w:val="20"/>
        </w:rPr>
        <w:t>eno</w:t>
      </w:r>
      <w:r w:rsidRPr="00A90D3D">
        <w:rPr>
          <w:rStyle w:val="Strong"/>
          <w:rFonts w:cs="Calibri"/>
          <w:szCs w:val="20"/>
        </w:rPr>
        <w:t xml:space="preserve"> je </w:t>
      </w:r>
      <w:r w:rsidR="00696A03" w:rsidRPr="00A90D3D">
        <w:rPr>
          <w:rStyle w:val="Strong"/>
          <w:rFonts w:cs="Calibri"/>
          <w:szCs w:val="20"/>
        </w:rPr>
        <w:t xml:space="preserve">da je </w:t>
      </w:r>
      <w:r w:rsidRPr="00A90D3D">
        <w:rPr>
          <w:rStyle w:val="Strong"/>
          <w:rFonts w:cs="Calibri"/>
          <w:szCs w:val="20"/>
        </w:rPr>
        <w:t>crnogorska ekonomija rasla oko 2</w:t>
      </w:r>
      <w:r w:rsidR="00DD361D" w:rsidRPr="00A90D3D">
        <w:rPr>
          <w:rStyle w:val="Strong"/>
          <w:rFonts w:cs="Calibri"/>
          <w:szCs w:val="20"/>
        </w:rPr>
        <w:t>,3</w:t>
      </w:r>
      <w:r w:rsidRPr="00A90D3D">
        <w:rPr>
          <w:rStyle w:val="Strong"/>
          <w:rFonts w:cs="Calibri"/>
          <w:szCs w:val="20"/>
        </w:rPr>
        <w:t>%</w:t>
      </w:r>
      <w:r w:rsidR="005C598F" w:rsidRPr="00A90D3D">
        <w:rPr>
          <w:rStyle w:val="Strong"/>
          <w:rFonts w:cs="Calibri"/>
          <w:szCs w:val="20"/>
        </w:rPr>
        <w:t xml:space="preserve"> </w:t>
      </w:r>
      <w:r w:rsidRPr="00A90D3D">
        <w:rPr>
          <w:rStyle w:val="Strong"/>
          <w:rFonts w:cs="Calibri"/>
          <w:szCs w:val="20"/>
        </w:rPr>
        <w:t xml:space="preserve"> g-n-g</w:t>
      </w:r>
      <w:r w:rsidR="00650983" w:rsidRPr="00A90D3D">
        <w:rPr>
          <w:rStyle w:val="FootnoteReference"/>
          <w:rFonts w:cs="Calibri"/>
          <w:bCs/>
          <w:szCs w:val="20"/>
        </w:rPr>
        <w:footnoteReference w:id="4"/>
      </w:r>
      <w:r w:rsidRPr="00A90D3D">
        <w:rPr>
          <w:rStyle w:val="Strong"/>
          <w:rFonts w:cs="Calibri"/>
          <w:szCs w:val="20"/>
        </w:rPr>
        <w:t xml:space="preserve">. </w:t>
      </w:r>
      <w:r w:rsidRPr="00F26A73">
        <w:rPr>
          <w:rStyle w:val="Strong"/>
          <w:rFonts w:cs="Calibri"/>
          <w:b w:val="0"/>
          <w:szCs w:val="20"/>
        </w:rPr>
        <w:t>Ovaj rast podstaknut je rastom u sektorima vađenja ruda i kamena</w:t>
      </w:r>
      <w:r w:rsidR="00650983">
        <w:rPr>
          <w:rStyle w:val="Strong"/>
          <w:rFonts w:cs="Calibri"/>
          <w:b w:val="0"/>
          <w:szCs w:val="20"/>
        </w:rPr>
        <w:t>,</w:t>
      </w:r>
      <w:r w:rsidRPr="00F26A73">
        <w:rPr>
          <w:rStyle w:val="Strong"/>
          <w:rFonts w:cs="Calibri"/>
          <w:b w:val="0"/>
          <w:szCs w:val="20"/>
        </w:rPr>
        <w:t xml:space="preserve"> prerađivačkoj industriji, građevinarstvu</w:t>
      </w:r>
      <w:r w:rsidR="005C598F">
        <w:rPr>
          <w:rStyle w:val="Strong"/>
          <w:rFonts w:cs="Calibri"/>
          <w:b w:val="0"/>
          <w:szCs w:val="20"/>
        </w:rPr>
        <w:t>, maloprodaji</w:t>
      </w:r>
      <w:r w:rsidRPr="00F26A73">
        <w:rPr>
          <w:rStyle w:val="Strong"/>
          <w:rFonts w:cs="Calibri"/>
          <w:b w:val="0"/>
          <w:szCs w:val="20"/>
        </w:rPr>
        <w:t xml:space="preserve"> i poslovanju s nekretninama uz dobru naplatu poreza na robe. </w:t>
      </w:r>
      <w:r w:rsidR="007B2573">
        <w:rPr>
          <w:rStyle w:val="Strong"/>
          <w:rFonts w:cs="Calibri"/>
          <w:b w:val="0"/>
          <w:szCs w:val="20"/>
        </w:rPr>
        <w:t>O</w:t>
      </w:r>
      <w:r w:rsidR="007B2573" w:rsidRPr="00F26A73">
        <w:rPr>
          <w:rStyle w:val="Strong"/>
          <w:rFonts w:cs="Calibri"/>
          <w:b w:val="0"/>
          <w:szCs w:val="20"/>
        </w:rPr>
        <w:t xml:space="preserve">čekivano </w:t>
      </w:r>
      <w:r w:rsidR="007B2573">
        <w:rPr>
          <w:rStyle w:val="Strong"/>
          <w:rFonts w:cs="Calibri"/>
          <w:b w:val="0"/>
          <w:szCs w:val="20"/>
        </w:rPr>
        <w:t>n</w:t>
      </w:r>
      <w:r w:rsidRPr="00F26A73">
        <w:rPr>
          <w:rStyle w:val="Strong"/>
          <w:rFonts w:cs="Calibri"/>
          <w:b w:val="0"/>
          <w:szCs w:val="20"/>
        </w:rPr>
        <w:t xml:space="preserve">egativan uticaj na formiranje BDP-a došao </w:t>
      </w:r>
      <w:r w:rsidR="007B2573" w:rsidRPr="00F26A73">
        <w:rPr>
          <w:rStyle w:val="Strong"/>
          <w:rFonts w:cs="Calibri"/>
          <w:b w:val="0"/>
          <w:szCs w:val="20"/>
        </w:rPr>
        <w:t xml:space="preserve">je </w:t>
      </w:r>
      <w:r w:rsidRPr="00F26A73">
        <w:rPr>
          <w:rStyle w:val="Strong"/>
          <w:rFonts w:cs="Calibri"/>
          <w:b w:val="0"/>
          <w:szCs w:val="20"/>
        </w:rPr>
        <w:t>od sektora p</w:t>
      </w:r>
      <w:r w:rsidR="00EA0DCF">
        <w:rPr>
          <w:rStyle w:val="Strong"/>
          <w:rFonts w:cs="Calibri"/>
          <w:b w:val="0"/>
          <w:szCs w:val="20"/>
        </w:rPr>
        <w:t>roizvodnje i snabdijevanja elek</w:t>
      </w:r>
      <w:r w:rsidRPr="00F26A73">
        <w:rPr>
          <w:rStyle w:val="Strong"/>
          <w:rFonts w:cs="Calibri"/>
          <w:b w:val="0"/>
          <w:szCs w:val="20"/>
        </w:rPr>
        <w:t>t</w:t>
      </w:r>
      <w:r w:rsidR="00EA0DCF">
        <w:rPr>
          <w:rStyle w:val="Strong"/>
          <w:rFonts w:cs="Calibri"/>
          <w:b w:val="0"/>
          <w:szCs w:val="20"/>
        </w:rPr>
        <w:t>r</w:t>
      </w:r>
      <w:r w:rsidRPr="00F26A73">
        <w:rPr>
          <w:rStyle w:val="Strong"/>
          <w:rFonts w:cs="Calibri"/>
          <w:b w:val="0"/>
          <w:szCs w:val="20"/>
        </w:rPr>
        <w:t>ičnom energijom</w:t>
      </w:r>
      <w:r w:rsidR="00650983">
        <w:rPr>
          <w:rStyle w:val="Strong"/>
          <w:rFonts w:cs="Calibri"/>
          <w:b w:val="0"/>
          <w:szCs w:val="20"/>
        </w:rPr>
        <w:t xml:space="preserve"> (</w:t>
      </w:r>
      <w:r w:rsidR="006A3E54">
        <w:rPr>
          <w:rStyle w:val="Strong"/>
          <w:rFonts w:cs="Calibri"/>
          <w:b w:val="0"/>
          <w:szCs w:val="20"/>
        </w:rPr>
        <w:t>pad</w:t>
      </w:r>
      <w:r w:rsidR="00794244">
        <w:rPr>
          <w:rStyle w:val="Strong"/>
          <w:rFonts w:cs="Calibri"/>
          <w:b w:val="0"/>
          <w:szCs w:val="20"/>
        </w:rPr>
        <w:t xml:space="preserve"> proizvodnje od </w:t>
      </w:r>
      <w:r w:rsidR="00650983">
        <w:rPr>
          <w:rStyle w:val="Strong"/>
          <w:rFonts w:cs="Calibri"/>
          <w:b w:val="0"/>
          <w:szCs w:val="20"/>
        </w:rPr>
        <w:t xml:space="preserve">25%) </w:t>
      </w:r>
      <w:r w:rsidR="007B2573">
        <w:rPr>
          <w:rStyle w:val="Strong"/>
          <w:rFonts w:cs="Calibri"/>
          <w:b w:val="0"/>
          <w:szCs w:val="20"/>
        </w:rPr>
        <w:t>što je posljedica</w:t>
      </w:r>
      <w:r w:rsidRPr="00F26A73">
        <w:rPr>
          <w:rStyle w:val="Strong"/>
          <w:rFonts w:cs="Calibri"/>
          <w:b w:val="0"/>
          <w:szCs w:val="20"/>
        </w:rPr>
        <w:t xml:space="preserve"> vrlo visoke osnove </w:t>
      </w:r>
      <w:r w:rsidR="006A3E54">
        <w:rPr>
          <w:rStyle w:val="Strong"/>
          <w:rFonts w:cs="Calibri"/>
          <w:b w:val="0"/>
          <w:szCs w:val="20"/>
        </w:rPr>
        <w:t>u prethodnoj</w:t>
      </w:r>
      <w:r w:rsidRPr="00F26A73">
        <w:rPr>
          <w:rStyle w:val="Strong"/>
          <w:rFonts w:cs="Calibri"/>
          <w:b w:val="0"/>
          <w:szCs w:val="20"/>
        </w:rPr>
        <w:t xml:space="preserve"> godin</w:t>
      </w:r>
      <w:r w:rsidR="006A3E54">
        <w:rPr>
          <w:rStyle w:val="Strong"/>
          <w:rFonts w:cs="Calibri"/>
          <w:b w:val="0"/>
          <w:szCs w:val="20"/>
        </w:rPr>
        <w:t>i</w:t>
      </w:r>
      <w:r>
        <w:rPr>
          <w:rStyle w:val="Strong"/>
          <w:rFonts w:cs="Calibri"/>
          <w:b w:val="0"/>
          <w:szCs w:val="20"/>
        </w:rPr>
        <w:t xml:space="preserve">. </w:t>
      </w:r>
      <w:r w:rsidR="006A3E54">
        <w:rPr>
          <w:rStyle w:val="Strong"/>
          <w:rFonts w:cs="Calibri"/>
          <w:b w:val="0"/>
          <w:szCs w:val="20"/>
        </w:rPr>
        <w:t>U formiranju godišnjeg BDP-a p</w:t>
      </w:r>
      <w:r w:rsidR="00650983">
        <w:rPr>
          <w:rStyle w:val="Strong"/>
          <w:rFonts w:cs="Calibri"/>
          <w:b w:val="0"/>
          <w:szCs w:val="20"/>
        </w:rPr>
        <w:t>rvi kvartal učestvuje sa oko 1</w:t>
      </w:r>
      <w:r w:rsidR="006A3E54">
        <w:rPr>
          <w:rStyle w:val="Strong"/>
          <w:rFonts w:cs="Calibri"/>
          <w:b w:val="0"/>
          <w:szCs w:val="20"/>
        </w:rPr>
        <w:t>9%</w:t>
      </w:r>
      <w:r w:rsidR="00650983">
        <w:rPr>
          <w:rStyle w:val="Strong"/>
          <w:rFonts w:cs="Calibri"/>
          <w:b w:val="0"/>
          <w:szCs w:val="20"/>
        </w:rPr>
        <w:t xml:space="preserve">, </w:t>
      </w:r>
      <w:r w:rsidR="006A3E54">
        <w:rPr>
          <w:rStyle w:val="Strong"/>
          <w:rFonts w:cs="Calibri"/>
          <w:b w:val="0"/>
          <w:szCs w:val="20"/>
        </w:rPr>
        <w:t xml:space="preserve"> stoga se </w:t>
      </w:r>
      <w:r w:rsidR="00650983">
        <w:rPr>
          <w:rStyle w:val="Strong"/>
          <w:rFonts w:cs="Calibri"/>
          <w:b w:val="0"/>
          <w:szCs w:val="20"/>
        </w:rPr>
        <w:t>do kraja godine očekuje dosti</w:t>
      </w:r>
      <w:r w:rsidR="006A3E54">
        <w:rPr>
          <w:rStyle w:val="Strong"/>
          <w:rFonts w:cs="Calibri"/>
          <w:b w:val="0"/>
          <w:szCs w:val="20"/>
        </w:rPr>
        <w:t>zanje</w:t>
      </w:r>
      <w:r w:rsidR="00650983">
        <w:rPr>
          <w:rStyle w:val="Strong"/>
          <w:rFonts w:cs="Calibri"/>
          <w:b w:val="0"/>
          <w:szCs w:val="20"/>
        </w:rPr>
        <w:t xml:space="preserve"> proje</w:t>
      </w:r>
      <w:r w:rsidR="005C598F">
        <w:rPr>
          <w:rStyle w:val="Strong"/>
          <w:rFonts w:cs="Calibri"/>
          <w:b w:val="0"/>
          <w:szCs w:val="20"/>
        </w:rPr>
        <w:t>ktovan</w:t>
      </w:r>
      <w:r w:rsidR="006A3E54">
        <w:rPr>
          <w:rStyle w:val="Strong"/>
          <w:rFonts w:cs="Calibri"/>
          <w:b w:val="0"/>
          <w:szCs w:val="20"/>
        </w:rPr>
        <w:t>e</w:t>
      </w:r>
      <w:r w:rsidR="005C598F">
        <w:rPr>
          <w:rStyle w:val="Strong"/>
          <w:rFonts w:cs="Calibri"/>
          <w:b w:val="0"/>
          <w:szCs w:val="20"/>
        </w:rPr>
        <w:t xml:space="preserve"> stop</w:t>
      </w:r>
      <w:r w:rsidR="006A3E54">
        <w:rPr>
          <w:rStyle w:val="Strong"/>
          <w:rFonts w:cs="Calibri"/>
          <w:b w:val="0"/>
          <w:szCs w:val="20"/>
        </w:rPr>
        <w:t>e</w:t>
      </w:r>
      <w:r w:rsidR="005C598F">
        <w:rPr>
          <w:rStyle w:val="Strong"/>
          <w:rFonts w:cs="Calibri"/>
          <w:b w:val="0"/>
          <w:szCs w:val="20"/>
        </w:rPr>
        <w:t xml:space="preserve"> rasta od 3,5%</w:t>
      </w:r>
      <w:r w:rsidR="002B2915">
        <w:rPr>
          <w:rStyle w:val="Strong"/>
          <w:rFonts w:cs="Calibri"/>
          <w:b w:val="0"/>
          <w:szCs w:val="20"/>
        </w:rPr>
        <w:t>,</w:t>
      </w:r>
      <w:r w:rsidR="006A3E54">
        <w:rPr>
          <w:rStyle w:val="Strong"/>
          <w:rFonts w:cs="Calibri"/>
          <w:b w:val="0"/>
          <w:szCs w:val="20"/>
        </w:rPr>
        <w:t xml:space="preserve"> </w:t>
      </w:r>
      <w:r w:rsidR="002B2915">
        <w:rPr>
          <w:rStyle w:val="Strong"/>
          <w:rFonts w:cs="Calibri"/>
          <w:b w:val="0"/>
          <w:szCs w:val="20"/>
        </w:rPr>
        <w:t>čemu će doprinijeti</w:t>
      </w:r>
      <w:r w:rsidR="005C598F">
        <w:rPr>
          <w:rStyle w:val="Strong"/>
          <w:rFonts w:cs="Calibri"/>
          <w:b w:val="0"/>
          <w:szCs w:val="20"/>
        </w:rPr>
        <w:t xml:space="preserve"> ubr</w:t>
      </w:r>
      <w:r w:rsidR="002B2915">
        <w:rPr>
          <w:rStyle w:val="Strong"/>
          <w:rFonts w:cs="Calibri"/>
          <w:b w:val="0"/>
          <w:szCs w:val="20"/>
        </w:rPr>
        <w:t>zani rast</w:t>
      </w:r>
      <w:r w:rsidR="00650983">
        <w:rPr>
          <w:rStyle w:val="Strong"/>
          <w:rFonts w:cs="Calibri"/>
          <w:b w:val="0"/>
          <w:szCs w:val="20"/>
        </w:rPr>
        <w:t xml:space="preserve"> i dobr</w:t>
      </w:r>
      <w:r w:rsidR="002B2915">
        <w:rPr>
          <w:rStyle w:val="Strong"/>
          <w:rFonts w:cs="Calibri"/>
          <w:b w:val="0"/>
          <w:szCs w:val="20"/>
        </w:rPr>
        <w:t>i</w:t>
      </w:r>
      <w:r w:rsidR="00650983">
        <w:rPr>
          <w:rStyle w:val="Strong"/>
          <w:rFonts w:cs="Calibri"/>
          <w:b w:val="0"/>
          <w:szCs w:val="20"/>
        </w:rPr>
        <w:t xml:space="preserve"> rezultat</w:t>
      </w:r>
      <w:r w:rsidR="002B2915">
        <w:rPr>
          <w:rStyle w:val="Strong"/>
          <w:rFonts w:cs="Calibri"/>
          <w:b w:val="0"/>
          <w:szCs w:val="20"/>
        </w:rPr>
        <w:t>i</w:t>
      </w:r>
      <w:r w:rsidR="00650983">
        <w:rPr>
          <w:rStyle w:val="Strong"/>
          <w:rFonts w:cs="Calibri"/>
          <w:b w:val="0"/>
          <w:szCs w:val="20"/>
        </w:rPr>
        <w:t xml:space="preserve"> u turističkoj sezoni</w:t>
      </w:r>
      <w:r w:rsidR="00571B54">
        <w:rPr>
          <w:rStyle w:val="Strong"/>
          <w:rFonts w:cs="Calibri"/>
          <w:b w:val="0"/>
          <w:szCs w:val="20"/>
        </w:rPr>
        <w:t>,</w:t>
      </w:r>
      <w:r w:rsidR="00007042">
        <w:rPr>
          <w:rStyle w:val="Strong"/>
          <w:rFonts w:cs="Calibri"/>
          <w:b w:val="0"/>
          <w:szCs w:val="20"/>
        </w:rPr>
        <w:t xml:space="preserve"> </w:t>
      </w:r>
      <w:r w:rsidR="006A3E54">
        <w:rPr>
          <w:rStyle w:val="Strong"/>
          <w:rFonts w:cs="Calibri"/>
          <w:b w:val="0"/>
          <w:szCs w:val="20"/>
        </w:rPr>
        <w:t>posebno u trećem</w:t>
      </w:r>
      <w:r w:rsidR="00007042">
        <w:rPr>
          <w:rStyle w:val="Strong"/>
          <w:rFonts w:cs="Calibri"/>
          <w:b w:val="0"/>
          <w:szCs w:val="20"/>
        </w:rPr>
        <w:t xml:space="preserve"> kvartal</w:t>
      </w:r>
      <w:r w:rsidR="006A3E54">
        <w:rPr>
          <w:rStyle w:val="Strong"/>
          <w:rFonts w:cs="Calibri"/>
          <w:b w:val="0"/>
          <w:szCs w:val="20"/>
        </w:rPr>
        <w:t>u</w:t>
      </w:r>
      <w:r w:rsidR="00571B54">
        <w:rPr>
          <w:rStyle w:val="Strong"/>
          <w:rFonts w:cs="Calibri"/>
          <w:b w:val="0"/>
          <w:szCs w:val="20"/>
        </w:rPr>
        <w:t xml:space="preserve">. Očekuje </w:t>
      </w:r>
      <w:r w:rsidR="00F61B5B">
        <w:rPr>
          <w:rStyle w:val="Strong"/>
          <w:rFonts w:cs="Calibri"/>
          <w:b w:val="0"/>
          <w:szCs w:val="20"/>
        </w:rPr>
        <w:t xml:space="preserve">se pozitivan uticaj na </w:t>
      </w:r>
      <w:r w:rsidR="00571B54">
        <w:rPr>
          <w:rStyle w:val="Strong"/>
          <w:rFonts w:cs="Calibri"/>
          <w:b w:val="0"/>
          <w:szCs w:val="20"/>
        </w:rPr>
        <w:t>rast</w:t>
      </w:r>
      <w:r w:rsidR="00650983">
        <w:rPr>
          <w:rStyle w:val="Strong"/>
          <w:rFonts w:cs="Calibri"/>
          <w:b w:val="0"/>
          <w:szCs w:val="20"/>
        </w:rPr>
        <w:t xml:space="preserve"> ekonomske aktivnosti kroz direktne i multiplikativne efekte izvođenja najavljenih investicija</w:t>
      </w:r>
      <w:r w:rsidR="00007042">
        <w:rPr>
          <w:rStyle w:val="Strong"/>
          <w:rFonts w:cs="Calibri"/>
          <w:b w:val="0"/>
          <w:szCs w:val="20"/>
        </w:rPr>
        <w:t xml:space="preserve">, tokom cijelog </w:t>
      </w:r>
      <w:r w:rsidR="00F61B5B">
        <w:rPr>
          <w:rStyle w:val="Strong"/>
          <w:rFonts w:cs="Calibri"/>
          <w:b w:val="0"/>
          <w:szCs w:val="20"/>
        </w:rPr>
        <w:t>investicionog ciklusa</w:t>
      </w:r>
      <w:r w:rsidR="00007042">
        <w:rPr>
          <w:rStyle w:val="Strong"/>
          <w:rFonts w:cs="Calibri"/>
          <w:b w:val="0"/>
          <w:szCs w:val="20"/>
        </w:rPr>
        <w:t>.</w:t>
      </w:r>
      <w:r w:rsidR="00650983">
        <w:rPr>
          <w:rStyle w:val="Strong"/>
          <w:rFonts w:cs="Calibri"/>
          <w:b w:val="0"/>
          <w:szCs w:val="20"/>
        </w:rPr>
        <w:t xml:space="preserve"> </w:t>
      </w:r>
    </w:p>
    <w:p w:rsidR="000D1450" w:rsidRPr="009D407D" w:rsidRDefault="000D1450" w:rsidP="00C8677B">
      <w:pPr>
        <w:spacing w:after="0" w:line="240" w:lineRule="auto"/>
        <w:rPr>
          <w:rFonts w:cs="Calibri"/>
        </w:rPr>
      </w:pPr>
    </w:p>
    <w:p w:rsidR="000D1450" w:rsidRPr="00994469" w:rsidRDefault="000D1450" w:rsidP="00C8677B">
      <w:pPr>
        <w:pStyle w:val="Heading4"/>
        <w:rPr>
          <w:sz w:val="22"/>
          <w:szCs w:val="22"/>
        </w:rPr>
      </w:pPr>
      <w:bookmarkStart w:id="13" w:name="_Toc389745265"/>
      <w:r w:rsidRPr="00994469">
        <w:rPr>
          <w:sz w:val="22"/>
          <w:szCs w:val="22"/>
        </w:rPr>
        <w:t>Turizam</w:t>
      </w:r>
      <w:bookmarkEnd w:id="13"/>
    </w:p>
    <w:p w:rsidR="009834F4" w:rsidRPr="009D407D" w:rsidRDefault="009834F4" w:rsidP="00C8677B">
      <w:pPr>
        <w:spacing w:after="0" w:line="240" w:lineRule="auto"/>
      </w:pPr>
    </w:p>
    <w:p w:rsidR="002C756F" w:rsidRDefault="002C756F" w:rsidP="00C8677B">
      <w:pPr>
        <w:pStyle w:val="CommentText"/>
        <w:jc w:val="both"/>
        <w:rPr>
          <w:rStyle w:val="Strong"/>
          <w:rFonts w:ascii="Calibri" w:eastAsia="Calibri" w:hAnsi="Calibri" w:cs="Calibri"/>
          <w:b w:val="0"/>
        </w:rPr>
      </w:pPr>
      <w:r w:rsidRPr="003375C3">
        <w:rPr>
          <w:rStyle w:val="Strong"/>
          <w:rFonts w:ascii="Calibri" w:eastAsia="Calibri" w:hAnsi="Calibri" w:cs="Calibri"/>
        </w:rPr>
        <w:t xml:space="preserve">Nastavlja se trend </w:t>
      </w:r>
      <w:r w:rsidR="00877651" w:rsidRPr="003375C3">
        <w:rPr>
          <w:rStyle w:val="Strong"/>
          <w:rFonts w:ascii="Calibri" w:eastAsia="Calibri" w:hAnsi="Calibri" w:cs="Calibri"/>
        </w:rPr>
        <w:t>pozitivnih</w:t>
      </w:r>
      <w:r w:rsidRPr="003375C3">
        <w:rPr>
          <w:rStyle w:val="Strong"/>
          <w:rFonts w:ascii="Calibri" w:eastAsia="Calibri" w:hAnsi="Calibri" w:cs="Calibri"/>
        </w:rPr>
        <w:t xml:space="preserve"> rezultata u sektoru turizma</w:t>
      </w:r>
      <w:r w:rsidRPr="003375C3">
        <w:rPr>
          <w:rStyle w:val="Strong"/>
          <w:rFonts w:ascii="Calibri" w:eastAsia="Calibri" w:hAnsi="Calibri" w:cs="Calibri"/>
          <w:b w:val="0"/>
        </w:rPr>
        <w:t>. Crnu Goru je u prošloj godini posjetilo 1,49 mil. turista i ostvareno 9,41 mil. noćenja, što je, u odn</w:t>
      </w:r>
      <w:r w:rsidR="006A3E54" w:rsidRPr="003375C3">
        <w:rPr>
          <w:rStyle w:val="Strong"/>
          <w:rFonts w:ascii="Calibri" w:eastAsia="Calibri" w:hAnsi="Calibri" w:cs="Calibri"/>
          <w:b w:val="0"/>
        </w:rPr>
        <w:t>osu na 2012. godinu, rast od 3,</w:t>
      </w:r>
      <w:r w:rsidRPr="003375C3">
        <w:rPr>
          <w:rStyle w:val="Strong"/>
          <w:rFonts w:ascii="Calibri" w:eastAsia="Calibri" w:hAnsi="Calibri" w:cs="Calibri"/>
          <w:b w:val="0"/>
        </w:rPr>
        <w:t>6 i 2,8%, respekt</w:t>
      </w:r>
      <w:r w:rsidR="006A3E54" w:rsidRPr="003375C3">
        <w:rPr>
          <w:rStyle w:val="Strong"/>
          <w:rFonts w:ascii="Calibri" w:eastAsia="Calibri" w:hAnsi="Calibri" w:cs="Calibri"/>
          <w:b w:val="0"/>
        </w:rPr>
        <w:t>ivno. Prema podacima Centralne b</w:t>
      </w:r>
      <w:r w:rsidRPr="003375C3">
        <w:rPr>
          <w:rStyle w:val="Strong"/>
          <w:rFonts w:ascii="Calibri" w:eastAsia="Calibri" w:hAnsi="Calibri" w:cs="Calibri"/>
          <w:b w:val="0"/>
        </w:rPr>
        <w:t>anke, prihodi od turizma u 2013. godini iznosili su 665,6</w:t>
      </w:r>
      <w:r w:rsidR="006A3E54" w:rsidRPr="003375C3">
        <w:rPr>
          <w:rStyle w:val="Strong"/>
          <w:rFonts w:ascii="Calibri" w:eastAsia="Calibri" w:hAnsi="Calibri" w:cs="Calibri"/>
          <w:b w:val="0"/>
        </w:rPr>
        <w:t xml:space="preserve"> </w:t>
      </w:r>
      <w:r w:rsidRPr="003375C3">
        <w:rPr>
          <w:rStyle w:val="Strong"/>
          <w:rFonts w:ascii="Calibri" w:eastAsia="Calibri" w:hAnsi="Calibri" w:cs="Calibri"/>
          <w:b w:val="0"/>
        </w:rPr>
        <w:t xml:space="preserve">mil.€, što je 3,5% više nego prethodne 2012. godine. </w:t>
      </w:r>
      <w:r w:rsidR="00D7160A" w:rsidRPr="003375C3">
        <w:rPr>
          <w:rStyle w:val="Strong"/>
          <w:rFonts w:ascii="Calibri" w:eastAsia="Calibri" w:hAnsi="Calibri" w:cs="Calibri"/>
          <w:b w:val="0"/>
        </w:rPr>
        <w:t>Turistički promet u aprilu 2014, g-n-g, bilježi rast dolazaka</w:t>
      </w:r>
      <w:r w:rsidR="00EA33D4">
        <w:rPr>
          <w:rStyle w:val="Strong"/>
          <w:rFonts w:ascii="Calibri" w:eastAsia="Calibri" w:hAnsi="Calibri" w:cs="Calibri"/>
          <w:b w:val="0"/>
        </w:rPr>
        <w:t xml:space="preserve"> i noćenja turista od 11,1 i 2,1</w:t>
      </w:r>
      <w:r w:rsidR="00D7160A" w:rsidRPr="003375C3">
        <w:rPr>
          <w:rStyle w:val="Strong"/>
          <w:rFonts w:ascii="Calibri" w:eastAsia="Calibri" w:hAnsi="Calibri" w:cs="Calibri"/>
          <w:b w:val="0"/>
        </w:rPr>
        <w:t>%, dok je u periodu januar-april g-n-g, ostvaren rast dolazaka i noćenja od 5,6 i 5,8%, respektivno. U strukturi noćenja 79,7% čine strani turisti, koji su ostvarili 7,1% više noćenja nego u istom period</w:t>
      </w:r>
      <w:r w:rsidR="000037BF" w:rsidRPr="003375C3">
        <w:rPr>
          <w:rStyle w:val="Strong"/>
          <w:rFonts w:ascii="Calibri" w:eastAsia="Calibri" w:hAnsi="Calibri" w:cs="Calibri"/>
          <w:b w:val="0"/>
        </w:rPr>
        <w:t>u</w:t>
      </w:r>
      <w:r w:rsidR="00D7160A" w:rsidRPr="003375C3">
        <w:rPr>
          <w:rStyle w:val="Strong"/>
          <w:rFonts w:ascii="Calibri" w:eastAsia="Calibri" w:hAnsi="Calibri" w:cs="Calibri"/>
          <w:b w:val="0"/>
        </w:rPr>
        <w:t xml:space="preserve"> prošle godine. Gledano prema vrstama smještaja, rast noćenja turista u ovom periodu zabilježen je u kolektivnom smještaju (4,9%)</w:t>
      </w:r>
      <w:r w:rsidR="00FF1FA7" w:rsidRPr="003375C3">
        <w:rPr>
          <w:rStyle w:val="Strong"/>
          <w:rFonts w:ascii="Calibri" w:eastAsia="Calibri" w:hAnsi="Calibri" w:cs="Calibri"/>
          <w:b w:val="0"/>
        </w:rPr>
        <w:t>,</w:t>
      </w:r>
      <w:r w:rsidR="00D7160A" w:rsidRPr="003375C3">
        <w:rPr>
          <w:rStyle w:val="Strong"/>
          <w:rFonts w:ascii="Calibri" w:eastAsia="Calibri" w:hAnsi="Calibri" w:cs="Calibri"/>
          <w:b w:val="0"/>
        </w:rPr>
        <w:t xml:space="preserve"> dok je individualni smještaj zabilježio pad noćenja od 1,5%. </w:t>
      </w:r>
      <w:r w:rsidRPr="003375C3">
        <w:rPr>
          <w:rStyle w:val="Strong"/>
          <w:rFonts w:ascii="Calibri" w:eastAsia="Calibri" w:hAnsi="Calibri" w:cs="Calibri"/>
          <w:b w:val="0"/>
        </w:rPr>
        <w:t xml:space="preserve">Očekuje se da </w:t>
      </w:r>
      <w:r w:rsidR="003375C3" w:rsidRPr="003375C3">
        <w:rPr>
          <w:rStyle w:val="Strong"/>
          <w:rFonts w:ascii="Calibri" w:eastAsia="Calibri" w:hAnsi="Calibri" w:cs="Calibri"/>
          <w:b w:val="0"/>
        </w:rPr>
        <w:t xml:space="preserve">nastavak blagog trenda </w:t>
      </w:r>
      <w:r w:rsidRPr="003375C3">
        <w:rPr>
          <w:rStyle w:val="Strong"/>
          <w:rFonts w:ascii="Calibri" w:eastAsia="Calibri" w:hAnsi="Calibri" w:cs="Calibri"/>
          <w:b w:val="0"/>
        </w:rPr>
        <w:t xml:space="preserve">rasta dolazaka i noćenja turista, pri čemu se još uvijek ne može procijeniti hoće li i u kojoj mjeri ukrajinsko-ruski sukob uticati na </w:t>
      </w:r>
      <w:r w:rsidR="00A0405C" w:rsidRPr="003375C3">
        <w:rPr>
          <w:rStyle w:val="Strong"/>
          <w:rFonts w:ascii="Calibri" w:eastAsia="Calibri" w:hAnsi="Calibri" w:cs="Calibri"/>
          <w:b w:val="0"/>
        </w:rPr>
        <w:t>dolazak turista iz ovih zemalja.</w:t>
      </w:r>
      <w:r w:rsidRPr="003375C3">
        <w:rPr>
          <w:rStyle w:val="Strong"/>
          <w:rFonts w:ascii="Calibri" w:eastAsia="Calibri" w:hAnsi="Calibri" w:cs="Calibri"/>
          <w:b w:val="0"/>
        </w:rPr>
        <w:t xml:space="preserve"> Značaj ovih emitivnih tržišta je veliki imajući u vidu da su u 2013. godini turist</w:t>
      </w:r>
      <w:r w:rsidR="007B2573">
        <w:rPr>
          <w:rStyle w:val="Strong"/>
          <w:rFonts w:ascii="Calibri" w:eastAsia="Calibri" w:hAnsi="Calibri" w:cs="Calibri"/>
          <w:b w:val="0"/>
        </w:rPr>
        <w:t>i iz Rusije i Ukrajine činili</w:t>
      </w:r>
      <w:r w:rsidRPr="003375C3">
        <w:rPr>
          <w:rStyle w:val="Strong"/>
          <w:rFonts w:ascii="Calibri" w:eastAsia="Calibri" w:hAnsi="Calibri" w:cs="Calibri"/>
          <w:b w:val="0"/>
        </w:rPr>
        <w:t xml:space="preserve"> oko 1/3 turista u Crnoj Gori. </w:t>
      </w:r>
    </w:p>
    <w:p w:rsidR="00550F1A" w:rsidRPr="003375C3" w:rsidRDefault="00550F1A" w:rsidP="00C8677B">
      <w:pPr>
        <w:pStyle w:val="CommentText"/>
        <w:jc w:val="both"/>
        <w:rPr>
          <w:rStyle w:val="Strong"/>
          <w:rFonts w:ascii="Calibri" w:eastAsia="Calibri" w:hAnsi="Calibri" w:cs="Calibri"/>
          <w:b w:val="0"/>
        </w:rPr>
      </w:pPr>
    </w:p>
    <w:p w:rsidR="009E08CA" w:rsidRPr="00C8677B" w:rsidRDefault="000D1450" w:rsidP="00C8677B">
      <w:pPr>
        <w:pStyle w:val="Heading4"/>
        <w:rPr>
          <w:sz w:val="22"/>
          <w:szCs w:val="22"/>
        </w:rPr>
      </w:pPr>
      <w:bookmarkStart w:id="14" w:name="_Toc389745266"/>
      <w:r w:rsidRPr="00C8677B">
        <w:rPr>
          <w:sz w:val="22"/>
          <w:szCs w:val="22"/>
        </w:rPr>
        <w:t>Industrijska proizvodnja</w:t>
      </w:r>
      <w:bookmarkEnd w:id="14"/>
    </w:p>
    <w:p w:rsidR="009E08CA" w:rsidRDefault="009E08CA" w:rsidP="00C8677B">
      <w:pPr>
        <w:spacing w:after="0" w:line="240" w:lineRule="auto"/>
      </w:pPr>
    </w:p>
    <w:p w:rsidR="00E7232A" w:rsidRDefault="00994469" w:rsidP="00C8677B">
      <w:pPr>
        <w:spacing w:after="0" w:line="240" w:lineRule="auto"/>
        <w:jc w:val="both"/>
        <w:rPr>
          <w:noProof/>
          <w:sz w:val="24"/>
          <w:lang w:val="sr-Latn-CS" w:eastAsia="sr-Latn-CS"/>
        </w:rPr>
      </w:pPr>
      <w:r>
        <w:rPr>
          <w:rFonts w:asciiTheme="minorHAnsi" w:hAnsiTheme="minorHAnsi" w:cstheme="minorHAnsi"/>
          <w:b/>
          <w:noProof/>
          <w:szCs w:val="20"/>
          <w:lang w:val="sr-Latn-CS" w:eastAsia="sr-Latn-CS"/>
        </w:rPr>
        <w:drawing>
          <wp:anchor distT="0" distB="0" distL="114300" distR="114300" simplePos="0" relativeHeight="251676672" behindDoc="0" locked="0" layoutInCell="1" allowOverlap="1">
            <wp:simplePos x="0" y="0"/>
            <wp:positionH relativeFrom="margin">
              <wp:posOffset>-6985</wp:posOffset>
            </wp:positionH>
            <wp:positionV relativeFrom="margin">
              <wp:posOffset>5554345</wp:posOffset>
            </wp:positionV>
            <wp:extent cx="2408555" cy="1835150"/>
            <wp:effectExtent l="0" t="0" r="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61E0D">
        <w:rPr>
          <w:rFonts w:asciiTheme="minorHAnsi" w:hAnsiTheme="minorHAnsi" w:cstheme="minorHAnsi"/>
          <w:b/>
          <w:szCs w:val="20"/>
        </w:rPr>
        <w:t>I</w:t>
      </w:r>
      <w:r w:rsidR="00361E0D" w:rsidRPr="007F6F31">
        <w:rPr>
          <w:rFonts w:asciiTheme="minorHAnsi" w:hAnsiTheme="minorHAnsi" w:cstheme="minorHAnsi"/>
          <w:b/>
          <w:szCs w:val="20"/>
        </w:rPr>
        <w:t>ndustr</w:t>
      </w:r>
      <w:r w:rsidR="00361E0D">
        <w:rPr>
          <w:rFonts w:asciiTheme="minorHAnsi" w:hAnsiTheme="minorHAnsi" w:cstheme="minorHAnsi"/>
          <w:b/>
          <w:szCs w:val="20"/>
        </w:rPr>
        <w:t>ijska proizvodnja</w:t>
      </w:r>
      <w:r w:rsidR="00361E0D" w:rsidRPr="007F6F31">
        <w:rPr>
          <w:rFonts w:asciiTheme="minorHAnsi" w:hAnsiTheme="minorHAnsi" w:cstheme="minorHAnsi"/>
          <w:b/>
          <w:szCs w:val="20"/>
        </w:rPr>
        <w:t xml:space="preserve"> u 2013. </w:t>
      </w:r>
      <w:r w:rsidR="00361E0D">
        <w:rPr>
          <w:rFonts w:asciiTheme="minorHAnsi" w:hAnsiTheme="minorHAnsi" w:cstheme="minorHAnsi"/>
          <w:b/>
          <w:szCs w:val="20"/>
        </w:rPr>
        <w:t>g</w:t>
      </w:r>
      <w:r w:rsidR="00361E0D" w:rsidRPr="007F6F31">
        <w:rPr>
          <w:rFonts w:asciiTheme="minorHAnsi" w:hAnsiTheme="minorHAnsi" w:cstheme="minorHAnsi"/>
          <w:b/>
          <w:szCs w:val="20"/>
        </w:rPr>
        <w:t>odini</w:t>
      </w:r>
      <w:r w:rsidR="00361E0D">
        <w:rPr>
          <w:rFonts w:asciiTheme="minorHAnsi" w:hAnsiTheme="minorHAnsi" w:cstheme="minorHAnsi"/>
          <w:b/>
          <w:szCs w:val="20"/>
        </w:rPr>
        <w:t xml:space="preserve"> bilježi rast, usljed povećane proizvodnje električne energije. </w:t>
      </w:r>
      <w:r w:rsidR="00361E0D" w:rsidRPr="007F6F31">
        <w:rPr>
          <w:rFonts w:asciiTheme="minorHAnsi" w:hAnsiTheme="minorHAnsi" w:cstheme="minorHAnsi"/>
          <w:szCs w:val="20"/>
        </w:rPr>
        <w:t>Uk</w:t>
      </w:r>
      <w:r w:rsidR="00361E0D">
        <w:rPr>
          <w:rFonts w:asciiTheme="minorHAnsi" w:hAnsiTheme="minorHAnsi" w:cstheme="minorHAnsi"/>
          <w:szCs w:val="20"/>
        </w:rPr>
        <w:t>upna industrijska proizvodnja</w:t>
      </w:r>
      <w:r w:rsidR="00361E0D" w:rsidRPr="007F6F31">
        <w:rPr>
          <w:rFonts w:asciiTheme="minorHAnsi" w:hAnsiTheme="minorHAnsi" w:cstheme="minorHAnsi"/>
          <w:szCs w:val="20"/>
        </w:rPr>
        <w:t xml:space="preserve"> u 2013. godini </w:t>
      </w:r>
      <w:r w:rsidR="00361E0D">
        <w:rPr>
          <w:rFonts w:asciiTheme="minorHAnsi" w:hAnsiTheme="minorHAnsi" w:cstheme="minorHAnsi"/>
          <w:szCs w:val="20"/>
        </w:rPr>
        <w:t>veća je za</w:t>
      </w:r>
      <w:r w:rsidR="00361E0D" w:rsidRPr="007F6F31">
        <w:rPr>
          <w:rFonts w:asciiTheme="minorHAnsi" w:hAnsiTheme="minorHAnsi" w:cstheme="minorHAnsi"/>
          <w:szCs w:val="20"/>
        </w:rPr>
        <w:t xml:space="preserve"> 1</w:t>
      </w:r>
      <w:r w:rsidR="00361E0D">
        <w:rPr>
          <w:rFonts w:asciiTheme="minorHAnsi" w:hAnsiTheme="minorHAnsi" w:cstheme="minorHAnsi"/>
          <w:szCs w:val="20"/>
        </w:rPr>
        <w:t>0,6% g-n-g,</w:t>
      </w:r>
      <w:r w:rsidR="00361E0D" w:rsidRPr="007F6F31">
        <w:rPr>
          <w:rFonts w:asciiTheme="minorHAnsi" w:hAnsiTheme="minorHAnsi" w:cstheme="minorHAnsi"/>
          <w:szCs w:val="20"/>
        </w:rPr>
        <w:t xml:space="preserve"> što je rezultat visokog rasta u sektoru</w:t>
      </w:r>
      <w:r w:rsidR="002C756F" w:rsidRPr="007F6F31">
        <w:rPr>
          <w:rFonts w:asciiTheme="minorHAnsi" w:hAnsiTheme="minorHAnsi" w:cstheme="minorHAnsi"/>
          <w:szCs w:val="20"/>
        </w:rPr>
        <w:t xml:space="preserve"> “snabdijevanje el.energijom, gasom i parom“</w:t>
      </w:r>
      <w:r w:rsidR="00A0405C">
        <w:rPr>
          <w:rFonts w:asciiTheme="minorHAnsi" w:hAnsiTheme="minorHAnsi" w:cstheme="minorHAnsi"/>
          <w:szCs w:val="20"/>
        </w:rPr>
        <w:t xml:space="preserve"> </w:t>
      </w:r>
      <w:r w:rsidR="002C756F" w:rsidRPr="007F6F31">
        <w:rPr>
          <w:rFonts w:asciiTheme="minorHAnsi" w:hAnsiTheme="minorHAnsi" w:cstheme="minorHAnsi"/>
          <w:szCs w:val="20"/>
        </w:rPr>
        <w:t>(38,7%), dok su sektori “prerađivačka industrija” i “vađenje rude i kamena” ostvarili pad od 5,0 i 1,4%, respektivno. Povoljni vremenski uslo</w:t>
      </w:r>
      <w:r w:rsidR="00A0405C">
        <w:rPr>
          <w:rFonts w:asciiTheme="minorHAnsi" w:hAnsiTheme="minorHAnsi" w:cstheme="minorHAnsi"/>
          <w:szCs w:val="20"/>
        </w:rPr>
        <w:t>vi (</w:t>
      </w:r>
      <w:r w:rsidR="002C756F" w:rsidRPr="007F6F31">
        <w:rPr>
          <w:rFonts w:asciiTheme="minorHAnsi" w:hAnsiTheme="minorHAnsi" w:cstheme="minorHAnsi"/>
          <w:szCs w:val="20"/>
        </w:rPr>
        <w:t>obilne padavine) uticali su na visok rast proizvodnje električne energije (40,3% u odnosu na prethodnu godinu i 21,2% u odnosu na plan za 2013.godinu).</w:t>
      </w:r>
      <w:r w:rsidR="002C756F" w:rsidRPr="007F6F31">
        <w:rPr>
          <w:noProof/>
          <w:sz w:val="24"/>
          <w:lang w:val="sr-Latn-CS" w:eastAsia="sr-Latn-CS"/>
        </w:rPr>
        <w:t xml:space="preserve"> </w:t>
      </w:r>
    </w:p>
    <w:p w:rsidR="00C8677B" w:rsidRPr="00E7232A" w:rsidRDefault="00C8677B" w:rsidP="00C8677B">
      <w:pPr>
        <w:spacing w:after="0" w:line="240" w:lineRule="auto"/>
        <w:jc w:val="both"/>
        <w:rPr>
          <w:noProof/>
          <w:sz w:val="24"/>
          <w:lang w:val="sr-Latn-CS" w:eastAsia="sr-Latn-CS"/>
        </w:rPr>
      </w:pPr>
    </w:p>
    <w:p w:rsidR="009E08CA" w:rsidRDefault="002C756F" w:rsidP="00C8677B">
      <w:pPr>
        <w:spacing w:after="0" w:line="240" w:lineRule="auto"/>
        <w:jc w:val="both"/>
        <w:rPr>
          <w:rFonts w:asciiTheme="minorHAnsi" w:hAnsiTheme="minorHAnsi" w:cstheme="minorHAnsi"/>
          <w:szCs w:val="20"/>
        </w:rPr>
      </w:pPr>
      <w:r w:rsidRPr="00A0405C">
        <w:rPr>
          <w:rFonts w:asciiTheme="minorHAnsi" w:hAnsiTheme="minorHAnsi" w:cstheme="minorHAnsi"/>
          <w:b/>
          <w:szCs w:val="20"/>
        </w:rPr>
        <w:t>U period</w:t>
      </w:r>
      <w:r w:rsidR="005E660F">
        <w:rPr>
          <w:rFonts w:asciiTheme="minorHAnsi" w:hAnsiTheme="minorHAnsi" w:cstheme="minorHAnsi"/>
          <w:b/>
          <w:szCs w:val="20"/>
        </w:rPr>
        <w:t>u</w:t>
      </w:r>
      <w:r w:rsidRPr="00A0405C">
        <w:rPr>
          <w:rFonts w:asciiTheme="minorHAnsi" w:hAnsiTheme="minorHAnsi" w:cstheme="minorHAnsi"/>
          <w:b/>
          <w:szCs w:val="20"/>
        </w:rPr>
        <w:t xml:space="preserve"> januar-april 2014.godine, industrijska proizvodnja je ostvarila pad od 11,1</w:t>
      </w:r>
      <w:r w:rsidRPr="00A90D3D">
        <w:rPr>
          <w:rFonts w:asciiTheme="minorHAnsi" w:hAnsiTheme="minorHAnsi" w:cstheme="minorHAnsi"/>
          <w:b/>
          <w:szCs w:val="20"/>
        </w:rPr>
        <w:t>%, što je dominantno opredijeljeno padom proizvodnje električne energije od 30,4%( visoka osnova iz prethodne godine)</w:t>
      </w:r>
      <w:r w:rsidR="00A0405C" w:rsidRPr="00A90D3D">
        <w:rPr>
          <w:rFonts w:asciiTheme="minorHAnsi" w:hAnsiTheme="minorHAnsi" w:cstheme="minorHAnsi"/>
          <w:b/>
          <w:szCs w:val="20"/>
        </w:rPr>
        <w:t>.</w:t>
      </w:r>
      <w:r w:rsidRPr="00A0405C">
        <w:rPr>
          <w:b/>
          <w:szCs w:val="20"/>
        </w:rPr>
        <w:t xml:space="preserve"> </w:t>
      </w:r>
      <w:r w:rsidRPr="007F6F31">
        <w:rPr>
          <w:szCs w:val="20"/>
        </w:rPr>
        <w:t>Proizvodnja u sektor</w:t>
      </w:r>
      <w:r w:rsidR="00310B75">
        <w:rPr>
          <w:szCs w:val="20"/>
        </w:rPr>
        <w:t xml:space="preserve">ima </w:t>
      </w:r>
      <w:r w:rsidRPr="007F6F31">
        <w:rPr>
          <w:szCs w:val="20"/>
        </w:rPr>
        <w:t xml:space="preserve">„vađenje rude i kamena“ </w:t>
      </w:r>
      <w:r w:rsidR="00310B75">
        <w:rPr>
          <w:szCs w:val="20"/>
        </w:rPr>
        <w:t>i “prerađivačka industrija”</w:t>
      </w:r>
      <w:r w:rsidR="00E01CD4">
        <w:rPr>
          <w:szCs w:val="20"/>
        </w:rPr>
        <w:t xml:space="preserve"> </w:t>
      </w:r>
      <w:r w:rsidRPr="007F6F31">
        <w:rPr>
          <w:szCs w:val="20"/>
        </w:rPr>
        <w:t>bilježi rast za prva četiri</w:t>
      </w:r>
      <w:r w:rsidR="00134D0C">
        <w:rPr>
          <w:szCs w:val="20"/>
        </w:rPr>
        <w:t xml:space="preserve"> mjeseca 2014. od 32,5 i 13,3% </w:t>
      </w:r>
      <w:r w:rsidRPr="007F6F31">
        <w:rPr>
          <w:szCs w:val="20"/>
        </w:rPr>
        <w:t xml:space="preserve">g-n-g, što je ublažilo pad ukupne industrijske proizvodnje u ovom periodu. </w:t>
      </w:r>
      <w:r w:rsidRPr="007F6F31">
        <w:rPr>
          <w:rFonts w:asciiTheme="minorHAnsi" w:hAnsiTheme="minorHAnsi" w:cstheme="minorHAnsi"/>
          <w:szCs w:val="20"/>
        </w:rPr>
        <w:t xml:space="preserve">Rast  u sektoru “vađenje rude i kamena”(32,5%) je opredijeljen visokim </w:t>
      </w:r>
      <w:r w:rsidRPr="007F6F31">
        <w:rPr>
          <w:rFonts w:asciiTheme="minorHAnsi" w:hAnsiTheme="minorHAnsi" w:cstheme="minorHAnsi"/>
          <w:szCs w:val="20"/>
        </w:rPr>
        <w:lastRenderedPageBreak/>
        <w:t>rastom u oblasti “ostalo rudarstvo”(58,3%), dok je rast u sektoru “prerađivačka industrija”(13,3%) rezutat povećane proizvodnje prehrambenih proizvoda(35,6%), pića(10,2%), farmaceutskih proizvoda (144,8%), proizvoda od ostalih nemetalnih minerala (17,5%),  koji čine 27,5% ukupne industri</w:t>
      </w:r>
      <w:r w:rsidR="00945B5D">
        <w:rPr>
          <w:rFonts w:asciiTheme="minorHAnsi" w:hAnsiTheme="minorHAnsi" w:cstheme="minorHAnsi"/>
          <w:szCs w:val="20"/>
        </w:rPr>
        <w:t>j</w:t>
      </w:r>
      <w:r w:rsidRPr="007F6F31">
        <w:rPr>
          <w:rFonts w:asciiTheme="minorHAnsi" w:hAnsiTheme="minorHAnsi" w:cstheme="minorHAnsi"/>
          <w:szCs w:val="20"/>
        </w:rPr>
        <w:t>ske proizvodnje ili 53,7% prerađivačke industrije. Proizvodnja osnovnih metala (aluminijum i čelik) bilježi kontinuirani pad</w:t>
      </w:r>
      <w:r w:rsidR="00A0405C">
        <w:rPr>
          <w:rFonts w:asciiTheme="minorHAnsi" w:hAnsiTheme="minorHAnsi" w:cstheme="minorHAnsi"/>
          <w:szCs w:val="20"/>
        </w:rPr>
        <w:t xml:space="preserve"> </w:t>
      </w:r>
      <w:r w:rsidR="008950AE">
        <w:rPr>
          <w:rFonts w:asciiTheme="minorHAnsi" w:hAnsiTheme="minorHAnsi" w:cstheme="minorHAnsi"/>
          <w:szCs w:val="20"/>
        </w:rPr>
        <w:t>(</w:t>
      </w:r>
      <w:r w:rsidRPr="007F6F31">
        <w:rPr>
          <w:rFonts w:asciiTheme="minorHAnsi" w:hAnsiTheme="minorHAnsi" w:cstheme="minorHAnsi"/>
          <w:szCs w:val="20"/>
        </w:rPr>
        <w:t>12,7% za četiri mjeseca 2014.) i smanjenje učeš</w:t>
      </w:r>
      <w:r w:rsidR="00372643">
        <w:rPr>
          <w:rFonts w:asciiTheme="minorHAnsi" w:hAnsiTheme="minorHAnsi" w:cstheme="minorHAnsi"/>
          <w:szCs w:val="20"/>
        </w:rPr>
        <w:t>ća u prerađivačkoj industriji (</w:t>
      </w:r>
      <w:r w:rsidRPr="007F6F31">
        <w:rPr>
          <w:rFonts w:asciiTheme="minorHAnsi" w:hAnsiTheme="minorHAnsi" w:cstheme="minorHAnsi"/>
          <w:szCs w:val="20"/>
        </w:rPr>
        <w:t>sa 35,6% u 2012. na 23,4% u 2013). Kretanje industrijske proizvodnje do kraja godine zavisiće prevashodno od razrješenja problema u KAP-u (prihvać</w:t>
      </w:r>
      <w:r w:rsidR="00A0405C">
        <w:rPr>
          <w:rFonts w:asciiTheme="minorHAnsi" w:hAnsiTheme="minorHAnsi" w:cstheme="minorHAnsi"/>
          <w:szCs w:val="20"/>
        </w:rPr>
        <w:t>e</w:t>
      </w:r>
      <w:r w:rsidRPr="007F6F31">
        <w:rPr>
          <w:rFonts w:asciiTheme="minorHAnsi" w:hAnsiTheme="minorHAnsi" w:cstheme="minorHAnsi"/>
          <w:szCs w:val="20"/>
        </w:rPr>
        <w:t>na je ponuda jedinog ponuđača i očekuje se potpisivanja Ugovor</w:t>
      </w:r>
      <w:r w:rsidR="004B391B">
        <w:rPr>
          <w:rFonts w:asciiTheme="minorHAnsi" w:hAnsiTheme="minorHAnsi" w:cstheme="minorHAnsi"/>
          <w:szCs w:val="20"/>
        </w:rPr>
        <w:t>a o kupoprodaji imovine KAP-a).</w:t>
      </w:r>
    </w:p>
    <w:p w:rsidR="00C8677B" w:rsidRPr="00C8677B" w:rsidRDefault="00C8677B" w:rsidP="00C8677B">
      <w:pPr>
        <w:spacing w:after="0" w:line="240" w:lineRule="auto"/>
        <w:jc w:val="both"/>
        <w:rPr>
          <w:rFonts w:asciiTheme="minorHAnsi" w:hAnsiTheme="minorHAnsi" w:cstheme="minorHAnsi"/>
          <w:szCs w:val="20"/>
        </w:rPr>
      </w:pPr>
    </w:p>
    <w:p w:rsidR="000D1450" w:rsidRPr="00C8677B" w:rsidRDefault="000D1450" w:rsidP="00C8677B">
      <w:pPr>
        <w:pStyle w:val="Heading4"/>
        <w:rPr>
          <w:sz w:val="22"/>
          <w:szCs w:val="22"/>
        </w:rPr>
      </w:pPr>
      <w:bookmarkStart w:id="15" w:name="_Toc389745267"/>
      <w:r w:rsidRPr="00C8677B">
        <w:rPr>
          <w:sz w:val="22"/>
          <w:szCs w:val="22"/>
        </w:rPr>
        <w:t>Poljoprivreda</w:t>
      </w:r>
      <w:bookmarkEnd w:id="15"/>
    </w:p>
    <w:p w:rsidR="009834F4" w:rsidRPr="009D407D" w:rsidRDefault="009834F4" w:rsidP="00C8677B">
      <w:pPr>
        <w:spacing w:after="0" w:line="240" w:lineRule="auto"/>
      </w:pPr>
    </w:p>
    <w:p w:rsidR="00943DDA" w:rsidRDefault="00943DDA" w:rsidP="00C8677B">
      <w:pPr>
        <w:pStyle w:val="Default"/>
        <w:jc w:val="both"/>
        <w:rPr>
          <w:rFonts w:ascii="Calibri" w:hAnsi="Calibri"/>
          <w:color w:val="auto"/>
          <w:sz w:val="22"/>
          <w:szCs w:val="20"/>
          <w:lang w:val="sl-SI"/>
        </w:rPr>
      </w:pPr>
      <w:r>
        <w:rPr>
          <w:rFonts w:ascii="Calibri" w:hAnsi="Calibri"/>
          <w:color w:val="auto"/>
          <w:sz w:val="22"/>
          <w:szCs w:val="20"/>
          <w:lang w:val="sl-SI"/>
        </w:rPr>
        <w:t xml:space="preserve">U </w:t>
      </w:r>
      <w:r w:rsidR="00B16712">
        <w:rPr>
          <w:rFonts w:ascii="Calibri" w:hAnsi="Calibri"/>
          <w:color w:val="auto"/>
          <w:sz w:val="22"/>
          <w:szCs w:val="20"/>
          <w:lang w:val="sl-SI"/>
        </w:rPr>
        <w:t>prvom kvartalu 2014.godine</w:t>
      </w:r>
      <w:r>
        <w:rPr>
          <w:rFonts w:ascii="Calibri" w:hAnsi="Calibri"/>
          <w:color w:val="auto"/>
          <w:sz w:val="22"/>
          <w:szCs w:val="20"/>
          <w:lang w:val="sl-SI"/>
        </w:rPr>
        <w:t xml:space="preserve"> v</w:t>
      </w:r>
      <w:r w:rsidRPr="00F153A8">
        <w:rPr>
          <w:rFonts w:ascii="Calibri" w:hAnsi="Calibri"/>
          <w:color w:val="auto"/>
          <w:sz w:val="22"/>
          <w:szCs w:val="20"/>
          <w:lang w:val="sl-SI"/>
        </w:rPr>
        <w:t>rijednost otkupa i prodaje proizvoda poljoprivrede, šumarstva i ribarstva bilježi</w:t>
      </w:r>
      <w:r>
        <w:rPr>
          <w:rFonts w:ascii="Calibri" w:hAnsi="Calibri"/>
          <w:color w:val="auto"/>
          <w:sz w:val="22"/>
          <w:szCs w:val="20"/>
          <w:lang w:val="sl-SI"/>
        </w:rPr>
        <w:t xml:space="preserve"> </w:t>
      </w:r>
      <w:r w:rsidRPr="00F153A8">
        <w:rPr>
          <w:rFonts w:ascii="Calibri" w:hAnsi="Calibri"/>
          <w:color w:val="auto"/>
          <w:sz w:val="22"/>
          <w:szCs w:val="20"/>
          <w:lang w:val="sl-SI"/>
        </w:rPr>
        <w:t>rast od 3,0%</w:t>
      </w:r>
      <w:r>
        <w:rPr>
          <w:rFonts w:ascii="Calibri" w:hAnsi="Calibri"/>
          <w:color w:val="auto"/>
          <w:sz w:val="22"/>
          <w:szCs w:val="20"/>
          <w:lang w:val="sl-SI"/>
        </w:rPr>
        <w:t xml:space="preserve"> g-n-g</w:t>
      </w:r>
      <w:r w:rsidRPr="00F153A8">
        <w:rPr>
          <w:rFonts w:ascii="Calibri" w:hAnsi="Calibri"/>
          <w:color w:val="auto"/>
          <w:sz w:val="22"/>
          <w:szCs w:val="20"/>
          <w:lang w:val="sl-SI"/>
        </w:rPr>
        <w:t xml:space="preserve">, od čega je zabilježen rast vrijednosti prodaje iz sopstvene proizvodnje poslovnih subjekata za 6,6% i rast vrijednosti otkupa poljoprivrednih proizvoda od individualnih proizvođača za 1,9%. </w:t>
      </w:r>
    </w:p>
    <w:p w:rsidR="00C8677B" w:rsidRPr="00F153A8" w:rsidRDefault="00C8677B" w:rsidP="00C8677B">
      <w:pPr>
        <w:pStyle w:val="Default"/>
        <w:jc w:val="both"/>
        <w:rPr>
          <w:rFonts w:ascii="Calibri" w:hAnsi="Calibri"/>
          <w:color w:val="auto"/>
          <w:sz w:val="22"/>
          <w:szCs w:val="20"/>
          <w:lang w:val="sl-SI"/>
        </w:rPr>
      </w:pPr>
    </w:p>
    <w:p w:rsidR="00943DDA" w:rsidRDefault="00943DDA" w:rsidP="00C8677B">
      <w:pPr>
        <w:pStyle w:val="Default"/>
        <w:jc w:val="both"/>
        <w:rPr>
          <w:rFonts w:ascii="Calibri" w:hAnsi="Calibri"/>
          <w:color w:val="auto"/>
          <w:sz w:val="22"/>
          <w:szCs w:val="20"/>
          <w:lang w:val="sl-SI"/>
        </w:rPr>
      </w:pPr>
      <w:r w:rsidRPr="00F153A8">
        <w:rPr>
          <w:rFonts w:ascii="Calibri" w:hAnsi="Calibri"/>
          <w:color w:val="auto"/>
          <w:sz w:val="22"/>
          <w:szCs w:val="20"/>
          <w:lang w:val="sl-SI"/>
        </w:rPr>
        <w:t>Vrijednost otkupa i prodaje proizvoda poljoprivrede, šumarstva i ribarstva od strane poslovnih subjekata i zemljoradničkih zadruga u prvom kvartalu 2014. godine iznosila je 5,0 mil.€</w:t>
      </w:r>
      <w:r w:rsidR="00B16712">
        <w:rPr>
          <w:rFonts w:ascii="Calibri" w:hAnsi="Calibri"/>
          <w:color w:val="auto"/>
          <w:sz w:val="22"/>
          <w:szCs w:val="20"/>
          <w:lang w:val="sl-SI"/>
        </w:rPr>
        <w:t>,</w:t>
      </w:r>
      <w:r w:rsidRPr="00F153A8">
        <w:rPr>
          <w:rFonts w:ascii="Calibri" w:hAnsi="Calibri"/>
          <w:color w:val="auto"/>
          <w:sz w:val="22"/>
          <w:szCs w:val="20"/>
          <w:lang w:val="sl-SI"/>
        </w:rPr>
        <w:t xml:space="preserve">  od čega je vrijednost prodaje iz sopstvene proizvodnje 1</w:t>
      </w:r>
      <w:r>
        <w:rPr>
          <w:rFonts w:ascii="Calibri" w:hAnsi="Calibri"/>
          <w:color w:val="auto"/>
          <w:sz w:val="22"/>
          <w:szCs w:val="20"/>
          <w:lang w:val="sl-SI"/>
        </w:rPr>
        <w:t>,26</w:t>
      </w:r>
      <w:r w:rsidRPr="00F153A8">
        <w:rPr>
          <w:rFonts w:ascii="Calibri" w:hAnsi="Calibri"/>
          <w:color w:val="auto"/>
          <w:sz w:val="22"/>
          <w:szCs w:val="20"/>
          <w:lang w:val="sl-SI"/>
        </w:rPr>
        <w:t xml:space="preserve"> </w:t>
      </w:r>
      <w:r>
        <w:rPr>
          <w:rFonts w:ascii="Calibri" w:hAnsi="Calibri"/>
          <w:color w:val="auto"/>
          <w:sz w:val="22"/>
          <w:szCs w:val="20"/>
          <w:lang w:val="sl-SI"/>
        </w:rPr>
        <w:t>mil.€</w:t>
      </w:r>
      <w:r w:rsidRPr="00F153A8">
        <w:rPr>
          <w:rFonts w:ascii="Calibri" w:hAnsi="Calibri"/>
          <w:color w:val="auto"/>
          <w:sz w:val="22"/>
          <w:szCs w:val="20"/>
          <w:lang w:val="sl-SI"/>
        </w:rPr>
        <w:t xml:space="preserve"> ili 25,1%, dok je vrijednost otkupa od individualnih poljoprivrednih proizvođača iznosila 3</w:t>
      </w:r>
      <w:r>
        <w:rPr>
          <w:rFonts w:ascii="Calibri" w:hAnsi="Calibri"/>
          <w:color w:val="auto"/>
          <w:sz w:val="22"/>
          <w:szCs w:val="20"/>
          <w:lang w:val="sl-SI"/>
        </w:rPr>
        <w:t>,</w:t>
      </w:r>
      <w:r w:rsidRPr="00F153A8">
        <w:rPr>
          <w:rFonts w:ascii="Calibri" w:hAnsi="Calibri"/>
          <w:color w:val="auto"/>
          <w:sz w:val="22"/>
          <w:szCs w:val="20"/>
          <w:lang w:val="sl-SI"/>
        </w:rPr>
        <w:t>7</w:t>
      </w:r>
      <w:r>
        <w:rPr>
          <w:rFonts w:ascii="Calibri" w:hAnsi="Calibri"/>
          <w:color w:val="auto"/>
          <w:sz w:val="22"/>
          <w:szCs w:val="20"/>
          <w:lang w:val="sl-SI"/>
        </w:rPr>
        <w:t>5</w:t>
      </w:r>
      <w:r w:rsidRPr="00F153A8">
        <w:rPr>
          <w:rFonts w:ascii="Calibri" w:hAnsi="Calibri"/>
          <w:color w:val="auto"/>
          <w:sz w:val="22"/>
          <w:szCs w:val="20"/>
          <w:lang w:val="sl-SI"/>
        </w:rPr>
        <w:t xml:space="preserve"> eura ili 74,9%. </w:t>
      </w:r>
    </w:p>
    <w:p w:rsidR="00C8677B" w:rsidRPr="00F153A8" w:rsidRDefault="00C8677B" w:rsidP="00C8677B">
      <w:pPr>
        <w:pStyle w:val="Default"/>
        <w:jc w:val="both"/>
        <w:rPr>
          <w:rFonts w:ascii="Calibri" w:hAnsi="Calibri"/>
          <w:color w:val="auto"/>
          <w:sz w:val="22"/>
          <w:szCs w:val="20"/>
          <w:lang w:val="sl-SI"/>
        </w:rPr>
      </w:pPr>
    </w:p>
    <w:p w:rsidR="00943DDA" w:rsidRDefault="00943DDA" w:rsidP="00C8677B">
      <w:pPr>
        <w:spacing w:after="0" w:line="240" w:lineRule="auto"/>
        <w:jc w:val="both"/>
        <w:rPr>
          <w:szCs w:val="20"/>
          <w:lang w:val="sl-SI"/>
        </w:rPr>
      </w:pPr>
      <w:r w:rsidRPr="00F153A8">
        <w:rPr>
          <w:szCs w:val="20"/>
          <w:lang w:val="sl-SI"/>
        </w:rPr>
        <w:t>U strukturi vrijednosti otkupa i prodaje proizvoda poljoprivrede, šumarstva i ribarstva u prvom kvartalu 2014. stoka po vrstama i kategorijama učestvuje 29,5%, sirovo kravlje mlijeko učestvuje 26,9%, kokošija jaja učestvuju 15,6%, svježe povrće 8,3%, svježa riba 6,5%, svježe voće 6,2%, ostali proizvodi 3,2%, industrijsko bilje 3,1%, žita 0,6% i prerađevine voća i grožđa 0,1%.</w:t>
      </w:r>
      <w:r>
        <w:rPr>
          <w:szCs w:val="20"/>
          <w:lang w:val="sl-SI"/>
        </w:rPr>
        <w:t xml:space="preserve"> </w:t>
      </w:r>
    </w:p>
    <w:p w:rsidR="00C8677B" w:rsidRDefault="00C8677B" w:rsidP="00C8677B">
      <w:pPr>
        <w:spacing w:after="0" w:line="240" w:lineRule="auto"/>
        <w:jc w:val="both"/>
        <w:rPr>
          <w:szCs w:val="20"/>
          <w:lang w:val="sl-SI"/>
        </w:rPr>
      </w:pPr>
    </w:p>
    <w:p w:rsidR="00943DDA" w:rsidRDefault="00943DDA" w:rsidP="00C8677B">
      <w:pPr>
        <w:spacing w:after="0" w:line="240" w:lineRule="auto"/>
        <w:jc w:val="both"/>
        <w:rPr>
          <w:szCs w:val="20"/>
          <w:lang w:val="sl-SI"/>
        </w:rPr>
      </w:pPr>
      <w:r>
        <w:rPr>
          <w:szCs w:val="20"/>
          <w:lang w:val="sl-SI"/>
        </w:rPr>
        <w:t>Napominjemo da pomenuti indikator pokriva oko 7% vrijednosti bruto proizvodnje u poljoprivredi pa se ne može smatrati reprezentativnim za utvrđivanje kretanja aktivnosti u ovoj grani. Prema podacima Monstata, u periodu januar-april 2014. godine g-n-g, došlo je do pada zaposlenosti u sektoru poljoprivrede,</w:t>
      </w:r>
      <w:r w:rsidRPr="00A7529D">
        <w:rPr>
          <w:szCs w:val="20"/>
          <w:lang w:val="sl-SI"/>
        </w:rPr>
        <w:t xml:space="preserve"> šuma</w:t>
      </w:r>
      <w:r w:rsidR="00B16712">
        <w:rPr>
          <w:szCs w:val="20"/>
          <w:lang w:val="sl-SI"/>
        </w:rPr>
        <w:t>rstva</w:t>
      </w:r>
      <w:r>
        <w:rPr>
          <w:szCs w:val="20"/>
          <w:lang w:val="sl-SI"/>
        </w:rPr>
        <w:t xml:space="preserve"> i ribarstv</w:t>
      </w:r>
      <w:r w:rsidR="00B16712">
        <w:rPr>
          <w:szCs w:val="20"/>
          <w:lang w:val="sl-SI"/>
        </w:rPr>
        <w:t>a</w:t>
      </w:r>
      <w:r>
        <w:rPr>
          <w:szCs w:val="20"/>
          <w:lang w:val="sl-SI"/>
        </w:rPr>
        <w:t xml:space="preserve"> za 1,8%. Ovaj pokazatelj se odnosi samo na zaposlene u kompanijama i lic</w:t>
      </w:r>
      <w:r w:rsidR="00B16712">
        <w:rPr>
          <w:szCs w:val="20"/>
          <w:lang w:val="sl-SI"/>
        </w:rPr>
        <w:t>a koja</w:t>
      </w:r>
      <w:r>
        <w:rPr>
          <w:szCs w:val="20"/>
          <w:lang w:val="sl-SI"/>
        </w:rPr>
        <w:t xml:space="preserve"> su registrovan</w:t>
      </w:r>
      <w:r w:rsidR="00B16712">
        <w:rPr>
          <w:szCs w:val="20"/>
          <w:lang w:val="sl-SI"/>
        </w:rPr>
        <w:t>a u P</w:t>
      </w:r>
      <w:r>
        <w:rPr>
          <w:szCs w:val="20"/>
          <w:lang w:val="sl-SI"/>
        </w:rPr>
        <w:t>oreskoj upravi, a oni čine o</w:t>
      </w:r>
      <w:r w:rsidR="00B16712">
        <w:rPr>
          <w:szCs w:val="20"/>
          <w:lang w:val="sl-SI"/>
        </w:rPr>
        <w:t>ko ¼ ukupnog broja zaposlenih (A</w:t>
      </w:r>
      <w:r>
        <w:rPr>
          <w:szCs w:val="20"/>
          <w:lang w:val="sl-SI"/>
        </w:rPr>
        <w:t>nketa o radnoj snazi).</w:t>
      </w:r>
    </w:p>
    <w:p w:rsidR="00943DDA" w:rsidRPr="0092195A" w:rsidRDefault="00943DDA" w:rsidP="00C8677B">
      <w:pPr>
        <w:spacing w:after="0" w:line="240" w:lineRule="auto"/>
        <w:jc w:val="both"/>
        <w:rPr>
          <w:rFonts w:cs="Calibri"/>
          <w:sz w:val="24"/>
          <w:lang w:val="sl-SI"/>
        </w:rPr>
      </w:pPr>
    </w:p>
    <w:p w:rsidR="0051709E" w:rsidRPr="00C8677B" w:rsidRDefault="000D1450" w:rsidP="00C8677B">
      <w:pPr>
        <w:pStyle w:val="Heading4"/>
        <w:rPr>
          <w:sz w:val="22"/>
          <w:szCs w:val="22"/>
        </w:rPr>
      </w:pPr>
      <w:bookmarkStart w:id="16" w:name="_Toc389745268"/>
      <w:r w:rsidRPr="00C8677B">
        <w:rPr>
          <w:sz w:val="22"/>
          <w:szCs w:val="22"/>
        </w:rPr>
        <w:t>Trgovina</w:t>
      </w:r>
      <w:bookmarkEnd w:id="16"/>
    </w:p>
    <w:p w:rsidR="009834F4" w:rsidRPr="009D407D" w:rsidRDefault="009834F4" w:rsidP="00C8677B">
      <w:pPr>
        <w:spacing w:after="0" w:line="240" w:lineRule="auto"/>
      </w:pPr>
    </w:p>
    <w:p w:rsidR="006C3CB0" w:rsidRDefault="00942280" w:rsidP="00C8677B">
      <w:pPr>
        <w:spacing w:after="0" w:line="240" w:lineRule="auto"/>
        <w:jc w:val="both"/>
        <w:rPr>
          <w:szCs w:val="20"/>
        </w:rPr>
      </w:pPr>
      <w:r w:rsidRPr="006C3CB0">
        <w:rPr>
          <w:rFonts w:asciiTheme="minorHAnsi" w:hAnsiTheme="minorHAnsi" w:cstheme="minorHAnsi"/>
          <w:b/>
          <w:szCs w:val="20"/>
        </w:rPr>
        <w:t>Promet u trgovini na malo</w:t>
      </w:r>
      <w:r w:rsidRPr="006C3CB0">
        <w:rPr>
          <w:rFonts w:asciiTheme="minorHAnsi" w:hAnsiTheme="minorHAnsi" w:cstheme="minorHAnsi"/>
          <w:szCs w:val="20"/>
        </w:rPr>
        <w:t xml:space="preserve"> </w:t>
      </w:r>
      <w:r w:rsidRPr="006C3CB0">
        <w:rPr>
          <w:rFonts w:asciiTheme="minorHAnsi" w:hAnsiTheme="minorHAnsi" w:cstheme="minorHAnsi"/>
          <w:b/>
          <w:szCs w:val="20"/>
        </w:rPr>
        <w:t>tokom 2013.godine bilježi kontinuirani rast</w:t>
      </w:r>
      <w:r w:rsidRPr="006C3CB0">
        <w:rPr>
          <w:rFonts w:asciiTheme="minorHAnsi" w:hAnsiTheme="minorHAnsi" w:cstheme="minorHAnsi"/>
          <w:szCs w:val="20"/>
        </w:rPr>
        <w:t xml:space="preserve">. Promet u tekućim cijenama u 2013. godini veći je za 11,3% </w:t>
      </w:r>
      <w:r>
        <w:rPr>
          <w:rFonts w:asciiTheme="minorHAnsi" w:hAnsiTheme="minorHAnsi" w:cstheme="minorHAnsi"/>
          <w:szCs w:val="20"/>
        </w:rPr>
        <w:t>g-n-g</w:t>
      </w:r>
      <w:r w:rsidRPr="006C3CB0">
        <w:rPr>
          <w:rFonts w:asciiTheme="minorHAnsi" w:hAnsiTheme="minorHAnsi" w:cstheme="minorHAnsi"/>
          <w:szCs w:val="20"/>
        </w:rPr>
        <w:t xml:space="preserve">, što je dominantno rezultat većeg obuhvata usljed reklasifikacije </w:t>
      </w:r>
      <w:r w:rsidR="00654317" w:rsidRPr="006C3CB0">
        <w:rPr>
          <w:rFonts w:asciiTheme="minorHAnsi" w:hAnsiTheme="minorHAnsi" w:cstheme="minorHAnsi"/>
          <w:szCs w:val="20"/>
        </w:rPr>
        <w:t xml:space="preserve">velikog trgovačkog lanca </w:t>
      </w:r>
      <w:r w:rsidR="00654317">
        <w:rPr>
          <w:rFonts w:asciiTheme="minorHAnsi" w:hAnsiTheme="minorHAnsi" w:cstheme="minorHAnsi"/>
          <w:szCs w:val="20"/>
        </w:rPr>
        <w:t>iz veleprodaje u maloprodaju</w:t>
      </w:r>
      <w:r w:rsidRPr="006C3CB0">
        <w:rPr>
          <w:rFonts w:asciiTheme="minorHAnsi" w:hAnsiTheme="minorHAnsi" w:cstheme="minorHAnsi"/>
          <w:szCs w:val="20"/>
        </w:rPr>
        <w:t xml:space="preserve">. U prvom kvartalu 2014.godine, promet u trgovini na malo u tekućim cijenama </w:t>
      </w:r>
      <w:r w:rsidR="00654317">
        <w:rPr>
          <w:rFonts w:asciiTheme="minorHAnsi" w:hAnsiTheme="minorHAnsi" w:cstheme="minorHAnsi"/>
          <w:szCs w:val="20"/>
        </w:rPr>
        <w:t>veći je</w:t>
      </w:r>
      <w:r w:rsidRPr="006C3CB0">
        <w:rPr>
          <w:rFonts w:asciiTheme="minorHAnsi" w:hAnsiTheme="minorHAnsi" w:cstheme="minorHAnsi"/>
          <w:szCs w:val="20"/>
        </w:rPr>
        <w:t xml:space="preserve"> za 1,8%</w:t>
      </w:r>
      <w:r>
        <w:rPr>
          <w:rFonts w:asciiTheme="minorHAnsi" w:hAnsiTheme="minorHAnsi" w:cstheme="minorHAnsi"/>
          <w:szCs w:val="20"/>
        </w:rPr>
        <w:t xml:space="preserve"> g-n-g</w:t>
      </w:r>
      <w:r w:rsidR="003375C3">
        <w:rPr>
          <w:rFonts w:asciiTheme="minorHAnsi" w:hAnsiTheme="minorHAnsi" w:cstheme="minorHAnsi"/>
          <w:szCs w:val="20"/>
        </w:rPr>
        <w:t>.</w:t>
      </w:r>
      <w:r w:rsidRPr="006C3CB0">
        <w:rPr>
          <w:rFonts w:asciiTheme="minorHAnsi" w:hAnsiTheme="minorHAnsi" w:cstheme="minorHAnsi"/>
          <w:szCs w:val="20"/>
        </w:rPr>
        <w:t xml:space="preserve"> </w:t>
      </w:r>
      <w:r w:rsidR="003375C3">
        <w:rPr>
          <w:rFonts w:asciiTheme="minorHAnsi" w:hAnsiTheme="minorHAnsi" w:cstheme="minorHAnsi"/>
          <w:szCs w:val="20"/>
        </w:rPr>
        <w:t>R</w:t>
      </w:r>
      <w:r w:rsidRPr="006C3CB0">
        <w:rPr>
          <w:rFonts w:asciiTheme="minorHAnsi" w:hAnsiTheme="minorHAnsi" w:cstheme="minorHAnsi"/>
          <w:szCs w:val="20"/>
        </w:rPr>
        <w:t>ast u stalnim cijenama iznosio</w:t>
      </w:r>
      <w:r w:rsidR="003375C3">
        <w:rPr>
          <w:rFonts w:asciiTheme="minorHAnsi" w:hAnsiTheme="minorHAnsi" w:cstheme="minorHAnsi"/>
          <w:szCs w:val="20"/>
        </w:rPr>
        <w:t xml:space="preserve"> je</w:t>
      </w:r>
      <w:r w:rsidRPr="006C3CB0">
        <w:rPr>
          <w:rFonts w:asciiTheme="minorHAnsi" w:hAnsiTheme="minorHAnsi" w:cstheme="minorHAnsi"/>
          <w:szCs w:val="20"/>
        </w:rPr>
        <w:t xml:space="preserve"> 3,2%, što je rezultat pada cijena ro</w:t>
      </w:r>
      <w:r>
        <w:rPr>
          <w:rFonts w:asciiTheme="minorHAnsi" w:hAnsiTheme="minorHAnsi" w:cstheme="minorHAnsi"/>
          <w:szCs w:val="20"/>
        </w:rPr>
        <w:t>be u maloprodaji. U strukturi prometa</w:t>
      </w:r>
      <w:r w:rsidRPr="006C3CB0">
        <w:rPr>
          <w:rFonts w:asciiTheme="minorHAnsi" w:hAnsiTheme="minorHAnsi" w:cstheme="minorHAnsi"/>
          <w:szCs w:val="20"/>
        </w:rPr>
        <w:t xml:space="preserve"> po djelatnostima,</w:t>
      </w:r>
      <w:r w:rsidRPr="006C3CB0">
        <w:rPr>
          <w:szCs w:val="20"/>
        </w:rPr>
        <w:t xml:space="preserve"> najveće učešće (6</w:t>
      </w:r>
      <w:r w:rsidR="00A90D3D">
        <w:rPr>
          <w:szCs w:val="20"/>
        </w:rPr>
        <w:t>4,2%) ima promet u nespecijalizo</w:t>
      </w:r>
      <w:r w:rsidRPr="006C3CB0">
        <w:rPr>
          <w:szCs w:val="20"/>
        </w:rPr>
        <w:t>vanim prodavnicama, koji nakon kontinuiranog rasta tokom 2013. godine, u 2014. bilježi negativne godišnje stope rasta, dok je rast prometa zabilježen u trgovini hranom, pićem i duvanom, farmaceutskim i kozmetičkim preparatima i motornim gorivima.</w:t>
      </w:r>
    </w:p>
    <w:p w:rsidR="00C8677B" w:rsidRPr="006C3CB0" w:rsidRDefault="00C8677B" w:rsidP="00C8677B">
      <w:pPr>
        <w:spacing w:after="0" w:line="240" w:lineRule="auto"/>
        <w:jc w:val="both"/>
        <w:rPr>
          <w:szCs w:val="20"/>
        </w:rPr>
      </w:pPr>
    </w:p>
    <w:p w:rsidR="000D1450" w:rsidRPr="00C8677B" w:rsidRDefault="000D1450" w:rsidP="00C8677B">
      <w:pPr>
        <w:pStyle w:val="Heading4"/>
        <w:rPr>
          <w:sz w:val="22"/>
          <w:szCs w:val="22"/>
        </w:rPr>
      </w:pPr>
      <w:bookmarkStart w:id="17" w:name="_Toc389745269"/>
      <w:r w:rsidRPr="00C8677B">
        <w:rPr>
          <w:sz w:val="22"/>
          <w:szCs w:val="22"/>
        </w:rPr>
        <w:t>Saobraćaj</w:t>
      </w:r>
      <w:bookmarkEnd w:id="17"/>
    </w:p>
    <w:p w:rsidR="009834F4" w:rsidRPr="009D407D" w:rsidRDefault="009834F4" w:rsidP="00C8677B">
      <w:pPr>
        <w:spacing w:after="0" w:line="240" w:lineRule="auto"/>
      </w:pPr>
    </w:p>
    <w:p w:rsidR="00943DDA" w:rsidRDefault="005A27BD" w:rsidP="00C8677B">
      <w:pPr>
        <w:spacing w:after="0" w:line="240" w:lineRule="auto"/>
        <w:rPr>
          <w:b/>
          <w:szCs w:val="20"/>
        </w:rPr>
      </w:pPr>
      <w:r w:rsidRPr="008650A0">
        <w:rPr>
          <w:b/>
          <w:szCs w:val="20"/>
        </w:rPr>
        <w:t>Rast ekonomske aktivnosti u 2013. godini, podstaknuo j</w:t>
      </w:r>
      <w:r w:rsidR="00A90D3D">
        <w:rPr>
          <w:b/>
          <w:szCs w:val="20"/>
        </w:rPr>
        <w:t>e rast većine vidova saobraćaja, a t</w:t>
      </w:r>
      <w:r w:rsidR="00A90D3D" w:rsidRPr="00654317">
        <w:rPr>
          <w:b/>
          <w:szCs w:val="20"/>
        </w:rPr>
        <w:t>rend rasta nastavljen je i u I kvartalu 2014. godine.</w:t>
      </w:r>
    </w:p>
    <w:p w:rsidR="00C8677B" w:rsidRDefault="00C8677B" w:rsidP="00C8677B">
      <w:pPr>
        <w:spacing w:after="0" w:line="240" w:lineRule="auto"/>
        <w:rPr>
          <w:b/>
          <w:szCs w:val="20"/>
        </w:rPr>
      </w:pPr>
    </w:p>
    <w:p w:rsidR="00C8677B" w:rsidRDefault="00C8677B" w:rsidP="00C8677B">
      <w:pPr>
        <w:spacing w:after="0" w:line="240" w:lineRule="auto"/>
        <w:rPr>
          <w:b/>
          <w:szCs w:val="20"/>
        </w:rPr>
      </w:pPr>
    </w:p>
    <w:p w:rsidR="00C8677B" w:rsidRPr="008650A0" w:rsidRDefault="00C8677B" w:rsidP="00C8677B">
      <w:pPr>
        <w:spacing w:after="0" w:line="240" w:lineRule="auto"/>
        <w:rPr>
          <w:b/>
          <w:szCs w:val="20"/>
        </w:rPr>
      </w:pPr>
    </w:p>
    <w:p w:rsidR="00A14FB9" w:rsidRPr="007F07CB" w:rsidRDefault="00A14FB9" w:rsidP="00C8677B">
      <w:pPr>
        <w:pStyle w:val="Caption"/>
        <w:framePr w:wrap="notBeside"/>
      </w:pPr>
      <w:r w:rsidRPr="007F07CB">
        <w:lastRenderedPageBreak/>
        <w:t>Stope rasta u oblasti saobraćaja, u 2013. godini i I kvartalu 2014</w:t>
      </w:r>
      <w:r>
        <w:t>- u %</w:t>
      </w:r>
      <w:r w:rsidRPr="007F07CB">
        <w:t>, period na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2"/>
        <w:gridCol w:w="1601"/>
        <w:gridCol w:w="1762"/>
        <w:gridCol w:w="1921"/>
        <w:gridCol w:w="1597"/>
      </w:tblGrid>
      <w:tr w:rsidR="00A14FB9" w:rsidRPr="00C8677B" w:rsidTr="00C8677B">
        <w:trPr>
          <w:trHeight w:val="227"/>
        </w:trPr>
        <w:tc>
          <w:tcPr>
            <w:tcW w:w="1278" w:type="pct"/>
            <w:vMerge w:val="restart"/>
            <w:shd w:val="clear" w:color="auto" w:fill="7E0000"/>
            <w:vAlign w:val="center"/>
          </w:tcPr>
          <w:p w:rsidR="00A14FB9" w:rsidRPr="00C8677B" w:rsidRDefault="00A14FB9" w:rsidP="00C8677B">
            <w:pPr>
              <w:pStyle w:val="NoSpacing"/>
              <w:ind w:left="-79"/>
              <w:jc w:val="both"/>
              <w:rPr>
                <w:rFonts w:cs="Calibri"/>
                <w:sz w:val="18"/>
                <w:szCs w:val="18"/>
              </w:rPr>
            </w:pPr>
          </w:p>
        </w:tc>
        <w:tc>
          <w:tcPr>
            <w:tcW w:w="1819" w:type="pct"/>
            <w:gridSpan w:val="2"/>
            <w:tcBorders>
              <w:bottom w:val="single" w:sz="4" w:space="0" w:color="auto"/>
            </w:tcBorders>
            <w:shd w:val="clear" w:color="auto" w:fill="7E0000"/>
            <w:vAlign w:val="center"/>
          </w:tcPr>
          <w:p w:rsidR="00A14FB9" w:rsidRPr="00C8677B" w:rsidRDefault="00A14FB9" w:rsidP="00C8677B">
            <w:pPr>
              <w:pStyle w:val="NoSpacing"/>
              <w:jc w:val="center"/>
              <w:rPr>
                <w:rFonts w:cs="Calibri"/>
                <w:b/>
                <w:bCs/>
                <w:sz w:val="18"/>
                <w:szCs w:val="18"/>
              </w:rPr>
            </w:pPr>
            <w:r w:rsidRPr="00C8677B">
              <w:rPr>
                <w:rFonts w:cs="Calibri"/>
                <w:b/>
                <w:bCs/>
                <w:sz w:val="18"/>
                <w:szCs w:val="18"/>
              </w:rPr>
              <w:t>2013.</w:t>
            </w:r>
          </w:p>
        </w:tc>
        <w:tc>
          <w:tcPr>
            <w:tcW w:w="1904" w:type="pct"/>
            <w:gridSpan w:val="2"/>
            <w:tcBorders>
              <w:bottom w:val="single" w:sz="4" w:space="0" w:color="auto"/>
            </w:tcBorders>
            <w:shd w:val="clear" w:color="auto" w:fill="7E0000"/>
            <w:vAlign w:val="center"/>
          </w:tcPr>
          <w:p w:rsidR="00A14FB9" w:rsidRPr="00C8677B" w:rsidRDefault="00A14FB9" w:rsidP="00C8677B">
            <w:pPr>
              <w:pStyle w:val="NoSpacing"/>
              <w:jc w:val="center"/>
              <w:rPr>
                <w:rFonts w:cs="Calibri"/>
                <w:b/>
                <w:bCs/>
                <w:sz w:val="18"/>
                <w:szCs w:val="18"/>
              </w:rPr>
            </w:pPr>
            <w:r w:rsidRPr="00C8677B">
              <w:rPr>
                <w:rFonts w:cs="Calibri"/>
                <w:b/>
                <w:bCs/>
                <w:sz w:val="18"/>
                <w:szCs w:val="18"/>
              </w:rPr>
              <w:t>Q1 2014.</w:t>
            </w:r>
          </w:p>
        </w:tc>
      </w:tr>
      <w:tr w:rsidR="00A14FB9" w:rsidRPr="00C8677B" w:rsidTr="00C8677B">
        <w:trPr>
          <w:trHeight w:val="227"/>
        </w:trPr>
        <w:tc>
          <w:tcPr>
            <w:tcW w:w="1278" w:type="pct"/>
            <w:vMerge/>
            <w:shd w:val="clear" w:color="auto" w:fill="7E0000"/>
            <w:vAlign w:val="center"/>
          </w:tcPr>
          <w:p w:rsidR="00A14FB9" w:rsidRPr="00C8677B" w:rsidRDefault="00A14FB9" w:rsidP="00C8677B">
            <w:pPr>
              <w:pStyle w:val="NoSpacing"/>
              <w:jc w:val="both"/>
              <w:rPr>
                <w:rFonts w:cs="Calibri"/>
                <w:sz w:val="18"/>
                <w:szCs w:val="18"/>
              </w:rPr>
            </w:pPr>
          </w:p>
        </w:tc>
        <w:tc>
          <w:tcPr>
            <w:tcW w:w="866" w:type="pct"/>
            <w:shd w:val="clear" w:color="auto" w:fill="7E0000"/>
            <w:vAlign w:val="center"/>
          </w:tcPr>
          <w:p w:rsidR="00A14FB9" w:rsidRPr="00C8677B" w:rsidRDefault="00A14FB9" w:rsidP="00C8677B">
            <w:pPr>
              <w:pStyle w:val="NoSpacing"/>
              <w:jc w:val="center"/>
              <w:rPr>
                <w:rFonts w:cs="Calibri"/>
                <w:b/>
                <w:bCs/>
                <w:sz w:val="18"/>
                <w:szCs w:val="18"/>
              </w:rPr>
            </w:pPr>
            <w:r w:rsidRPr="00C8677B">
              <w:rPr>
                <w:rFonts w:cs="Calibri"/>
                <w:b/>
                <w:bCs/>
                <w:sz w:val="18"/>
                <w:szCs w:val="18"/>
              </w:rPr>
              <w:t>roba</w:t>
            </w:r>
          </w:p>
        </w:tc>
        <w:tc>
          <w:tcPr>
            <w:tcW w:w="953" w:type="pct"/>
            <w:shd w:val="clear" w:color="auto" w:fill="7E0000"/>
            <w:vAlign w:val="center"/>
          </w:tcPr>
          <w:p w:rsidR="00A14FB9" w:rsidRPr="00C8677B" w:rsidRDefault="00A14FB9" w:rsidP="00C8677B">
            <w:pPr>
              <w:pStyle w:val="NoSpacing"/>
              <w:jc w:val="center"/>
              <w:rPr>
                <w:rFonts w:cs="Calibri"/>
                <w:b/>
                <w:bCs/>
                <w:sz w:val="18"/>
                <w:szCs w:val="18"/>
              </w:rPr>
            </w:pPr>
            <w:r w:rsidRPr="00C8677B">
              <w:rPr>
                <w:rFonts w:cs="Calibri"/>
                <w:b/>
                <w:bCs/>
                <w:sz w:val="18"/>
                <w:szCs w:val="18"/>
              </w:rPr>
              <w:t>putnici</w:t>
            </w:r>
          </w:p>
        </w:tc>
        <w:tc>
          <w:tcPr>
            <w:tcW w:w="1039" w:type="pct"/>
            <w:shd w:val="clear" w:color="auto" w:fill="7E0000"/>
            <w:vAlign w:val="center"/>
          </w:tcPr>
          <w:p w:rsidR="00A14FB9" w:rsidRPr="00C8677B" w:rsidRDefault="00A14FB9" w:rsidP="00C8677B">
            <w:pPr>
              <w:pStyle w:val="NoSpacing"/>
              <w:jc w:val="center"/>
              <w:rPr>
                <w:rFonts w:cs="Calibri"/>
                <w:b/>
                <w:bCs/>
                <w:sz w:val="18"/>
                <w:szCs w:val="18"/>
              </w:rPr>
            </w:pPr>
            <w:r w:rsidRPr="00C8677B">
              <w:rPr>
                <w:rFonts w:cs="Calibri"/>
                <w:b/>
                <w:bCs/>
                <w:sz w:val="18"/>
                <w:szCs w:val="18"/>
              </w:rPr>
              <w:t>roba</w:t>
            </w:r>
          </w:p>
        </w:tc>
        <w:tc>
          <w:tcPr>
            <w:tcW w:w="865" w:type="pct"/>
            <w:shd w:val="clear" w:color="auto" w:fill="7E0000"/>
            <w:vAlign w:val="center"/>
          </w:tcPr>
          <w:p w:rsidR="00A14FB9" w:rsidRPr="00C8677B" w:rsidRDefault="00A14FB9" w:rsidP="00C8677B">
            <w:pPr>
              <w:pStyle w:val="NoSpacing"/>
              <w:jc w:val="center"/>
              <w:rPr>
                <w:rFonts w:cs="Calibri"/>
                <w:sz w:val="18"/>
                <w:szCs w:val="18"/>
              </w:rPr>
            </w:pPr>
            <w:r w:rsidRPr="00C8677B">
              <w:rPr>
                <w:rFonts w:cs="Calibri"/>
                <w:b/>
                <w:bCs/>
                <w:sz w:val="18"/>
                <w:szCs w:val="18"/>
              </w:rPr>
              <w:t>putnici</w:t>
            </w:r>
          </w:p>
        </w:tc>
      </w:tr>
      <w:tr w:rsidR="00A14FB9" w:rsidRPr="00C8677B" w:rsidTr="00C8677B">
        <w:trPr>
          <w:trHeight w:val="227"/>
        </w:trPr>
        <w:tc>
          <w:tcPr>
            <w:tcW w:w="1278" w:type="pct"/>
            <w:shd w:val="clear" w:color="auto" w:fill="7E0000"/>
            <w:vAlign w:val="center"/>
          </w:tcPr>
          <w:p w:rsidR="00A14FB9" w:rsidRPr="00C8677B" w:rsidRDefault="00A14FB9" w:rsidP="00C8677B">
            <w:pPr>
              <w:pStyle w:val="NoSpacing"/>
              <w:jc w:val="both"/>
              <w:rPr>
                <w:rFonts w:cs="Calibri"/>
                <w:b/>
                <w:sz w:val="18"/>
                <w:szCs w:val="18"/>
              </w:rPr>
            </w:pPr>
            <w:r w:rsidRPr="00C8677B">
              <w:rPr>
                <w:rFonts w:cs="Calibri"/>
                <w:b/>
                <w:sz w:val="18"/>
                <w:szCs w:val="18"/>
              </w:rPr>
              <w:t>Željeznički</w:t>
            </w:r>
          </w:p>
        </w:tc>
        <w:tc>
          <w:tcPr>
            <w:tcW w:w="866"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53,6</w:t>
            </w:r>
          </w:p>
        </w:tc>
        <w:tc>
          <w:tcPr>
            <w:tcW w:w="953"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18,1</w:t>
            </w:r>
          </w:p>
        </w:tc>
        <w:tc>
          <w:tcPr>
            <w:tcW w:w="1039"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49,1</w:t>
            </w:r>
          </w:p>
        </w:tc>
        <w:tc>
          <w:tcPr>
            <w:tcW w:w="865"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49,4</w:t>
            </w:r>
          </w:p>
        </w:tc>
      </w:tr>
      <w:tr w:rsidR="00A14FB9" w:rsidRPr="00C8677B" w:rsidTr="00C8677B">
        <w:trPr>
          <w:trHeight w:val="227"/>
        </w:trPr>
        <w:tc>
          <w:tcPr>
            <w:tcW w:w="1278" w:type="pct"/>
            <w:shd w:val="clear" w:color="auto" w:fill="7E0000"/>
            <w:vAlign w:val="center"/>
          </w:tcPr>
          <w:p w:rsidR="00A14FB9" w:rsidRPr="00C8677B" w:rsidRDefault="00A14FB9" w:rsidP="00C8677B">
            <w:pPr>
              <w:pStyle w:val="NoSpacing"/>
              <w:jc w:val="both"/>
              <w:rPr>
                <w:rFonts w:cs="Calibri"/>
                <w:b/>
                <w:sz w:val="18"/>
                <w:szCs w:val="18"/>
              </w:rPr>
            </w:pPr>
            <w:r w:rsidRPr="00C8677B">
              <w:rPr>
                <w:rFonts w:cs="Calibri"/>
                <w:b/>
                <w:sz w:val="18"/>
                <w:szCs w:val="18"/>
              </w:rPr>
              <w:t>Vazdušni</w:t>
            </w:r>
          </w:p>
        </w:tc>
        <w:tc>
          <w:tcPr>
            <w:tcW w:w="866"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w:t>
            </w:r>
          </w:p>
        </w:tc>
        <w:tc>
          <w:tcPr>
            <w:tcW w:w="953"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-3,5</w:t>
            </w:r>
          </w:p>
        </w:tc>
        <w:tc>
          <w:tcPr>
            <w:tcW w:w="1039"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w:t>
            </w:r>
          </w:p>
        </w:tc>
        <w:tc>
          <w:tcPr>
            <w:tcW w:w="865"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-13,0</w:t>
            </w:r>
          </w:p>
        </w:tc>
      </w:tr>
      <w:tr w:rsidR="00A14FB9" w:rsidRPr="00C8677B" w:rsidTr="00C8677B">
        <w:trPr>
          <w:trHeight w:val="227"/>
        </w:trPr>
        <w:tc>
          <w:tcPr>
            <w:tcW w:w="1278" w:type="pct"/>
            <w:shd w:val="clear" w:color="auto" w:fill="7E0000"/>
            <w:vAlign w:val="center"/>
          </w:tcPr>
          <w:p w:rsidR="00A14FB9" w:rsidRPr="00C8677B" w:rsidRDefault="00A14FB9" w:rsidP="00C8677B">
            <w:pPr>
              <w:pStyle w:val="NoSpacing"/>
              <w:jc w:val="both"/>
              <w:rPr>
                <w:rFonts w:cs="Calibri"/>
                <w:b/>
                <w:sz w:val="18"/>
                <w:szCs w:val="18"/>
              </w:rPr>
            </w:pPr>
            <w:r w:rsidRPr="00C8677B">
              <w:rPr>
                <w:rFonts w:cs="Calibri"/>
                <w:b/>
                <w:sz w:val="18"/>
                <w:szCs w:val="18"/>
              </w:rPr>
              <w:t>Promet na aerodromima</w:t>
            </w:r>
          </w:p>
        </w:tc>
        <w:tc>
          <w:tcPr>
            <w:tcW w:w="866"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w:t>
            </w:r>
          </w:p>
        </w:tc>
        <w:tc>
          <w:tcPr>
            <w:tcW w:w="953"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14,</w:t>
            </w:r>
            <w:r w:rsidR="0092786C" w:rsidRPr="00C8677B">
              <w:rPr>
                <w:rFonts w:cs="Calibri"/>
                <w:sz w:val="18"/>
                <w:szCs w:val="18"/>
              </w:rPr>
              <w:t>1</w:t>
            </w:r>
          </w:p>
        </w:tc>
        <w:tc>
          <w:tcPr>
            <w:tcW w:w="1039"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w:t>
            </w:r>
          </w:p>
        </w:tc>
        <w:tc>
          <w:tcPr>
            <w:tcW w:w="865"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5,1</w:t>
            </w:r>
          </w:p>
        </w:tc>
      </w:tr>
      <w:tr w:rsidR="00A14FB9" w:rsidRPr="00C8677B" w:rsidTr="00C8677B">
        <w:trPr>
          <w:trHeight w:val="227"/>
        </w:trPr>
        <w:tc>
          <w:tcPr>
            <w:tcW w:w="1278" w:type="pct"/>
            <w:shd w:val="clear" w:color="auto" w:fill="7E0000"/>
            <w:vAlign w:val="center"/>
          </w:tcPr>
          <w:p w:rsidR="00A14FB9" w:rsidRPr="00C8677B" w:rsidRDefault="00A14FB9" w:rsidP="00C8677B">
            <w:pPr>
              <w:pStyle w:val="NoSpacing"/>
              <w:jc w:val="both"/>
              <w:rPr>
                <w:rFonts w:cs="Calibri"/>
                <w:b/>
                <w:sz w:val="18"/>
                <w:szCs w:val="18"/>
              </w:rPr>
            </w:pPr>
            <w:r w:rsidRPr="00C8677B">
              <w:rPr>
                <w:rFonts w:cs="Calibri"/>
                <w:b/>
                <w:sz w:val="18"/>
                <w:szCs w:val="18"/>
              </w:rPr>
              <w:t>Drumski</w:t>
            </w:r>
          </w:p>
        </w:tc>
        <w:tc>
          <w:tcPr>
            <w:tcW w:w="866"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71,9</w:t>
            </w:r>
          </w:p>
        </w:tc>
        <w:tc>
          <w:tcPr>
            <w:tcW w:w="953"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8,6</w:t>
            </w:r>
          </w:p>
        </w:tc>
        <w:tc>
          <w:tcPr>
            <w:tcW w:w="1039"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55,1</w:t>
            </w:r>
          </w:p>
        </w:tc>
        <w:tc>
          <w:tcPr>
            <w:tcW w:w="865"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31,2</w:t>
            </w:r>
          </w:p>
        </w:tc>
      </w:tr>
      <w:tr w:rsidR="00A14FB9" w:rsidRPr="00C8677B" w:rsidTr="00C8677B">
        <w:trPr>
          <w:trHeight w:val="227"/>
        </w:trPr>
        <w:tc>
          <w:tcPr>
            <w:tcW w:w="1278" w:type="pct"/>
            <w:shd w:val="clear" w:color="auto" w:fill="7E0000"/>
            <w:vAlign w:val="center"/>
          </w:tcPr>
          <w:p w:rsidR="00A14FB9" w:rsidRPr="00C8677B" w:rsidRDefault="00A14FB9" w:rsidP="00C8677B">
            <w:pPr>
              <w:pStyle w:val="NoSpacing"/>
              <w:jc w:val="both"/>
              <w:rPr>
                <w:rFonts w:cs="Calibri"/>
                <w:b/>
                <w:sz w:val="18"/>
                <w:szCs w:val="18"/>
              </w:rPr>
            </w:pPr>
            <w:r w:rsidRPr="00C8677B">
              <w:rPr>
                <w:rFonts w:cs="Calibri"/>
                <w:b/>
                <w:sz w:val="18"/>
                <w:szCs w:val="18"/>
              </w:rPr>
              <w:t>Pretovar</w:t>
            </w:r>
          </w:p>
        </w:tc>
        <w:tc>
          <w:tcPr>
            <w:tcW w:w="866"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43,5</w:t>
            </w:r>
          </w:p>
        </w:tc>
        <w:tc>
          <w:tcPr>
            <w:tcW w:w="953"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w:t>
            </w:r>
          </w:p>
        </w:tc>
        <w:tc>
          <w:tcPr>
            <w:tcW w:w="1039"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-27,0</w:t>
            </w:r>
          </w:p>
        </w:tc>
        <w:tc>
          <w:tcPr>
            <w:tcW w:w="865" w:type="pct"/>
            <w:vAlign w:val="center"/>
          </w:tcPr>
          <w:p w:rsidR="00A14FB9" w:rsidRPr="00C8677B" w:rsidRDefault="00A14FB9" w:rsidP="00C8677B">
            <w:pPr>
              <w:pStyle w:val="NoSpacing"/>
              <w:jc w:val="center"/>
              <w:rPr>
                <w:rFonts w:cs="Calibri"/>
                <w:sz w:val="18"/>
                <w:szCs w:val="18"/>
              </w:rPr>
            </w:pPr>
            <w:r w:rsidRPr="00C8677B">
              <w:rPr>
                <w:rFonts w:cs="Calibri"/>
                <w:sz w:val="18"/>
                <w:szCs w:val="18"/>
              </w:rPr>
              <w:t>-</w:t>
            </w:r>
          </w:p>
        </w:tc>
      </w:tr>
    </w:tbl>
    <w:p w:rsidR="006C3CB0" w:rsidRDefault="006C3CB0" w:rsidP="00C8677B">
      <w:pPr>
        <w:spacing w:after="0" w:line="240" w:lineRule="auto"/>
        <w:jc w:val="both"/>
        <w:rPr>
          <w:szCs w:val="20"/>
        </w:rPr>
      </w:pPr>
    </w:p>
    <w:p w:rsidR="00A14FB9" w:rsidRDefault="00A14FB9" w:rsidP="00C8677B">
      <w:pPr>
        <w:spacing w:after="0" w:line="240" w:lineRule="auto"/>
        <w:jc w:val="both"/>
        <w:rPr>
          <w:szCs w:val="20"/>
        </w:rPr>
      </w:pPr>
      <w:r w:rsidRPr="006C3CB0">
        <w:rPr>
          <w:szCs w:val="20"/>
        </w:rPr>
        <w:t>Najveći rast zabilježen je u oblasti drumskog i željezničkog saobraćaja, zatim kod potrošenih minuta mobilne telefonije, prometa putnika na aerodromima i pretovara robe u lukama. Pad aktivnosti u 2013. godini i I kvartalu 2014. godine zabilježen je kod potrošenih minuta fiksne telefonije i prevoza putnika u vazdušnom saobraćaju. Očekuje se da će se uspostavljeni trend rasta u ovoj oblasti nastaviti do kraja godine.</w:t>
      </w:r>
    </w:p>
    <w:p w:rsidR="00C8677B" w:rsidRPr="00414616" w:rsidRDefault="00C8677B" w:rsidP="00C8677B">
      <w:pPr>
        <w:spacing w:after="0" w:line="240" w:lineRule="auto"/>
        <w:jc w:val="both"/>
        <w:rPr>
          <w:b/>
          <w:sz w:val="20"/>
          <w:szCs w:val="20"/>
        </w:rPr>
      </w:pPr>
    </w:p>
    <w:p w:rsidR="000D1450" w:rsidRPr="003464D1" w:rsidRDefault="000D1450" w:rsidP="00C8677B">
      <w:pPr>
        <w:pStyle w:val="Heading4"/>
      </w:pPr>
      <w:bookmarkStart w:id="18" w:name="_Toc389745270"/>
      <w:r w:rsidRPr="003464D1">
        <w:t>Građevinarstvo</w:t>
      </w:r>
      <w:bookmarkEnd w:id="18"/>
    </w:p>
    <w:p w:rsidR="009834F4" w:rsidRPr="009D407D" w:rsidRDefault="009834F4" w:rsidP="00C8677B">
      <w:pPr>
        <w:spacing w:after="0" w:line="240" w:lineRule="auto"/>
      </w:pPr>
    </w:p>
    <w:p w:rsidR="005E41BB" w:rsidRDefault="00A14FB9" w:rsidP="00C8677B">
      <w:pPr>
        <w:spacing w:after="0" w:line="240" w:lineRule="auto"/>
        <w:jc w:val="both"/>
        <w:rPr>
          <w:szCs w:val="20"/>
        </w:rPr>
      </w:pPr>
      <w:r w:rsidRPr="006C3CB0">
        <w:rPr>
          <w:rFonts w:asciiTheme="minorHAnsi" w:hAnsiTheme="minorHAnsi" w:cstheme="minorHAnsi"/>
          <w:b/>
          <w:szCs w:val="20"/>
        </w:rPr>
        <w:t xml:space="preserve">Nakon </w:t>
      </w:r>
      <w:r w:rsidR="00A90D3D">
        <w:rPr>
          <w:rFonts w:asciiTheme="minorHAnsi" w:hAnsiTheme="minorHAnsi" w:cstheme="minorHAnsi"/>
          <w:b/>
          <w:szCs w:val="20"/>
        </w:rPr>
        <w:t>blagog rasta</w:t>
      </w:r>
      <w:r w:rsidRPr="006C3CB0">
        <w:rPr>
          <w:rFonts w:asciiTheme="minorHAnsi" w:hAnsiTheme="minorHAnsi" w:cstheme="minorHAnsi"/>
          <w:b/>
          <w:szCs w:val="20"/>
        </w:rPr>
        <w:t xml:space="preserve"> građevinsk</w:t>
      </w:r>
      <w:r w:rsidR="00A90D3D">
        <w:rPr>
          <w:rFonts w:asciiTheme="minorHAnsi" w:hAnsiTheme="minorHAnsi" w:cstheme="minorHAnsi"/>
          <w:b/>
          <w:szCs w:val="20"/>
        </w:rPr>
        <w:t>e</w:t>
      </w:r>
      <w:r w:rsidRPr="006C3CB0">
        <w:rPr>
          <w:rFonts w:asciiTheme="minorHAnsi" w:hAnsiTheme="minorHAnsi" w:cstheme="minorHAnsi"/>
          <w:b/>
          <w:szCs w:val="20"/>
        </w:rPr>
        <w:t xml:space="preserve"> aktivnost</w:t>
      </w:r>
      <w:r w:rsidR="00A90D3D">
        <w:rPr>
          <w:rFonts w:asciiTheme="minorHAnsi" w:hAnsiTheme="minorHAnsi" w:cstheme="minorHAnsi"/>
          <w:b/>
          <w:szCs w:val="20"/>
        </w:rPr>
        <w:t>i</w:t>
      </w:r>
      <w:r w:rsidRPr="006C3CB0">
        <w:rPr>
          <w:rFonts w:asciiTheme="minorHAnsi" w:hAnsiTheme="minorHAnsi" w:cstheme="minorHAnsi"/>
          <w:b/>
          <w:szCs w:val="20"/>
        </w:rPr>
        <w:t xml:space="preserve"> u 2013. </w:t>
      </w:r>
      <w:r w:rsidR="00A90D3D">
        <w:rPr>
          <w:rFonts w:asciiTheme="minorHAnsi" w:hAnsiTheme="minorHAnsi" w:cstheme="minorHAnsi"/>
          <w:b/>
          <w:szCs w:val="20"/>
        </w:rPr>
        <w:t>g</w:t>
      </w:r>
      <w:r w:rsidRPr="006C3CB0">
        <w:rPr>
          <w:rFonts w:asciiTheme="minorHAnsi" w:hAnsiTheme="minorHAnsi" w:cstheme="minorHAnsi"/>
          <w:b/>
          <w:szCs w:val="20"/>
        </w:rPr>
        <w:t>odini</w:t>
      </w:r>
      <w:r w:rsidR="00A90D3D">
        <w:rPr>
          <w:rFonts w:asciiTheme="minorHAnsi" w:hAnsiTheme="minorHAnsi" w:cstheme="minorHAnsi"/>
          <w:b/>
          <w:szCs w:val="20"/>
        </w:rPr>
        <w:t>,</w:t>
      </w:r>
      <w:r w:rsidRPr="006C3CB0">
        <w:rPr>
          <w:rFonts w:asciiTheme="minorHAnsi" w:hAnsiTheme="minorHAnsi" w:cstheme="minorHAnsi"/>
          <w:b/>
          <w:szCs w:val="20"/>
        </w:rPr>
        <w:t xml:space="preserve"> </w:t>
      </w:r>
      <w:r w:rsidR="00383D11">
        <w:rPr>
          <w:rFonts w:asciiTheme="minorHAnsi" w:hAnsiTheme="minorHAnsi" w:cstheme="minorHAnsi"/>
          <w:b/>
          <w:szCs w:val="20"/>
        </w:rPr>
        <w:t>rast se nastavlja i u I kvartalu 2014</w:t>
      </w:r>
      <w:r w:rsidRPr="006C3CB0">
        <w:rPr>
          <w:rFonts w:asciiTheme="minorHAnsi" w:hAnsiTheme="minorHAnsi" w:cstheme="minorHAnsi"/>
          <w:szCs w:val="20"/>
        </w:rPr>
        <w:t>.</w:t>
      </w:r>
      <w:r w:rsidR="00383D11">
        <w:rPr>
          <w:rFonts w:asciiTheme="minorHAnsi" w:hAnsiTheme="minorHAnsi" w:cstheme="minorHAnsi"/>
          <w:szCs w:val="20"/>
        </w:rPr>
        <w:t>,</w:t>
      </w:r>
      <w:r w:rsidR="00383D11" w:rsidRPr="00383D11">
        <w:rPr>
          <w:rFonts w:asciiTheme="minorHAnsi" w:hAnsiTheme="minorHAnsi" w:cstheme="minorHAnsi"/>
          <w:b/>
          <w:szCs w:val="20"/>
        </w:rPr>
        <w:t xml:space="preserve"> što ukazuje na izvijesnost jačanja građevinske aktivnosti u narednom periodu.</w:t>
      </w:r>
      <w:r w:rsidRPr="00383D11">
        <w:rPr>
          <w:rFonts w:asciiTheme="minorHAnsi" w:hAnsiTheme="minorHAnsi" w:cstheme="minorHAnsi"/>
          <w:b/>
          <w:szCs w:val="20"/>
        </w:rPr>
        <w:t xml:space="preserve"> </w:t>
      </w:r>
      <w:r w:rsidRPr="006C3CB0">
        <w:rPr>
          <w:rFonts w:asciiTheme="minorHAnsi" w:hAnsiTheme="minorHAnsi" w:cstheme="minorHAnsi"/>
          <w:szCs w:val="20"/>
        </w:rPr>
        <w:t xml:space="preserve">Vrijednost izvršenih građevinskih radova </w:t>
      </w:r>
      <w:r w:rsidR="00383D11">
        <w:rPr>
          <w:rFonts w:asciiTheme="minorHAnsi" w:hAnsiTheme="minorHAnsi" w:cstheme="minorHAnsi"/>
          <w:szCs w:val="20"/>
        </w:rPr>
        <w:t xml:space="preserve">u 2013. </w:t>
      </w:r>
      <w:r w:rsidRPr="006C3CB0">
        <w:rPr>
          <w:rFonts w:asciiTheme="minorHAnsi" w:hAnsiTheme="minorHAnsi" w:cstheme="minorHAnsi"/>
          <w:szCs w:val="20"/>
        </w:rPr>
        <w:t xml:space="preserve">veća </w:t>
      </w:r>
      <w:r w:rsidR="00383D11">
        <w:rPr>
          <w:rFonts w:asciiTheme="minorHAnsi" w:hAnsiTheme="minorHAnsi" w:cstheme="minorHAnsi"/>
          <w:szCs w:val="20"/>
        </w:rPr>
        <w:t xml:space="preserve">je </w:t>
      </w:r>
      <w:r w:rsidRPr="006C3CB0">
        <w:rPr>
          <w:rFonts w:asciiTheme="minorHAnsi" w:hAnsiTheme="minorHAnsi" w:cstheme="minorHAnsi"/>
          <w:szCs w:val="20"/>
        </w:rPr>
        <w:t>za 9,7%, izvršeni efektivni časovi rada veći su za 31,5%, dok je prosječan broj zaposlenih na gradilištima porastao za 27,3%, u odnosu na 2012. godinu</w:t>
      </w:r>
      <w:r w:rsidRPr="006C3CB0">
        <w:rPr>
          <w:szCs w:val="20"/>
        </w:rPr>
        <w:t>. Vrijednos</w:t>
      </w:r>
      <w:r w:rsidR="00383D11">
        <w:rPr>
          <w:szCs w:val="20"/>
        </w:rPr>
        <w:t>t izvršenih građevinskih radova u 2014.</w:t>
      </w:r>
      <w:r w:rsidRPr="006C3CB0">
        <w:rPr>
          <w:szCs w:val="20"/>
        </w:rPr>
        <w:t xml:space="preserve"> povećana </w:t>
      </w:r>
      <w:r w:rsidR="005A6A88">
        <w:rPr>
          <w:szCs w:val="20"/>
        </w:rPr>
        <w:t>je za 30,3%, dok su i</w:t>
      </w:r>
      <w:r w:rsidRPr="006C3CB0">
        <w:rPr>
          <w:szCs w:val="20"/>
        </w:rPr>
        <w:t xml:space="preserve">zvršeni efektivni </w:t>
      </w:r>
      <w:r w:rsidR="00383D11">
        <w:rPr>
          <w:szCs w:val="20"/>
        </w:rPr>
        <w:t>časovi na građevinskim radovima</w:t>
      </w:r>
      <w:r w:rsidRPr="006C3CB0">
        <w:rPr>
          <w:szCs w:val="20"/>
        </w:rPr>
        <w:t xml:space="preserve"> manji za 13,2%, u odnosu na isti kvartal prethodne godine. Povećanje izdatih građevin</w:t>
      </w:r>
      <w:r w:rsidR="00383D11">
        <w:rPr>
          <w:szCs w:val="20"/>
        </w:rPr>
        <w:t>skih dozvola u I kvartalu 2014.</w:t>
      </w:r>
      <w:r w:rsidRPr="006C3CB0">
        <w:rPr>
          <w:szCs w:val="20"/>
        </w:rPr>
        <w:t xml:space="preserve"> od 31,2% u odnosu na isti period prethodne godine, ukazuje na izvjesnost jačanja građevinske aktivnosti </w:t>
      </w:r>
      <w:r w:rsidR="00383D11">
        <w:rPr>
          <w:szCs w:val="20"/>
        </w:rPr>
        <w:t>posebno od</w:t>
      </w:r>
      <w:r w:rsidRPr="006C3CB0">
        <w:rPr>
          <w:szCs w:val="20"/>
        </w:rPr>
        <w:t xml:space="preserve"> realizacije najavljenih projekata u oblasti turizma, energetike i infrastrukture.</w:t>
      </w:r>
    </w:p>
    <w:p w:rsidR="00C8677B" w:rsidRDefault="00C8677B" w:rsidP="00C8677B">
      <w:pPr>
        <w:spacing w:after="0" w:line="240" w:lineRule="auto"/>
        <w:jc w:val="both"/>
        <w:rPr>
          <w:szCs w:val="20"/>
        </w:rPr>
      </w:pPr>
    </w:p>
    <w:p w:rsidR="009C047C" w:rsidRDefault="00A14FB9" w:rsidP="00C8677B">
      <w:pPr>
        <w:spacing w:after="0" w:line="240" w:lineRule="auto"/>
        <w:jc w:val="both"/>
        <w:rPr>
          <w:sz w:val="20"/>
          <w:szCs w:val="20"/>
        </w:rPr>
      </w:pPr>
      <w:r w:rsidRPr="00383D11">
        <w:rPr>
          <w:szCs w:val="20"/>
        </w:rPr>
        <w:t>Stope rasta u sektoru</w:t>
      </w:r>
      <w:r w:rsidRPr="00383D11">
        <w:rPr>
          <w:sz w:val="20"/>
          <w:szCs w:val="20"/>
        </w:rPr>
        <w:t xml:space="preserve"> </w:t>
      </w:r>
      <w:r w:rsidRPr="00383D11">
        <w:rPr>
          <w:szCs w:val="20"/>
        </w:rPr>
        <w:t>građevinarstva, u 2013. godini i I kvartalu 2014-u %, period na period</w:t>
      </w:r>
    </w:p>
    <w:tbl>
      <w:tblPr>
        <w:tblStyle w:val="TableGrid"/>
        <w:tblW w:w="9287" w:type="dxa"/>
        <w:tblLook w:val="04A0"/>
      </w:tblPr>
      <w:tblGrid>
        <w:gridCol w:w="3510"/>
        <w:gridCol w:w="2977"/>
        <w:gridCol w:w="2800"/>
      </w:tblGrid>
      <w:tr w:rsidR="00A14FB9" w:rsidRPr="004B391B" w:rsidTr="0084733E">
        <w:trPr>
          <w:trHeight w:hRule="exact" w:val="227"/>
        </w:trPr>
        <w:tc>
          <w:tcPr>
            <w:tcW w:w="3510" w:type="dxa"/>
            <w:tcBorders>
              <w:bottom w:val="single" w:sz="4" w:space="0" w:color="000000" w:themeColor="text1"/>
            </w:tcBorders>
            <w:shd w:val="clear" w:color="auto" w:fill="800000"/>
          </w:tcPr>
          <w:p w:rsidR="00A14FB9" w:rsidRPr="004B391B" w:rsidRDefault="00383D11" w:rsidP="00C8677B">
            <w:pPr>
              <w:spacing w:after="0" w:line="240" w:lineRule="auto"/>
              <w:jc w:val="both"/>
              <w:rPr>
                <w:sz w:val="18"/>
                <w:szCs w:val="18"/>
              </w:rPr>
            </w:pPr>
            <w:r w:rsidRPr="004B391B">
              <w:rPr>
                <w:sz w:val="18"/>
                <w:szCs w:val="18"/>
              </w:rPr>
              <w:t>Indikatori</w:t>
            </w:r>
          </w:p>
        </w:tc>
        <w:tc>
          <w:tcPr>
            <w:tcW w:w="2977" w:type="dxa"/>
            <w:shd w:val="clear" w:color="auto" w:fill="800000"/>
          </w:tcPr>
          <w:p w:rsidR="00A14FB9" w:rsidRPr="004B391B" w:rsidRDefault="00A14FB9" w:rsidP="00C8677B">
            <w:pPr>
              <w:spacing w:after="0" w:line="240" w:lineRule="auto"/>
              <w:jc w:val="center"/>
              <w:rPr>
                <w:b/>
                <w:sz w:val="18"/>
                <w:szCs w:val="18"/>
              </w:rPr>
            </w:pPr>
            <w:r w:rsidRPr="004B391B">
              <w:rPr>
                <w:b/>
                <w:sz w:val="18"/>
                <w:szCs w:val="18"/>
              </w:rPr>
              <w:t>2013.</w:t>
            </w:r>
          </w:p>
        </w:tc>
        <w:tc>
          <w:tcPr>
            <w:tcW w:w="2800" w:type="dxa"/>
            <w:shd w:val="clear" w:color="auto" w:fill="800000"/>
          </w:tcPr>
          <w:p w:rsidR="00A14FB9" w:rsidRPr="004B391B" w:rsidRDefault="00A14FB9" w:rsidP="00C8677B">
            <w:pPr>
              <w:spacing w:after="0" w:line="240" w:lineRule="auto"/>
              <w:jc w:val="center"/>
              <w:rPr>
                <w:b/>
                <w:sz w:val="18"/>
                <w:szCs w:val="18"/>
              </w:rPr>
            </w:pPr>
            <w:r w:rsidRPr="004B391B">
              <w:rPr>
                <w:b/>
                <w:sz w:val="18"/>
                <w:szCs w:val="18"/>
              </w:rPr>
              <w:t>Q1 2014.</w:t>
            </w:r>
          </w:p>
        </w:tc>
      </w:tr>
      <w:tr w:rsidR="00A14FB9" w:rsidRPr="004B391B" w:rsidTr="0084733E">
        <w:trPr>
          <w:trHeight w:hRule="exact" w:val="227"/>
        </w:trPr>
        <w:tc>
          <w:tcPr>
            <w:tcW w:w="3510" w:type="dxa"/>
            <w:shd w:val="clear" w:color="auto" w:fill="800000"/>
          </w:tcPr>
          <w:p w:rsidR="00A14FB9" w:rsidRPr="004B391B" w:rsidRDefault="00A14FB9" w:rsidP="00C8677B">
            <w:pPr>
              <w:spacing w:after="0" w:line="240" w:lineRule="auto"/>
              <w:jc w:val="both"/>
              <w:rPr>
                <w:sz w:val="18"/>
                <w:szCs w:val="18"/>
              </w:rPr>
            </w:pPr>
            <w:r w:rsidRPr="004B391B">
              <w:rPr>
                <w:sz w:val="18"/>
                <w:szCs w:val="18"/>
              </w:rPr>
              <w:t>Vrijednost izvršenih građevinskih radova</w:t>
            </w:r>
          </w:p>
        </w:tc>
        <w:tc>
          <w:tcPr>
            <w:tcW w:w="2977" w:type="dxa"/>
          </w:tcPr>
          <w:p w:rsidR="00A14FB9" w:rsidRPr="004B391B" w:rsidRDefault="00A14FB9" w:rsidP="00C8677B">
            <w:pPr>
              <w:spacing w:after="0" w:line="240" w:lineRule="auto"/>
              <w:jc w:val="center"/>
              <w:rPr>
                <w:color w:val="000000" w:themeColor="text1"/>
                <w:sz w:val="18"/>
                <w:szCs w:val="18"/>
              </w:rPr>
            </w:pPr>
            <w:r w:rsidRPr="004B391B">
              <w:rPr>
                <w:color w:val="000000" w:themeColor="text1"/>
                <w:sz w:val="18"/>
                <w:szCs w:val="18"/>
              </w:rPr>
              <w:t>9,7</w:t>
            </w:r>
          </w:p>
        </w:tc>
        <w:tc>
          <w:tcPr>
            <w:tcW w:w="2800" w:type="dxa"/>
          </w:tcPr>
          <w:p w:rsidR="00A14FB9" w:rsidRPr="004B391B" w:rsidRDefault="00A14FB9" w:rsidP="00C8677B">
            <w:pPr>
              <w:spacing w:after="0" w:line="240" w:lineRule="auto"/>
              <w:jc w:val="center"/>
              <w:rPr>
                <w:color w:val="000000" w:themeColor="text1"/>
                <w:sz w:val="18"/>
                <w:szCs w:val="18"/>
              </w:rPr>
            </w:pPr>
            <w:r w:rsidRPr="004B391B">
              <w:rPr>
                <w:color w:val="000000" w:themeColor="text1"/>
                <w:sz w:val="18"/>
                <w:szCs w:val="18"/>
              </w:rPr>
              <w:t>30,3</w:t>
            </w:r>
          </w:p>
        </w:tc>
      </w:tr>
      <w:tr w:rsidR="00A14FB9" w:rsidRPr="004B391B" w:rsidTr="0084733E">
        <w:trPr>
          <w:trHeight w:hRule="exact" w:val="227"/>
        </w:trPr>
        <w:tc>
          <w:tcPr>
            <w:tcW w:w="3510" w:type="dxa"/>
            <w:shd w:val="clear" w:color="auto" w:fill="800000"/>
          </w:tcPr>
          <w:p w:rsidR="00A14FB9" w:rsidRPr="004B391B" w:rsidRDefault="00A14FB9" w:rsidP="00C8677B">
            <w:pPr>
              <w:spacing w:after="0" w:line="240" w:lineRule="auto"/>
              <w:jc w:val="both"/>
              <w:rPr>
                <w:sz w:val="18"/>
                <w:szCs w:val="18"/>
              </w:rPr>
            </w:pPr>
            <w:r w:rsidRPr="004B391B">
              <w:rPr>
                <w:sz w:val="18"/>
                <w:szCs w:val="18"/>
              </w:rPr>
              <w:t>Izvršeni efektivni časovi rada</w:t>
            </w:r>
          </w:p>
        </w:tc>
        <w:tc>
          <w:tcPr>
            <w:tcW w:w="2977" w:type="dxa"/>
          </w:tcPr>
          <w:p w:rsidR="00A14FB9" w:rsidRPr="004B391B" w:rsidRDefault="00A14FB9" w:rsidP="00C8677B">
            <w:pPr>
              <w:spacing w:after="0" w:line="240" w:lineRule="auto"/>
              <w:jc w:val="center"/>
              <w:rPr>
                <w:color w:val="000000" w:themeColor="text1"/>
                <w:sz w:val="18"/>
                <w:szCs w:val="18"/>
              </w:rPr>
            </w:pPr>
            <w:r w:rsidRPr="004B391B">
              <w:rPr>
                <w:color w:val="000000" w:themeColor="text1"/>
                <w:sz w:val="18"/>
                <w:szCs w:val="18"/>
              </w:rPr>
              <w:t>31,5</w:t>
            </w:r>
          </w:p>
        </w:tc>
        <w:tc>
          <w:tcPr>
            <w:tcW w:w="2800" w:type="dxa"/>
          </w:tcPr>
          <w:p w:rsidR="00A14FB9" w:rsidRPr="004B391B" w:rsidRDefault="0097527F" w:rsidP="00C8677B">
            <w:pPr>
              <w:spacing w:after="0" w:line="240" w:lineRule="auto"/>
              <w:jc w:val="center"/>
              <w:rPr>
                <w:color w:val="000000" w:themeColor="text1"/>
                <w:sz w:val="18"/>
                <w:szCs w:val="18"/>
              </w:rPr>
            </w:pPr>
            <w:r w:rsidRPr="004B391B">
              <w:rPr>
                <w:color w:val="000000" w:themeColor="text1"/>
                <w:sz w:val="18"/>
                <w:szCs w:val="18"/>
              </w:rPr>
              <w:t>-</w:t>
            </w:r>
            <w:r w:rsidR="00A14FB9" w:rsidRPr="004B391B">
              <w:rPr>
                <w:color w:val="000000" w:themeColor="text1"/>
                <w:sz w:val="18"/>
                <w:szCs w:val="18"/>
              </w:rPr>
              <w:t>13,2</w:t>
            </w:r>
          </w:p>
        </w:tc>
      </w:tr>
    </w:tbl>
    <w:p w:rsidR="009C047C" w:rsidRPr="004050DF" w:rsidRDefault="00A14FB9" w:rsidP="00C8677B">
      <w:pPr>
        <w:spacing w:after="0" w:line="240" w:lineRule="auto"/>
        <w:rPr>
          <w:i/>
          <w:sz w:val="16"/>
          <w:szCs w:val="20"/>
        </w:rPr>
      </w:pPr>
      <w:r w:rsidRPr="004050DF">
        <w:rPr>
          <w:i/>
          <w:sz w:val="16"/>
          <w:szCs w:val="20"/>
        </w:rPr>
        <w:t>Izvor: Zavod za statistiku</w:t>
      </w:r>
    </w:p>
    <w:p w:rsidR="0084733E" w:rsidRDefault="0084733E" w:rsidP="00C8677B">
      <w:pPr>
        <w:spacing w:after="0" w:line="240" w:lineRule="auto"/>
      </w:pPr>
    </w:p>
    <w:p w:rsidR="00E40DCA" w:rsidRPr="00C8677B" w:rsidRDefault="007D1275" w:rsidP="00C8677B">
      <w:pPr>
        <w:pStyle w:val="Heading3"/>
        <w:spacing w:before="0"/>
        <w:rPr>
          <w:sz w:val="22"/>
        </w:rPr>
      </w:pPr>
      <w:bookmarkStart w:id="19" w:name="_Toc389745271"/>
      <w:r w:rsidRPr="00C8677B">
        <w:rPr>
          <w:sz w:val="22"/>
        </w:rPr>
        <w:t>Inflacija</w:t>
      </w:r>
      <w:bookmarkEnd w:id="19"/>
    </w:p>
    <w:p w:rsidR="00E40DCA" w:rsidRPr="00E40DCA" w:rsidRDefault="00E40DCA" w:rsidP="00C8677B">
      <w:pPr>
        <w:spacing w:after="0" w:line="240" w:lineRule="auto"/>
      </w:pPr>
    </w:p>
    <w:p w:rsidR="004D5846" w:rsidRDefault="00943DDA" w:rsidP="00C8677B">
      <w:pPr>
        <w:pStyle w:val="ListParagraph"/>
        <w:spacing w:after="0" w:line="240" w:lineRule="auto"/>
        <w:ind w:left="0"/>
        <w:jc w:val="both"/>
        <w:rPr>
          <w:rFonts w:cstheme="minorHAnsi"/>
          <w:sz w:val="22"/>
        </w:rPr>
      </w:pPr>
      <w:r>
        <w:rPr>
          <w:rFonts w:cstheme="minorHAnsi"/>
          <w:b/>
          <w:noProof/>
          <w:sz w:val="22"/>
          <w:lang w:val="sr-Latn-CS" w:eastAsia="sr-Latn-CS"/>
        </w:rPr>
        <w:drawing>
          <wp:anchor distT="0" distB="0" distL="114300" distR="114300" simplePos="0" relativeHeight="251674624" behindDoc="0" locked="0" layoutInCell="1" allowOverlap="1">
            <wp:simplePos x="0" y="0"/>
            <wp:positionH relativeFrom="margin">
              <wp:align>left</wp:align>
            </wp:positionH>
            <wp:positionV relativeFrom="paragraph">
              <wp:posOffset>73660</wp:posOffset>
            </wp:positionV>
            <wp:extent cx="2438400" cy="17653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85099" w:rsidRPr="00A83559">
        <w:rPr>
          <w:rFonts w:cstheme="minorHAnsi"/>
          <w:b/>
          <w:sz w:val="22"/>
        </w:rPr>
        <w:t>Inflacija je tokom 2013. godine bila pod dominantnim uticajem pada cijena hrane i goriva, uz rast cijena električne energije, akciza na duvan i PDV-a</w:t>
      </w:r>
      <w:r w:rsidR="00185099" w:rsidRPr="00A83559">
        <w:rPr>
          <w:rStyle w:val="FootnoteReference"/>
          <w:rFonts w:cstheme="minorHAnsi"/>
          <w:b/>
          <w:sz w:val="22"/>
        </w:rPr>
        <w:footnoteReference w:id="5"/>
      </w:r>
      <w:r w:rsidR="00185099" w:rsidRPr="00A83559">
        <w:rPr>
          <w:rFonts w:cstheme="minorHAnsi"/>
          <w:b/>
          <w:sz w:val="22"/>
        </w:rPr>
        <w:t>,</w:t>
      </w:r>
      <w:r w:rsidR="004D5846" w:rsidRPr="00A83559">
        <w:rPr>
          <w:rFonts w:cstheme="minorHAnsi"/>
          <w:b/>
          <w:sz w:val="22"/>
        </w:rPr>
        <w:t xml:space="preserve"> </w:t>
      </w:r>
      <w:r w:rsidR="00185099" w:rsidRPr="00A83559">
        <w:rPr>
          <w:rFonts w:cstheme="minorHAnsi"/>
          <w:b/>
          <w:sz w:val="22"/>
        </w:rPr>
        <w:t>zabilježeno je</w:t>
      </w:r>
      <w:r w:rsidR="004D5846" w:rsidRPr="00A83559">
        <w:rPr>
          <w:rFonts w:cstheme="minorHAnsi"/>
          <w:b/>
          <w:sz w:val="22"/>
        </w:rPr>
        <w:t xml:space="preserve"> </w:t>
      </w:r>
      <w:r w:rsidR="00A83559">
        <w:rPr>
          <w:rFonts w:cstheme="minorHAnsi"/>
          <w:b/>
          <w:sz w:val="22"/>
        </w:rPr>
        <w:t xml:space="preserve">značajno </w:t>
      </w:r>
      <w:r w:rsidR="004D5846" w:rsidRPr="00A83559">
        <w:rPr>
          <w:rFonts w:cstheme="minorHAnsi"/>
          <w:b/>
          <w:sz w:val="22"/>
        </w:rPr>
        <w:t>smanjen</w:t>
      </w:r>
      <w:r w:rsidR="00185099" w:rsidRPr="00A83559">
        <w:rPr>
          <w:rFonts w:cstheme="minorHAnsi"/>
          <w:b/>
          <w:sz w:val="22"/>
        </w:rPr>
        <w:t>je</w:t>
      </w:r>
      <w:r w:rsidR="004D5846" w:rsidRPr="00A83559">
        <w:rPr>
          <w:rFonts w:cstheme="minorHAnsi"/>
          <w:b/>
          <w:sz w:val="22"/>
        </w:rPr>
        <w:t xml:space="preserve"> u odnosu na prethodnu godinu.</w:t>
      </w:r>
      <w:r w:rsidR="004D5846" w:rsidRPr="004D5846">
        <w:rPr>
          <w:rFonts w:cstheme="minorHAnsi"/>
          <w:b/>
          <w:sz w:val="22"/>
        </w:rPr>
        <w:t xml:space="preserve"> </w:t>
      </w:r>
      <w:r w:rsidR="004D5846" w:rsidRPr="004D5846">
        <w:rPr>
          <w:rFonts w:cstheme="minorHAnsi"/>
          <w:sz w:val="22"/>
        </w:rPr>
        <w:t>Godišnja stopa inflacije (CPI), imala je trend pada i kretala se od 4,2% u januaru do 0,3% u decembru, dok je prosječna stopa inflacije, u periodu januar-decembar, iznosila 2,2%. Najveći uticaj na smanjenje godišnje stope inflacije, imao je pad cijena u grupi „hrana i bezalkoholna pića“, koje čine 38,6% ukupne potrošnje domaćinstava (godišnja stopa rasta kretala se od 7,1% u januaru do -0,6% u decembru).</w:t>
      </w:r>
    </w:p>
    <w:p w:rsidR="00C8677B" w:rsidRPr="004D5846" w:rsidRDefault="00C8677B" w:rsidP="00C8677B">
      <w:pPr>
        <w:pStyle w:val="ListParagraph"/>
        <w:spacing w:after="0" w:line="240" w:lineRule="auto"/>
        <w:ind w:left="0"/>
        <w:jc w:val="both"/>
        <w:rPr>
          <w:rFonts w:cstheme="minorHAnsi"/>
          <w:sz w:val="22"/>
        </w:rPr>
      </w:pPr>
    </w:p>
    <w:p w:rsidR="00A83559" w:rsidRDefault="004D5846" w:rsidP="00C8677B">
      <w:pPr>
        <w:pStyle w:val="Default"/>
        <w:jc w:val="both"/>
        <w:rPr>
          <w:rFonts w:ascii="Calibri" w:hAnsi="Calibri"/>
          <w:color w:val="000000" w:themeColor="text1"/>
          <w:sz w:val="22"/>
          <w:szCs w:val="20"/>
        </w:rPr>
      </w:pPr>
      <w:r w:rsidRPr="00A83559">
        <w:rPr>
          <w:rFonts w:ascii="Calibri" w:hAnsi="Calibri" w:cs="Arial-ItalicMT"/>
          <w:b/>
          <w:iCs/>
          <w:color w:val="auto"/>
          <w:sz w:val="22"/>
          <w:szCs w:val="20"/>
        </w:rPr>
        <w:t>Trend pada potrošačkih cijena nastavlja se i u 2014. godini.</w:t>
      </w:r>
      <w:r w:rsidRPr="004D5846">
        <w:rPr>
          <w:rFonts w:ascii="Calibri" w:hAnsi="Calibri" w:cs="Arial-ItalicMT"/>
          <w:iCs/>
          <w:color w:val="auto"/>
          <w:sz w:val="22"/>
          <w:szCs w:val="20"/>
        </w:rPr>
        <w:t xml:space="preserve"> Godišnja stopa inflac</w:t>
      </w:r>
      <w:r w:rsidR="00550F1A">
        <w:rPr>
          <w:rFonts w:ascii="Calibri" w:hAnsi="Calibri" w:cs="Arial-ItalicMT"/>
          <w:iCs/>
          <w:color w:val="auto"/>
          <w:sz w:val="22"/>
          <w:szCs w:val="20"/>
        </w:rPr>
        <w:t>ije (CPI) u aprilu je iznosila  -</w:t>
      </w:r>
      <w:r w:rsidRPr="004D5846">
        <w:rPr>
          <w:rFonts w:ascii="Calibri" w:hAnsi="Calibri" w:cs="Arial-ItalicMT"/>
          <w:iCs/>
          <w:color w:val="auto"/>
          <w:sz w:val="22"/>
          <w:szCs w:val="20"/>
        </w:rPr>
        <w:t>1,4%, što je p</w:t>
      </w:r>
      <w:r w:rsidR="006B7B04">
        <w:rPr>
          <w:rFonts w:ascii="Calibri" w:hAnsi="Calibri" w:cs="Arial-ItalicMT"/>
          <w:iCs/>
          <w:color w:val="auto"/>
          <w:sz w:val="22"/>
          <w:szCs w:val="20"/>
        </w:rPr>
        <w:t>ad od 1,0</w:t>
      </w:r>
      <w:r w:rsidR="00A83559">
        <w:rPr>
          <w:rFonts w:ascii="Calibri" w:hAnsi="Calibri" w:cs="Arial-ItalicMT"/>
          <w:iCs/>
          <w:color w:val="auto"/>
          <w:sz w:val="22"/>
          <w:szCs w:val="20"/>
        </w:rPr>
        <w:t xml:space="preserve"> </w:t>
      </w:r>
      <w:r w:rsidR="006B7B04">
        <w:rPr>
          <w:rFonts w:ascii="Calibri" w:hAnsi="Calibri" w:cs="Arial-ItalicMT"/>
          <w:iCs/>
          <w:color w:val="auto"/>
          <w:sz w:val="22"/>
          <w:szCs w:val="20"/>
        </w:rPr>
        <w:t>p.p</w:t>
      </w:r>
      <w:r w:rsidR="00A83559">
        <w:rPr>
          <w:rFonts w:ascii="Calibri" w:hAnsi="Calibri" w:cs="Arial-ItalicMT"/>
          <w:iCs/>
          <w:color w:val="auto"/>
          <w:sz w:val="22"/>
          <w:szCs w:val="20"/>
        </w:rPr>
        <w:t>.</w:t>
      </w:r>
      <w:r w:rsidR="006B7B04">
        <w:rPr>
          <w:rFonts w:ascii="Calibri" w:hAnsi="Calibri" w:cs="Arial-ItalicMT"/>
          <w:iCs/>
          <w:color w:val="auto"/>
          <w:sz w:val="22"/>
          <w:szCs w:val="20"/>
        </w:rPr>
        <w:t xml:space="preserve"> u odnosu na januar,</w:t>
      </w:r>
      <w:r w:rsidRPr="004D5846">
        <w:rPr>
          <w:rFonts w:ascii="Calibri" w:hAnsi="Calibri" w:cs="Arial-ItalicMT"/>
          <w:iCs/>
          <w:color w:val="auto"/>
          <w:sz w:val="22"/>
          <w:szCs w:val="20"/>
        </w:rPr>
        <w:t xml:space="preserve"> dok je prosječna stopa u periodu januar-april 2014. godine iznosila -0,8%. Na pad agregatnog nivoa cijena najviše su uticali pad cijena u </w:t>
      </w:r>
      <w:r w:rsidRPr="004D5846">
        <w:rPr>
          <w:rFonts w:ascii="Calibri" w:hAnsi="Calibri" w:cs="Arial-ItalicMT"/>
          <w:iCs/>
          <w:color w:val="auto"/>
          <w:sz w:val="22"/>
          <w:szCs w:val="20"/>
        </w:rPr>
        <w:lastRenderedPageBreak/>
        <w:t>grupa</w:t>
      </w:r>
      <w:r w:rsidR="00550F1A">
        <w:rPr>
          <w:rFonts w:ascii="Calibri" w:hAnsi="Calibri" w:cs="Arial-ItalicMT"/>
          <w:iCs/>
          <w:color w:val="auto"/>
          <w:sz w:val="22"/>
          <w:szCs w:val="20"/>
        </w:rPr>
        <w:t>ma ”hrana i bezalkoholna pića”(3,4%), “odjeća i obuća” (3,9%) i “komunikacije” (</w:t>
      </w:r>
      <w:r w:rsidRPr="004D5846">
        <w:rPr>
          <w:rFonts w:ascii="Calibri" w:hAnsi="Calibri" w:cs="Arial-ItalicMT"/>
          <w:iCs/>
          <w:color w:val="auto"/>
          <w:sz w:val="22"/>
          <w:szCs w:val="20"/>
        </w:rPr>
        <w:t>4,3%). Godišnja stopa inflacije, mjerena harmonizovanim indeksom potrošačkih cijena, takođe, bilježi pad od početka godine i u aprilu je iznosila -0,8%.što je za 0,9 p.p</w:t>
      </w:r>
      <w:r w:rsidR="00A83559">
        <w:rPr>
          <w:rFonts w:ascii="Calibri" w:hAnsi="Calibri" w:cs="Arial-ItalicMT"/>
          <w:iCs/>
          <w:color w:val="auto"/>
          <w:sz w:val="22"/>
          <w:szCs w:val="20"/>
        </w:rPr>
        <w:t>.</w:t>
      </w:r>
      <w:r w:rsidRPr="004D5846">
        <w:rPr>
          <w:rFonts w:ascii="Calibri" w:hAnsi="Calibri" w:cs="Arial-ItalicMT"/>
          <w:iCs/>
          <w:color w:val="auto"/>
          <w:sz w:val="22"/>
          <w:szCs w:val="20"/>
        </w:rPr>
        <w:t xml:space="preserve"> niže u odnosu</w:t>
      </w:r>
      <w:r w:rsidRPr="004D5846">
        <w:rPr>
          <w:rFonts w:ascii="Calibri" w:hAnsi="Calibri" w:cs="Calibri"/>
          <w:color w:val="000000" w:themeColor="text1"/>
          <w:sz w:val="22"/>
          <w:szCs w:val="20"/>
        </w:rPr>
        <w:t xml:space="preserve"> na januar. Najveći pad cijena ostvaren je u grupama </w:t>
      </w:r>
      <w:r w:rsidR="00550F1A">
        <w:rPr>
          <w:rFonts w:ascii="Calibri" w:hAnsi="Calibri"/>
          <w:color w:val="000000" w:themeColor="text1"/>
          <w:sz w:val="22"/>
          <w:szCs w:val="20"/>
        </w:rPr>
        <w:t>„hrana i bezalkoholna pića“ (3,4%), “odjeća“ (3,9%), “komunikacije“ (</w:t>
      </w:r>
      <w:r w:rsidRPr="004D5846">
        <w:rPr>
          <w:rFonts w:ascii="Calibri" w:hAnsi="Calibri"/>
          <w:color w:val="000000" w:themeColor="text1"/>
          <w:sz w:val="22"/>
          <w:szCs w:val="20"/>
        </w:rPr>
        <w:t>4</w:t>
      </w:r>
      <w:r w:rsidR="00550F1A">
        <w:rPr>
          <w:rFonts w:ascii="Calibri" w:hAnsi="Calibri"/>
          <w:color w:val="000000" w:themeColor="text1"/>
          <w:sz w:val="22"/>
          <w:szCs w:val="20"/>
        </w:rPr>
        <w:t>,3%) i “rekreacija i kultura” (</w:t>
      </w:r>
      <w:r w:rsidRPr="004D5846">
        <w:rPr>
          <w:rFonts w:ascii="Calibri" w:hAnsi="Calibri"/>
          <w:color w:val="000000" w:themeColor="text1"/>
          <w:sz w:val="22"/>
          <w:szCs w:val="20"/>
        </w:rPr>
        <w:t>2,7%)</w:t>
      </w:r>
      <w:r w:rsidRPr="004D5846">
        <w:rPr>
          <w:rFonts w:ascii="Calibri" w:hAnsi="Calibri" w:cs="Arial-ItalicMT"/>
          <w:iCs/>
          <w:color w:val="000000" w:themeColor="text1"/>
          <w:sz w:val="22"/>
          <w:szCs w:val="20"/>
        </w:rPr>
        <w:t>.</w:t>
      </w:r>
      <w:r w:rsidRPr="004D5846">
        <w:rPr>
          <w:rFonts w:ascii="Calibri" w:hAnsi="Calibri"/>
          <w:color w:val="000000" w:themeColor="text1"/>
          <w:sz w:val="22"/>
          <w:szCs w:val="20"/>
        </w:rPr>
        <w:t xml:space="preserve">, dok je najveći rast zabilježen u grupi ”alkoholna pića i duvan” (7,0%). </w:t>
      </w:r>
    </w:p>
    <w:p w:rsidR="00A83559" w:rsidRDefault="00A83559" w:rsidP="00C8677B">
      <w:pPr>
        <w:pStyle w:val="Default"/>
        <w:jc w:val="both"/>
        <w:rPr>
          <w:rFonts w:ascii="Calibri" w:hAnsi="Calibri"/>
          <w:color w:val="000000" w:themeColor="text1"/>
          <w:sz w:val="22"/>
          <w:szCs w:val="20"/>
        </w:rPr>
      </w:pPr>
    </w:p>
    <w:p w:rsidR="004D5846" w:rsidRDefault="004D5846" w:rsidP="00C8677B">
      <w:pPr>
        <w:pStyle w:val="Default"/>
        <w:jc w:val="both"/>
        <w:rPr>
          <w:rFonts w:ascii="Calibri" w:hAnsi="Calibri"/>
          <w:color w:val="000000" w:themeColor="text1"/>
          <w:sz w:val="22"/>
          <w:szCs w:val="20"/>
        </w:rPr>
      </w:pPr>
      <w:r w:rsidRPr="00A83559">
        <w:rPr>
          <w:rFonts w:ascii="Calibri" w:hAnsi="Calibri"/>
          <w:b/>
          <w:color w:val="000000" w:themeColor="text1"/>
          <w:sz w:val="22"/>
          <w:szCs w:val="20"/>
        </w:rPr>
        <w:t>Pad inflacije prisutan je i u zemljama regiona</w:t>
      </w:r>
      <w:r w:rsidR="00A83559" w:rsidRPr="00A83559">
        <w:rPr>
          <w:rFonts w:ascii="Calibri" w:hAnsi="Calibri"/>
          <w:b/>
          <w:color w:val="000000" w:themeColor="text1"/>
          <w:sz w:val="22"/>
          <w:szCs w:val="20"/>
        </w:rPr>
        <w:t>, dok je u zemljama Evropske unije i Eu</w:t>
      </w:r>
      <w:r w:rsidR="00A83559">
        <w:rPr>
          <w:rFonts w:ascii="Calibri" w:hAnsi="Calibri"/>
          <w:b/>
          <w:color w:val="000000" w:themeColor="text1"/>
          <w:sz w:val="22"/>
          <w:szCs w:val="20"/>
        </w:rPr>
        <w:t xml:space="preserve">ro </w:t>
      </w:r>
      <w:r w:rsidR="00A83559" w:rsidRPr="00A83559">
        <w:rPr>
          <w:rFonts w:ascii="Calibri" w:hAnsi="Calibri"/>
          <w:b/>
          <w:color w:val="000000" w:themeColor="text1"/>
          <w:sz w:val="22"/>
          <w:szCs w:val="20"/>
        </w:rPr>
        <w:t>zone inflacija stablilna.</w:t>
      </w:r>
      <w:r w:rsidR="00A83559">
        <w:rPr>
          <w:rFonts w:ascii="Calibri" w:hAnsi="Calibri"/>
          <w:color w:val="000000" w:themeColor="text1"/>
          <w:sz w:val="22"/>
          <w:szCs w:val="20"/>
        </w:rPr>
        <w:t xml:space="preserve"> U</w:t>
      </w:r>
      <w:r w:rsidRPr="004D5846">
        <w:rPr>
          <w:rFonts w:ascii="Calibri" w:hAnsi="Calibri"/>
          <w:color w:val="000000" w:themeColor="text1"/>
          <w:sz w:val="22"/>
          <w:szCs w:val="20"/>
        </w:rPr>
        <w:t xml:space="preserve"> Srbiji je u aprilu zabilježana neuobičajeno niska inflacija od 2,1%, dok je u Hrvatskoj registrovana deflacija od 0,5%. Za razliku od regiona, u zemljama Evropske unije i Eu</w:t>
      </w:r>
      <w:r w:rsidR="00A83559">
        <w:rPr>
          <w:rFonts w:ascii="Calibri" w:hAnsi="Calibri"/>
          <w:color w:val="000000" w:themeColor="text1"/>
          <w:sz w:val="22"/>
          <w:szCs w:val="20"/>
        </w:rPr>
        <w:t xml:space="preserve">ro </w:t>
      </w:r>
      <w:r w:rsidRPr="004D5846">
        <w:rPr>
          <w:rFonts w:ascii="Calibri" w:hAnsi="Calibri"/>
          <w:color w:val="000000" w:themeColor="text1"/>
          <w:sz w:val="22"/>
          <w:szCs w:val="20"/>
        </w:rPr>
        <w:t xml:space="preserve">zone inflacija je od početka godine bila bez većih kolebanja </w:t>
      </w:r>
      <w:r w:rsidR="00550F1A">
        <w:rPr>
          <w:rFonts w:ascii="Calibri" w:hAnsi="Calibri"/>
          <w:color w:val="000000" w:themeColor="text1"/>
          <w:sz w:val="22"/>
          <w:szCs w:val="20"/>
        </w:rPr>
        <w:t>i u aprilu je iznosila 0,8 i 0,7</w:t>
      </w:r>
      <w:r w:rsidRPr="004D5846">
        <w:rPr>
          <w:rFonts w:ascii="Calibri" w:hAnsi="Calibri"/>
          <w:color w:val="000000" w:themeColor="text1"/>
          <w:sz w:val="22"/>
          <w:szCs w:val="20"/>
        </w:rPr>
        <w:t>%,</w:t>
      </w:r>
      <w:r w:rsidR="003A2403">
        <w:rPr>
          <w:rFonts w:ascii="Calibri" w:hAnsi="Calibri"/>
          <w:color w:val="000000" w:themeColor="text1"/>
          <w:sz w:val="22"/>
          <w:szCs w:val="20"/>
        </w:rPr>
        <w:t xml:space="preserve"> </w:t>
      </w:r>
      <w:r w:rsidRPr="004D5846">
        <w:rPr>
          <w:rFonts w:ascii="Calibri" w:hAnsi="Calibri"/>
          <w:color w:val="000000" w:themeColor="text1"/>
          <w:sz w:val="22"/>
          <w:szCs w:val="20"/>
        </w:rPr>
        <w:t xml:space="preserve">respektivno. </w:t>
      </w:r>
    </w:p>
    <w:p w:rsidR="00A83559" w:rsidRPr="004D5846" w:rsidRDefault="00A83559" w:rsidP="00C8677B">
      <w:pPr>
        <w:pStyle w:val="Default"/>
        <w:jc w:val="both"/>
        <w:rPr>
          <w:rFonts w:ascii="Calibri" w:hAnsi="Calibri"/>
          <w:color w:val="FF0000"/>
          <w:sz w:val="12"/>
          <w:szCs w:val="10"/>
        </w:rPr>
      </w:pPr>
    </w:p>
    <w:p w:rsidR="004D5846" w:rsidRPr="004D5846" w:rsidRDefault="004D5846" w:rsidP="00C8677B">
      <w:pPr>
        <w:pStyle w:val="Default"/>
        <w:jc w:val="both"/>
        <w:rPr>
          <w:rFonts w:ascii="Calibri" w:hAnsi="Calibri"/>
          <w:color w:val="auto"/>
          <w:sz w:val="22"/>
          <w:szCs w:val="20"/>
        </w:rPr>
      </w:pPr>
      <w:r w:rsidRPr="005D2F54">
        <w:rPr>
          <w:rFonts w:ascii="Calibri" w:hAnsi="Calibri" w:cs="Arial-ItalicMT"/>
          <w:b/>
          <w:iCs/>
          <w:color w:val="auto"/>
          <w:sz w:val="22"/>
          <w:szCs w:val="20"/>
        </w:rPr>
        <w:t>Proizvođačke cijene</w:t>
      </w:r>
      <w:r w:rsidRPr="004D5846">
        <w:rPr>
          <w:rFonts w:ascii="Calibri" w:hAnsi="Calibri" w:cs="Arial-ItalicMT"/>
          <w:iCs/>
          <w:color w:val="auto"/>
          <w:sz w:val="22"/>
          <w:szCs w:val="20"/>
        </w:rPr>
        <w:t xml:space="preserve"> su u aprilu 2014. godine niže za 0,2% u odnosu na april 2013, dok je u periodu januar-april pad cijena iznosio 0,7%. Gledano po sektorima, od početka godine, rast cijena je zabilježen u sektoru “vađenje rude i kamena”(4,3%), dok je u sektorima “prerađivačka industrija” i “snabdijevanje el.energ,gasom i parom” zabilježen pad cijena od 1,3 i 0,6%.</w:t>
      </w:r>
    </w:p>
    <w:p w:rsidR="004D5846" w:rsidRPr="004D5846" w:rsidRDefault="004D5846" w:rsidP="00C8677B">
      <w:pPr>
        <w:pStyle w:val="Default"/>
        <w:jc w:val="both"/>
        <w:rPr>
          <w:rFonts w:ascii="Calibri" w:hAnsi="Calibri"/>
          <w:color w:val="auto"/>
          <w:sz w:val="14"/>
          <w:szCs w:val="12"/>
        </w:rPr>
      </w:pPr>
    </w:p>
    <w:p w:rsidR="004D5846" w:rsidRPr="004D5846" w:rsidRDefault="004D5846" w:rsidP="00C8677B">
      <w:pPr>
        <w:pStyle w:val="Default"/>
        <w:jc w:val="both"/>
        <w:rPr>
          <w:rFonts w:ascii="Calibri" w:hAnsi="Calibri" w:cs="Calibri"/>
          <w:color w:val="auto"/>
          <w:sz w:val="22"/>
          <w:szCs w:val="20"/>
        </w:rPr>
      </w:pPr>
      <w:r w:rsidRPr="005D2F54">
        <w:rPr>
          <w:rFonts w:ascii="Calibri" w:hAnsi="Calibri" w:cs="Calibri"/>
          <w:b/>
          <w:color w:val="auto"/>
          <w:sz w:val="22"/>
          <w:szCs w:val="20"/>
        </w:rPr>
        <w:t>Vrijednost minimalne potrošačke korpe</w:t>
      </w:r>
      <w:r w:rsidR="00A83559">
        <w:rPr>
          <w:rStyle w:val="FootnoteReference"/>
          <w:rFonts w:ascii="Calibri" w:hAnsi="Calibri" w:cs="Calibri"/>
          <w:color w:val="auto"/>
          <w:sz w:val="22"/>
          <w:szCs w:val="20"/>
        </w:rPr>
        <w:footnoteReference w:id="6"/>
      </w:r>
      <w:r w:rsidR="005D2F54">
        <w:rPr>
          <w:rFonts w:ascii="Calibri" w:hAnsi="Calibri" w:cs="Calibri"/>
          <w:color w:val="auto"/>
          <w:sz w:val="22"/>
          <w:szCs w:val="20"/>
        </w:rPr>
        <w:t xml:space="preserve"> </w:t>
      </w:r>
      <w:r w:rsidRPr="004D5846">
        <w:rPr>
          <w:rFonts w:ascii="Calibri" w:hAnsi="Calibri" w:cs="Calibri"/>
          <w:color w:val="auto"/>
          <w:sz w:val="22"/>
          <w:szCs w:val="20"/>
        </w:rPr>
        <w:t>za april 2014. iznosila je</w:t>
      </w:r>
      <w:r w:rsidR="0098055A">
        <w:rPr>
          <w:rFonts w:ascii="Calibri" w:hAnsi="Calibri" w:cs="Calibri"/>
          <w:color w:val="auto"/>
          <w:sz w:val="22"/>
          <w:szCs w:val="20"/>
        </w:rPr>
        <w:t xml:space="preserve"> 790</w:t>
      </w:r>
      <w:r w:rsidRPr="004D5846">
        <w:rPr>
          <w:rFonts w:ascii="Calibri" w:hAnsi="Calibri" w:cs="Calibri"/>
          <w:color w:val="auto"/>
          <w:sz w:val="22"/>
          <w:szCs w:val="20"/>
        </w:rPr>
        <w:t>,2</w:t>
      </w:r>
      <w:r w:rsidR="005D2F54">
        <w:rPr>
          <w:rFonts w:ascii="Calibri" w:hAnsi="Calibri" w:cs="Calibri"/>
          <w:color w:val="auto"/>
          <w:sz w:val="22"/>
          <w:szCs w:val="20"/>
        </w:rPr>
        <w:t xml:space="preserve"> </w:t>
      </w:r>
      <w:r w:rsidRPr="004D5846">
        <w:rPr>
          <w:rFonts w:ascii="Calibri" w:hAnsi="Calibri" w:cs="Calibri"/>
          <w:color w:val="auto"/>
          <w:sz w:val="22"/>
          <w:szCs w:val="20"/>
        </w:rPr>
        <w:t xml:space="preserve">€, i manja je za 2,0% u odnosu na april prošle godine. Na pad vrijednosti potrošačke korpe dominantno je uticao pad cijena prehrambenih </w:t>
      </w:r>
      <w:r w:rsidR="00D158D9">
        <w:rPr>
          <w:rFonts w:ascii="Calibri" w:hAnsi="Calibri" w:cs="Calibri"/>
          <w:color w:val="auto"/>
          <w:sz w:val="22"/>
          <w:szCs w:val="20"/>
        </w:rPr>
        <w:t>artikala</w:t>
      </w:r>
      <w:r w:rsidRPr="004D5846">
        <w:rPr>
          <w:rFonts w:ascii="Calibri" w:hAnsi="Calibri" w:cs="Calibri"/>
          <w:color w:val="auto"/>
          <w:sz w:val="22"/>
          <w:szCs w:val="20"/>
        </w:rPr>
        <w:t xml:space="preserve"> od 5,2%.</w:t>
      </w:r>
    </w:p>
    <w:p w:rsidR="004D5846" w:rsidRPr="004D5846" w:rsidRDefault="004D5846" w:rsidP="00C8677B">
      <w:pPr>
        <w:pStyle w:val="Default"/>
        <w:jc w:val="both"/>
        <w:rPr>
          <w:rFonts w:ascii="Calibri" w:hAnsi="Calibri"/>
          <w:color w:val="FF0000"/>
          <w:sz w:val="12"/>
          <w:szCs w:val="10"/>
        </w:rPr>
      </w:pPr>
    </w:p>
    <w:p w:rsidR="009834F4" w:rsidRDefault="005D2F54" w:rsidP="00C8677B">
      <w:pPr>
        <w:pStyle w:val="Default"/>
        <w:jc w:val="both"/>
        <w:rPr>
          <w:rFonts w:asciiTheme="minorHAnsi" w:eastAsia="Times New Roman" w:hAnsiTheme="minorHAnsi" w:cstheme="minorHAnsi"/>
          <w:sz w:val="22"/>
          <w:szCs w:val="20"/>
          <w:lang w:val="en-IE"/>
        </w:rPr>
      </w:pPr>
      <w:r w:rsidRPr="005D2F54">
        <w:rPr>
          <w:rFonts w:asciiTheme="minorHAnsi" w:hAnsiTheme="minorHAnsi" w:cstheme="minorHAnsi"/>
          <w:b/>
          <w:sz w:val="22"/>
          <w:szCs w:val="20"/>
          <w:lang w:val="sr-Latn-BA"/>
        </w:rPr>
        <w:t>Projektovana stopa inflacije</w:t>
      </w:r>
      <w:r w:rsidR="004D5846" w:rsidRPr="005D2F54">
        <w:rPr>
          <w:rFonts w:asciiTheme="minorHAnsi" w:hAnsiTheme="minorHAnsi" w:cstheme="minorHAnsi"/>
          <w:b/>
          <w:sz w:val="22"/>
          <w:szCs w:val="20"/>
          <w:lang w:val="sr-Latn-BA"/>
        </w:rPr>
        <w:t xml:space="preserve"> </w:t>
      </w:r>
      <w:r w:rsidR="004D5846" w:rsidRPr="005D2F54">
        <w:rPr>
          <w:rFonts w:asciiTheme="minorHAnsi" w:eastAsia="Times New Roman" w:hAnsiTheme="minorHAnsi" w:cstheme="minorHAnsi"/>
          <w:b/>
          <w:sz w:val="22"/>
          <w:szCs w:val="20"/>
          <w:lang w:val="en-IE"/>
        </w:rPr>
        <w:t xml:space="preserve">u 2014. godini </w:t>
      </w:r>
      <w:r w:rsidR="004D5846" w:rsidRPr="005D2F54">
        <w:rPr>
          <w:rFonts w:asciiTheme="minorHAnsi" w:hAnsiTheme="minorHAnsi" w:cstheme="minorHAnsi"/>
          <w:b/>
          <w:sz w:val="22"/>
          <w:szCs w:val="20"/>
          <w:lang w:val="sr-Latn-BA"/>
        </w:rPr>
        <w:t>iznosi 1.8</w:t>
      </w:r>
      <w:r w:rsidRPr="005D2F54">
        <w:rPr>
          <w:rFonts w:asciiTheme="minorHAnsi" w:eastAsia="Times New Roman" w:hAnsiTheme="minorHAnsi" w:cstheme="minorHAnsi"/>
          <w:b/>
          <w:sz w:val="22"/>
          <w:szCs w:val="20"/>
          <w:lang w:val="en-IE"/>
        </w:rPr>
        <w:t>%.</w:t>
      </w:r>
      <w:r w:rsidR="004D5846" w:rsidRPr="004D5846">
        <w:rPr>
          <w:rFonts w:asciiTheme="minorHAnsi" w:eastAsia="Times New Roman" w:hAnsiTheme="minorHAnsi" w:cstheme="minorHAnsi"/>
          <w:sz w:val="22"/>
          <w:szCs w:val="20"/>
          <w:lang w:val="en-IE"/>
        </w:rPr>
        <w:t xml:space="preserve"> </w:t>
      </w:r>
      <w:r>
        <w:rPr>
          <w:rFonts w:asciiTheme="minorHAnsi" w:eastAsia="Times New Roman" w:hAnsiTheme="minorHAnsi" w:cstheme="minorHAnsi"/>
          <w:sz w:val="22"/>
          <w:szCs w:val="20"/>
          <w:lang w:val="en-IE"/>
        </w:rPr>
        <w:t>Prilikom projektovanja,</w:t>
      </w:r>
      <w:r w:rsidR="004D5846" w:rsidRPr="004D5846">
        <w:rPr>
          <w:rFonts w:asciiTheme="minorHAnsi" w:eastAsia="Times New Roman" w:hAnsiTheme="minorHAnsi" w:cstheme="minorHAnsi"/>
          <w:sz w:val="22"/>
          <w:szCs w:val="20"/>
          <w:lang w:val="en-IE"/>
        </w:rPr>
        <w:t xml:space="preserve"> </w:t>
      </w:r>
      <w:r>
        <w:rPr>
          <w:rFonts w:asciiTheme="minorHAnsi" w:eastAsia="Times New Roman" w:hAnsiTheme="minorHAnsi" w:cstheme="minorHAnsi"/>
          <w:sz w:val="22"/>
          <w:szCs w:val="20"/>
          <w:lang w:val="en-IE"/>
        </w:rPr>
        <w:t xml:space="preserve">uz pretpostavku </w:t>
      </w:r>
      <w:r w:rsidR="004D5846" w:rsidRPr="004D5846">
        <w:rPr>
          <w:rFonts w:asciiTheme="minorHAnsi" w:eastAsia="Times New Roman" w:hAnsiTheme="minorHAnsi" w:cstheme="minorHAnsi"/>
          <w:sz w:val="22"/>
          <w:szCs w:val="20"/>
          <w:lang w:val="en-IE"/>
        </w:rPr>
        <w:t>stabiliz</w:t>
      </w:r>
      <w:r>
        <w:rPr>
          <w:rFonts w:asciiTheme="minorHAnsi" w:eastAsia="Times New Roman" w:hAnsiTheme="minorHAnsi" w:cstheme="minorHAnsi"/>
          <w:sz w:val="22"/>
          <w:szCs w:val="20"/>
          <w:lang w:val="en-IE"/>
        </w:rPr>
        <w:t>acije</w:t>
      </w:r>
      <w:r w:rsidR="004D5846" w:rsidRPr="004D5846">
        <w:rPr>
          <w:rFonts w:asciiTheme="minorHAnsi" w:eastAsia="Times New Roman" w:hAnsiTheme="minorHAnsi" w:cstheme="minorHAnsi"/>
          <w:sz w:val="22"/>
          <w:szCs w:val="20"/>
          <w:lang w:val="en-IE"/>
        </w:rPr>
        <w:t xml:space="preserve"> </w:t>
      </w:r>
      <w:r>
        <w:rPr>
          <w:rFonts w:asciiTheme="minorHAnsi" w:eastAsia="Times New Roman" w:hAnsiTheme="minorHAnsi" w:cstheme="minorHAnsi"/>
          <w:sz w:val="22"/>
          <w:szCs w:val="20"/>
          <w:lang w:val="en-IE"/>
        </w:rPr>
        <w:t>cijena hrane i energenata</w:t>
      </w:r>
      <w:r w:rsidR="004D5846" w:rsidRPr="004D5846">
        <w:rPr>
          <w:rFonts w:asciiTheme="minorHAnsi" w:eastAsia="Times New Roman" w:hAnsiTheme="minorHAnsi" w:cstheme="minorHAnsi"/>
          <w:sz w:val="22"/>
          <w:szCs w:val="20"/>
          <w:lang w:val="en-IE"/>
        </w:rPr>
        <w:t>, predviđene</w:t>
      </w:r>
      <w:r>
        <w:rPr>
          <w:rFonts w:asciiTheme="minorHAnsi" w:eastAsia="Times New Roman" w:hAnsiTheme="minorHAnsi" w:cstheme="minorHAnsi"/>
          <w:sz w:val="22"/>
          <w:szCs w:val="20"/>
          <w:lang w:val="en-IE"/>
        </w:rPr>
        <w:t xml:space="preserve"> su</w:t>
      </w:r>
      <w:r w:rsidR="004D5846" w:rsidRPr="004D5846">
        <w:rPr>
          <w:rFonts w:asciiTheme="minorHAnsi" w:eastAsia="Times New Roman" w:hAnsiTheme="minorHAnsi" w:cstheme="minorHAnsi"/>
          <w:sz w:val="22"/>
          <w:szCs w:val="20"/>
          <w:lang w:val="en-IE"/>
        </w:rPr>
        <w:t xml:space="preserve"> i mjere koje će uticati na rast cijena pića i duvana (povećanje poreskih opterećenja) i najavljeni rast cijena električne energije.</w:t>
      </w:r>
      <w:r>
        <w:rPr>
          <w:rFonts w:asciiTheme="minorHAnsi" w:eastAsia="Times New Roman" w:hAnsiTheme="minorHAnsi" w:cstheme="minorHAnsi"/>
          <w:sz w:val="22"/>
          <w:szCs w:val="20"/>
          <w:lang w:val="en-IE"/>
        </w:rPr>
        <w:t xml:space="preserve"> N</w:t>
      </w:r>
      <w:r w:rsidRPr="004D5846">
        <w:rPr>
          <w:rFonts w:asciiTheme="minorHAnsi" w:eastAsia="Times New Roman" w:hAnsiTheme="minorHAnsi" w:cstheme="minorHAnsi"/>
          <w:sz w:val="22"/>
          <w:szCs w:val="20"/>
          <w:lang w:val="en-IE"/>
        </w:rPr>
        <w:t>a blagi rast projektovane stope inflacije</w:t>
      </w:r>
      <w:r w:rsidR="004D5846" w:rsidRPr="004D5846">
        <w:rPr>
          <w:rFonts w:asciiTheme="minorHAnsi" w:eastAsia="Times New Roman" w:hAnsiTheme="minorHAnsi" w:cstheme="minorHAnsi"/>
          <w:sz w:val="22"/>
          <w:szCs w:val="20"/>
          <w:lang w:val="en-IE"/>
        </w:rPr>
        <w:t xml:space="preserve"> </w:t>
      </w:r>
      <w:r>
        <w:rPr>
          <w:rFonts w:asciiTheme="minorHAnsi" w:eastAsia="Times New Roman" w:hAnsiTheme="minorHAnsi" w:cstheme="minorHAnsi"/>
          <w:sz w:val="22"/>
          <w:szCs w:val="20"/>
          <w:lang w:val="en-IE"/>
        </w:rPr>
        <w:t>može uticati</w:t>
      </w:r>
      <w:r w:rsidR="004D5846" w:rsidRPr="004D5846">
        <w:rPr>
          <w:rFonts w:asciiTheme="minorHAnsi" w:eastAsia="Times New Roman" w:hAnsiTheme="minorHAnsi" w:cstheme="minorHAnsi"/>
          <w:sz w:val="22"/>
          <w:szCs w:val="20"/>
          <w:lang w:val="en-IE"/>
        </w:rPr>
        <w:t xml:space="preserve"> rast cijena hrane zbog elementarnih nepogoda koje su zadesile region</w:t>
      </w:r>
      <w:r>
        <w:rPr>
          <w:rFonts w:asciiTheme="minorHAnsi" w:eastAsia="Times New Roman" w:hAnsiTheme="minorHAnsi" w:cstheme="minorHAnsi"/>
          <w:sz w:val="22"/>
          <w:szCs w:val="20"/>
          <w:lang w:val="en-IE"/>
        </w:rPr>
        <w:t>.</w:t>
      </w:r>
    </w:p>
    <w:p w:rsidR="00E40DCA" w:rsidRPr="009D407D" w:rsidRDefault="00E40DCA" w:rsidP="00C8677B">
      <w:pPr>
        <w:pStyle w:val="Default"/>
        <w:jc w:val="both"/>
      </w:pPr>
    </w:p>
    <w:p w:rsidR="000D1450" w:rsidRPr="00C8677B" w:rsidRDefault="007D1275" w:rsidP="00C8677B">
      <w:pPr>
        <w:pStyle w:val="Heading3"/>
        <w:spacing w:before="0"/>
        <w:rPr>
          <w:sz w:val="22"/>
        </w:rPr>
      </w:pPr>
      <w:bookmarkStart w:id="20" w:name="_Toc389745272"/>
      <w:r w:rsidRPr="00C8677B">
        <w:rPr>
          <w:sz w:val="22"/>
        </w:rPr>
        <w:t>Zaposlenost i zarade</w:t>
      </w:r>
      <w:bookmarkEnd w:id="20"/>
    </w:p>
    <w:p w:rsidR="009834F4" w:rsidRPr="009D407D" w:rsidRDefault="009834F4" w:rsidP="00C8677B">
      <w:pPr>
        <w:spacing w:after="0" w:line="240" w:lineRule="auto"/>
      </w:pPr>
    </w:p>
    <w:p w:rsidR="00E53604" w:rsidRDefault="005D2F54" w:rsidP="00C8677B">
      <w:pPr>
        <w:spacing w:after="0" w:line="240" w:lineRule="auto"/>
        <w:jc w:val="both"/>
      </w:pPr>
      <w:r>
        <w:rPr>
          <w:b/>
        </w:rPr>
        <w:t>Indikatori</w:t>
      </w:r>
      <w:r w:rsidR="00E53604" w:rsidRPr="009D407D">
        <w:t xml:space="preserve"> </w:t>
      </w:r>
      <w:r w:rsidR="00E53604" w:rsidRPr="009D407D">
        <w:rPr>
          <w:b/>
        </w:rPr>
        <w:t>tržišt</w:t>
      </w:r>
      <w:r>
        <w:rPr>
          <w:b/>
        </w:rPr>
        <w:t>a</w:t>
      </w:r>
      <w:r w:rsidR="00E53604" w:rsidRPr="009D407D">
        <w:rPr>
          <w:b/>
        </w:rPr>
        <w:t xml:space="preserve"> rada</w:t>
      </w:r>
      <w:r w:rsidR="00E53604" w:rsidRPr="009D407D">
        <w:t xml:space="preserve"> </w:t>
      </w:r>
      <w:r w:rsidR="00E53604" w:rsidRPr="009D407D">
        <w:rPr>
          <w:b/>
        </w:rPr>
        <w:t xml:space="preserve">tokom 2013. godine bilježe oporavak, </w:t>
      </w:r>
      <w:r w:rsidR="00EE620E">
        <w:rPr>
          <w:b/>
        </w:rPr>
        <w:t xml:space="preserve">uz blagi rast stope aktivnosti stanovništva, značajan rast stope zaposlenosti, ali i povećanje broja nezaposlenih od 6,6%. </w:t>
      </w:r>
      <w:r w:rsidR="00E53604" w:rsidRPr="009D407D">
        <w:t>Aktivno stanovništvo (ARS) u 2013. god</w:t>
      </w:r>
      <w:r w:rsidR="00EE620E">
        <w:t>ini</w:t>
      </w:r>
      <w:r w:rsidR="00E53604" w:rsidRPr="009D407D">
        <w:t xml:space="preserve"> je </w:t>
      </w:r>
      <w:r w:rsidR="00EE620E">
        <w:t>povećano na</w:t>
      </w:r>
      <w:r w:rsidR="00E53604" w:rsidRPr="009D407D">
        <w:t xml:space="preserve"> </w:t>
      </w:r>
      <w:r w:rsidR="00E53604">
        <w:t>250,9 hiljada, a stopa aktivnosti 50,1%, dok je u</w:t>
      </w:r>
      <w:r w:rsidR="00E53604" w:rsidRPr="009D407D">
        <w:t xml:space="preserve"> 2012. iznosila 50,0%. Stopa zaposlenosti, po ARS-u, je povećana sa 39,0% u</w:t>
      </w:r>
      <w:r w:rsidR="00E53604">
        <w:t xml:space="preserve"> 2012</w:t>
      </w:r>
      <w:r w:rsidR="00E53604" w:rsidRPr="009D407D">
        <w:t xml:space="preserve">, na 40,9% </w:t>
      </w:r>
      <w:r w:rsidR="00E53604">
        <w:t>u 2013. godini.</w:t>
      </w:r>
      <w:r w:rsidR="00EE620E">
        <w:t xml:space="preserve"> </w:t>
      </w:r>
      <w:r w:rsidR="00455E58" w:rsidRPr="00455E58">
        <w:rPr>
          <w:noProof/>
          <w:lang w:val="sr-Latn-CS" w:eastAsia="sr-Latn-CS"/>
        </w:rPr>
        <w:drawing>
          <wp:anchor distT="0" distB="0" distL="114300" distR="114300" simplePos="0" relativeHeight="251673600" behindDoc="0" locked="0" layoutInCell="1" allowOverlap="1">
            <wp:simplePos x="0" y="0"/>
            <wp:positionH relativeFrom="margin">
              <wp:align>left</wp:align>
            </wp:positionH>
            <wp:positionV relativeFrom="paragraph">
              <wp:posOffset>-3370</wp:posOffset>
            </wp:positionV>
            <wp:extent cx="2718582" cy="2015538"/>
            <wp:effectExtent l="0" t="0" r="0" b="0"/>
            <wp:wrapSquare wrapText="bothSides"/>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E53604" w:rsidRPr="009D407D">
        <w:t>Broj zaposlenih u 2013. godine (prema administrativnim izvorima) je iznosio</w:t>
      </w:r>
      <w:r w:rsidR="009E2FA5">
        <w:t xml:space="preserve"> </w:t>
      </w:r>
      <w:r w:rsidR="00E53604">
        <w:t>171</w:t>
      </w:r>
      <w:r w:rsidR="009E2FA5">
        <w:t>.</w:t>
      </w:r>
      <w:r w:rsidR="00E53604">
        <w:t>474</w:t>
      </w:r>
      <w:r w:rsidR="00E53604" w:rsidRPr="009D407D">
        <w:t xml:space="preserve">, a povećan je u </w:t>
      </w:r>
      <w:r w:rsidR="00E53604">
        <w:t>odnosu na prethodnu godinu za 3,0</w:t>
      </w:r>
      <w:r w:rsidR="00E53604" w:rsidRPr="009D407D">
        <w:t>%, ali pov</w:t>
      </w:r>
      <w:r w:rsidR="00E53604">
        <w:t>ećan je i broj nezaposlenih za 6</w:t>
      </w:r>
      <w:r w:rsidR="00E53604" w:rsidRPr="009D407D">
        <w:t xml:space="preserve">,6%. </w:t>
      </w:r>
    </w:p>
    <w:p w:rsidR="00EE620E" w:rsidRDefault="00EE620E" w:rsidP="00C8677B">
      <w:pPr>
        <w:spacing w:after="0" w:line="240" w:lineRule="auto"/>
        <w:jc w:val="both"/>
      </w:pPr>
    </w:p>
    <w:p w:rsidR="005A6A88" w:rsidRPr="00915898" w:rsidRDefault="00EE620E" w:rsidP="00C8677B">
      <w:pPr>
        <w:spacing w:after="0" w:line="240" w:lineRule="auto"/>
        <w:jc w:val="both"/>
        <w:rPr>
          <w:color w:val="000000"/>
        </w:rPr>
      </w:pPr>
      <w:r w:rsidRPr="00915898">
        <w:rPr>
          <w:b/>
          <w:color w:val="000000"/>
        </w:rPr>
        <w:t>Prva četiri mjeseca 2014. karakteriše</w:t>
      </w:r>
      <w:r w:rsidR="00915898">
        <w:rPr>
          <w:b/>
          <w:color w:val="000000"/>
        </w:rPr>
        <w:t xml:space="preserve"> povećanje broja oglašenih slobodnih radnih mjesta, rast izdatih radnih dozvola,</w:t>
      </w:r>
      <w:r w:rsidRPr="00915898">
        <w:rPr>
          <w:b/>
          <w:color w:val="000000"/>
        </w:rPr>
        <w:t xml:space="preserve"> rast broja zaposlenih, uz stopu nezaposlenosti od 14,6% (ZZZ)</w:t>
      </w:r>
      <w:r w:rsidR="00915898" w:rsidRPr="00915898">
        <w:rPr>
          <w:b/>
          <w:color w:val="000000"/>
        </w:rPr>
        <w:t>, dok prema ARS stopa nezaposlenosti u I kvartalu iznosi 19,5%.</w:t>
      </w:r>
      <w:r w:rsidRPr="00915898">
        <w:rPr>
          <w:b/>
          <w:color w:val="000000"/>
        </w:rPr>
        <w:t xml:space="preserve"> </w:t>
      </w:r>
      <w:r w:rsidR="00E53604" w:rsidRPr="00915898">
        <w:rPr>
          <w:color w:val="000000"/>
        </w:rPr>
        <w:t>Broj</w:t>
      </w:r>
      <w:r w:rsidR="00E53604" w:rsidRPr="009D407D">
        <w:rPr>
          <w:color w:val="000000"/>
        </w:rPr>
        <w:t xml:space="preserve"> zaposlenih, u periodu januar-</w:t>
      </w:r>
      <w:r w:rsidR="00E53604">
        <w:rPr>
          <w:color w:val="000000"/>
        </w:rPr>
        <w:t xml:space="preserve">april 2014, </w:t>
      </w:r>
      <w:r w:rsidR="005A6A88">
        <w:rPr>
          <w:color w:val="000000"/>
        </w:rPr>
        <w:t>g-n-g</w:t>
      </w:r>
      <w:r w:rsidR="00E53604">
        <w:rPr>
          <w:color w:val="000000"/>
        </w:rPr>
        <w:t>, povećao se za 0,9%</w:t>
      </w:r>
      <w:r w:rsidR="00E53604" w:rsidRPr="009D407D">
        <w:rPr>
          <w:color w:val="000000"/>
        </w:rPr>
        <w:t xml:space="preserve">, a najveći porast </w:t>
      </w:r>
      <w:r w:rsidR="00E53604">
        <w:rPr>
          <w:color w:val="000000"/>
        </w:rPr>
        <w:t xml:space="preserve">je </w:t>
      </w:r>
      <w:r w:rsidR="00E53604" w:rsidRPr="009D407D">
        <w:rPr>
          <w:color w:val="000000"/>
        </w:rPr>
        <w:t xml:space="preserve">zabilježen </w:t>
      </w:r>
      <w:r w:rsidR="005A6A88">
        <w:rPr>
          <w:color w:val="000000"/>
        </w:rPr>
        <w:t xml:space="preserve">u </w:t>
      </w:r>
      <w:r w:rsidR="00E53604" w:rsidRPr="009D407D">
        <w:rPr>
          <w:color w:val="000000"/>
        </w:rPr>
        <w:t xml:space="preserve">administrativnim i pomoćnim uslužnim djelatnostima </w:t>
      </w:r>
      <w:r w:rsidR="00E53604">
        <w:rPr>
          <w:color w:val="000000"/>
        </w:rPr>
        <w:t xml:space="preserve">69,5%, poslovanju s nekretninama 15,8%, ostalim uslužnim djelatnostima 12,3% </w:t>
      </w:r>
      <w:r w:rsidR="005A6A88">
        <w:rPr>
          <w:color w:val="000000"/>
        </w:rPr>
        <w:t>i</w:t>
      </w:r>
      <w:r w:rsidR="00E53604">
        <w:rPr>
          <w:color w:val="000000"/>
        </w:rPr>
        <w:t xml:space="preserve"> građevinarstvu 6,9%,</w:t>
      </w:r>
      <w:r w:rsidR="00E53604" w:rsidRPr="009D407D">
        <w:rPr>
          <w:color w:val="000000"/>
        </w:rPr>
        <w:t xml:space="preserve"> dok je u</w:t>
      </w:r>
      <w:r w:rsidR="00E53604">
        <w:rPr>
          <w:color w:val="000000"/>
        </w:rPr>
        <w:t xml:space="preserve"> devet sektora zabilježen pad od čega najviše u prerađivačkoj industriji </w:t>
      </w:r>
      <w:r w:rsidR="00E53604">
        <w:rPr>
          <w:color w:val="000000"/>
        </w:rPr>
        <w:lastRenderedPageBreak/>
        <w:t>8,3%, finansijskoj djelatnosti i djelatnosti osiguranja 5,7% i trgovini 5,6%</w:t>
      </w:r>
      <w:r w:rsidR="00E53604" w:rsidRPr="009D407D">
        <w:rPr>
          <w:color w:val="000000"/>
        </w:rPr>
        <w:t>. U</w:t>
      </w:r>
      <w:r w:rsidR="00E53604" w:rsidRPr="009D407D">
        <w:t xml:space="preserve"> </w:t>
      </w:r>
      <w:r w:rsidR="00E53604">
        <w:t xml:space="preserve">aprilu je </w:t>
      </w:r>
      <w:r w:rsidR="00E53604" w:rsidRPr="009D407D">
        <w:t>broj nezaposlenih (prema podacima Zavoda za zapošljavanje) iznosio</w:t>
      </w:r>
      <w:r w:rsidR="00E53604">
        <w:t xml:space="preserve"> 33.906</w:t>
      </w:r>
      <w:r w:rsidR="00E53604" w:rsidRPr="009D407D">
        <w:t xml:space="preserve">. Stopa nezaposlenosti u </w:t>
      </w:r>
      <w:r w:rsidR="00E53604">
        <w:t>aprilu 2014. iznosila je 14,6</w:t>
      </w:r>
      <w:r w:rsidR="00E53604" w:rsidRPr="009D407D">
        <w:t xml:space="preserve">%, a povećana je u odnosu na </w:t>
      </w:r>
      <w:r w:rsidR="00E53604">
        <w:t>april 2013. kada je iznosila 14,1</w:t>
      </w:r>
      <w:r w:rsidR="00E53604" w:rsidRPr="009D407D">
        <w:t>%.</w:t>
      </w:r>
      <w:r w:rsidR="00E53604">
        <w:t xml:space="preserve"> </w:t>
      </w:r>
      <w:r w:rsidR="00E53604" w:rsidRPr="009D407D">
        <w:t xml:space="preserve"> </w:t>
      </w:r>
      <w:r w:rsidR="00E53604" w:rsidRPr="00C50505">
        <w:rPr>
          <w:color w:val="000000" w:themeColor="text1"/>
        </w:rPr>
        <w:t xml:space="preserve">Stopa nezaposlenosti (po ARS-u) je sa 20,6% u četvrtom kvartalu 2013 smanjena na 19,5% u </w:t>
      </w:r>
      <w:r w:rsidR="00915898">
        <w:rPr>
          <w:color w:val="000000" w:themeColor="text1"/>
        </w:rPr>
        <w:t xml:space="preserve">prvom </w:t>
      </w:r>
      <w:r w:rsidR="00E53604" w:rsidRPr="00C50505">
        <w:rPr>
          <w:color w:val="000000" w:themeColor="text1"/>
        </w:rPr>
        <w:t>kvartalu 2014.</w:t>
      </w:r>
      <w:r w:rsidR="00E53604">
        <w:rPr>
          <w:color w:val="FF0000"/>
        </w:rPr>
        <w:t xml:space="preserve"> </w:t>
      </w:r>
      <w:r w:rsidR="00E53604">
        <w:rPr>
          <w:rFonts w:cs="Calibri"/>
        </w:rPr>
        <w:t xml:space="preserve">Za četiri mjeseca 2014. broj oglašenih slobodnih radnih mjesta je iznosio 10.555 (povećanje od 10,2% u odnosu na isti period prethodne godine), dok je istovremeno </w:t>
      </w:r>
      <w:r w:rsidR="005A6A88">
        <w:rPr>
          <w:rFonts w:cs="Calibri"/>
        </w:rPr>
        <w:t xml:space="preserve">izdato </w:t>
      </w:r>
      <w:r w:rsidR="00E53604">
        <w:rPr>
          <w:rFonts w:cs="Calibri"/>
        </w:rPr>
        <w:t>7.697</w:t>
      </w:r>
      <w:r w:rsidR="005A6A88">
        <w:rPr>
          <w:rFonts w:cs="Calibri"/>
        </w:rPr>
        <w:t xml:space="preserve"> radnih dozvola (7,9% više)</w:t>
      </w:r>
      <w:r>
        <w:rPr>
          <w:rFonts w:cs="Calibri"/>
        </w:rPr>
        <w:t>.</w:t>
      </w:r>
    </w:p>
    <w:p w:rsidR="00E53604" w:rsidRPr="009D407D" w:rsidRDefault="00E53604" w:rsidP="00C8677B">
      <w:pPr>
        <w:spacing w:after="0" w:line="240" w:lineRule="auto"/>
        <w:jc w:val="both"/>
        <w:rPr>
          <w:rFonts w:cs="Calibri"/>
        </w:rPr>
      </w:pPr>
    </w:p>
    <w:p w:rsidR="00943DDA" w:rsidRPr="009D407D" w:rsidRDefault="00943DDA" w:rsidP="00C8677B">
      <w:pPr>
        <w:spacing w:after="0" w:line="240" w:lineRule="auto"/>
        <w:jc w:val="both"/>
        <w:rPr>
          <w:color w:val="000000"/>
        </w:rPr>
      </w:pPr>
      <w:r w:rsidRPr="009D407D">
        <w:rPr>
          <w:b/>
          <w:noProof/>
        </w:rPr>
        <w:t>Prosječna zarada</w:t>
      </w:r>
      <w:r w:rsidRPr="009D407D">
        <w:rPr>
          <w:noProof/>
        </w:rPr>
        <w:t xml:space="preserve"> u 2013. godine iznosila je </w:t>
      </w:r>
      <w:r>
        <w:rPr>
          <w:noProof/>
        </w:rPr>
        <w:t>726</w:t>
      </w:r>
      <w:r w:rsidRPr="009D407D">
        <w:rPr>
          <w:noProof/>
        </w:rPr>
        <w:t>€</w:t>
      </w:r>
      <w:r>
        <w:rPr>
          <w:noProof/>
        </w:rPr>
        <w:t xml:space="preserve"> (1,6% manje nego u 2012)</w:t>
      </w:r>
      <w:r w:rsidRPr="009D407D">
        <w:rPr>
          <w:noProof/>
        </w:rPr>
        <w:t xml:space="preserve">, a prosječna neto zarada </w:t>
      </w:r>
      <w:r>
        <w:rPr>
          <w:noProof/>
        </w:rPr>
        <w:t>440</w:t>
      </w:r>
      <w:r w:rsidRPr="009D407D">
        <w:rPr>
          <w:noProof/>
        </w:rPr>
        <w:t xml:space="preserve">€. </w:t>
      </w:r>
      <w:r>
        <w:rPr>
          <w:noProof/>
        </w:rPr>
        <w:t xml:space="preserve"> </w:t>
      </w:r>
      <w:r w:rsidRPr="009D407D">
        <w:rPr>
          <w:noProof/>
        </w:rPr>
        <w:t>U periodu januar-</w:t>
      </w:r>
      <w:r>
        <w:rPr>
          <w:noProof/>
        </w:rPr>
        <w:t>april 2014</w:t>
      </w:r>
      <w:r w:rsidRPr="009D407D">
        <w:rPr>
          <w:noProof/>
        </w:rPr>
        <w:t xml:space="preserve">. u odnosu na </w:t>
      </w:r>
      <w:r>
        <w:rPr>
          <w:noProof/>
        </w:rPr>
        <w:t>isti period 2013</w:t>
      </w:r>
      <w:r w:rsidRPr="009D407D">
        <w:rPr>
          <w:noProof/>
        </w:rPr>
        <w:t xml:space="preserve">. zarade su smanjene za </w:t>
      </w:r>
      <w:r>
        <w:rPr>
          <w:noProof/>
        </w:rPr>
        <w:t>0,5%, neto zarade za 1,0</w:t>
      </w:r>
      <w:r w:rsidRPr="009D407D">
        <w:rPr>
          <w:noProof/>
        </w:rPr>
        <w:t>%, dok</w:t>
      </w:r>
      <w:r>
        <w:rPr>
          <w:noProof/>
        </w:rPr>
        <w:t xml:space="preserve"> su realne neto zarade manje 0,2</w:t>
      </w:r>
      <w:r w:rsidRPr="009D407D">
        <w:rPr>
          <w:noProof/>
        </w:rPr>
        <w:t>%, što ukazuje da se uticaj krize pre</w:t>
      </w:r>
      <w:r w:rsidR="000B2C03">
        <w:rPr>
          <w:noProof/>
        </w:rPr>
        <w:t>liva</w:t>
      </w:r>
      <w:r w:rsidRPr="009D407D">
        <w:rPr>
          <w:noProof/>
        </w:rPr>
        <w:t xml:space="preserve"> preko zarada, tako da se smanjuje raspoloživi dohodak za finalnu potrošnju. </w:t>
      </w:r>
      <w:r w:rsidRPr="009D407D">
        <w:rPr>
          <w:color w:val="000000"/>
        </w:rPr>
        <w:t xml:space="preserve">Prosječna penzija u </w:t>
      </w:r>
      <w:r>
        <w:rPr>
          <w:color w:val="000000"/>
        </w:rPr>
        <w:t>aprilu u Crnoj Gori iznosila je 275,32</w:t>
      </w:r>
      <w:r w:rsidRPr="009D407D">
        <w:rPr>
          <w:color w:val="000000"/>
        </w:rPr>
        <w:t xml:space="preserve"> € ili </w:t>
      </w:r>
      <w:r>
        <w:rPr>
          <w:color w:val="000000"/>
        </w:rPr>
        <w:t>58,1</w:t>
      </w:r>
      <w:r w:rsidRPr="009D407D">
        <w:rPr>
          <w:color w:val="000000"/>
        </w:rPr>
        <w:t>% prosječne neto zarade, a potrebna sredstva za isplatu</w:t>
      </w:r>
      <w:r w:rsidR="008E3726">
        <w:rPr>
          <w:color w:val="000000"/>
        </w:rPr>
        <w:t xml:space="preserve"> iznosila su 32,12</w:t>
      </w:r>
      <w:r w:rsidRPr="009D407D">
        <w:rPr>
          <w:color w:val="000000"/>
        </w:rPr>
        <w:t xml:space="preserve"> mil. €.</w:t>
      </w:r>
    </w:p>
    <w:p w:rsidR="00E53604" w:rsidRDefault="00E53604" w:rsidP="00C8677B">
      <w:pPr>
        <w:spacing w:after="0" w:line="240" w:lineRule="auto"/>
      </w:pPr>
    </w:p>
    <w:p w:rsidR="004050DF" w:rsidRPr="00C8677B" w:rsidRDefault="009834F4" w:rsidP="00C8677B">
      <w:pPr>
        <w:pStyle w:val="Heading2"/>
        <w:spacing w:after="0" w:line="240" w:lineRule="auto"/>
        <w:rPr>
          <w:sz w:val="24"/>
        </w:rPr>
      </w:pPr>
      <w:bookmarkStart w:id="21" w:name="_Toc389745273"/>
      <w:r w:rsidRPr="00C8677B">
        <w:rPr>
          <w:sz w:val="24"/>
        </w:rPr>
        <w:t>BANKARSKI SEKTOR I LIKVIDNOST</w:t>
      </w:r>
      <w:bookmarkEnd w:id="21"/>
    </w:p>
    <w:p w:rsidR="005754FB" w:rsidRPr="005754FB" w:rsidRDefault="005754FB" w:rsidP="00C8677B">
      <w:pPr>
        <w:spacing w:after="0" w:line="240" w:lineRule="auto"/>
      </w:pPr>
    </w:p>
    <w:p w:rsidR="00C649BD" w:rsidRDefault="00C649BD" w:rsidP="00C8677B">
      <w:pPr>
        <w:spacing w:after="0" w:line="240" w:lineRule="auto"/>
        <w:ind w:right="13"/>
        <w:jc w:val="both"/>
        <w:rPr>
          <w:rFonts w:cs="Calibri"/>
        </w:rPr>
      </w:pPr>
      <w:r>
        <w:rPr>
          <w:rFonts w:cs="Calibri"/>
          <w:b/>
        </w:rPr>
        <w:t>Pozitivna monetarna kretanja su uticala na očuvanje stabilnosti i solventnosti bankarskog sistema tokom 2013 godine</w:t>
      </w:r>
      <w:r w:rsidRPr="00C4164A">
        <w:rPr>
          <w:rFonts w:cs="Calibri"/>
        </w:rPr>
        <w:t>.</w:t>
      </w:r>
      <w:r w:rsidR="005A6A88">
        <w:rPr>
          <w:rFonts w:cs="Calibri"/>
        </w:rPr>
        <w:t xml:space="preserve"> </w:t>
      </w:r>
      <w:r w:rsidRPr="00C4164A">
        <w:rPr>
          <w:rFonts w:cs="Calibri"/>
        </w:rPr>
        <w:t>B</w:t>
      </w:r>
      <w:r>
        <w:rPr>
          <w:rFonts w:cs="Calibri"/>
        </w:rPr>
        <w:t>anke su iskazale pozitivan finansijski rezultat na agregatnom nivou i pored izraženog problema nekvalitetne aktive i nelikvidnosti  realnog sektora.</w:t>
      </w:r>
    </w:p>
    <w:p w:rsidR="00C768A8" w:rsidRPr="00C768A8" w:rsidRDefault="00C768A8" w:rsidP="00C8677B">
      <w:pPr>
        <w:spacing w:after="0" w:line="240" w:lineRule="auto"/>
        <w:ind w:right="13"/>
        <w:jc w:val="both"/>
        <w:rPr>
          <w:rFonts w:cs="Calibri"/>
          <w:sz w:val="10"/>
          <w:szCs w:val="10"/>
        </w:rPr>
      </w:pPr>
    </w:p>
    <w:p w:rsidR="00C649BD" w:rsidRPr="00C768A8" w:rsidRDefault="00C649BD" w:rsidP="00C8677B">
      <w:pPr>
        <w:spacing w:after="0" w:line="240" w:lineRule="auto"/>
        <w:ind w:right="13"/>
        <w:jc w:val="both"/>
        <w:rPr>
          <w:rFonts w:cs="Calibri"/>
          <w:sz w:val="10"/>
          <w:szCs w:val="10"/>
        </w:rPr>
      </w:pPr>
      <w:r>
        <w:rPr>
          <w:rFonts w:cs="Calibri"/>
        </w:rPr>
        <w:t>Bilansna suma banaka je krajem decembra iznosila 2.958.9 mil.€  i bila je veća za 5,4% u odnosu na kraj prethodne godine, dok je ukupan kapital povećan za 37,6% ili 108,5 mil.€ u posmatranom periodu.</w:t>
      </w:r>
      <w:r w:rsidR="005A6A88">
        <w:rPr>
          <w:rFonts w:cs="Calibri"/>
        </w:rPr>
        <w:t xml:space="preserve"> </w:t>
      </w:r>
      <w:r>
        <w:rPr>
          <w:rFonts w:cs="Calibri"/>
        </w:rPr>
        <w:t>Ukupni krediti su ostvarili rast od 3,0%, pri čemu se stvarna kreditna aktivnost realizovala kroz 807,6 mil.€ novoodobrenih kredita, što je za 104,1 mil.€ više u odnosu na isti period prethodne godine.Tokom 2013</w:t>
      </w:r>
      <w:r w:rsidR="00915898">
        <w:rPr>
          <w:rFonts w:cs="Calibri"/>
        </w:rPr>
        <w:t>.</w:t>
      </w:r>
      <w:r>
        <w:rPr>
          <w:rFonts w:cs="Calibri"/>
        </w:rPr>
        <w:t xml:space="preserve"> godine nastavljena je pozitivna tendencija kretanja ukupnih depozita, koji na godišnjem nivou bilježe rast od 6,0%.</w:t>
      </w:r>
    </w:p>
    <w:p w:rsidR="00C649BD" w:rsidRDefault="00C649BD" w:rsidP="00C8677B">
      <w:pPr>
        <w:spacing w:after="0" w:line="240" w:lineRule="auto"/>
        <w:ind w:right="13"/>
        <w:jc w:val="both"/>
        <w:rPr>
          <w:rFonts w:cs="Calibri"/>
        </w:rPr>
      </w:pPr>
    </w:p>
    <w:p w:rsidR="00C649BD" w:rsidRDefault="00C649BD" w:rsidP="00C8677B">
      <w:pPr>
        <w:spacing w:after="0" w:line="240" w:lineRule="auto"/>
        <w:ind w:right="13"/>
        <w:jc w:val="both"/>
        <w:rPr>
          <w:rFonts w:cs="Calibri"/>
        </w:rPr>
      </w:pPr>
      <w:r>
        <w:rPr>
          <w:rFonts w:cs="Calibri"/>
        </w:rPr>
        <w:t>Kreditiranje, kao osnovna aktivnost banaka nije na adekvatnom nivou, koji bi bio zadovoljavajući za privredne subjekte, dok su visoke kamatne stope uticale na destimulisanje privrednih aktivnosti. Tako je kreditna aktivnost banaka u aprilu 2014 godine smanjena na mjesečnom nivou za 0,8%, dok je pad n</w:t>
      </w:r>
      <w:r w:rsidR="00307A14">
        <w:rPr>
          <w:rFonts w:cs="Calibri"/>
        </w:rPr>
        <w:t xml:space="preserve">a godišnjem nivou iznosio 3,2%. </w:t>
      </w:r>
      <w:r>
        <w:rPr>
          <w:rFonts w:cs="Calibri"/>
        </w:rPr>
        <w:t>Zaduženost po glavi stanovnika, mjerena odnosom ukupnih kredita stanovništva i broja stanovnika, iznosi 1431 €, dok je dug po zaposlenom 5153 €.</w:t>
      </w:r>
      <w:r w:rsidR="005A6A88">
        <w:rPr>
          <w:rFonts w:cs="Calibri"/>
        </w:rPr>
        <w:t xml:space="preserve"> </w:t>
      </w:r>
      <w:r w:rsidR="00856C4E">
        <w:rPr>
          <w:rFonts w:cs="Calibri"/>
        </w:rPr>
        <w:t xml:space="preserve"> </w:t>
      </w:r>
    </w:p>
    <w:p w:rsidR="00C649BD" w:rsidRDefault="00C649BD" w:rsidP="00C8677B">
      <w:pPr>
        <w:spacing w:after="0" w:line="240" w:lineRule="auto"/>
        <w:ind w:right="13"/>
        <w:jc w:val="both"/>
        <w:rPr>
          <w:rFonts w:cs="Calibri"/>
        </w:rPr>
      </w:pPr>
    </w:p>
    <w:p w:rsidR="00C649BD" w:rsidRDefault="0064648F" w:rsidP="00C8677B">
      <w:pPr>
        <w:spacing w:after="0" w:line="240" w:lineRule="auto"/>
        <w:ind w:right="13"/>
        <w:jc w:val="both"/>
        <w:rPr>
          <w:rFonts w:cs="Calibri"/>
        </w:rPr>
      </w:pPr>
      <w:r>
        <w:rPr>
          <w:rFonts w:cs="Calibri"/>
        </w:rPr>
        <w:t>Ukupni depoziti banaka su sa iznosom od 2.094,8</w:t>
      </w:r>
      <w:r w:rsidR="00B16712">
        <w:rPr>
          <w:rFonts w:cs="Calibri"/>
        </w:rPr>
        <w:t xml:space="preserve"> </w:t>
      </w:r>
      <w:r>
        <w:rPr>
          <w:rFonts w:cs="Calibri"/>
        </w:rPr>
        <w:t>mil.€  neznatno</w:t>
      </w:r>
      <w:r w:rsidR="00C649BD">
        <w:rPr>
          <w:rFonts w:cs="Calibri"/>
        </w:rPr>
        <w:t xml:space="preserve"> smanjeni za 0,5 % u odnosu na prethodni mjesec, dok su ostvarili rast od 7,3 %., posmatrano u odnosu na isti mjesec pretodne godine. Rastu ukupnih depozita najviše su doprinijeli sektor stanovništva i privrede, čija deponovana sredstva bilježe</w:t>
      </w:r>
      <w:r w:rsidR="001E5665">
        <w:rPr>
          <w:rFonts w:cs="Calibri"/>
        </w:rPr>
        <w:t xml:space="preserve"> rast na godišnjem nivou od 7,1%</w:t>
      </w:r>
      <w:r w:rsidR="00C649BD">
        <w:rPr>
          <w:rFonts w:cs="Calibri"/>
        </w:rPr>
        <w:t xml:space="preserve"> i 8,8% , respektivno.</w:t>
      </w:r>
      <w:r w:rsidR="003A0E8B">
        <w:rPr>
          <w:rFonts w:cs="Calibri"/>
        </w:rPr>
        <w:t xml:space="preserve"> </w:t>
      </w:r>
      <w:r w:rsidR="00C649BD">
        <w:rPr>
          <w:rFonts w:cs="Calibri"/>
        </w:rPr>
        <w:t>Obavezna rezerva banaka, kao jedini instrument preko koga Centralna banka Crne Gore može djelovati na monetarna kretanja, krajem aprila ove godine je iznosila 195,9 mi.€ i smanjena je za 0,5% u odnosu na kraj prethodne godine.</w:t>
      </w:r>
    </w:p>
    <w:p w:rsidR="00C649BD" w:rsidRDefault="00C649BD" w:rsidP="00C8677B">
      <w:pPr>
        <w:spacing w:after="0" w:line="240" w:lineRule="auto"/>
        <w:ind w:right="13"/>
        <w:jc w:val="both"/>
        <w:rPr>
          <w:rFonts w:cs="Calibri"/>
        </w:rPr>
      </w:pPr>
    </w:p>
    <w:p w:rsidR="00C649BD" w:rsidRDefault="00C649BD" w:rsidP="00C8677B">
      <w:pPr>
        <w:spacing w:after="0" w:line="240" w:lineRule="auto"/>
        <w:ind w:right="13"/>
        <w:jc w:val="both"/>
        <w:rPr>
          <w:rFonts w:cs="Calibri"/>
        </w:rPr>
      </w:pPr>
      <w:r>
        <w:rPr>
          <w:rFonts w:cs="Calibri"/>
        </w:rPr>
        <w:t>Jedan od p</w:t>
      </w:r>
      <w:r w:rsidR="00B16712">
        <w:rPr>
          <w:rFonts w:cs="Calibri"/>
        </w:rPr>
        <w:t>otencijalnih rizika za očuvanje</w:t>
      </w:r>
      <w:r>
        <w:rPr>
          <w:rFonts w:cs="Calibri"/>
        </w:rPr>
        <w:t xml:space="preserve"> finansijske stabilnosti i</w:t>
      </w:r>
      <w:r w:rsidRPr="009D407D">
        <w:rPr>
          <w:rFonts w:cs="Calibri"/>
        </w:rPr>
        <w:t xml:space="preserve"> prepreka rastu kreditne aktivnosti </w:t>
      </w:r>
      <w:r>
        <w:rPr>
          <w:rFonts w:cs="Calibri"/>
        </w:rPr>
        <w:t xml:space="preserve"> je</w:t>
      </w:r>
      <w:r w:rsidRPr="009D407D">
        <w:rPr>
          <w:rFonts w:cs="Calibri"/>
        </w:rPr>
        <w:t xml:space="preserve"> i dalje visok nivo nek</w:t>
      </w:r>
      <w:r>
        <w:rPr>
          <w:rFonts w:cs="Calibri"/>
        </w:rPr>
        <w:t>val</w:t>
      </w:r>
      <w:r w:rsidR="00EF6B58">
        <w:rPr>
          <w:rFonts w:cs="Calibri"/>
        </w:rPr>
        <w:t>itetnih kredita (NPL),</w:t>
      </w:r>
      <w:r w:rsidRPr="009D407D">
        <w:rPr>
          <w:rFonts w:cs="Calibri"/>
        </w:rPr>
        <w:t xml:space="preserve"> što zahtijeva produženje procesa konsolidacije banaka i obezbjeđenje rezervacija za kreditne gubitke. I pored visokog nivoa nekvalitetnih kredita, </w:t>
      </w:r>
      <w:r>
        <w:rPr>
          <w:rFonts w:cs="Calibri"/>
        </w:rPr>
        <w:t xml:space="preserve">koji u </w:t>
      </w:r>
      <w:r w:rsidR="00856C4E">
        <w:rPr>
          <w:rFonts w:cs="Calibri"/>
        </w:rPr>
        <w:t>martu</w:t>
      </w:r>
      <w:r>
        <w:rPr>
          <w:rFonts w:cs="Calibri"/>
        </w:rPr>
        <w:t xml:space="preserve"> iznosi 393,9 mil.€, došlo je do njihovog smanjenja na godišnjem nivou od </w:t>
      </w:r>
      <w:r w:rsidR="00856C4E">
        <w:rPr>
          <w:rFonts w:cs="Calibri"/>
        </w:rPr>
        <w:t>15,4</w:t>
      </w:r>
      <w:r>
        <w:rPr>
          <w:rFonts w:cs="Calibri"/>
        </w:rPr>
        <w:t xml:space="preserve">%. Pri tome, njihovo učešće </w:t>
      </w:r>
      <w:r w:rsidR="00557214">
        <w:rPr>
          <w:rFonts w:cs="Calibri"/>
        </w:rPr>
        <w:t>u ukupnim kreditima je smanjeno i</w:t>
      </w:r>
      <w:r>
        <w:rPr>
          <w:rFonts w:cs="Calibri"/>
        </w:rPr>
        <w:t xml:space="preserve"> u </w:t>
      </w:r>
      <w:r w:rsidR="00856C4E">
        <w:rPr>
          <w:rFonts w:cs="Calibri"/>
        </w:rPr>
        <w:t>martu</w:t>
      </w:r>
      <w:r w:rsidR="00557214">
        <w:rPr>
          <w:rFonts w:cs="Calibri"/>
        </w:rPr>
        <w:t xml:space="preserve"> ove </w:t>
      </w:r>
      <w:r w:rsidR="00EF6B58">
        <w:rPr>
          <w:rFonts w:cs="Calibri"/>
        </w:rPr>
        <w:t xml:space="preserve">godine iznosi </w:t>
      </w:r>
      <w:r w:rsidR="0064648F">
        <w:rPr>
          <w:rFonts w:cs="Calibri"/>
        </w:rPr>
        <w:t>16,38</w:t>
      </w:r>
      <w:r w:rsidR="00EF6B58">
        <w:rPr>
          <w:rFonts w:cs="Calibri"/>
        </w:rPr>
        <w:t>%</w:t>
      </w:r>
      <w:r w:rsidR="00557214">
        <w:rPr>
          <w:rFonts w:cs="Calibri"/>
        </w:rPr>
        <w:t xml:space="preserve">. </w:t>
      </w:r>
    </w:p>
    <w:p w:rsidR="00344A22" w:rsidRPr="009D407D" w:rsidRDefault="00344A22" w:rsidP="00C8677B">
      <w:pPr>
        <w:spacing w:after="0" w:line="240" w:lineRule="auto"/>
        <w:ind w:right="13"/>
        <w:jc w:val="both"/>
        <w:rPr>
          <w:rFonts w:cs="Calibri"/>
        </w:rPr>
      </w:pPr>
    </w:p>
    <w:p w:rsidR="00C649BD" w:rsidRPr="009D407D" w:rsidRDefault="00C649BD" w:rsidP="00C8677B">
      <w:pPr>
        <w:spacing w:after="0" w:line="240" w:lineRule="auto"/>
        <w:ind w:right="13"/>
        <w:jc w:val="both"/>
        <w:rPr>
          <w:rFonts w:cs="Calibri"/>
        </w:rPr>
      </w:pPr>
      <w:r w:rsidRPr="009D407D">
        <w:rPr>
          <w:rFonts w:cs="Calibri"/>
        </w:rPr>
        <w:t xml:space="preserve">Restriktivna kreditna politika banaka se odrazila na povećanje </w:t>
      </w:r>
      <w:r>
        <w:rPr>
          <w:rFonts w:cs="Calibri"/>
        </w:rPr>
        <w:t>likvidnosti banaka,</w:t>
      </w:r>
      <w:r w:rsidRPr="009D407D">
        <w:rPr>
          <w:rFonts w:cs="Calibri"/>
        </w:rPr>
        <w:t xml:space="preserve"> što je uticalo na kretanje parametara likvidnosti i solventnosti iznad propisanog</w:t>
      </w:r>
      <w:r w:rsidR="00EE5C3F">
        <w:rPr>
          <w:rFonts w:cs="Calibri"/>
        </w:rPr>
        <w:t xml:space="preserve"> </w:t>
      </w:r>
      <w:r w:rsidRPr="009D407D">
        <w:rPr>
          <w:rFonts w:cs="Calibri"/>
        </w:rPr>
        <w:t>nivoa</w:t>
      </w:r>
      <w:r>
        <w:rPr>
          <w:rFonts w:cs="Calibri"/>
        </w:rPr>
        <w:t>.</w:t>
      </w:r>
      <w:r w:rsidR="00344A22">
        <w:rPr>
          <w:rFonts w:cs="Calibri"/>
        </w:rPr>
        <w:t xml:space="preserve"> </w:t>
      </w:r>
      <w:r>
        <w:rPr>
          <w:rFonts w:cs="Calibri"/>
        </w:rPr>
        <w:t>Međutim,</w:t>
      </w:r>
      <w:r w:rsidRPr="009D407D">
        <w:rPr>
          <w:rFonts w:cs="Calibri"/>
        </w:rPr>
        <w:t xml:space="preserve"> nelikvidnost realnog sektora je i dalje zabrinjavajuća.</w:t>
      </w:r>
      <w:r w:rsidR="00344A22">
        <w:rPr>
          <w:rFonts w:cs="Calibri"/>
        </w:rPr>
        <w:t xml:space="preserve"> U</w:t>
      </w:r>
      <w:r w:rsidRPr="009D407D">
        <w:rPr>
          <w:rFonts w:cs="Calibri"/>
        </w:rPr>
        <w:t xml:space="preserve">kupan iznos duga je </w:t>
      </w:r>
      <w:r w:rsidR="003A6A27">
        <w:rPr>
          <w:rFonts w:cs="Calibri"/>
        </w:rPr>
        <w:t>bio</w:t>
      </w:r>
      <w:r w:rsidRPr="009D407D">
        <w:rPr>
          <w:rFonts w:cs="Calibri"/>
        </w:rPr>
        <w:t xml:space="preserve"> </w:t>
      </w:r>
      <w:r>
        <w:rPr>
          <w:rFonts w:cs="Calibri"/>
        </w:rPr>
        <w:t>488,9</w:t>
      </w:r>
      <w:r w:rsidRPr="009D407D">
        <w:rPr>
          <w:rFonts w:cs="Calibri"/>
        </w:rPr>
        <w:t xml:space="preserve"> mil.€, i povećan je u od</w:t>
      </w:r>
      <w:r>
        <w:rPr>
          <w:rFonts w:cs="Calibri"/>
        </w:rPr>
        <w:t>nosu na prethodni mjesec za 1,48</w:t>
      </w:r>
      <w:r w:rsidRPr="009D407D">
        <w:rPr>
          <w:rFonts w:cs="Calibri"/>
        </w:rPr>
        <w:t>%,</w:t>
      </w:r>
      <w:r w:rsidR="00B16712">
        <w:rPr>
          <w:rFonts w:cs="Calibri"/>
        </w:rPr>
        <w:t xml:space="preserve"> </w:t>
      </w:r>
      <w:r w:rsidRPr="009D407D">
        <w:rPr>
          <w:rFonts w:cs="Calibri"/>
        </w:rPr>
        <w:t xml:space="preserve">a na godišnjem nivou za </w:t>
      </w:r>
      <w:r>
        <w:rPr>
          <w:rFonts w:cs="Calibri"/>
        </w:rPr>
        <w:t xml:space="preserve">13,5%. Koncentracija duga je bila relativno </w:t>
      </w:r>
      <w:r>
        <w:rPr>
          <w:rFonts w:cs="Calibri"/>
        </w:rPr>
        <w:lastRenderedPageBreak/>
        <w:t>velika,</w:t>
      </w:r>
      <w:r w:rsidR="0004094B">
        <w:rPr>
          <w:rFonts w:cs="Calibri"/>
        </w:rPr>
        <w:t xml:space="preserve"> tako da je 10 najvećih dužnika</w:t>
      </w:r>
      <w:r>
        <w:rPr>
          <w:rFonts w:cs="Calibri"/>
        </w:rPr>
        <w:t>,</w:t>
      </w:r>
      <w:r w:rsidR="00B16712">
        <w:rPr>
          <w:rFonts w:cs="Calibri"/>
        </w:rPr>
        <w:t xml:space="preserve"> </w:t>
      </w:r>
      <w:r>
        <w:rPr>
          <w:rFonts w:cs="Calibri"/>
        </w:rPr>
        <w:t>odnosno 0,07% od ukupno evidentiranih dužnika učestvovalo sa 21</w:t>
      </w:r>
      <w:r w:rsidR="0004094B">
        <w:rPr>
          <w:rFonts w:cs="Calibri"/>
        </w:rPr>
        <w:t>,</w:t>
      </w:r>
      <w:r>
        <w:rPr>
          <w:rFonts w:cs="Calibri"/>
        </w:rPr>
        <w:t xml:space="preserve"> 67% u ukupnom iznosu blokade, što znači da je njihova blokada iznosila 105,9 mil.€</w:t>
      </w:r>
      <w:r w:rsidR="00B16712">
        <w:rPr>
          <w:rFonts w:cs="Calibri"/>
        </w:rPr>
        <w:t>.</w:t>
      </w:r>
    </w:p>
    <w:p w:rsidR="00C649BD" w:rsidRPr="009D407D" w:rsidRDefault="00236E3A" w:rsidP="00C8677B">
      <w:pPr>
        <w:spacing w:after="0" w:line="240" w:lineRule="auto"/>
        <w:ind w:right="13"/>
        <w:jc w:val="both"/>
        <w:rPr>
          <w:rFonts w:cs="Calibri"/>
        </w:rPr>
      </w:pPr>
      <w:r>
        <w:rPr>
          <w:rFonts w:cs="Calibri"/>
        </w:rPr>
        <w:t>U narednom periodu</w:t>
      </w:r>
      <w:r w:rsidR="00C649BD">
        <w:rPr>
          <w:rFonts w:cs="Calibri"/>
        </w:rPr>
        <w:t>,</w:t>
      </w:r>
      <w:r w:rsidR="00DA2574">
        <w:rPr>
          <w:rFonts w:cs="Calibri"/>
        </w:rPr>
        <w:t xml:space="preserve"> </w:t>
      </w:r>
      <w:r w:rsidR="00C649BD" w:rsidRPr="009D407D">
        <w:rPr>
          <w:rFonts w:cs="Calibri"/>
        </w:rPr>
        <w:t>aktivnosti Centralne banke će biti usmjerene na poboljšanje kvaliteta aktive,</w:t>
      </w:r>
      <w:r w:rsidR="00B16712">
        <w:rPr>
          <w:rFonts w:cs="Calibri"/>
        </w:rPr>
        <w:t xml:space="preserve"> </w:t>
      </w:r>
      <w:r w:rsidR="00C649BD" w:rsidRPr="009D407D">
        <w:rPr>
          <w:rFonts w:cs="Calibri"/>
        </w:rPr>
        <w:t>odnosno smanjenje nekvalitetnih kredita,</w:t>
      </w:r>
      <w:r w:rsidR="00B16712">
        <w:rPr>
          <w:rFonts w:cs="Calibri"/>
        </w:rPr>
        <w:t xml:space="preserve"> </w:t>
      </w:r>
      <w:r w:rsidR="00C649BD" w:rsidRPr="009D407D">
        <w:rPr>
          <w:rFonts w:cs="Calibri"/>
        </w:rPr>
        <w:t>koji predstavljaju jedan od glavnih rizika za finansijsku stabilnost, kao</w:t>
      </w:r>
      <w:r>
        <w:rPr>
          <w:rFonts w:cs="Calibri"/>
        </w:rPr>
        <w:t xml:space="preserve"> i dalje</w:t>
      </w:r>
      <w:r w:rsidR="00C649BD" w:rsidRPr="009D407D">
        <w:rPr>
          <w:rFonts w:cs="Calibri"/>
        </w:rPr>
        <w:t xml:space="preserve"> usklađivanje zakonske regulative sa relevantnim propisima EU.</w:t>
      </w:r>
    </w:p>
    <w:p w:rsidR="000D1450" w:rsidRPr="009D407D" w:rsidRDefault="000D1450" w:rsidP="00C8677B">
      <w:pPr>
        <w:spacing w:after="0" w:line="240" w:lineRule="auto"/>
        <w:ind w:right="13"/>
        <w:jc w:val="both"/>
        <w:rPr>
          <w:rFonts w:cs="Calibri"/>
          <w:b/>
        </w:rPr>
      </w:pPr>
    </w:p>
    <w:p w:rsidR="00C8677B" w:rsidRDefault="000D1450" w:rsidP="00C8677B">
      <w:pPr>
        <w:pStyle w:val="Heading2"/>
        <w:spacing w:after="0" w:line="240" w:lineRule="auto"/>
        <w:rPr>
          <w:sz w:val="24"/>
        </w:rPr>
      </w:pPr>
      <w:bookmarkStart w:id="22" w:name="_Toc389745274"/>
      <w:r w:rsidRPr="00C8677B">
        <w:rPr>
          <w:sz w:val="24"/>
        </w:rPr>
        <w:t>EKSTERNI SEKTOR</w:t>
      </w:r>
      <w:bookmarkEnd w:id="22"/>
    </w:p>
    <w:p w:rsidR="00C8677B" w:rsidRPr="00C8677B" w:rsidRDefault="00C8677B" w:rsidP="00C8677B">
      <w:pPr>
        <w:spacing w:after="0" w:line="240" w:lineRule="auto"/>
      </w:pPr>
    </w:p>
    <w:p w:rsidR="00C21A01" w:rsidRPr="00C8677B" w:rsidRDefault="00C21A01" w:rsidP="00C8677B">
      <w:pPr>
        <w:pStyle w:val="Heading3"/>
        <w:spacing w:before="0"/>
        <w:rPr>
          <w:sz w:val="22"/>
        </w:rPr>
      </w:pPr>
      <w:bookmarkStart w:id="23" w:name="_Toc389745275"/>
      <w:r w:rsidRPr="00C8677B">
        <w:rPr>
          <w:sz w:val="22"/>
        </w:rPr>
        <w:t>Platni bilans i spoljnotrgovinska razmjena</w:t>
      </w:r>
      <w:bookmarkEnd w:id="23"/>
    </w:p>
    <w:p w:rsidR="00C21A01" w:rsidRPr="00C21A01" w:rsidRDefault="00C21A01" w:rsidP="00C8677B">
      <w:pPr>
        <w:spacing w:after="0" w:line="240" w:lineRule="auto"/>
      </w:pPr>
    </w:p>
    <w:p w:rsidR="00DD6BF3" w:rsidRDefault="00DD6BF3" w:rsidP="00C8677B">
      <w:pPr>
        <w:spacing w:after="0" w:line="240" w:lineRule="auto"/>
        <w:jc w:val="both"/>
        <w:rPr>
          <w:rFonts w:cstheme="minorHAnsi"/>
        </w:rPr>
      </w:pPr>
      <w:r w:rsidRPr="00AA1006">
        <w:rPr>
          <w:rFonts w:cstheme="minorHAnsi"/>
          <w:b/>
        </w:rPr>
        <w:t xml:space="preserve">Eksterna tražnja za izvozom iz Crne Gore, u kombinaciji sa padom domaće potrošnje, imali su za rezultat značajano smanjenje deficita tekućeg računa u 2013. Povećanje izvoza i pad uvoza su doprinijeli smanjenju trgovinskog deficita za 4,2 procenta BDP-a i bilansa tekućeg računa za 4,1 procenta BDP-a u 2013. </w:t>
      </w:r>
      <w:r w:rsidRPr="00AA1006">
        <w:rPr>
          <w:rFonts w:cstheme="minorHAnsi"/>
        </w:rPr>
        <w:t>Deficit  tekućeg računa platnog bilansa bilježio je  pad od 17,1% u odnosu na 2012. i iznosio 486,9 mil.€ (14,6% BDP-a). Većina deficita tekućeg računa je finansirana direktnim stranim investicijama SDI (66,5%) i kreditnim zaduživanjem u inostranstvu. Neto priliv SDI bilježi nominalni pad od 29,8%, uz istovremeno smanjenje učešća sa 15,3 % BDP-a u 2012, na 10,1% BDP-a u 2013. Pad priliva SDI ukazuje na smanjenu mogućnost  finansiranja  deficita, tako da se traže dugoročna rješenja za smanjivanje i prilagođavanje deficita, kroz sprovođenje strukturnih reformi u ekonomiji u cilju poboljšanja spoljne pozicije Crne Gore.</w:t>
      </w:r>
    </w:p>
    <w:p w:rsidR="00C8677B" w:rsidRPr="00AA1006" w:rsidRDefault="00C8677B" w:rsidP="00C8677B">
      <w:pPr>
        <w:spacing w:after="0" w:line="240" w:lineRule="auto"/>
        <w:jc w:val="both"/>
        <w:rPr>
          <w:rFonts w:cs="Calibri"/>
        </w:rPr>
      </w:pPr>
    </w:p>
    <w:p w:rsidR="00DD6BF3" w:rsidRDefault="00DD6BF3" w:rsidP="00C8677B">
      <w:pPr>
        <w:spacing w:after="0" w:line="240" w:lineRule="auto"/>
        <w:jc w:val="both"/>
        <w:rPr>
          <w:rFonts w:cstheme="minorHAnsi"/>
        </w:rPr>
      </w:pPr>
      <w:r w:rsidRPr="00AA1006">
        <w:rPr>
          <w:rFonts w:cstheme="minorHAnsi"/>
        </w:rPr>
        <w:t>Na računu roba su evidentna pozitivna kretanja za 2013, uz  kvartalne oscilacije rasta izvoza  i  pada uvoza, koje su u velikoj mjeri za</w:t>
      </w:r>
      <w:r w:rsidR="00DA2574">
        <w:rPr>
          <w:rFonts w:cstheme="minorHAnsi"/>
        </w:rPr>
        <w:t xml:space="preserve">visile  od eksterne tražnje i </w:t>
      </w:r>
      <w:r w:rsidRPr="00AA1006">
        <w:rPr>
          <w:rFonts w:cstheme="minorHAnsi"/>
        </w:rPr>
        <w:t>konjukture u proizvodnji električne energije.</w:t>
      </w:r>
      <w:r w:rsidRPr="00AA1006">
        <w:t xml:space="preserve"> </w:t>
      </w:r>
      <w:r w:rsidRPr="00AA1006">
        <w:rPr>
          <w:rFonts w:cstheme="minorHAnsi"/>
        </w:rPr>
        <w:t xml:space="preserve">Trgovinski deficit  je bio za 4,3% manji i iznosio 1.330,0 mil.€ ili 39,9% BDP, kao rezultat rasta izvoza od 2,8% i pada uvoza za 2,7%. </w:t>
      </w:r>
      <w:r w:rsidRPr="00AA1006">
        <w:rPr>
          <w:rFonts w:cs="Calibri"/>
        </w:rPr>
        <w:t>Smanjenje trgovinskog deficita posljedica je poboljšanja salda energetike (obim proizvodnje povećan za 40,3%), pri čemu je i</w:t>
      </w:r>
      <w:r w:rsidRPr="00AA1006">
        <w:rPr>
          <w:rFonts w:cstheme="minorHAnsi"/>
        </w:rPr>
        <w:t xml:space="preserve">zvoz električne energije  povećan za 57,3mil.€, dok je uvoz smanjen za 52,0mil.€. </w:t>
      </w:r>
    </w:p>
    <w:p w:rsidR="00C8677B" w:rsidRPr="00AA1006" w:rsidRDefault="00C8677B" w:rsidP="00C8677B">
      <w:pPr>
        <w:spacing w:after="0" w:line="240" w:lineRule="auto"/>
        <w:jc w:val="both"/>
        <w:rPr>
          <w:rFonts w:cstheme="minorHAnsi"/>
        </w:rPr>
      </w:pPr>
    </w:p>
    <w:p w:rsidR="00DD6BF3" w:rsidRDefault="00DD6BF3" w:rsidP="00C8677B">
      <w:pPr>
        <w:tabs>
          <w:tab w:val="left" w:pos="6663"/>
        </w:tabs>
        <w:spacing w:after="0" w:line="240" w:lineRule="auto"/>
        <w:jc w:val="both"/>
        <w:rPr>
          <w:rFonts w:cstheme="minorHAnsi"/>
        </w:rPr>
      </w:pPr>
      <w:r w:rsidRPr="00AA1006">
        <w:rPr>
          <w:rFonts w:cstheme="minorHAnsi"/>
        </w:rPr>
        <w:t xml:space="preserve">Suficit na računu usluga iznosio je 646,8 mil.€, uz povećanje od 5,6% u odnosu na 2012. Putovanja i turizam su najznačajnije stavke prihodne strane računa usluga, sa rastom od 3,5% i učešćem od 62,9% u ukupnim prihodima od usluga. Na računima faktorskih dohodaka i tekućih transfera ostvaren je suficit u iznosu od 196,3 mil.€ ili 3,7% više nego u 2012.godini. </w:t>
      </w:r>
      <w:r w:rsidRPr="00AA1006">
        <w:rPr>
          <w:rFonts w:cs="Calibri"/>
        </w:rPr>
        <w:t>Na kapitalno - finansijskom računu u 2013., ostvaren je neto priliv u iznosu od 236,4 mil. €. Najveći neto priliv ostvaren je po osnovu stranih direktnih investicija 323,9 mil.€ i portfolio investicija 42,0 mil.€, dok je ostvaren neto odliv po osnovu ostalih investicija 54,6mil.€.</w:t>
      </w:r>
      <w:r w:rsidRPr="00AA1006">
        <w:rPr>
          <w:rFonts w:cstheme="minorHAnsi"/>
        </w:rPr>
        <w:t xml:space="preserve"> </w:t>
      </w:r>
    </w:p>
    <w:p w:rsidR="00C8677B" w:rsidRPr="00AA1006" w:rsidRDefault="00C8677B" w:rsidP="00C8677B">
      <w:pPr>
        <w:tabs>
          <w:tab w:val="left" w:pos="6663"/>
        </w:tabs>
        <w:spacing w:after="0" w:line="240" w:lineRule="auto"/>
        <w:jc w:val="both"/>
        <w:rPr>
          <w:rFonts w:cstheme="minorHAnsi"/>
        </w:rPr>
      </w:pPr>
    </w:p>
    <w:p w:rsidR="00F85F2F" w:rsidRDefault="00DD6BF3" w:rsidP="00C8677B">
      <w:pPr>
        <w:spacing w:after="0" w:line="240" w:lineRule="auto"/>
        <w:jc w:val="both"/>
        <w:rPr>
          <w:rFonts w:cs="Calibri"/>
        </w:rPr>
      </w:pPr>
      <w:r w:rsidRPr="00AA1006">
        <w:rPr>
          <w:rFonts w:cs="Calibri"/>
          <w:b/>
        </w:rPr>
        <w:t>Spoljnotrgovinska pozicija Crne Gore u periodu januar – april 2014. je evidentno slabija, usljed dugoročno prisutnih negativnih promjena u segmentu izvozne proizvodnje metalske industrije, negativnog energetskog bilansa, kao i smanjene agregatne tražnje.</w:t>
      </w:r>
      <w:r w:rsidR="00B16712">
        <w:rPr>
          <w:rFonts w:cs="Calibri"/>
        </w:rPr>
        <w:t xml:space="preserve"> </w:t>
      </w:r>
      <w:r w:rsidRPr="00AA1006">
        <w:rPr>
          <w:rFonts w:cs="Calibri"/>
        </w:rPr>
        <w:t>Eksterna robna razmjena bilježi brži pad izvoza od uvoza robe, koji je doprinio povećanju spoljnotrgovinskog deficita za 1,9% i njegovoj vrijednosti  od 406,9 mil.€. Ukupna robna razmjena je iznosila 591,9 mil.€ i smanjena je za 9,1%, pod uticajem kretanja izvoza i uvoza robe.</w:t>
      </w:r>
      <w:r w:rsidRPr="00AA1006">
        <w:rPr>
          <w:lang w:val="pl-PL"/>
        </w:rPr>
        <w:t xml:space="preserve"> Ostvaren je  izvoz u vrijednosti od 92,5mil.€, dok je uvoz iznosio 499,4mil.€, što je za 26,7% i 4,9% manje, respektivno.</w:t>
      </w:r>
      <w:r w:rsidRPr="0092195A">
        <w:rPr>
          <w:rFonts w:cs="Calibri"/>
          <w:lang w:val="pl-PL"/>
        </w:rPr>
        <w:t xml:space="preserve"> </w:t>
      </w:r>
      <w:r w:rsidRPr="00AA1006">
        <w:rPr>
          <w:rFonts w:cs="Calibri"/>
        </w:rPr>
        <w:t xml:space="preserve">Pokrivenost uvoza izvozom roba ostvarila je pad od 5,5 procentnih poena i iznosila 18,5%. Na smanjenje </w:t>
      </w:r>
      <w:r w:rsidRPr="00AA1006">
        <w:rPr>
          <w:rFonts w:cs="Calibri"/>
          <w:b/>
        </w:rPr>
        <w:t>izvoza</w:t>
      </w:r>
      <w:r w:rsidRPr="00AA1006">
        <w:rPr>
          <w:rFonts w:cs="Calibri"/>
        </w:rPr>
        <w:t xml:space="preserve"> roba prvenstveno je uticalo smanjenje izvoza vodećih izvoznih proizvoda (aluminijum, gvožđe i čelik) za 29,0 i 68,0%,resp</w:t>
      </w:r>
      <w:r w:rsidR="00B16712">
        <w:rPr>
          <w:rFonts w:cs="Calibri"/>
        </w:rPr>
        <w:t>ektivno. Nastavlja se negativan</w:t>
      </w:r>
      <w:r w:rsidRPr="00AA1006">
        <w:rPr>
          <w:rFonts w:cs="Calibri"/>
        </w:rPr>
        <w:t xml:space="preserve"> trend u izvozu navedenih kategorija, prisutan od početka 2012, čime se potvrđuje činjenica da je crnogorski izvoz veoma osjetljiva kategorija, zbog visoke zavisnosti od proizvoda meta</w:t>
      </w:r>
      <w:r w:rsidR="00B16712">
        <w:rPr>
          <w:rFonts w:cs="Calibri"/>
        </w:rPr>
        <w:t xml:space="preserve">lske industrije. Istovremeno, i </w:t>
      </w:r>
      <w:r w:rsidRPr="00AA1006">
        <w:rPr>
          <w:rFonts w:cs="Calibri"/>
        </w:rPr>
        <w:t>izvoz električne energije bilježi pad od 49,0%, usljed smanjenja proizvodnje električne energije.</w:t>
      </w:r>
      <w:r w:rsidRPr="00AA1006">
        <w:rPr>
          <w:rFonts w:cstheme="minorHAnsi"/>
        </w:rPr>
        <w:t xml:space="preserve"> Na</w:t>
      </w:r>
      <w:r w:rsidRPr="00AA1006">
        <w:rPr>
          <w:rFonts w:cstheme="minorHAnsi"/>
          <w:color w:val="FF0000"/>
        </w:rPr>
        <w:t xml:space="preserve"> </w:t>
      </w:r>
      <w:r w:rsidRPr="00AA1006">
        <w:rPr>
          <w:rFonts w:cstheme="minorHAnsi"/>
        </w:rPr>
        <w:t xml:space="preserve">smanjenje vrijednosti </w:t>
      </w:r>
      <w:r w:rsidRPr="00AA1006">
        <w:rPr>
          <w:rFonts w:cstheme="minorHAnsi"/>
          <w:b/>
        </w:rPr>
        <w:t xml:space="preserve">uvoza </w:t>
      </w:r>
      <w:r w:rsidRPr="00AA1006">
        <w:rPr>
          <w:rFonts w:cstheme="minorHAnsi"/>
        </w:rPr>
        <w:t>uticao je pad uvoza mašina i transportnih sredstava (12,0%); mineralnih goriva i maziva  (13,0%) i hrane i živih  životinja (5,0%), koji istovremeno imaju najveć</w:t>
      </w:r>
      <w:r w:rsidR="009640BF">
        <w:rPr>
          <w:rFonts w:cstheme="minorHAnsi"/>
        </w:rPr>
        <w:t>i</w:t>
      </w:r>
      <w:r w:rsidRPr="00AA1006">
        <w:rPr>
          <w:rFonts w:cstheme="minorHAnsi"/>
        </w:rPr>
        <w:t xml:space="preserve"> udio u strukturi robnog  uvoza. Posmatrano po </w:t>
      </w:r>
      <w:r w:rsidRPr="00AA1006">
        <w:rPr>
          <w:rFonts w:cstheme="minorHAnsi"/>
        </w:rPr>
        <w:lastRenderedPageBreak/>
        <w:t xml:space="preserve">grupacijama zemalja, na zemlje CEFTA-e se odnosi 42,2% ukupnog izvoza i 39,1%  ukupnog uvoza. </w:t>
      </w:r>
      <w:r w:rsidR="00F85F2F">
        <w:rPr>
          <w:rFonts w:cs="Calibri"/>
        </w:rPr>
        <w:t xml:space="preserve">Crnogorski izvoznici koriste prednosti koje im pruža Sporazum o slobodnoj trgovini, što ima pozitivan efekat na trgovinske tokove.  </w:t>
      </w:r>
    </w:p>
    <w:p w:rsidR="00C8677B" w:rsidRPr="00AA1006" w:rsidRDefault="00C8677B" w:rsidP="00C8677B">
      <w:pPr>
        <w:spacing w:after="0" w:line="240" w:lineRule="auto"/>
        <w:jc w:val="both"/>
        <w:rPr>
          <w:rFonts w:cs="Calibri"/>
        </w:rPr>
      </w:pPr>
    </w:p>
    <w:p w:rsidR="005F3E73" w:rsidRDefault="00DD6BF3" w:rsidP="00C8677B">
      <w:pPr>
        <w:spacing w:after="0" w:line="240" w:lineRule="auto"/>
        <w:jc w:val="both"/>
        <w:rPr>
          <w:rFonts w:cs="Calibri"/>
        </w:rPr>
      </w:pPr>
      <w:r w:rsidRPr="00AA1006">
        <w:rPr>
          <w:rFonts w:cs="Calibri"/>
        </w:rPr>
        <w:t>Relativno skr</w:t>
      </w:r>
      <w:r w:rsidR="00BB729C">
        <w:rPr>
          <w:rFonts w:cs="Calibri"/>
        </w:rPr>
        <w:t>oman rast produktivnosti u 2013</w:t>
      </w:r>
      <w:r w:rsidRPr="00AA1006">
        <w:rPr>
          <w:rFonts w:cs="Calibri"/>
        </w:rPr>
        <w:t xml:space="preserve">, nije bio dovoljan da generiše značajniju izvoznu komponentu agregatne ponude. Podaci pokazuju određena strukturna poboljšanja u saldu trgovinske razmjene i tekućeg računa, tako da se procjene za 2014. zasnivaju na konzervativnom pristupu koji ne predviđa radikalnije promjene u odnosu na 2013. U uslovima kriznog prilagođavanja, fiskalna stabilizacija i pad realnih plata, uz investicionu recesiju doveli su do smanjenja agregatne tražnje, što je opredijelilo projekciju parametara za 2014.  </w:t>
      </w:r>
    </w:p>
    <w:p w:rsidR="00C8677B" w:rsidRDefault="00C8677B" w:rsidP="00C8677B">
      <w:pPr>
        <w:spacing w:after="0" w:line="240" w:lineRule="auto"/>
        <w:jc w:val="both"/>
        <w:rPr>
          <w:rFonts w:cs="Calibri"/>
        </w:rPr>
      </w:pPr>
    </w:p>
    <w:tbl>
      <w:tblPr>
        <w:tblW w:w="5000" w:type="pct"/>
        <w:tblBorders>
          <w:top w:val="single" w:sz="2" w:space="0" w:color="4F81BD"/>
          <w:bottom w:val="single" w:sz="2" w:space="0" w:color="4F81BD"/>
          <w:insideH w:val="single" w:sz="2" w:space="0" w:color="4F81BD"/>
        </w:tblBorders>
        <w:tblLook w:val="04A0"/>
      </w:tblPr>
      <w:tblGrid>
        <w:gridCol w:w="3581"/>
        <w:gridCol w:w="1952"/>
        <w:gridCol w:w="3710"/>
      </w:tblGrid>
      <w:tr w:rsidR="00BB729C" w:rsidRPr="00C8677B" w:rsidTr="00BB729C">
        <w:trPr>
          <w:trHeight w:hRule="exact" w:val="340"/>
        </w:trPr>
        <w:tc>
          <w:tcPr>
            <w:tcW w:w="1937" w:type="pct"/>
            <w:vAlign w:val="center"/>
            <w:hideMark/>
          </w:tcPr>
          <w:p w:rsidR="00BB729C" w:rsidRPr="00C8677B" w:rsidRDefault="00BB729C" w:rsidP="00C8677B">
            <w:pPr>
              <w:spacing w:after="0" w:line="240" w:lineRule="auto"/>
              <w:rPr>
                <w:b/>
                <w:bCs/>
                <w:sz w:val="18"/>
                <w:szCs w:val="18"/>
              </w:rPr>
            </w:pPr>
          </w:p>
        </w:tc>
        <w:tc>
          <w:tcPr>
            <w:tcW w:w="1056" w:type="pct"/>
            <w:vAlign w:val="center"/>
            <w:hideMark/>
          </w:tcPr>
          <w:p w:rsidR="00BB729C" w:rsidRPr="00C8677B" w:rsidRDefault="00BB729C" w:rsidP="00C8677B">
            <w:pPr>
              <w:spacing w:after="0" w:line="240" w:lineRule="auto"/>
              <w:jc w:val="right"/>
              <w:rPr>
                <w:b/>
                <w:bCs/>
                <w:sz w:val="18"/>
                <w:szCs w:val="18"/>
              </w:rPr>
            </w:pPr>
            <w:r w:rsidRPr="00C8677B">
              <w:rPr>
                <w:b/>
                <w:bCs/>
                <w:sz w:val="18"/>
                <w:szCs w:val="18"/>
              </w:rPr>
              <w:t>2013</w:t>
            </w:r>
          </w:p>
        </w:tc>
        <w:tc>
          <w:tcPr>
            <w:tcW w:w="2007" w:type="pct"/>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2014 ( procjena)</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jc w:val="center"/>
              <w:rPr>
                <w:b/>
                <w:bCs/>
                <w:sz w:val="18"/>
                <w:szCs w:val="18"/>
              </w:rPr>
            </w:pPr>
            <w:r w:rsidRPr="00C8677B">
              <w:rPr>
                <w:b/>
                <w:bCs/>
                <w:sz w:val="18"/>
                <w:szCs w:val="18"/>
              </w:rPr>
              <w:t>Bruto domaći proizvod - nominalni</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3.336.000,00</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3.516.000,00</w:t>
            </w:r>
          </w:p>
        </w:tc>
      </w:tr>
      <w:tr w:rsidR="00BB729C" w:rsidRPr="00C8677B" w:rsidTr="00BB729C">
        <w:trPr>
          <w:trHeight w:hRule="exact" w:val="227"/>
        </w:trPr>
        <w:tc>
          <w:tcPr>
            <w:tcW w:w="1937" w:type="pct"/>
            <w:shd w:val="clear" w:color="000000" w:fill="D8D8D8"/>
            <w:noWrap/>
            <w:vAlign w:val="center"/>
            <w:hideMark/>
          </w:tcPr>
          <w:p w:rsidR="00BB729C" w:rsidRPr="00C8677B" w:rsidRDefault="00BB729C" w:rsidP="00C8677B">
            <w:pPr>
              <w:spacing w:after="0" w:line="240" w:lineRule="auto"/>
              <w:rPr>
                <w:b/>
                <w:bCs/>
                <w:sz w:val="18"/>
                <w:szCs w:val="18"/>
              </w:rPr>
            </w:pPr>
            <w:r w:rsidRPr="00C8677B">
              <w:rPr>
                <w:b/>
                <w:bCs/>
                <w:sz w:val="18"/>
                <w:szCs w:val="18"/>
              </w:rPr>
              <w:t>A. TEKUĆI RAČUN (1+2+3+4)</w:t>
            </w:r>
          </w:p>
        </w:tc>
        <w:tc>
          <w:tcPr>
            <w:tcW w:w="1056" w:type="pct"/>
            <w:shd w:val="clear" w:color="000000" w:fill="D8D8D8"/>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-486.932,68</w:t>
            </w:r>
          </w:p>
        </w:tc>
        <w:tc>
          <w:tcPr>
            <w:tcW w:w="2007" w:type="pct"/>
            <w:shd w:val="clear" w:color="000000" w:fill="D8D8D8"/>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-502.887,84</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1. Robe**</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-1.330.031,50</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-1.413.295,79</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1.1. Izvoz, f.o.b. </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402.825,37</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409.560,55</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1.2. Uvoz, f.o.b.</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1.732.856,86</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1.822.856,33</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2. Usluge</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646.840,03</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696.741,47</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2.1. Prihodi</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1.057.723,24</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1.129.794,64</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2.2. Rashodi</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410.883,21</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433.053,17</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3. Dohodak</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65.544,38</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72.399,13</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3.1. Prihodi</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212.668,04</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227.461,12</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3.2. Rashodi</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147.123,66</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155.061,99</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4. Tekući transferi</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130.714,41</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141.267,35</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4.1. Prihodi</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184.012,36</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197.441,09</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sz w:val="18"/>
                <w:szCs w:val="18"/>
              </w:rPr>
            </w:pPr>
            <w:r w:rsidRPr="00C8677B">
              <w:rPr>
                <w:sz w:val="18"/>
                <w:szCs w:val="18"/>
              </w:rPr>
              <w:t xml:space="preserve">      4.2. Rashodi</w:t>
            </w:r>
          </w:p>
        </w:tc>
        <w:tc>
          <w:tcPr>
            <w:tcW w:w="1056"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53.297,95</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56.173,74</w:t>
            </w:r>
          </w:p>
        </w:tc>
      </w:tr>
      <w:tr w:rsidR="00BB729C" w:rsidRPr="00C8677B" w:rsidTr="00BB729C">
        <w:trPr>
          <w:trHeight w:hRule="exact" w:val="5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w:t>
            </w:r>
          </w:p>
        </w:tc>
        <w:tc>
          <w:tcPr>
            <w:tcW w:w="1056"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w:t>
            </w:r>
          </w:p>
        </w:tc>
        <w:tc>
          <w:tcPr>
            <w:tcW w:w="200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w:t>
            </w:r>
          </w:p>
        </w:tc>
      </w:tr>
      <w:tr w:rsidR="00BB729C" w:rsidRPr="00C8677B" w:rsidTr="00BB729C">
        <w:trPr>
          <w:trHeight w:hRule="exact" w:val="227"/>
        </w:trPr>
        <w:tc>
          <w:tcPr>
            <w:tcW w:w="1937" w:type="pct"/>
            <w:shd w:val="clear" w:color="000000" w:fill="D8D8D8"/>
            <w:noWrap/>
            <w:vAlign w:val="center"/>
            <w:hideMark/>
          </w:tcPr>
          <w:p w:rsidR="00BB729C" w:rsidRPr="00C8677B" w:rsidRDefault="00BB729C" w:rsidP="00C8677B">
            <w:pPr>
              <w:spacing w:after="0" w:line="240" w:lineRule="auto"/>
              <w:rPr>
                <w:b/>
                <w:bCs/>
                <w:sz w:val="18"/>
                <w:szCs w:val="18"/>
              </w:rPr>
            </w:pPr>
            <w:r w:rsidRPr="00C8677B">
              <w:rPr>
                <w:b/>
                <w:bCs/>
                <w:sz w:val="18"/>
                <w:szCs w:val="18"/>
              </w:rPr>
              <w:t>B. KAPITALNI I FINANSIJSKI RAČUN</w:t>
            </w:r>
          </w:p>
        </w:tc>
        <w:tc>
          <w:tcPr>
            <w:tcW w:w="1056" w:type="pct"/>
            <w:shd w:val="clear" w:color="000000" w:fill="D8D8D8"/>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486.932,59</w:t>
            </w:r>
          </w:p>
        </w:tc>
        <w:tc>
          <w:tcPr>
            <w:tcW w:w="2007" w:type="pct"/>
            <w:shd w:val="clear" w:color="000000" w:fill="D8D8D8"/>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502.887,84</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B1. KAPITALNI  RAČUN</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2.566,00</w:t>
            </w:r>
          </w:p>
        </w:tc>
        <w:tc>
          <w:tcPr>
            <w:tcW w:w="2007" w:type="pct"/>
            <w:shd w:val="clear" w:color="auto" w:fill="auto"/>
            <w:noWrap/>
            <w:vAlign w:val="center"/>
            <w:hideMark/>
          </w:tcPr>
          <w:p w:rsidR="00BB729C" w:rsidRPr="00C8677B" w:rsidRDefault="00BB729C" w:rsidP="00C8677B">
            <w:pPr>
              <w:spacing w:after="0" w:line="240" w:lineRule="auto"/>
              <w:jc w:val="right"/>
              <w:rPr>
                <w:sz w:val="18"/>
                <w:szCs w:val="18"/>
              </w:rPr>
            </w:pPr>
            <w:r w:rsidRPr="00C8677B">
              <w:rPr>
                <w:sz w:val="18"/>
                <w:szCs w:val="18"/>
              </w:rPr>
              <w:t>2.704,45</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B2. FINANSIJSKI  RAČUN</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233.867,59</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246.486,35</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1. Direktne investicije</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323.878,69</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341.354,15</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2. Portfolio investicije</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41.991,60</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44.257,33</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3. Ostale investicije</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-54.613,81</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-57.560,60</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4. Promjena rezervi CBCG</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-77.388,87</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-81.564,53</w:t>
            </w:r>
          </w:p>
        </w:tc>
      </w:tr>
      <w:tr w:rsidR="00BB729C" w:rsidRPr="00C8677B" w:rsidTr="00BB729C">
        <w:trPr>
          <w:trHeight w:hRule="exact" w:val="227"/>
        </w:trPr>
        <w:tc>
          <w:tcPr>
            <w:tcW w:w="1937" w:type="pct"/>
            <w:shd w:val="clear" w:color="auto" w:fill="auto"/>
            <w:noWrap/>
            <w:vAlign w:val="center"/>
            <w:hideMark/>
          </w:tcPr>
          <w:p w:rsidR="00BB729C" w:rsidRPr="00C8677B" w:rsidRDefault="00BB729C" w:rsidP="00C8677B">
            <w:pPr>
              <w:spacing w:after="0" w:line="240" w:lineRule="auto"/>
              <w:rPr>
                <w:b/>
                <w:bCs/>
                <w:sz w:val="18"/>
                <w:szCs w:val="18"/>
              </w:rPr>
            </w:pPr>
            <w:r w:rsidRPr="00C8677B">
              <w:rPr>
                <w:b/>
                <w:bCs/>
                <w:sz w:val="18"/>
                <w:szCs w:val="18"/>
              </w:rPr>
              <w:t xml:space="preserve">  C.   NETO GREŠKE I OMAŠKE </w:t>
            </w:r>
          </w:p>
        </w:tc>
        <w:tc>
          <w:tcPr>
            <w:tcW w:w="1056"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250.499,00</w:t>
            </w:r>
          </w:p>
        </w:tc>
        <w:tc>
          <w:tcPr>
            <w:tcW w:w="2007" w:type="pct"/>
            <w:shd w:val="clear" w:color="auto" w:fill="auto"/>
            <w:noWrap/>
            <w:vAlign w:val="center"/>
            <w:hideMark/>
          </w:tcPr>
          <w:p w:rsidR="00BB729C" w:rsidRPr="00C8677B" w:rsidRDefault="00BB729C" w:rsidP="00C8677B">
            <w:pPr>
              <w:spacing w:after="0" w:line="240" w:lineRule="auto"/>
              <w:jc w:val="right"/>
              <w:rPr>
                <w:b/>
                <w:bCs/>
                <w:sz w:val="18"/>
                <w:szCs w:val="18"/>
              </w:rPr>
            </w:pPr>
            <w:r w:rsidRPr="00C8677B">
              <w:rPr>
                <w:b/>
                <w:bCs/>
                <w:sz w:val="18"/>
                <w:szCs w:val="18"/>
              </w:rPr>
              <w:t>253.697,04</w:t>
            </w:r>
          </w:p>
        </w:tc>
      </w:tr>
    </w:tbl>
    <w:p w:rsidR="00BB729C" w:rsidRDefault="00BB729C" w:rsidP="00C8677B">
      <w:pPr>
        <w:spacing w:after="0" w:line="240" w:lineRule="auto"/>
        <w:jc w:val="both"/>
        <w:rPr>
          <w:rFonts w:cs="Calibri"/>
        </w:rPr>
      </w:pPr>
    </w:p>
    <w:p w:rsidR="004F1921" w:rsidRDefault="004F1921" w:rsidP="00C8677B">
      <w:pPr>
        <w:spacing w:after="0" w:line="240" w:lineRule="auto"/>
        <w:jc w:val="both"/>
        <w:rPr>
          <w:rFonts w:cs="Calibri"/>
        </w:rPr>
      </w:pPr>
    </w:p>
    <w:p w:rsidR="00034433" w:rsidRPr="00C8677B" w:rsidRDefault="00034433" w:rsidP="00C8677B">
      <w:pPr>
        <w:pStyle w:val="Heading3"/>
        <w:spacing w:before="0"/>
        <w:rPr>
          <w:sz w:val="22"/>
        </w:rPr>
      </w:pPr>
      <w:r w:rsidRPr="00C8677B">
        <w:rPr>
          <w:sz w:val="22"/>
        </w:rPr>
        <w:t xml:space="preserve"> </w:t>
      </w:r>
      <w:bookmarkStart w:id="24" w:name="_Toc389745276"/>
      <w:r w:rsidRPr="00C8677B">
        <w:rPr>
          <w:sz w:val="22"/>
        </w:rPr>
        <w:t>Strane direktne investicije</w:t>
      </w:r>
      <w:bookmarkEnd w:id="24"/>
    </w:p>
    <w:p w:rsidR="00034433" w:rsidRDefault="00034433" w:rsidP="00C8677B">
      <w:pPr>
        <w:spacing w:after="0" w:line="240" w:lineRule="auto"/>
      </w:pPr>
    </w:p>
    <w:p w:rsidR="00BB729C" w:rsidRPr="00A4612C" w:rsidRDefault="00C8677B" w:rsidP="00C8677B">
      <w:pPr>
        <w:spacing w:after="0" w:line="240" w:lineRule="auto"/>
        <w:jc w:val="both"/>
        <w:rPr>
          <w:rFonts w:cstheme="minorHAnsi"/>
          <w:bCs/>
          <w:noProof/>
          <w:sz w:val="10"/>
          <w:szCs w:val="10"/>
          <w:lang w:val="hr-BA"/>
        </w:rPr>
      </w:pPr>
      <w:r>
        <w:rPr>
          <w:rFonts w:eastAsiaTheme="minorHAnsi" w:cs="MinionPro-Disp"/>
          <w:b/>
          <w:noProof/>
          <w:lang w:val="sr-Latn-CS" w:eastAsia="sr-Latn-CS"/>
        </w:rPr>
        <w:drawing>
          <wp:anchor distT="0" distB="0" distL="114300" distR="114300" simplePos="0" relativeHeight="251680768" behindDoc="0" locked="0" layoutInCell="1" allowOverlap="1">
            <wp:simplePos x="0" y="0"/>
            <wp:positionH relativeFrom="margin">
              <wp:posOffset>47625</wp:posOffset>
            </wp:positionH>
            <wp:positionV relativeFrom="margin">
              <wp:posOffset>6086475</wp:posOffset>
            </wp:positionV>
            <wp:extent cx="2272030" cy="2155825"/>
            <wp:effectExtent l="0" t="0" r="0" b="0"/>
            <wp:wrapSquare wrapText="bothSides"/>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E0379">
        <w:rPr>
          <w:rFonts w:eastAsiaTheme="minorHAnsi" w:cs="MinionPro-Disp"/>
          <w:b/>
        </w:rPr>
        <w:t>Crna Gora</w:t>
      </w:r>
      <w:r w:rsidR="00BB729C">
        <w:rPr>
          <w:rFonts w:eastAsiaTheme="minorHAnsi" w:cs="MinionPro-Disp"/>
          <w:b/>
        </w:rPr>
        <w:t xml:space="preserve"> je u 2013.</w:t>
      </w:r>
      <w:r w:rsidR="000B2C03">
        <w:rPr>
          <w:rFonts w:eastAsiaTheme="minorHAnsi" w:cs="MinionPro-Disp"/>
          <w:b/>
        </w:rPr>
        <w:t xml:space="preserve"> </w:t>
      </w:r>
      <w:r w:rsidR="00BB729C">
        <w:rPr>
          <w:rFonts w:eastAsiaTheme="minorHAnsi" w:cs="MinionPro-Disp"/>
          <w:b/>
        </w:rPr>
        <w:t>godini</w:t>
      </w:r>
      <w:r w:rsidR="001E0379">
        <w:rPr>
          <w:rFonts w:eastAsiaTheme="minorHAnsi" w:cs="MinionPro-Disp"/>
          <w:b/>
        </w:rPr>
        <w:t xml:space="preserve"> uspjela da zadrži najviši priliv SDI</w:t>
      </w:r>
      <w:r w:rsidR="000B2C03">
        <w:rPr>
          <w:rFonts w:eastAsiaTheme="minorHAnsi" w:cs="MinionPro-Disp"/>
          <w:b/>
        </w:rPr>
        <w:t xml:space="preserve"> (9,7% BDP-a),</w:t>
      </w:r>
      <w:r w:rsidR="001E0379">
        <w:rPr>
          <w:rFonts w:eastAsiaTheme="minorHAnsi" w:cs="MinionPro-Disp"/>
          <w:b/>
        </w:rPr>
        <w:t xml:space="preserve"> </w:t>
      </w:r>
      <w:r w:rsidR="001E0379" w:rsidRPr="000B49ED">
        <w:rPr>
          <w:rFonts w:eastAsiaTheme="minorHAnsi" w:cs="MinionPro-Disp"/>
          <w:b/>
        </w:rPr>
        <w:t xml:space="preserve">u konkurenciji </w:t>
      </w:r>
      <w:r w:rsidR="000B2C03">
        <w:rPr>
          <w:rFonts w:eastAsiaTheme="minorHAnsi" w:cs="MinionPro-Disp"/>
          <w:b/>
        </w:rPr>
        <w:t>sa</w:t>
      </w:r>
      <w:r w:rsidR="001E0379" w:rsidRPr="000B49ED">
        <w:rPr>
          <w:rFonts w:eastAsiaTheme="minorHAnsi" w:cs="MinionPro-Disp"/>
          <w:b/>
        </w:rPr>
        <w:t xml:space="preserve"> šest zemalja jugo</w:t>
      </w:r>
      <w:r w:rsidR="001E0379">
        <w:rPr>
          <w:rFonts w:eastAsiaTheme="minorHAnsi" w:cs="MinionPro-Disp"/>
          <w:b/>
        </w:rPr>
        <w:t>istočne Evrope</w:t>
      </w:r>
      <w:r w:rsidR="005754FB">
        <w:rPr>
          <w:rFonts w:eastAsiaTheme="minorHAnsi" w:cs="MinionPro-Disp"/>
          <w:b/>
        </w:rPr>
        <w:t>,</w:t>
      </w:r>
      <w:r w:rsidR="000B2C03">
        <w:rPr>
          <w:rFonts w:eastAsiaTheme="minorHAnsi" w:cs="MinionPro-Disp"/>
          <w:b/>
        </w:rPr>
        <w:t xml:space="preserve"> iako je zabilježe</w:t>
      </w:r>
      <w:r w:rsidR="00BB729C">
        <w:rPr>
          <w:rFonts w:eastAsiaTheme="minorHAnsi" w:cs="MinionPro-Disp"/>
          <w:b/>
        </w:rPr>
        <w:t>n pad učešća</w:t>
      </w:r>
      <w:r w:rsidR="00BB729C" w:rsidRPr="000B49ED">
        <w:rPr>
          <w:rFonts w:eastAsiaTheme="minorHAnsi" w:cs="MinionPro-Disp"/>
          <w:b/>
        </w:rPr>
        <w:t xml:space="preserve"> SDI u BDP-u od 5p.p, u</w:t>
      </w:r>
      <w:r w:rsidR="00BB729C">
        <w:rPr>
          <w:rFonts w:eastAsiaTheme="minorHAnsi" w:cs="MinionPro-Disp"/>
          <w:b/>
        </w:rPr>
        <w:t xml:space="preserve"> poredjenju sa 2012.(14,7%</w:t>
      </w:r>
      <w:r w:rsidR="00BB729C" w:rsidRPr="000B49ED">
        <w:rPr>
          <w:rFonts w:eastAsiaTheme="minorHAnsi" w:cs="MinionPro-Disp"/>
          <w:b/>
        </w:rPr>
        <w:t>)</w:t>
      </w:r>
      <w:r w:rsidR="001E0379">
        <w:rPr>
          <w:rFonts w:eastAsiaTheme="minorHAnsi" w:cs="MinionPro-Disp"/>
          <w:b/>
        </w:rPr>
        <w:t>.</w:t>
      </w:r>
      <w:r w:rsidR="00BB729C">
        <w:rPr>
          <w:rFonts w:eastAsiaTheme="minorHAnsi" w:cs="MinionPro-Disp"/>
          <w:b/>
        </w:rPr>
        <w:t xml:space="preserve"> </w:t>
      </w:r>
      <w:r w:rsidR="00BB729C" w:rsidRPr="002128A6">
        <w:rPr>
          <w:rFonts w:eastAsiaTheme="minorHAnsi" w:cs="MinionPro-Disp"/>
        </w:rPr>
        <w:t>Ukupan pril</w:t>
      </w:r>
      <w:r w:rsidR="00BB729C">
        <w:rPr>
          <w:rFonts w:eastAsiaTheme="minorHAnsi" w:cs="MinionPro-Disp"/>
        </w:rPr>
        <w:t>iv SDI u 2013.</w:t>
      </w:r>
      <w:r w:rsidR="00BB729C" w:rsidRPr="002128A6">
        <w:rPr>
          <w:rFonts w:eastAsiaTheme="minorHAnsi" w:cs="MinionPro-Disp"/>
        </w:rPr>
        <w:t xml:space="preserve"> iznosio je 479,2 mil.€ ili 36,6 % </w:t>
      </w:r>
      <w:r w:rsidR="00BB729C">
        <w:rPr>
          <w:rFonts w:eastAsiaTheme="minorHAnsi" w:cs="MinionPro-Disp"/>
        </w:rPr>
        <w:t xml:space="preserve"> </w:t>
      </w:r>
      <w:r w:rsidR="00BB729C" w:rsidRPr="002128A6">
        <w:rPr>
          <w:rFonts w:eastAsiaTheme="minorHAnsi" w:cs="MinionPro-Disp"/>
        </w:rPr>
        <w:t>manje nego u 2012.godini, pri čemu je ostvaren manji priliv po osnovu vlasničkih ulaganja (36,6 %), a istovremeno je zabilježeno povećanje priliva po osnovu kredita između vlasnički povezanih kompanija (16,2 %)</w:t>
      </w:r>
      <w:r w:rsidR="00BB729C" w:rsidRPr="002128A6">
        <w:rPr>
          <w:rFonts w:cstheme="minorHAnsi"/>
          <w:bCs/>
          <w:noProof/>
          <w:lang w:val="hr-BA"/>
        </w:rPr>
        <w:t xml:space="preserve">. </w:t>
      </w:r>
      <w:r w:rsidR="00BB729C" w:rsidRPr="002128A6">
        <w:rPr>
          <w:rFonts w:eastAsiaTheme="minorHAnsi" w:cs="MinionPro-Disp"/>
        </w:rPr>
        <w:t>Posmatrano</w:t>
      </w:r>
      <w:r w:rsidR="00BB729C" w:rsidRPr="0092195A">
        <w:rPr>
          <w:rFonts w:eastAsiaTheme="minorHAnsi" w:cs="MinionPro-Disp"/>
          <w:lang w:val="hr-BA"/>
        </w:rPr>
        <w:t xml:space="preserve"> </w:t>
      </w:r>
      <w:r w:rsidR="00BB729C" w:rsidRPr="002128A6">
        <w:rPr>
          <w:rFonts w:eastAsiaTheme="minorHAnsi" w:cs="MinionPro-Disp"/>
        </w:rPr>
        <w:t>na</w:t>
      </w:r>
      <w:r w:rsidR="00BB729C" w:rsidRPr="0092195A">
        <w:rPr>
          <w:rFonts w:eastAsiaTheme="minorHAnsi" w:cs="MinionPro-Disp"/>
          <w:lang w:val="hr-BA"/>
        </w:rPr>
        <w:t xml:space="preserve"> </w:t>
      </w:r>
      <w:r w:rsidR="00BB729C" w:rsidRPr="002128A6">
        <w:rPr>
          <w:rFonts w:eastAsiaTheme="minorHAnsi" w:cs="MinionPro-Disp"/>
        </w:rPr>
        <w:t>mjese</w:t>
      </w:r>
      <w:r w:rsidR="00BB729C" w:rsidRPr="0092195A">
        <w:rPr>
          <w:rFonts w:eastAsiaTheme="minorHAnsi" w:cs="MinionPro-Disp"/>
          <w:lang w:val="hr-BA"/>
        </w:rPr>
        <w:t>č</w:t>
      </w:r>
      <w:r w:rsidR="00BB729C" w:rsidRPr="002128A6">
        <w:rPr>
          <w:rFonts w:eastAsiaTheme="minorHAnsi" w:cs="MinionPro-Disp"/>
        </w:rPr>
        <w:t>nom</w:t>
      </w:r>
      <w:r w:rsidR="00BB729C" w:rsidRPr="0092195A">
        <w:rPr>
          <w:rFonts w:eastAsiaTheme="minorHAnsi" w:cs="MinionPro-Disp"/>
          <w:lang w:val="hr-BA"/>
        </w:rPr>
        <w:t xml:space="preserve"> </w:t>
      </w:r>
      <w:r w:rsidR="00BB729C" w:rsidRPr="002128A6">
        <w:rPr>
          <w:rFonts w:eastAsiaTheme="minorHAnsi" w:cs="MinionPro-Disp"/>
        </w:rPr>
        <w:t>nivou</w:t>
      </w:r>
      <w:r w:rsidR="00BB729C" w:rsidRPr="0092195A">
        <w:rPr>
          <w:rFonts w:eastAsiaTheme="minorHAnsi" w:cs="MinionPro-Disp"/>
          <w:lang w:val="hr-BA"/>
        </w:rPr>
        <w:t xml:space="preserve">, </w:t>
      </w:r>
      <w:r w:rsidR="00BB729C" w:rsidRPr="002128A6">
        <w:rPr>
          <w:rFonts w:eastAsiaTheme="minorHAnsi" w:cs="MinionPro-Disp"/>
        </w:rPr>
        <w:t>u</w:t>
      </w:r>
      <w:r w:rsidR="00BB729C" w:rsidRPr="0092195A">
        <w:rPr>
          <w:rFonts w:eastAsiaTheme="minorHAnsi" w:cs="MinionPro-Disp"/>
          <w:lang w:val="hr-BA"/>
        </w:rPr>
        <w:t xml:space="preserve"> </w:t>
      </w:r>
      <w:r w:rsidR="00BB729C" w:rsidRPr="002128A6">
        <w:rPr>
          <w:rFonts w:eastAsiaTheme="minorHAnsi" w:cs="MinionPro-Disp"/>
        </w:rPr>
        <w:t>decembru</w:t>
      </w:r>
      <w:r w:rsidR="00BB729C" w:rsidRPr="0092195A">
        <w:rPr>
          <w:rFonts w:eastAsiaTheme="minorHAnsi" w:cs="MinionPro-Disp"/>
          <w:lang w:val="hr-BA"/>
        </w:rPr>
        <w:t xml:space="preserve"> </w:t>
      </w:r>
      <w:r w:rsidR="00BB729C" w:rsidRPr="002128A6">
        <w:rPr>
          <w:rFonts w:eastAsiaTheme="minorHAnsi" w:cs="MinionPro-Disp"/>
        </w:rPr>
        <w:t>je</w:t>
      </w:r>
      <w:r w:rsidR="00BB729C" w:rsidRPr="0092195A">
        <w:rPr>
          <w:rFonts w:eastAsiaTheme="minorHAnsi" w:cs="MinionPro-Disp"/>
          <w:lang w:val="hr-BA"/>
        </w:rPr>
        <w:t xml:space="preserve"> </w:t>
      </w:r>
      <w:r w:rsidR="00BB729C" w:rsidRPr="002128A6">
        <w:rPr>
          <w:rFonts w:eastAsiaTheme="minorHAnsi" w:cs="MinionPro-Disp"/>
        </w:rPr>
        <w:t>ostvaren</w:t>
      </w:r>
      <w:r w:rsidR="00BB729C" w:rsidRPr="0092195A">
        <w:rPr>
          <w:rFonts w:eastAsiaTheme="minorHAnsi" w:cs="MinionPro-Disp"/>
          <w:lang w:val="hr-BA"/>
        </w:rPr>
        <w:t xml:space="preserve"> </w:t>
      </w:r>
      <w:r w:rsidR="00BB729C" w:rsidRPr="002128A6">
        <w:rPr>
          <w:rFonts w:eastAsiaTheme="minorHAnsi" w:cs="MinionPro-Disp"/>
        </w:rPr>
        <w:t>najve</w:t>
      </w:r>
      <w:r w:rsidR="00BB729C" w:rsidRPr="0092195A">
        <w:rPr>
          <w:rFonts w:eastAsiaTheme="minorHAnsi" w:cs="MinionPro-Disp"/>
          <w:lang w:val="hr-BA"/>
        </w:rPr>
        <w:t>ć</w:t>
      </w:r>
      <w:r w:rsidR="00BB729C" w:rsidRPr="002128A6">
        <w:rPr>
          <w:rFonts w:eastAsiaTheme="minorHAnsi" w:cs="MinionPro-Disp"/>
        </w:rPr>
        <w:t>i</w:t>
      </w:r>
      <w:r w:rsidR="00BB729C" w:rsidRPr="0092195A">
        <w:rPr>
          <w:rFonts w:eastAsiaTheme="minorHAnsi" w:cs="MinionPro-Disp"/>
          <w:lang w:val="hr-BA"/>
        </w:rPr>
        <w:t xml:space="preserve"> </w:t>
      </w:r>
      <w:r w:rsidR="00BB729C" w:rsidRPr="002128A6">
        <w:rPr>
          <w:rFonts w:eastAsiaTheme="minorHAnsi" w:cs="MinionPro-Disp"/>
        </w:rPr>
        <w:t>priliv</w:t>
      </w:r>
      <w:r w:rsidR="00BB729C" w:rsidRPr="0092195A">
        <w:rPr>
          <w:rFonts w:eastAsiaTheme="minorHAnsi" w:cs="MinionPro-Disp"/>
          <w:lang w:val="hr-BA"/>
        </w:rPr>
        <w:t xml:space="preserve"> </w:t>
      </w:r>
      <w:r w:rsidR="00BB729C" w:rsidRPr="002128A6">
        <w:rPr>
          <w:rFonts w:eastAsiaTheme="minorHAnsi" w:cs="MinionPro-Disp"/>
        </w:rPr>
        <w:t>SDI</w:t>
      </w:r>
      <w:r w:rsidR="00BB729C" w:rsidRPr="0092195A">
        <w:rPr>
          <w:rFonts w:eastAsiaTheme="minorHAnsi" w:cs="MinionPro-Disp"/>
          <w:lang w:val="hr-BA"/>
        </w:rPr>
        <w:t xml:space="preserve"> </w:t>
      </w:r>
      <w:r w:rsidR="00BB729C" w:rsidRPr="002128A6">
        <w:rPr>
          <w:rFonts w:eastAsiaTheme="minorHAnsi" w:cs="MinionPro-Disp"/>
        </w:rPr>
        <w:t>u</w:t>
      </w:r>
      <w:r w:rsidR="00BB729C" w:rsidRPr="0092195A">
        <w:rPr>
          <w:rFonts w:eastAsiaTheme="minorHAnsi" w:cs="MinionPro-Disp"/>
          <w:lang w:val="hr-BA"/>
        </w:rPr>
        <w:t xml:space="preserve"> 2013. </w:t>
      </w:r>
      <w:r w:rsidR="00BB729C" w:rsidRPr="002128A6">
        <w:rPr>
          <w:rFonts w:eastAsiaTheme="minorHAnsi" w:cs="MinionPro-Disp"/>
        </w:rPr>
        <w:t>godini</w:t>
      </w:r>
      <w:r w:rsidR="00BB729C" w:rsidRPr="0092195A">
        <w:rPr>
          <w:rFonts w:eastAsiaTheme="minorHAnsi" w:cs="MinionPro-Disp"/>
          <w:lang w:val="hr-BA"/>
        </w:rPr>
        <w:t xml:space="preserve"> (72,9 </w:t>
      </w:r>
      <w:r w:rsidR="00BB729C" w:rsidRPr="002128A6">
        <w:rPr>
          <w:rFonts w:eastAsiaTheme="minorHAnsi" w:cs="MinionPro-Disp"/>
        </w:rPr>
        <w:t>mil</w:t>
      </w:r>
      <w:r w:rsidR="00BB729C" w:rsidRPr="0092195A">
        <w:rPr>
          <w:rFonts w:eastAsiaTheme="minorHAnsi" w:cs="MinionPro-Disp"/>
          <w:lang w:val="hr-BA"/>
        </w:rPr>
        <w:t>.€).</w:t>
      </w:r>
      <w:r w:rsidR="00BB729C" w:rsidRPr="002128A6">
        <w:rPr>
          <w:rFonts w:cstheme="minorHAnsi"/>
          <w:bCs/>
          <w:noProof/>
          <w:lang w:val="hr-BA"/>
        </w:rPr>
        <w:t xml:space="preserve"> Ukupan odliv SDI iznosio je 155,3 mil.€, št</w:t>
      </w:r>
      <w:r w:rsidR="000B2C03">
        <w:rPr>
          <w:rFonts w:cstheme="minorHAnsi"/>
          <w:bCs/>
          <w:noProof/>
          <w:lang w:val="hr-BA"/>
        </w:rPr>
        <w:t>o je za 9,8% manje nego u 2012.</w:t>
      </w:r>
      <w:r w:rsidR="00BB729C">
        <w:rPr>
          <w:rFonts w:cstheme="minorHAnsi"/>
          <w:bCs/>
          <w:noProof/>
          <w:lang w:val="hr-BA"/>
        </w:rPr>
        <w:t xml:space="preserve"> </w:t>
      </w:r>
      <w:r w:rsidR="001E0379" w:rsidRPr="002128A6">
        <w:rPr>
          <w:rFonts w:eastAsiaTheme="minorHAnsi" w:cs="MinionPro-Disp"/>
        </w:rPr>
        <w:t>Neto</w:t>
      </w:r>
      <w:r w:rsidR="001E0379" w:rsidRPr="0092195A">
        <w:rPr>
          <w:rFonts w:eastAsiaTheme="minorHAnsi" w:cs="MinionPro-Disp"/>
          <w:lang w:val="hr-BA"/>
        </w:rPr>
        <w:t xml:space="preserve"> </w:t>
      </w:r>
      <w:r w:rsidR="001E0379" w:rsidRPr="002128A6">
        <w:rPr>
          <w:rFonts w:eastAsiaTheme="minorHAnsi" w:cs="MinionPro-Disp"/>
        </w:rPr>
        <w:t>priliv</w:t>
      </w:r>
      <w:r w:rsidR="001E0379" w:rsidRPr="0092195A">
        <w:rPr>
          <w:rFonts w:eastAsiaTheme="minorHAnsi" w:cs="MinionPro-Disp"/>
          <w:lang w:val="hr-BA"/>
        </w:rPr>
        <w:t xml:space="preserve"> </w:t>
      </w:r>
      <w:r w:rsidR="001E0379" w:rsidRPr="00D74015">
        <w:rPr>
          <w:rFonts w:eastAsiaTheme="minorHAnsi" w:cs="MinionPro-Disp"/>
        </w:rPr>
        <w:t>SDI</w:t>
      </w:r>
      <w:r w:rsidR="001E0379" w:rsidRPr="0092195A">
        <w:rPr>
          <w:rFonts w:eastAsiaTheme="minorHAnsi" w:cs="MinionPro-Disp"/>
          <w:lang w:val="hr-BA"/>
        </w:rPr>
        <w:t xml:space="preserve"> </w:t>
      </w:r>
      <w:r w:rsidR="001E0379" w:rsidRPr="002128A6">
        <w:rPr>
          <w:rFonts w:eastAsiaTheme="minorHAnsi" w:cs="MinionPro-Disp"/>
        </w:rPr>
        <w:t>u</w:t>
      </w:r>
      <w:r w:rsidR="001E0379" w:rsidRPr="0092195A">
        <w:rPr>
          <w:rFonts w:eastAsiaTheme="minorHAnsi" w:cs="MinionPro-Disp"/>
          <w:lang w:val="hr-BA"/>
        </w:rPr>
        <w:t xml:space="preserve"> 2013. </w:t>
      </w:r>
      <w:r w:rsidR="001E0379" w:rsidRPr="002128A6">
        <w:rPr>
          <w:rFonts w:eastAsiaTheme="minorHAnsi" w:cs="MinionPro-Disp"/>
        </w:rPr>
        <w:t>godini</w:t>
      </w:r>
      <w:r w:rsidR="001E0379" w:rsidRPr="0092195A">
        <w:rPr>
          <w:rFonts w:eastAsiaTheme="minorHAnsi" w:cs="MinionPro-Disp"/>
          <w:lang w:val="hr-BA"/>
        </w:rPr>
        <w:t xml:space="preserve"> </w:t>
      </w:r>
      <w:r w:rsidR="001E0379" w:rsidRPr="002128A6">
        <w:rPr>
          <w:rFonts w:eastAsiaTheme="minorHAnsi" w:cs="MinionPro-Disp"/>
        </w:rPr>
        <w:t>iznosio</w:t>
      </w:r>
      <w:r w:rsidR="001E0379" w:rsidRPr="0092195A">
        <w:rPr>
          <w:rFonts w:eastAsiaTheme="minorHAnsi" w:cs="MinionPro-Disp"/>
          <w:lang w:val="hr-BA"/>
        </w:rPr>
        <w:t xml:space="preserve"> </w:t>
      </w:r>
      <w:r w:rsidR="001E0379" w:rsidRPr="002128A6">
        <w:rPr>
          <w:rFonts w:eastAsiaTheme="minorHAnsi" w:cs="MinionPro-Disp"/>
        </w:rPr>
        <w:t>je</w:t>
      </w:r>
      <w:r w:rsidR="001E0379" w:rsidRPr="0092195A">
        <w:rPr>
          <w:rFonts w:eastAsiaTheme="minorHAnsi" w:cs="MinionPro-Disp"/>
          <w:lang w:val="hr-BA"/>
        </w:rPr>
        <w:t xml:space="preserve"> 323,9 </w:t>
      </w:r>
      <w:r w:rsidR="001E0379" w:rsidRPr="002128A6">
        <w:rPr>
          <w:rFonts w:eastAsiaTheme="minorHAnsi" w:cs="MinionPro-Disp"/>
        </w:rPr>
        <w:t>mil</w:t>
      </w:r>
      <w:r w:rsidR="001E0379" w:rsidRPr="0092195A">
        <w:rPr>
          <w:rFonts w:eastAsiaTheme="minorHAnsi" w:cs="MinionPro-Disp"/>
          <w:lang w:val="hr-BA"/>
        </w:rPr>
        <w:t>.€, š</w:t>
      </w:r>
      <w:r w:rsidR="001E0379" w:rsidRPr="002128A6">
        <w:rPr>
          <w:rFonts w:eastAsiaTheme="minorHAnsi" w:cs="MinionPro-Disp"/>
        </w:rPr>
        <w:t>to</w:t>
      </w:r>
      <w:r w:rsidR="001E0379" w:rsidRPr="0092195A">
        <w:rPr>
          <w:rFonts w:eastAsiaTheme="minorHAnsi" w:cs="MinionPro-Disp"/>
          <w:lang w:val="hr-BA"/>
        </w:rPr>
        <w:t xml:space="preserve"> </w:t>
      </w:r>
      <w:r w:rsidR="001E0379" w:rsidRPr="002128A6">
        <w:rPr>
          <w:rFonts w:eastAsiaTheme="minorHAnsi" w:cs="MinionPro-Disp"/>
        </w:rPr>
        <w:t>je</w:t>
      </w:r>
      <w:r w:rsidR="001E0379" w:rsidRPr="0092195A">
        <w:rPr>
          <w:rFonts w:eastAsiaTheme="minorHAnsi" w:cs="MinionPro-Disp"/>
          <w:lang w:val="hr-BA"/>
        </w:rPr>
        <w:t xml:space="preserve"> </w:t>
      </w:r>
      <w:r w:rsidR="001E0379" w:rsidRPr="002128A6">
        <w:rPr>
          <w:rFonts w:eastAsiaTheme="minorHAnsi" w:cs="MinionPro-Disp"/>
        </w:rPr>
        <w:t>za</w:t>
      </w:r>
      <w:r w:rsidR="001E0379" w:rsidRPr="0092195A">
        <w:rPr>
          <w:rFonts w:eastAsiaTheme="minorHAnsi" w:cs="MinionPro-Disp"/>
          <w:lang w:val="hr-BA"/>
        </w:rPr>
        <w:t xml:space="preserve"> 29,8% </w:t>
      </w:r>
      <w:r w:rsidR="001E0379" w:rsidRPr="002128A6">
        <w:rPr>
          <w:rFonts w:eastAsiaTheme="minorHAnsi" w:cs="MinionPro-Disp"/>
        </w:rPr>
        <w:t>manje</w:t>
      </w:r>
      <w:r w:rsidR="001E0379" w:rsidRPr="0092195A">
        <w:rPr>
          <w:rFonts w:eastAsiaTheme="minorHAnsi" w:cs="MinionPro-Disp"/>
          <w:lang w:val="hr-BA"/>
        </w:rPr>
        <w:t xml:space="preserve"> </w:t>
      </w:r>
      <w:r w:rsidR="001E0379" w:rsidRPr="002128A6">
        <w:rPr>
          <w:rFonts w:eastAsiaTheme="minorHAnsi" w:cs="MinionPro-Disp"/>
        </w:rPr>
        <w:t>u</w:t>
      </w:r>
      <w:r w:rsidR="001E0379" w:rsidRPr="0092195A">
        <w:rPr>
          <w:rFonts w:eastAsiaTheme="minorHAnsi" w:cs="MinionPro-Disp"/>
          <w:lang w:val="hr-BA"/>
        </w:rPr>
        <w:t xml:space="preserve"> </w:t>
      </w:r>
      <w:r w:rsidR="001E0379">
        <w:rPr>
          <w:rFonts w:eastAsiaTheme="minorHAnsi" w:cs="MinionPro-Disp"/>
        </w:rPr>
        <w:t>pore</w:t>
      </w:r>
      <w:r w:rsidR="001E0379" w:rsidRPr="0092195A">
        <w:rPr>
          <w:rFonts w:eastAsiaTheme="minorHAnsi" w:cs="MinionPro-Disp"/>
          <w:lang w:val="hr-BA"/>
        </w:rPr>
        <w:t>đ</w:t>
      </w:r>
      <w:r w:rsidR="001E0379">
        <w:rPr>
          <w:rFonts w:eastAsiaTheme="minorHAnsi" w:cs="MinionPro-Disp"/>
        </w:rPr>
        <w:t>enju</w:t>
      </w:r>
      <w:r w:rsidR="001E0379" w:rsidRPr="0092195A">
        <w:rPr>
          <w:rFonts w:eastAsiaTheme="minorHAnsi" w:cs="MinionPro-Disp"/>
          <w:lang w:val="hr-BA"/>
        </w:rPr>
        <w:t xml:space="preserve"> </w:t>
      </w:r>
      <w:r w:rsidR="001E0379">
        <w:rPr>
          <w:rFonts w:eastAsiaTheme="minorHAnsi" w:cs="MinionPro-Disp"/>
        </w:rPr>
        <w:t>sa</w:t>
      </w:r>
      <w:r w:rsidR="001E0379" w:rsidRPr="0092195A">
        <w:rPr>
          <w:rFonts w:eastAsiaTheme="minorHAnsi" w:cs="MinionPro-Disp"/>
          <w:lang w:val="hr-BA"/>
        </w:rPr>
        <w:t xml:space="preserve"> 2012.  </w:t>
      </w:r>
      <w:r w:rsidR="00BB729C">
        <w:rPr>
          <w:rFonts w:cstheme="minorHAnsi"/>
          <w:bCs/>
          <w:noProof/>
          <w:lang w:val="hr-BA"/>
        </w:rPr>
        <w:t xml:space="preserve">   </w:t>
      </w:r>
    </w:p>
    <w:p w:rsidR="00BB729C" w:rsidRPr="001F1C6B" w:rsidRDefault="00BB729C" w:rsidP="00C8677B">
      <w:pPr>
        <w:shd w:val="clear" w:color="auto" w:fill="FFFFFF"/>
        <w:spacing w:after="0" w:line="240" w:lineRule="auto"/>
        <w:jc w:val="both"/>
        <w:rPr>
          <w:rFonts w:cstheme="minorHAnsi"/>
          <w:bCs/>
          <w:noProof/>
          <w:sz w:val="10"/>
          <w:szCs w:val="10"/>
          <w:lang w:val="hr-BA"/>
        </w:rPr>
      </w:pPr>
    </w:p>
    <w:p w:rsidR="00BB729C" w:rsidRPr="00034433" w:rsidRDefault="00BB729C" w:rsidP="00C8677B">
      <w:pPr>
        <w:shd w:val="clear" w:color="auto" w:fill="FFFFFF"/>
        <w:spacing w:after="0" w:line="240" w:lineRule="auto"/>
        <w:jc w:val="both"/>
      </w:pPr>
      <w:r w:rsidRPr="00725A22">
        <w:rPr>
          <w:rStyle w:val="Strong"/>
          <w:rFonts w:cs="Calibri"/>
          <w:b w:val="0"/>
        </w:rPr>
        <w:t>Po</w:t>
      </w:r>
      <w:r w:rsidRPr="0092195A">
        <w:rPr>
          <w:rStyle w:val="Strong"/>
          <w:rFonts w:cs="Calibri"/>
          <w:b w:val="0"/>
          <w:lang w:val="hr-BA"/>
        </w:rPr>
        <w:t>č</w:t>
      </w:r>
      <w:r w:rsidRPr="00725A22">
        <w:rPr>
          <w:rStyle w:val="Strong"/>
          <w:rFonts w:cs="Calibri"/>
          <w:b w:val="0"/>
        </w:rPr>
        <w:t>etak</w:t>
      </w:r>
      <w:r w:rsidRPr="0092195A">
        <w:rPr>
          <w:rStyle w:val="Strong"/>
          <w:rFonts w:cs="Calibri"/>
          <w:b w:val="0"/>
          <w:lang w:val="hr-BA"/>
        </w:rPr>
        <w:t xml:space="preserve"> 2014. </w:t>
      </w:r>
      <w:r w:rsidRPr="00725A22">
        <w:rPr>
          <w:rStyle w:val="Strong"/>
          <w:rFonts w:cs="Calibri"/>
          <w:b w:val="0"/>
        </w:rPr>
        <w:t>obilje</w:t>
      </w:r>
      <w:r w:rsidRPr="0092195A">
        <w:rPr>
          <w:rStyle w:val="Strong"/>
          <w:rFonts w:cs="Calibri"/>
          <w:b w:val="0"/>
          <w:lang w:val="hr-BA"/>
        </w:rPr>
        <w:t>ž</w:t>
      </w:r>
      <w:r w:rsidRPr="00725A22">
        <w:rPr>
          <w:rStyle w:val="Strong"/>
          <w:rFonts w:cs="Calibri"/>
          <w:b w:val="0"/>
        </w:rPr>
        <w:t>io</w:t>
      </w:r>
      <w:r w:rsidRPr="0092195A">
        <w:rPr>
          <w:rStyle w:val="Strong"/>
          <w:rFonts w:cs="Calibri"/>
          <w:b w:val="0"/>
          <w:lang w:val="hr-BA"/>
        </w:rPr>
        <w:t xml:space="preserve"> </w:t>
      </w:r>
      <w:r w:rsidRPr="00725A22">
        <w:rPr>
          <w:rStyle w:val="Strong"/>
          <w:rFonts w:cs="Calibri"/>
          <w:b w:val="0"/>
        </w:rPr>
        <w:t>je</w:t>
      </w:r>
      <w:r w:rsidRPr="0092195A">
        <w:rPr>
          <w:rStyle w:val="Strong"/>
          <w:rFonts w:cs="Calibri"/>
          <w:b w:val="0"/>
          <w:lang w:val="hr-BA"/>
        </w:rPr>
        <w:t xml:space="preserve"> </w:t>
      </w:r>
      <w:r w:rsidRPr="00725A22">
        <w:rPr>
          <w:rStyle w:val="Strong"/>
          <w:rFonts w:cs="Calibri"/>
          <w:b w:val="0"/>
        </w:rPr>
        <w:t>trend</w:t>
      </w:r>
      <w:r w:rsidRPr="0092195A">
        <w:rPr>
          <w:rStyle w:val="Strong"/>
          <w:rFonts w:cs="Calibri"/>
          <w:lang w:val="hr-BA"/>
        </w:rPr>
        <w:t xml:space="preserve"> </w:t>
      </w:r>
      <w:r w:rsidR="00164BE2">
        <w:rPr>
          <w:rStyle w:val="Strong"/>
          <w:rFonts w:cs="Calibri"/>
          <w:b w:val="0"/>
        </w:rPr>
        <w:t>rasta</w:t>
      </w:r>
      <w:r w:rsidR="00164BE2" w:rsidRPr="0092195A">
        <w:rPr>
          <w:rStyle w:val="Strong"/>
          <w:rFonts w:cs="Calibri"/>
          <w:b w:val="0"/>
          <w:lang w:val="hr-BA"/>
        </w:rPr>
        <w:t xml:space="preserve">  </w:t>
      </w:r>
      <w:r w:rsidR="00164BE2">
        <w:rPr>
          <w:rStyle w:val="Strong"/>
          <w:rFonts w:cs="Calibri"/>
          <w:b w:val="0"/>
        </w:rPr>
        <w:t>priliva</w:t>
      </w:r>
      <w:r w:rsidR="00164BE2" w:rsidRPr="0092195A">
        <w:rPr>
          <w:rStyle w:val="Strong"/>
          <w:rFonts w:cs="Calibri"/>
          <w:b w:val="0"/>
          <w:lang w:val="hr-BA"/>
        </w:rPr>
        <w:t xml:space="preserve"> </w:t>
      </w:r>
      <w:r w:rsidR="00164BE2">
        <w:rPr>
          <w:rStyle w:val="Strong"/>
          <w:rFonts w:cs="Calibri"/>
          <w:b w:val="0"/>
        </w:rPr>
        <w:t>SDI</w:t>
      </w:r>
      <w:r w:rsidR="00164BE2" w:rsidRPr="0092195A">
        <w:rPr>
          <w:rStyle w:val="Strong"/>
          <w:rFonts w:cs="Calibri"/>
          <w:b w:val="0"/>
          <w:lang w:val="hr-BA"/>
        </w:rPr>
        <w:t xml:space="preserve"> </w:t>
      </w:r>
      <w:r w:rsidR="00164BE2">
        <w:rPr>
          <w:rStyle w:val="Strong"/>
          <w:rFonts w:cs="Calibri"/>
          <w:b w:val="0"/>
        </w:rPr>
        <w:t>i</w:t>
      </w:r>
      <w:r w:rsidRPr="0092195A">
        <w:rPr>
          <w:rStyle w:val="Strong"/>
          <w:rFonts w:cs="Calibri"/>
          <w:b w:val="0"/>
          <w:lang w:val="hr-BA"/>
        </w:rPr>
        <w:t xml:space="preserve"> </w:t>
      </w:r>
      <w:r>
        <w:rPr>
          <w:rStyle w:val="Strong"/>
          <w:rFonts w:cs="Calibri"/>
          <w:b w:val="0"/>
        </w:rPr>
        <w:t>nagovijestio</w:t>
      </w:r>
      <w:r w:rsidR="00164BE2" w:rsidRPr="0092195A">
        <w:rPr>
          <w:rStyle w:val="Strong"/>
          <w:rFonts w:cs="Calibri"/>
          <w:b w:val="0"/>
          <w:lang w:val="hr-BA"/>
        </w:rPr>
        <w:t xml:space="preserve"> </w:t>
      </w:r>
      <w:r w:rsidR="00164BE2">
        <w:rPr>
          <w:rStyle w:val="Strong"/>
          <w:rFonts w:cs="Calibri"/>
          <w:b w:val="0"/>
        </w:rPr>
        <w:t>blagi</w:t>
      </w:r>
      <w:r w:rsidRPr="0092195A">
        <w:rPr>
          <w:rStyle w:val="Strong"/>
          <w:rFonts w:cs="Calibri"/>
          <w:b w:val="0"/>
          <w:lang w:val="hr-BA"/>
        </w:rPr>
        <w:t xml:space="preserve"> </w:t>
      </w:r>
      <w:r>
        <w:rPr>
          <w:rStyle w:val="Strong"/>
          <w:rFonts w:cs="Calibri"/>
          <w:b w:val="0"/>
        </w:rPr>
        <w:t>opravak</w:t>
      </w:r>
      <w:r w:rsidRPr="0092195A">
        <w:rPr>
          <w:rStyle w:val="Strong"/>
          <w:rFonts w:cs="Calibri"/>
          <w:b w:val="0"/>
          <w:lang w:val="hr-BA"/>
        </w:rPr>
        <w:t xml:space="preserve"> </w:t>
      </w:r>
      <w:r>
        <w:rPr>
          <w:rStyle w:val="Strong"/>
          <w:rFonts w:cs="Calibri"/>
          <w:b w:val="0"/>
        </w:rPr>
        <w:t>nakon</w:t>
      </w:r>
      <w:r w:rsidRPr="0092195A">
        <w:rPr>
          <w:rStyle w:val="Strong"/>
          <w:rFonts w:cs="Calibri"/>
          <w:b w:val="0"/>
          <w:lang w:val="hr-BA"/>
        </w:rPr>
        <w:t xml:space="preserve"> </w:t>
      </w:r>
      <w:r>
        <w:rPr>
          <w:rStyle w:val="Strong"/>
          <w:rFonts w:cs="Calibri"/>
          <w:b w:val="0"/>
        </w:rPr>
        <w:t>perioda</w:t>
      </w:r>
      <w:r w:rsidRPr="0092195A">
        <w:rPr>
          <w:rStyle w:val="Strong"/>
          <w:rFonts w:cs="Calibri"/>
          <w:b w:val="0"/>
          <w:lang w:val="hr-BA"/>
        </w:rPr>
        <w:t xml:space="preserve"> </w:t>
      </w:r>
      <w:r>
        <w:rPr>
          <w:rStyle w:val="Strong"/>
          <w:rFonts w:cs="Calibri"/>
          <w:b w:val="0"/>
        </w:rPr>
        <w:t>naizvjesnosti</w:t>
      </w:r>
      <w:r w:rsidRPr="0092195A">
        <w:rPr>
          <w:rStyle w:val="Strong"/>
          <w:rFonts w:cs="Calibri"/>
          <w:b w:val="0"/>
          <w:lang w:val="hr-BA"/>
        </w:rPr>
        <w:t xml:space="preserve"> </w:t>
      </w:r>
      <w:r>
        <w:rPr>
          <w:rStyle w:val="Strong"/>
          <w:rFonts w:cs="Calibri"/>
          <w:b w:val="0"/>
        </w:rPr>
        <w:t>na</w:t>
      </w:r>
      <w:r w:rsidRPr="0092195A">
        <w:rPr>
          <w:rStyle w:val="Strong"/>
          <w:rFonts w:cs="Calibri"/>
          <w:b w:val="0"/>
          <w:lang w:val="hr-BA"/>
        </w:rPr>
        <w:t xml:space="preserve"> </w:t>
      </w:r>
      <w:r>
        <w:rPr>
          <w:rStyle w:val="Strong"/>
          <w:rFonts w:cs="Calibri"/>
          <w:b w:val="0"/>
        </w:rPr>
        <w:t>svjetskom</w:t>
      </w:r>
      <w:r w:rsidRPr="0092195A">
        <w:rPr>
          <w:rStyle w:val="Strong"/>
          <w:rFonts w:cs="Calibri"/>
          <w:b w:val="0"/>
          <w:lang w:val="hr-BA"/>
        </w:rPr>
        <w:t xml:space="preserve"> </w:t>
      </w:r>
      <w:r>
        <w:rPr>
          <w:rStyle w:val="Strong"/>
          <w:rFonts w:cs="Calibri"/>
          <w:b w:val="0"/>
        </w:rPr>
        <w:t>finansijskom</w:t>
      </w:r>
      <w:r w:rsidRPr="0092195A">
        <w:rPr>
          <w:rStyle w:val="Strong"/>
          <w:rFonts w:cs="Calibri"/>
          <w:b w:val="0"/>
          <w:lang w:val="hr-BA"/>
        </w:rPr>
        <w:t xml:space="preserve"> </w:t>
      </w:r>
      <w:r>
        <w:rPr>
          <w:rStyle w:val="Strong"/>
          <w:rFonts w:cs="Calibri"/>
          <w:b w:val="0"/>
        </w:rPr>
        <w:t>tr</w:t>
      </w:r>
      <w:r w:rsidRPr="0092195A">
        <w:rPr>
          <w:rStyle w:val="Strong"/>
          <w:rFonts w:cs="Calibri"/>
          <w:b w:val="0"/>
          <w:lang w:val="hr-BA"/>
        </w:rPr>
        <w:t>ž</w:t>
      </w:r>
      <w:r>
        <w:rPr>
          <w:rStyle w:val="Strong"/>
          <w:rFonts w:cs="Calibri"/>
          <w:b w:val="0"/>
        </w:rPr>
        <w:t>i</w:t>
      </w:r>
      <w:r w:rsidRPr="0092195A">
        <w:rPr>
          <w:rStyle w:val="Strong"/>
          <w:rFonts w:cs="Calibri"/>
          <w:b w:val="0"/>
          <w:lang w:val="hr-BA"/>
        </w:rPr>
        <w:t>š</w:t>
      </w:r>
      <w:r>
        <w:rPr>
          <w:rStyle w:val="Strong"/>
          <w:rFonts w:cs="Calibri"/>
          <w:b w:val="0"/>
        </w:rPr>
        <w:t>tu</w:t>
      </w:r>
      <w:r w:rsidRPr="0092195A">
        <w:rPr>
          <w:rStyle w:val="Strong"/>
          <w:rFonts w:cs="Calibri"/>
          <w:b w:val="0"/>
          <w:lang w:val="hr-BA"/>
        </w:rPr>
        <w:t xml:space="preserve"> </w:t>
      </w:r>
      <w:r>
        <w:rPr>
          <w:rStyle w:val="Strong"/>
          <w:rFonts w:cs="Calibri"/>
          <w:b w:val="0"/>
        </w:rPr>
        <w:t>i</w:t>
      </w:r>
      <w:r w:rsidRPr="0092195A">
        <w:rPr>
          <w:rStyle w:val="Strong"/>
          <w:rFonts w:cs="Calibri"/>
          <w:b w:val="0"/>
          <w:lang w:val="hr-BA"/>
        </w:rPr>
        <w:t xml:space="preserve"> </w:t>
      </w:r>
      <w:r>
        <w:rPr>
          <w:rStyle w:val="Strong"/>
          <w:rFonts w:cs="Calibri"/>
          <w:b w:val="0"/>
        </w:rPr>
        <w:t>zemljama</w:t>
      </w:r>
      <w:r w:rsidRPr="0092195A">
        <w:rPr>
          <w:rStyle w:val="Strong"/>
          <w:rFonts w:cs="Calibri"/>
          <w:b w:val="0"/>
          <w:lang w:val="hr-BA"/>
        </w:rPr>
        <w:t xml:space="preserve"> </w:t>
      </w:r>
      <w:r>
        <w:rPr>
          <w:rStyle w:val="Strong"/>
          <w:rFonts w:cs="Calibri"/>
          <w:b w:val="0"/>
        </w:rPr>
        <w:t>eurozone</w:t>
      </w:r>
      <w:r w:rsidRPr="0092195A">
        <w:rPr>
          <w:rStyle w:val="Strong"/>
          <w:rFonts w:cs="Calibri"/>
          <w:b w:val="0"/>
          <w:lang w:val="hr-BA"/>
        </w:rPr>
        <w:t xml:space="preserve">. </w:t>
      </w:r>
      <w:r w:rsidRPr="00034433">
        <w:rPr>
          <w:rStyle w:val="Strong"/>
          <w:rFonts w:cs="Calibri"/>
          <w:b w:val="0"/>
        </w:rPr>
        <w:t>Prema</w:t>
      </w:r>
      <w:r w:rsidRPr="0092195A">
        <w:rPr>
          <w:rStyle w:val="Strong"/>
          <w:rFonts w:cs="Calibri"/>
          <w:b w:val="0"/>
          <w:lang w:val="hr-BA"/>
        </w:rPr>
        <w:t xml:space="preserve"> </w:t>
      </w:r>
      <w:r w:rsidRPr="00034433">
        <w:rPr>
          <w:rStyle w:val="Strong"/>
          <w:rFonts w:cs="Calibri"/>
          <w:b w:val="0"/>
        </w:rPr>
        <w:t>preliminarnim</w:t>
      </w:r>
      <w:r w:rsidRPr="0092195A">
        <w:rPr>
          <w:rStyle w:val="Strong"/>
          <w:rFonts w:cs="Calibri"/>
          <w:b w:val="0"/>
          <w:lang w:val="hr-BA"/>
        </w:rPr>
        <w:t xml:space="preserve"> </w:t>
      </w:r>
      <w:r w:rsidRPr="00034433">
        <w:rPr>
          <w:rStyle w:val="Strong"/>
          <w:rFonts w:cs="Calibri"/>
          <w:b w:val="0"/>
        </w:rPr>
        <w:t>podacima</w:t>
      </w:r>
      <w:r w:rsidRPr="0092195A">
        <w:rPr>
          <w:rStyle w:val="Strong"/>
          <w:rFonts w:cs="Calibri"/>
          <w:b w:val="0"/>
          <w:lang w:val="hr-BA"/>
        </w:rPr>
        <w:t xml:space="preserve"> </w:t>
      </w:r>
      <w:r w:rsidRPr="00034433">
        <w:rPr>
          <w:rStyle w:val="Strong"/>
          <w:rFonts w:cs="Calibri"/>
          <w:b w:val="0"/>
        </w:rPr>
        <w:lastRenderedPageBreak/>
        <w:t>CBCG</w:t>
      </w:r>
      <w:r w:rsidRPr="0092195A">
        <w:rPr>
          <w:rStyle w:val="Strong"/>
          <w:rFonts w:cs="Calibri"/>
          <w:b w:val="0"/>
          <w:lang w:val="hr-BA"/>
        </w:rPr>
        <w:t xml:space="preserve">, </w:t>
      </w:r>
      <w:r w:rsidRPr="00034433">
        <w:rPr>
          <w:rStyle w:val="Strong"/>
          <w:rFonts w:cs="Calibri"/>
          <w:b w:val="0"/>
        </w:rPr>
        <w:t>za</w:t>
      </w:r>
      <w:r w:rsidRPr="0092195A">
        <w:rPr>
          <w:rStyle w:val="Strong"/>
          <w:rFonts w:cs="Calibri"/>
          <w:b w:val="0"/>
          <w:lang w:val="hr-BA"/>
        </w:rPr>
        <w:t xml:space="preserve"> </w:t>
      </w:r>
      <w:r w:rsidRPr="00034433">
        <w:rPr>
          <w:rStyle w:val="Strong"/>
          <w:rFonts w:cs="Calibri"/>
          <w:b w:val="0"/>
        </w:rPr>
        <w:t>prvi</w:t>
      </w:r>
      <w:r w:rsidRPr="0092195A">
        <w:rPr>
          <w:rStyle w:val="Strong"/>
          <w:rFonts w:cs="Calibri"/>
          <w:b w:val="0"/>
          <w:lang w:val="hr-BA"/>
        </w:rPr>
        <w:t xml:space="preserve"> </w:t>
      </w:r>
      <w:r w:rsidRPr="00034433">
        <w:rPr>
          <w:rStyle w:val="Strong"/>
          <w:rFonts w:cs="Calibri"/>
          <w:b w:val="0"/>
        </w:rPr>
        <w:t>kvartal</w:t>
      </w:r>
      <w:r w:rsidRPr="0092195A">
        <w:rPr>
          <w:rStyle w:val="Strong"/>
          <w:rFonts w:cs="Calibri"/>
          <w:b w:val="0"/>
          <w:lang w:val="hr-BA"/>
        </w:rPr>
        <w:t xml:space="preserve"> 2014. </w:t>
      </w:r>
      <w:r w:rsidRPr="00034433">
        <w:rPr>
          <w:rStyle w:val="Strong"/>
          <w:rFonts w:cs="Calibri"/>
          <w:b w:val="0"/>
        </w:rPr>
        <w:t>neto</w:t>
      </w:r>
      <w:r w:rsidRPr="0092195A">
        <w:rPr>
          <w:rStyle w:val="Strong"/>
          <w:rFonts w:cs="Calibri"/>
          <w:b w:val="0"/>
          <w:lang w:val="hr-BA"/>
        </w:rPr>
        <w:t xml:space="preserve"> </w:t>
      </w:r>
      <w:r w:rsidRPr="00034433">
        <w:rPr>
          <w:rStyle w:val="Strong"/>
          <w:rFonts w:cs="Calibri"/>
          <w:b w:val="0"/>
        </w:rPr>
        <w:t>priliv</w:t>
      </w:r>
      <w:r w:rsidRPr="0092195A">
        <w:rPr>
          <w:rStyle w:val="Strong"/>
          <w:rFonts w:cs="Calibri"/>
          <w:b w:val="0"/>
          <w:lang w:val="hr-BA"/>
        </w:rPr>
        <w:t xml:space="preserve"> </w:t>
      </w:r>
      <w:r w:rsidRPr="00034433">
        <w:rPr>
          <w:rStyle w:val="Strong"/>
          <w:rFonts w:cs="Calibri"/>
          <w:b w:val="0"/>
        </w:rPr>
        <w:t>SDI</w:t>
      </w:r>
      <w:r w:rsidRPr="0092195A">
        <w:rPr>
          <w:rStyle w:val="Strong"/>
          <w:rFonts w:cs="Calibri"/>
          <w:b w:val="0"/>
          <w:lang w:val="hr-BA"/>
        </w:rPr>
        <w:t xml:space="preserve"> </w:t>
      </w:r>
      <w:r w:rsidRPr="00034433">
        <w:rPr>
          <w:rStyle w:val="Strong"/>
          <w:rFonts w:cs="Calibri"/>
          <w:b w:val="0"/>
        </w:rPr>
        <w:t>iznosio</w:t>
      </w:r>
      <w:r w:rsidRPr="0092195A">
        <w:rPr>
          <w:rStyle w:val="Strong"/>
          <w:rFonts w:cs="Calibri"/>
          <w:b w:val="0"/>
          <w:lang w:val="hr-BA"/>
        </w:rPr>
        <w:t xml:space="preserve"> </w:t>
      </w:r>
      <w:r w:rsidRPr="00034433">
        <w:rPr>
          <w:rStyle w:val="Strong"/>
          <w:rFonts w:cs="Calibri"/>
          <w:b w:val="0"/>
        </w:rPr>
        <w:t>je</w:t>
      </w:r>
      <w:r w:rsidRPr="0092195A">
        <w:rPr>
          <w:rStyle w:val="Strong"/>
          <w:rFonts w:cs="Calibri"/>
          <w:b w:val="0"/>
          <w:lang w:val="hr-BA"/>
        </w:rPr>
        <w:t xml:space="preserve"> 78,0 </w:t>
      </w:r>
      <w:r w:rsidRPr="00034433">
        <w:rPr>
          <w:rStyle w:val="Strong"/>
          <w:rFonts w:cs="Calibri"/>
          <w:b w:val="0"/>
        </w:rPr>
        <w:t>mil</w:t>
      </w:r>
      <w:r w:rsidRPr="0092195A">
        <w:rPr>
          <w:rStyle w:val="Strong"/>
          <w:rFonts w:cs="Calibri"/>
          <w:b w:val="0"/>
          <w:lang w:val="hr-BA"/>
        </w:rPr>
        <w:t>.€, š</w:t>
      </w:r>
      <w:r w:rsidRPr="00034433">
        <w:rPr>
          <w:rStyle w:val="Strong"/>
          <w:rFonts w:cs="Calibri"/>
          <w:b w:val="0"/>
        </w:rPr>
        <w:t>to</w:t>
      </w:r>
      <w:r w:rsidRPr="0092195A">
        <w:rPr>
          <w:rStyle w:val="Strong"/>
          <w:rFonts w:cs="Calibri"/>
          <w:b w:val="0"/>
          <w:lang w:val="hr-BA"/>
        </w:rPr>
        <w:t xml:space="preserve"> </w:t>
      </w:r>
      <w:r w:rsidRPr="00034433">
        <w:rPr>
          <w:rStyle w:val="Strong"/>
          <w:rFonts w:cs="Calibri"/>
          <w:b w:val="0"/>
        </w:rPr>
        <w:t>je</w:t>
      </w:r>
      <w:r w:rsidRPr="0092195A">
        <w:rPr>
          <w:rStyle w:val="Strong"/>
          <w:rFonts w:cs="Calibri"/>
          <w:b w:val="0"/>
          <w:lang w:val="hr-BA"/>
        </w:rPr>
        <w:t xml:space="preserve"> </w:t>
      </w:r>
      <w:r w:rsidRPr="00034433">
        <w:rPr>
          <w:rStyle w:val="Strong"/>
          <w:rFonts w:cs="Calibri"/>
          <w:b w:val="0"/>
        </w:rPr>
        <w:t>za</w:t>
      </w:r>
      <w:r w:rsidRPr="0092195A">
        <w:rPr>
          <w:rStyle w:val="Strong"/>
          <w:rFonts w:cs="Calibri"/>
          <w:b w:val="0"/>
          <w:lang w:val="hr-BA"/>
        </w:rPr>
        <w:t xml:space="preserve"> 19% </w:t>
      </w:r>
      <w:r w:rsidRPr="00034433">
        <w:rPr>
          <w:rStyle w:val="Strong"/>
          <w:rFonts w:cs="Calibri"/>
          <w:b w:val="0"/>
        </w:rPr>
        <w:t>vi</w:t>
      </w:r>
      <w:r w:rsidRPr="0092195A">
        <w:rPr>
          <w:rStyle w:val="Strong"/>
          <w:rFonts w:cs="Calibri"/>
          <w:b w:val="0"/>
          <w:lang w:val="hr-BA"/>
        </w:rPr>
        <w:t>š</w:t>
      </w:r>
      <w:r w:rsidRPr="00034433">
        <w:rPr>
          <w:rStyle w:val="Strong"/>
          <w:rFonts w:cs="Calibri"/>
          <w:b w:val="0"/>
        </w:rPr>
        <w:t>e</w:t>
      </w:r>
      <w:r w:rsidRPr="0092195A">
        <w:rPr>
          <w:rStyle w:val="Strong"/>
          <w:rFonts w:cs="Calibri"/>
          <w:b w:val="0"/>
          <w:lang w:val="hr-BA"/>
        </w:rPr>
        <w:t xml:space="preserve"> </w:t>
      </w:r>
      <w:r w:rsidRPr="00034433">
        <w:rPr>
          <w:rStyle w:val="Strong"/>
          <w:rFonts w:cs="Calibri"/>
          <w:b w:val="0"/>
        </w:rPr>
        <w:t>u</w:t>
      </w:r>
      <w:r w:rsidRPr="0092195A">
        <w:rPr>
          <w:rStyle w:val="Strong"/>
          <w:rFonts w:cs="Calibri"/>
          <w:b w:val="0"/>
          <w:lang w:val="hr-BA"/>
        </w:rPr>
        <w:t xml:space="preserve"> </w:t>
      </w:r>
      <w:r w:rsidRPr="00034433">
        <w:rPr>
          <w:rStyle w:val="Strong"/>
          <w:rFonts w:cs="Calibri"/>
          <w:b w:val="0"/>
        </w:rPr>
        <w:t>pore</w:t>
      </w:r>
      <w:r w:rsidRPr="0092195A">
        <w:rPr>
          <w:rStyle w:val="Strong"/>
          <w:rFonts w:cs="Calibri"/>
          <w:b w:val="0"/>
          <w:lang w:val="hr-BA"/>
        </w:rPr>
        <w:t>đ</w:t>
      </w:r>
      <w:r w:rsidRPr="00034433">
        <w:rPr>
          <w:rStyle w:val="Strong"/>
          <w:rFonts w:cs="Calibri"/>
          <w:b w:val="0"/>
        </w:rPr>
        <w:t>enju</w:t>
      </w:r>
      <w:r w:rsidRPr="0092195A">
        <w:rPr>
          <w:rStyle w:val="Strong"/>
          <w:rFonts w:cs="Calibri"/>
          <w:b w:val="0"/>
          <w:lang w:val="hr-BA"/>
        </w:rPr>
        <w:t xml:space="preserve"> </w:t>
      </w:r>
      <w:r w:rsidRPr="00034433">
        <w:rPr>
          <w:rStyle w:val="Strong"/>
          <w:rFonts w:cs="Calibri"/>
          <w:b w:val="0"/>
        </w:rPr>
        <w:t>sa</w:t>
      </w:r>
      <w:r w:rsidRPr="0092195A">
        <w:rPr>
          <w:rStyle w:val="Strong"/>
          <w:rFonts w:cs="Calibri"/>
          <w:b w:val="0"/>
          <w:lang w:val="hr-BA"/>
        </w:rPr>
        <w:t xml:space="preserve"> </w:t>
      </w:r>
      <w:r w:rsidRPr="00034433">
        <w:rPr>
          <w:rStyle w:val="Strong"/>
          <w:rFonts w:cs="Calibri"/>
          <w:b w:val="0"/>
        </w:rPr>
        <w:t>uporednim</w:t>
      </w:r>
      <w:r w:rsidRPr="0092195A">
        <w:rPr>
          <w:rStyle w:val="Strong"/>
          <w:rFonts w:cs="Calibri"/>
          <w:b w:val="0"/>
          <w:lang w:val="hr-BA"/>
        </w:rPr>
        <w:t xml:space="preserve"> </w:t>
      </w:r>
      <w:r w:rsidRPr="00034433">
        <w:rPr>
          <w:rStyle w:val="Strong"/>
          <w:rFonts w:cs="Calibri"/>
          <w:b w:val="0"/>
        </w:rPr>
        <w:t>podacima</w:t>
      </w:r>
      <w:r w:rsidRPr="0092195A">
        <w:rPr>
          <w:rStyle w:val="Strong"/>
          <w:rFonts w:cs="Calibri"/>
          <w:b w:val="0"/>
          <w:lang w:val="hr-BA"/>
        </w:rPr>
        <w:t xml:space="preserve"> </w:t>
      </w:r>
      <w:r w:rsidRPr="00034433">
        <w:rPr>
          <w:rStyle w:val="Strong"/>
          <w:rFonts w:cs="Calibri"/>
          <w:b w:val="0"/>
        </w:rPr>
        <w:t>iz</w:t>
      </w:r>
      <w:r w:rsidRPr="0092195A">
        <w:rPr>
          <w:rStyle w:val="Strong"/>
          <w:rFonts w:cs="Calibri"/>
          <w:lang w:val="hr-BA"/>
        </w:rPr>
        <w:t xml:space="preserve"> </w:t>
      </w:r>
      <w:r w:rsidRPr="00034433">
        <w:rPr>
          <w:rStyle w:val="Strong"/>
          <w:rFonts w:cs="Calibri"/>
          <w:b w:val="0"/>
        </w:rPr>
        <w:t>predhodne</w:t>
      </w:r>
      <w:r w:rsidRPr="0092195A">
        <w:rPr>
          <w:rStyle w:val="Strong"/>
          <w:rFonts w:cs="Calibri"/>
          <w:b w:val="0"/>
          <w:lang w:val="hr-BA"/>
        </w:rPr>
        <w:t xml:space="preserve"> </w:t>
      </w:r>
      <w:r w:rsidRPr="00034433">
        <w:rPr>
          <w:rStyle w:val="Strong"/>
          <w:rFonts w:cs="Calibri"/>
          <w:b w:val="0"/>
        </w:rPr>
        <w:t>godine</w:t>
      </w:r>
      <w:r w:rsidRPr="0092195A">
        <w:rPr>
          <w:rStyle w:val="Strong"/>
          <w:rFonts w:cs="Calibri"/>
          <w:b w:val="0"/>
          <w:lang w:val="hr-BA"/>
        </w:rPr>
        <w:t xml:space="preserve">. </w:t>
      </w:r>
      <w:r w:rsidRPr="00034433">
        <w:rPr>
          <w:rStyle w:val="Strong"/>
          <w:rFonts w:cs="Calibri"/>
          <w:b w:val="0"/>
        </w:rPr>
        <w:t>Takođe, neto priliv u martu tekuće godine iznosio je 32,1 mil.€ i veći je za 11,2% od neto priliva u februaru (</w:t>
      </w:r>
      <w:r w:rsidRPr="00034433">
        <w:rPr>
          <w:rStyle w:val="Strong"/>
          <w:rFonts w:cs="Calibri"/>
          <w:b w:val="0"/>
          <w:lang w:val="sr-Latn-CS"/>
        </w:rPr>
        <w:t>28,8mil.€)</w:t>
      </w:r>
      <w:r w:rsidRPr="00034433">
        <w:rPr>
          <w:rStyle w:val="Strong"/>
          <w:rFonts w:cs="Calibri"/>
          <w:b w:val="0"/>
        </w:rPr>
        <w:t xml:space="preserve"> iste godine. U periodu januar – mart 2014, ostvaren je ukupan priliv SDI u iznosu od 104,8 mil.€,</w:t>
      </w:r>
      <w:r w:rsidRPr="00034433">
        <w:rPr>
          <w:rStyle w:val="Strong"/>
          <w:rFonts w:cs="Calibri"/>
        </w:rPr>
        <w:t xml:space="preserve"> </w:t>
      </w:r>
      <w:r w:rsidRPr="00034433">
        <w:rPr>
          <w:rStyle w:val="Strong"/>
          <w:rFonts w:cs="Calibri"/>
          <w:b w:val="0"/>
        </w:rPr>
        <w:t xml:space="preserve">što je za 28,3% više u poređenju sa 2013.(81,6mil.€). U strukturi priliva SDI, vlasnička ulaganja </w:t>
      </w:r>
      <w:r>
        <w:rPr>
          <w:rStyle w:val="Strong"/>
          <w:rFonts w:cs="Calibri"/>
          <w:b w:val="0"/>
        </w:rPr>
        <w:t>su učestvovala</w:t>
      </w:r>
      <w:r w:rsidRPr="00034433">
        <w:rPr>
          <w:rStyle w:val="Strong"/>
          <w:rFonts w:cs="Calibri"/>
          <w:b w:val="0"/>
        </w:rPr>
        <w:t xml:space="preserve"> sa 45,4</w:t>
      </w:r>
      <w:r>
        <w:rPr>
          <w:rStyle w:val="Strong"/>
          <w:rFonts w:cs="Calibri"/>
          <w:b w:val="0"/>
        </w:rPr>
        <w:t>% (više</w:t>
      </w:r>
      <w:r w:rsidRPr="00034433">
        <w:rPr>
          <w:rStyle w:val="Strong"/>
          <w:rFonts w:cs="Calibri"/>
          <w:b w:val="0"/>
        </w:rPr>
        <w:t xml:space="preserve"> za 22,7%), pri čemu, investicije u </w:t>
      </w:r>
      <w:r>
        <w:rPr>
          <w:rStyle w:val="Strong"/>
          <w:rFonts w:cs="Calibri"/>
          <w:b w:val="0"/>
        </w:rPr>
        <w:t>preduzeća i banke</w:t>
      </w:r>
      <w:r w:rsidRPr="00034433">
        <w:rPr>
          <w:rStyle w:val="Strong"/>
          <w:rFonts w:cs="Calibri"/>
          <w:b w:val="0"/>
        </w:rPr>
        <w:t xml:space="preserve"> 9,5% (više oko 3 puta),  investicije po</w:t>
      </w:r>
      <w:r w:rsidRPr="00034433">
        <w:rPr>
          <w:rStyle w:val="Strong"/>
          <w:rFonts w:cs="Calibri"/>
        </w:rPr>
        <w:t xml:space="preserve"> </w:t>
      </w:r>
      <w:r w:rsidRPr="00034433">
        <w:rPr>
          <w:rStyle w:val="Strong"/>
          <w:rFonts w:cs="Calibri"/>
          <w:b w:val="0"/>
        </w:rPr>
        <w:t>osnovu ulaganja u nekretnine 35,9% (više za 2,1%), u odnosu na 2013. Nastavlja se trend rasta priliva SDI u formi interkompanijskog duga, sa učešćem od 52,7%, (više za 35,5%), dok  je priliv po osnovu ostalih SDI iznosio 1,9% (76,1%</w:t>
      </w:r>
      <w:r>
        <w:rPr>
          <w:rStyle w:val="Strong"/>
          <w:rFonts w:cs="Calibri"/>
          <w:b w:val="0"/>
        </w:rPr>
        <w:t xml:space="preserve"> </w:t>
      </w:r>
      <w:r w:rsidRPr="00034433">
        <w:rPr>
          <w:rStyle w:val="Strong"/>
          <w:rFonts w:cs="Calibri"/>
          <w:b w:val="0"/>
        </w:rPr>
        <w:t>više).</w:t>
      </w:r>
      <w:r w:rsidRPr="00034433">
        <w:rPr>
          <w:rStyle w:val="Strong"/>
          <w:rFonts w:cs="Calibri"/>
          <w:b w:val="0"/>
          <w:color w:val="FF0000"/>
        </w:rPr>
        <w:t xml:space="preserve"> </w:t>
      </w:r>
      <w:r w:rsidRPr="00034433">
        <w:rPr>
          <w:rStyle w:val="Strong"/>
          <w:rFonts w:cs="Calibri"/>
          <w:b w:val="0"/>
        </w:rPr>
        <w:t>Ukupan odliv SDI, u periodu januar – mart 2014, iznosio je 26,8 mil.€, što je  za 66,5% više u odnosu</w:t>
      </w:r>
      <w:r w:rsidRPr="00034433">
        <w:rPr>
          <w:rStyle w:val="Strong"/>
          <w:rFonts w:cs="Calibri"/>
        </w:rPr>
        <w:t xml:space="preserve"> </w:t>
      </w:r>
      <w:r w:rsidRPr="00034433">
        <w:rPr>
          <w:rStyle w:val="Strong"/>
          <w:rFonts w:cs="Calibri"/>
          <w:b w:val="0"/>
        </w:rPr>
        <w:t>na</w:t>
      </w:r>
      <w:r w:rsidRPr="00034433">
        <w:rPr>
          <w:rStyle w:val="Strong"/>
          <w:rFonts w:cs="Calibri"/>
        </w:rPr>
        <w:t xml:space="preserve"> </w:t>
      </w:r>
      <w:r w:rsidRPr="00034433">
        <w:rPr>
          <w:rStyle w:val="Strong"/>
          <w:rFonts w:cs="Calibri"/>
          <w:b w:val="0"/>
        </w:rPr>
        <w:t>2013. U strukturi odliva, najveći dio se odnosio na smanjenje obaveza po osnovu interkompanijskog duga 25,0 mil.€ ili 93,3%.</w:t>
      </w:r>
      <w:r w:rsidRPr="00034433">
        <w:rPr>
          <w:rFonts w:asciiTheme="minorHAnsi" w:hAnsiTheme="minorHAnsi" w:cstheme="minorHAnsi"/>
        </w:rPr>
        <w:t xml:space="preserve"> </w:t>
      </w:r>
    </w:p>
    <w:p w:rsidR="009D26E5" w:rsidRPr="00034433" w:rsidRDefault="009D26E5" w:rsidP="009D26E5">
      <w:pPr>
        <w:shd w:val="clear" w:color="auto" w:fill="FFFFFF"/>
        <w:spacing w:after="0" w:line="240" w:lineRule="auto"/>
        <w:jc w:val="both"/>
        <w:rPr>
          <w:rFonts w:cs="Calibri"/>
          <w:bCs/>
        </w:rPr>
      </w:pPr>
    </w:p>
    <w:p w:rsidR="000D1450" w:rsidRDefault="000D1450" w:rsidP="000E5658">
      <w:pPr>
        <w:pStyle w:val="Heading4"/>
        <w:numPr>
          <w:ilvl w:val="0"/>
          <w:numId w:val="0"/>
        </w:numPr>
        <w:ind w:left="720"/>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Default="002B3C21" w:rsidP="002B3C21">
      <w:pPr>
        <w:rPr>
          <w:lang w:val="sl-SI"/>
        </w:rPr>
      </w:pPr>
    </w:p>
    <w:p w:rsidR="002B3C21" w:rsidRPr="002B3C21" w:rsidRDefault="002B3C21" w:rsidP="002B3C21">
      <w:pPr>
        <w:rPr>
          <w:lang w:val="sl-SI"/>
        </w:rPr>
      </w:pPr>
    </w:p>
    <w:p w:rsidR="00416893" w:rsidRDefault="00416893" w:rsidP="00C8677B">
      <w:pPr>
        <w:pStyle w:val="Heading1"/>
        <w:spacing w:after="0"/>
        <w:rPr>
          <w:sz w:val="28"/>
        </w:rPr>
      </w:pPr>
      <w:bookmarkStart w:id="25" w:name="_Toc389223766"/>
      <w:bookmarkStart w:id="26" w:name="_Toc389745277"/>
      <w:r w:rsidRPr="00C8677B">
        <w:rPr>
          <w:sz w:val="28"/>
        </w:rPr>
        <w:lastRenderedPageBreak/>
        <w:t>JAVNE FINANSIJE</w:t>
      </w:r>
      <w:bookmarkEnd w:id="25"/>
      <w:bookmarkEnd w:id="26"/>
    </w:p>
    <w:p w:rsidR="00C8677B" w:rsidRPr="00C8677B" w:rsidRDefault="00C8677B" w:rsidP="00C8677B">
      <w:pPr>
        <w:spacing w:after="0" w:line="240" w:lineRule="auto"/>
      </w:pPr>
    </w:p>
    <w:p w:rsidR="008E3726" w:rsidRDefault="000B2C03" w:rsidP="00C8677B">
      <w:pPr>
        <w:spacing w:after="0" w:line="240" w:lineRule="auto"/>
        <w:jc w:val="both"/>
      </w:pPr>
      <w:r w:rsidRPr="000B2C03">
        <w:rPr>
          <w:b/>
        </w:rPr>
        <w:t xml:space="preserve">Nakon 2013, koju karakteriše </w:t>
      </w:r>
      <w:r>
        <w:rPr>
          <w:b/>
        </w:rPr>
        <w:t>rast</w:t>
      </w:r>
      <w:r w:rsidRPr="000B2C03">
        <w:rPr>
          <w:b/>
        </w:rPr>
        <w:t xml:space="preserve"> ekonomske aktivnosti i poboljšanje fiskalnih parametara, u 2014. nastavljen je trend povećanja prihoda i poboljšanja poreske discipline.</w:t>
      </w:r>
      <w:r>
        <w:t xml:space="preserve"> </w:t>
      </w:r>
      <w:r w:rsidR="008E3726" w:rsidRPr="00AF3022">
        <w:t xml:space="preserve">Konsolidacija javnih finansija, obezbjeđenje fiskalne stabilnosti uz održivi nivo javnog duga, predstavljaju prioritete fiskalne politike Crne Gore, čime se stvaraju uslovi za dinamičan i održiv privredni rast. </w:t>
      </w:r>
      <w:r w:rsidR="008E3726">
        <w:t>U cilju unaprijeđenja sistema javnih finansija i usklađivanja sa evropskim standardima usvojen je Z</w:t>
      </w:r>
      <w:r w:rsidR="008E3726" w:rsidRPr="00AF3022">
        <w:t>akon o budžetu i fiskalnoj odgovornosti</w:t>
      </w:r>
      <w:r w:rsidR="008E3726" w:rsidRPr="00AF3022">
        <w:rPr>
          <w:rStyle w:val="FootnoteReference"/>
        </w:rPr>
        <w:footnoteReference w:id="7"/>
      </w:r>
      <w:r w:rsidR="008E3726">
        <w:t>. Njime se</w:t>
      </w:r>
      <w:r w:rsidR="008E3726" w:rsidRPr="00AF3022">
        <w:t xml:space="preserve"> uvodi institut numeričkih fiskalnih pravila, srednjeročni budžetski okvir, fiskaln</w:t>
      </w:r>
      <w:r w:rsidR="008E3726">
        <w:t>a</w:t>
      </w:r>
      <w:r w:rsidR="008E3726" w:rsidRPr="00AF3022">
        <w:t xml:space="preserve"> strategij</w:t>
      </w:r>
      <w:r w:rsidR="008E3726">
        <w:t>a</w:t>
      </w:r>
      <w:r w:rsidR="008E3726" w:rsidRPr="00AF3022">
        <w:t>, inspekcijski nadzor, kao i odgovarajuće kaznene mjere. Smjernicama makroekonomske i fiskalne politike za period od 2014-2017. godine utvrđeni su limiti budžetske potrošnje u srednjem roku. U skladu sa fiskalnim kriterijumima predviđeno je ostvarenje primarnog suficita (deficit umanjen za kamate).</w:t>
      </w:r>
    </w:p>
    <w:p w:rsidR="00C8677B" w:rsidRPr="00685DD8" w:rsidRDefault="00C8677B" w:rsidP="00C8677B">
      <w:pPr>
        <w:spacing w:after="0" w:line="240" w:lineRule="auto"/>
        <w:jc w:val="both"/>
      </w:pPr>
    </w:p>
    <w:p w:rsidR="00685DD8" w:rsidRPr="009D407D" w:rsidRDefault="008E3726" w:rsidP="00C8677B">
      <w:pPr>
        <w:spacing w:after="0" w:line="240" w:lineRule="auto"/>
        <w:jc w:val="both"/>
        <w:rPr>
          <w:rFonts w:cs="Calibri"/>
          <w:b/>
          <w:sz w:val="20"/>
          <w:szCs w:val="20"/>
        </w:rPr>
      </w:pPr>
      <w:r w:rsidRPr="009D407D">
        <w:rPr>
          <w:rFonts w:cs="Calibri"/>
          <w:b/>
          <w:sz w:val="20"/>
          <w:szCs w:val="20"/>
        </w:rPr>
        <w:t>Osnovni fiskalni pokazatelji - u % BDP-a:</w:t>
      </w:r>
    </w:p>
    <w:tbl>
      <w:tblPr>
        <w:tblpPr w:leftFromText="180" w:rightFromText="180" w:vertAnchor="text" w:horzAnchor="margin" w:tblpXSpec="center"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3636"/>
        <w:gridCol w:w="1987"/>
        <w:gridCol w:w="1355"/>
      </w:tblGrid>
      <w:tr w:rsidR="008E3726" w:rsidRPr="00C8677B" w:rsidTr="009C3C71">
        <w:trPr>
          <w:trHeight w:val="111"/>
        </w:trPr>
        <w:tc>
          <w:tcPr>
            <w:tcW w:w="3192" w:type="pct"/>
            <w:gridSpan w:val="2"/>
            <w:vMerge w:val="restart"/>
            <w:vAlign w:val="center"/>
            <w:hideMark/>
          </w:tcPr>
          <w:p w:rsidR="008E3726" w:rsidRPr="00C8677B" w:rsidRDefault="008E3726" w:rsidP="00C8677B">
            <w:pPr>
              <w:spacing w:after="0" w:line="240" w:lineRule="auto"/>
              <w:jc w:val="center"/>
              <w:rPr>
                <w:rFonts w:cs="Calibri"/>
                <w:b/>
                <w:bCs/>
                <w:sz w:val="18"/>
                <w:szCs w:val="24"/>
              </w:rPr>
            </w:pPr>
            <w:r w:rsidRPr="00C8677B">
              <w:rPr>
                <w:rFonts w:cs="Calibri"/>
                <w:b/>
                <w:bCs/>
                <w:sz w:val="18"/>
                <w:szCs w:val="24"/>
              </w:rPr>
              <w:t>Fiskalni okvir (u % BDP-a)</w:t>
            </w:r>
          </w:p>
        </w:tc>
        <w:tc>
          <w:tcPr>
            <w:tcW w:w="1075" w:type="pct"/>
            <w:tcBorders>
              <w:top w:val="single" w:sz="4" w:space="0" w:color="auto"/>
              <w:bottom w:val="single" w:sz="4" w:space="0" w:color="auto"/>
              <w:right w:val="single" w:sz="4" w:space="0" w:color="auto"/>
            </w:tcBorders>
          </w:tcPr>
          <w:p w:rsidR="008E3726" w:rsidRPr="00C8677B" w:rsidRDefault="008E3726" w:rsidP="00C8677B">
            <w:pPr>
              <w:spacing w:after="0" w:line="240" w:lineRule="auto"/>
              <w:jc w:val="center"/>
              <w:rPr>
                <w:rFonts w:cs="Calibri"/>
                <w:b/>
                <w:bCs/>
                <w:sz w:val="18"/>
                <w:szCs w:val="24"/>
              </w:rPr>
            </w:pPr>
            <w:r w:rsidRPr="00C8677B">
              <w:rPr>
                <w:rFonts w:cs="Calibri"/>
                <w:b/>
                <w:bCs/>
                <w:sz w:val="18"/>
                <w:szCs w:val="24"/>
              </w:rPr>
              <w:t>Ostvarenje</w:t>
            </w:r>
          </w:p>
        </w:tc>
        <w:tc>
          <w:tcPr>
            <w:tcW w:w="733" w:type="pct"/>
            <w:tcBorders>
              <w:top w:val="single" w:sz="4" w:space="0" w:color="auto"/>
              <w:left w:val="single" w:sz="4" w:space="0" w:color="auto"/>
              <w:bottom w:val="single" w:sz="4" w:space="0" w:color="auto"/>
              <w:right w:val="single" w:sz="4" w:space="0" w:color="auto"/>
            </w:tcBorders>
          </w:tcPr>
          <w:p w:rsidR="008E3726" w:rsidRPr="00C8677B" w:rsidRDefault="00685DD8" w:rsidP="00C8677B">
            <w:pPr>
              <w:spacing w:after="0" w:line="240" w:lineRule="auto"/>
              <w:jc w:val="center"/>
              <w:rPr>
                <w:rFonts w:cs="Calibri"/>
                <w:b/>
                <w:bCs/>
                <w:sz w:val="18"/>
                <w:szCs w:val="24"/>
              </w:rPr>
            </w:pPr>
            <w:r w:rsidRPr="00C8677B">
              <w:rPr>
                <w:rFonts w:cs="Calibri"/>
                <w:b/>
                <w:bCs/>
                <w:sz w:val="18"/>
                <w:szCs w:val="24"/>
              </w:rPr>
              <w:t>Procjena</w:t>
            </w:r>
          </w:p>
        </w:tc>
      </w:tr>
      <w:tr w:rsidR="008E3726" w:rsidRPr="00C8677B" w:rsidTr="009C3C71">
        <w:trPr>
          <w:trHeight w:val="111"/>
        </w:trPr>
        <w:tc>
          <w:tcPr>
            <w:tcW w:w="3192" w:type="pct"/>
            <w:gridSpan w:val="2"/>
            <w:vMerge/>
            <w:hideMark/>
          </w:tcPr>
          <w:p w:rsidR="008E3726" w:rsidRPr="00C8677B" w:rsidRDefault="008E3726" w:rsidP="00C8677B">
            <w:pPr>
              <w:spacing w:after="0" w:line="240" w:lineRule="auto"/>
              <w:jc w:val="both"/>
              <w:rPr>
                <w:rFonts w:cs="Calibri"/>
                <w:b/>
                <w:bCs/>
                <w:sz w:val="18"/>
                <w:szCs w:val="24"/>
              </w:rPr>
            </w:pPr>
          </w:p>
        </w:tc>
        <w:tc>
          <w:tcPr>
            <w:tcW w:w="1075" w:type="pct"/>
            <w:tcBorders>
              <w:top w:val="single" w:sz="4" w:space="0" w:color="auto"/>
            </w:tcBorders>
            <w:noWrap/>
            <w:hideMark/>
          </w:tcPr>
          <w:p w:rsidR="008E3726" w:rsidRPr="00C8677B" w:rsidRDefault="008E3726" w:rsidP="00C8677B">
            <w:pPr>
              <w:tabs>
                <w:tab w:val="left" w:pos="871"/>
              </w:tabs>
              <w:spacing w:after="0" w:line="240" w:lineRule="auto"/>
              <w:jc w:val="center"/>
              <w:rPr>
                <w:rFonts w:cs="Calibri"/>
                <w:b/>
                <w:sz w:val="18"/>
                <w:szCs w:val="24"/>
              </w:rPr>
            </w:pPr>
            <w:r w:rsidRPr="00C8677B">
              <w:rPr>
                <w:rFonts w:cs="Calibri"/>
                <w:b/>
                <w:sz w:val="18"/>
                <w:szCs w:val="24"/>
              </w:rPr>
              <w:t>2013.</w:t>
            </w:r>
          </w:p>
        </w:tc>
        <w:tc>
          <w:tcPr>
            <w:tcW w:w="733" w:type="pct"/>
            <w:tcBorders>
              <w:top w:val="single" w:sz="4" w:space="0" w:color="auto"/>
            </w:tcBorders>
            <w:noWrap/>
            <w:hideMark/>
          </w:tcPr>
          <w:p w:rsidR="008E3726" w:rsidRPr="00C8677B" w:rsidRDefault="008E3726" w:rsidP="00C8677B">
            <w:pPr>
              <w:spacing w:after="0" w:line="240" w:lineRule="auto"/>
              <w:jc w:val="center"/>
              <w:rPr>
                <w:rFonts w:cs="Calibri"/>
                <w:b/>
                <w:sz w:val="18"/>
                <w:szCs w:val="24"/>
              </w:rPr>
            </w:pPr>
            <w:r w:rsidRPr="00C8677B">
              <w:rPr>
                <w:rFonts w:cs="Calibri"/>
                <w:b/>
                <w:sz w:val="18"/>
                <w:szCs w:val="24"/>
              </w:rPr>
              <w:t>2014.</w:t>
            </w:r>
          </w:p>
        </w:tc>
      </w:tr>
      <w:tr w:rsidR="008E3726" w:rsidRPr="00C8677B" w:rsidTr="009C3C71">
        <w:trPr>
          <w:trHeight w:val="105"/>
        </w:trPr>
        <w:tc>
          <w:tcPr>
            <w:tcW w:w="1225" w:type="pct"/>
            <w:vMerge w:val="restart"/>
            <w:vAlign w:val="center"/>
            <w:hideMark/>
          </w:tcPr>
          <w:p w:rsidR="008E3726" w:rsidRPr="00C8677B" w:rsidRDefault="008E3726" w:rsidP="00C8677B">
            <w:pPr>
              <w:spacing w:after="0" w:line="240" w:lineRule="auto"/>
              <w:jc w:val="center"/>
              <w:rPr>
                <w:rFonts w:cs="Calibri"/>
                <w:b/>
                <w:bCs/>
                <w:sz w:val="18"/>
                <w:szCs w:val="24"/>
              </w:rPr>
            </w:pPr>
            <w:r w:rsidRPr="00C8677B">
              <w:rPr>
                <w:rFonts w:cs="Calibri"/>
                <w:b/>
                <w:bCs/>
                <w:sz w:val="18"/>
                <w:szCs w:val="24"/>
              </w:rPr>
              <w:t>Fiskalni pokazatelji</w:t>
            </w:r>
          </w:p>
        </w:tc>
        <w:tc>
          <w:tcPr>
            <w:tcW w:w="1967" w:type="pct"/>
            <w:shd w:val="clear" w:color="auto" w:fill="auto"/>
            <w:noWrap/>
            <w:hideMark/>
          </w:tcPr>
          <w:p w:rsidR="008E3726" w:rsidRPr="00C8677B" w:rsidRDefault="008E3726" w:rsidP="00C8677B">
            <w:pPr>
              <w:spacing w:after="0" w:line="240" w:lineRule="auto"/>
              <w:jc w:val="both"/>
              <w:rPr>
                <w:rFonts w:cs="Calibri"/>
                <w:sz w:val="18"/>
                <w:szCs w:val="24"/>
              </w:rPr>
            </w:pPr>
            <w:r w:rsidRPr="00C8677B">
              <w:rPr>
                <w:rFonts w:cs="Calibri"/>
                <w:sz w:val="18"/>
                <w:szCs w:val="24"/>
              </w:rPr>
              <w:t>Izvorni javni prihodi</w:t>
            </w:r>
          </w:p>
        </w:tc>
        <w:tc>
          <w:tcPr>
            <w:tcW w:w="1075"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42,9</w:t>
            </w:r>
          </w:p>
        </w:tc>
        <w:tc>
          <w:tcPr>
            <w:tcW w:w="733"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42,8</w:t>
            </w:r>
          </w:p>
        </w:tc>
      </w:tr>
      <w:tr w:rsidR="008E3726" w:rsidRPr="00C8677B" w:rsidTr="009C3C71">
        <w:trPr>
          <w:trHeight w:val="100"/>
        </w:trPr>
        <w:tc>
          <w:tcPr>
            <w:tcW w:w="1225" w:type="pct"/>
            <w:vMerge/>
            <w:shd w:val="clear" w:color="auto" w:fill="D3DFEE"/>
            <w:hideMark/>
          </w:tcPr>
          <w:p w:rsidR="008E3726" w:rsidRPr="00C8677B" w:rsidRDefault="008E3726" w:rsidP="00C8677B">
            <w:pPr>
              <w:spacing w:after="0" w:line="240" w:lineRule="auto"/>
              <w:jc w:val="both"/>
              <w:rPr>
                <w:rFonts w:cs="Calibri"/>
                <w:b/>
                <w:bCs/>
                <w:sz w:val="18"/>
                <w:szCs w:val="24"/>
              </w:rPr>
            </w:pPr>
          </w:p>
        </w:tc>
        <w:tc>
          <w:tcPr>
            <w:tcW w:w="1967" w:type="pct"/>
            <w:shd w:val="clear" w:color="auto" w:fill="auto"/>
            <w:noWrap/>
            <w:hideMark/>
          </w:tcPr>
          <w:p w:rsidR="008E3726" w:rsidRPr="00C8677B" w:rsidRDefault="008E3726" w:rsidP="00C8677B">
            <w:pPr>
              <w:spacing w:after="0" w:line="240" w:lineRule="auto"/>
              <w:jc w:val="both"/>
              <w:rPr>
                <w:rFonts w:cs="Calibri"/>
                <w:sz w:val="18"/>
                <w:szCs w:val="24"/>
              </w:rPr>
            </w:pPr>
            <w:r w:rsidRPr="00C8677B">
              <w:rPr>
                <w:rFonts w:cs="Calibri"/>
                <w:sz w:val="18"/>
                <w:szCs w:val="24"/>
              </w:rPr>
              <w:t>Javna potrošnja</w:t>
            </w:r>
          </w:p>
        </w:tc>
        <w:tc>
          <w:tcPr>
            <w:tcW w:w="1075"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45,</w:t>
            </w:r>
            <w:r w:rsidR="00970FBB" w:rsidRPr="00C8677B">
              <w:rPr>
                <w:rFonts w:cs="Calibri"/>
                <w:i/>
                <w:iCs/>
                <w:sz w:val="18"/>
                <w:szCs w:val="24"/>
              </w:rPr>
              <w:t>2</w:t>
            </w:r>
          </w:p>
        </w:tc>
        <w:tc>
          <w:tcPr>
            <w:tcW w:w="733"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42,3</w:t>
            </w:r>
          </w:p>
        </w:tc>
      </w:tr>
      <w:tr w:rsidR="008E3726" w:rsidRPr="00C8677B" w:rsidTr="009C3C71">
        <w:trPr>
          <w:trHeight w:val="100"/>
        </w:trPr>
        <w:tc>
          <w:tcPr>
            <w:tcW w:w="1225" w:type="pct"/>
            <w:vMerge/>
            <w:hideMark/>
          </w:tcPr>
          <w:p w:rsidR="008E3726" w:rsidRPr="00C8677B" w:rsidRDefault="008E3726" w:rsidP="00C8677B">
            <w:pPr>
              <w:spacing w:after="0" w:line="240" w:lineRule="auto"/>
              <w:jc w:val="both"/>
              <w:rPr>
                <w:rFonts w:cs="Calibri"/>
                <w:b/>
                <w:bCs/>
                <w:sz w:val="18"/>
                <w:szCs w:val="24"/>
              </w:rPr>
            </w:pPr>
          </w:p>
        </w:tc>
        <w:tc>
          <w:tcPr>
            <w:tcW w:w="1967" w:type="pct"/>
            <w:shd w:val="clear" w:color="auto" w:fill="auto"/>
            <w:noWrap/>
            <w:hideMark/>
          </w:tcPr>
          <w:p w:rsidR="008E3726" w:rsidRPr="00C8677B" w:rsidRDefault="008E3726" w:rsidP="00C8677B">
            <w:pPr>
              <w:spacing w:after="0" w:line="240" w:lineRule="auto"/>
              <w:jc w:val="both"/>
              <w:rPr>
                <w:rFonts w:cs="Calibri"/>
                <w:sz w:val="18"/>
                <w:szCs w:val="24"/>
              </w:rPr>
            </w:pPr>
            <w:r w:rsidRPr="00C8677B">
              <w:rPr>
                <w:rFonts w:cs="Calibri"/>
                <w:sz w:val="18"/>
                <w:szCs w:val="24"/>
              </w:rPr>
              <w:t>Deficit/Suficit</w:t>
            </w:r>
          </w:p>
        </w:tc>
        <w:tc>
          <w:tcPr>
            <w:tcW w:w="1075"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-2,</w:t>
            </w:r>
            <w:r w:rsidR="00970FBB" w:rsidRPr="00C8677B">
              <w:rPr>
                <w:rFonts w:cs="Calibri"/>
                <w:i/>
                <w:iCs/>
                <w:sz w:val="18"/>
                <w:szCs w:val="24"/>
              </w:rPr>
              <w:t>3</w:t>
            </w:r>
          </w:p>
        </w:tc>
        <w:tc>
          <w:tcPr>
            <w:tcW w:w="733"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0,5</w:t>
            </w:r>
          </w:p>
        </w:tc>
      </w:tr>
      <w:tr w:rsidR="008E3726" w:rsidRPr="00C8677B" w:rsidTr="009C3C71">
        <w:trPr>
          <w:trHeight w:val="100"/>
        </w:trPr>
        <w:tc>
          <w:tcPr>
            <w:tcW w:w="1225" w:type="pct"/>
            <w:vMerge/>
            <w:shd w:val="clear" w:color="auto" w:fill="D3DFEE"/>
            <w:hideMark/>
          </w:tcPr>
          <w:p w:rsidR="008E3726" w:rsidRPr="00C8677B" w:rsidRDefault="008E3726" w:rsidP="00C8677B">
            <w:pPr>
              <w:spacing w:after="0" w:line="240" w:lineRule="auto"/>
              <w:jc w:val="both"/>
              <w:rPr>
                <w:rFonts w:cs="Calibri"/>
                <w:b/>
                <w:bCs/>
                <w:sz w:val="18"/>
                <w:szCs w:val="24"/>
              </w:rPr>
            </w:pPr>
          </w:p>
        </w:tc>
        <w:tc>
          <w:tcPr>
            <w:tcW w:w="1967" w:type="pct"/>
            <w:shd w:val="clear" w:color="auto" w:fill="auto"/>
            <w:noWrap/>
            <w:hideMark/>
          </w:tcPr>
          <w:p w:rsidR="008E3726" w:rsidRPr="00C8677B" w:rsidRDefault="008E3726" w:rsidP="00C8677B">
            <w:pPr>
              <w:spacing w:after="0" w:line="240" w:lineRule="auto"/>
              <w:jc w:val="both"/>
              <w:rPr>
                <w:rFonts w:cs="Calibri"/>
                <w:sz w:val="18"/>
                <w:szCs w:val="24"/>
              </w:rPr>
            </w:pPr>
            <w:r w:rsidRPr="00C8677B">
              <w:rPr>
                <w:rFonts w:cs="Calibri"/>
                <w:sz w:val="18"/>
                <w:szCs w:val="24"/>
              </w:rPr>
              <w:t>Kamate</w:t>
            </w:r>
          </w:p>
        </w:tc>
        <w:tc>
          <w:tcPr>
            <w:tcW w:w="1075"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2,1</w:t>
            </w:r>
          </w:p>
        </w:tc>
        <w:tc>
          <w:tcPr>
            <w:tcW w:w="733"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2,2</w:t>
            </w:r>
          </w:p>
        </w:tc>
      </w:tr>
      <w:tr w:rsidR="008E3726" w:rsidRPr="00C8677B" w:rsidTr="009C3C71">
        <w:trPr>
          <w:trHeight w:val="100"/>
        </w:trPr>
        <w:tc>
          <w:tcPr>
            <w:tcW w:w="1225" w:type="pct"/>
            <w:vMerge/>
            <w:hideMark/>
          </w:tcPr>
          <w:p w:rsidR="008E3726" w:rsidRPr="00C8677B" w:rsidRDefault="008E3726" w:rsidP="00C8677B">
            <w:pPr>
              <w:spacing w:after="0" w:line="240" w:lineRule="auto"/>
              <w:jc w:val="both"/>
              <w:rPr>
                <w:rFonts w:cs="Calibri"/>
                <w:b/>
                <w:bCs/>
                <w:sz w:val="18"/>
                <w:szCs w:val="24"/>
              </w:rPr>
            </w:pPr>
          </w:p>
        </w:tc>
        <w:tc>
          <w:tcPr>
            <w:tcW w:w="1967" w:type="pct"/>
            <w:shd w:val="clear" w:color="auto" w:fill="auto"/>
            <w:noWrap/>
            <w:hideMark/>
          </w:tcPr>
          <w:p w:rsidR="008E3726" w:rsidRPr="00C8677B" w:rsidRDefault="008E3726" w:rsidP="00C8677B">
            <w:pPr>
              <w:spacing w:after="0" w:line="240" w:lineRule="auto"/>
              <w:jc w:val="both"/>
              <w:rPr>
                <w:rFonts w:cs="Calibri"/>
                <w:sz w:val="18"/>
                <w:szCs w:val="24"/>
              </w:rPr>
            </w:pPr>
            <w:r w:rsidRPr="00C8677B">
              <w:rPr>
                <w:rFonts w:cs="Calibri"/>
                <w:sz w:val="18"/>
                <w:szCs w:val="24"/>
              </w:rPr>
              <w:t>Primarni deficit/suficit</w:t>
            </w:r>
          </w:p>
        </w:tc>
        <w:tc>
          <w:tcPr>
            <w:tcW w:w="1075"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-0,</w:t>
            </w:r>
            <w:r w:rsidR="00970FBB" w:rsidRPr="00C8677B">
              <w:rPr>
                <w:rFonts w:cs="Calibri"/>
                <w:i/>
                <w:iCs/>
                <w:sz w:val="18"/>
                <w:szCs w:val="24"/>
              </w:rPr>
              <w:t>2</w:t>
            </w:r>
          </w:p>
        </w:tc>
        <w:tc>
          <w:tcPr>
            <w:tcW w:w="733" w:type="pct"/>
            <w:shd w:val="clear" w:color="auto" w:fill="auto"/>
            <w:hideMark/>
          </w:tcPr>
          <w:p w:rsidR="008E3726" w:rsidRPr="00C8677B" w:rsidRDefault="008E3726" w:rsidP="00C8677B">
            <w:pPr>
              <w:spacing w:after="0" w:line="240" w:lineRule="auto"/>
              <w:jc w:val="center"/>
              <w:rPr>
                <w:rFonts w:cs="Calibri"/>
                <w:i/>
                <w:iCs/>
                <w:sz w:val="18"/>
                <w:szCs w:val="24"/>
              </w:rPr>
            </w:pPr>
            <w:r w:rsidRPr="00C8677B">
              <w:rPr>
                <w:rFonts w:cs="Calibri"/>
                <w:i/>
                <w:iCs/>
                <w:sz w:val="18"/>
                <w:szCs w:val="24"/>
              </w:rPr>
              <w:t>2,7</w:t>
            </w:r>
          </w:p>
        </w:tc>
      </w:tr>
      <w:tr w:rsidR="008E3726" w:rsidRPr="00C8677B" w:rsidTr="009C3C71">
        <w:trPr>
          <w:trHeight w:val="223"/>
        </w:trPr>
        <w:tc>
          <w:tcPr>
            <w:tcW w:w="1225" w:type="pct"/>
            <w:vMerge/>
            <w:shd w:val="clear" w:color="auto" w:fill="D3DFEE"/>
            <w:hideMark/>
          </w:tcPr>
          <w:p w:rsidR="008E3726" w:rsidRPr="00C8677B" w:rsidRDefault="008E3726" w:rsidP="00C8677B">
            <w:pPr>
              <w:spacing w:after="0" w:line="240" w:lineRule="auto"/>
              <w:jc w:val="both"/>
              <w:rPr>
                <w:rFonts w:cs="Calibri"/>
                <w:b/>
                <w:bCs/>
                <w:sz w:val="18"/>
                <w:szCs w:val="24"/>
              </w:rPr>
            </w:pPr>
          </w:p>
        </w:tc>
        <w:tc>
          <w:tcPr>
            <w:tcW w:w="1967" w:type="pct"/>
            <w:shd w:val="clear" w:color="auto" w:fill="auto"/>
            <w:noWrap/>
            <w:hideMark/>
          </w:tcPr>
          <w:p w:rsidR="008E3726" w:rsidRPr="00C8677B" w:rsidRDefault="008E3726" w:rsidP="00C8677B">
            <w:pPr>
              <w:spacing w:after="0" w:line="240" w:lineRule="auto"/>
              <w:jc w:val="both"/>
              <w:rPr>
                <w:rFonts w:cs="Calibri"/>
                <w:sz w:val="18"/>
                <w:szCs w:val="24"/>
              </w:rPr>
            </w:pPr>
            <w:r w:rsidRPr="00C8677B">
              <w:rPr>
                <w:rFonts w:cs="Calibri"/>
                <w:sz w:val="18"/>
                <w:szCs w:val="24"/>
              </w:rPr>
              <w:t>Državni dug</w:t>
            </w:r>
          </w:p>
        </w:tc>
        <w:tc>
          <w:tcPr>
            <w:tcW w:w="1075" w:type="pct"/>
            <w:shd w:val="clear" w:color="auto" w:fill="auto"/>
            <w:noWrap/>
            <w:hideMark/>
          </w:tcPr>
          <w:p w:rsidR="008E3726" w:rsidRPr="00C8677B" w:rsidRDefault="008E3726" w:rsidP="00C8677B">
            <w:pPr>
              <w:spacing w:after="0" w:line="240" w:lineRule="auto"/>
              <w:jc w:val="center"/>
              <w:rPr>
                <w:rFonts w:cs="Calibri"/>
                <w:i/>
                <w:iCs/>
                <w:sz w:val="18"/>
                <w:szCs w:val="24"/>
                <w:highlight w:val="yellow"/>
              </w:rPr>
            </w:pPr>
            <w:r w:rsidRPr="00C8677B">
              <w:rPr>
                <w:rFonts w:cs="Calibri"/>
                <w:i/>
                <w:iCs/>
                <w:sz w:val="18"/>
                <w:szCs w:val="24"/>
              </w:rPr>
              <w:t>58,0</w:t>
            </w:r>
          </w:p>
        </w:tc>
        <w:tc>
          <w:tcPr>
            <w:tcW w:w="733" w:type="pct"/>
            <w:shd w:val="clear" w:color="auto" w:fill="auto"/>
            <w:noWrap/>
            <w:hideMark/>
          </w:tcPr>
          <w:p w:rsidR="008E3726" w:rsidRPr="00C8677B" w:rsidRDefault="00970FBB" w:rsidP="00C8677B">
            <w:pPr>
              <w:spacing w:after="0" w:line="240" w:lineRule="auto"/>
              <w:jc w:val="center"/>
              <w:rPr>
                <w:rFonts w:cs="Calibri"/>
                <w:i/>
                <w:iCs/>
                <w:sz w:val="18"/>
                <w:szCs w:val="24"/>
                <w:highlight w:val="yellow"/>
              </w:rPr>
            </w:pPr>
            <w:r w:rsidRPr="00C8677B">
              <w:rPr>
                <w:rFonts w:cs="Calibri"/>
                <w:i/>
                <w:iCs/>
                <w:sz w:val="18"/>
                <w:szCs w:val="24"/>
              </w:rPr>
              <w:t>58,1</w:t>
            </w:r>
          </w:p>
        </w:tc>
      </w:tr>
    </w:tbl>
    <w:p w:rsidR="00685DD8" w:rsidRPr="004050DF" w:rsidRDefault="00685DD8" w:rsidP="00C8677B">
      <w:pPr>
        <w:spacing w:after="0" w:line="240" w:lineRule="auto"/>
        <w:rPr>
          <w:i/>
          <w:sz w:val="16"/>
          <w:szCs w:val="20"/>
        </w:rPr>
      </w:pPr>
      <w:bookmarkStart w:id="27" w:name="_Toc389223767"/>
      <w:r w:rsidRPr="004050DF">
        <w:rPr>
          <w:i/>
          <w:sz w:val="16"/>
          <w:szCs w:val="20"/>
        </w:rPr>
        <w:t xml:space="preserve">Izvor: </w:t>
      </w:r>
      <w:r>
        <w:rPr>
          <w:i/>
          <w:sz w:val="16"/>
          <w:szCs w:val="20"/>
        </w:rPr>
        <w:t>Smjernice makroekonomske i fiskalne politike 2014-2017.</w:t>
      </w:r>
    </w:p>
    <w:p w:rsidR="00685DD8" w:rsidRDefault="00685DD8" w:rsidP="00C8677B">
      <w:pPr>
        <w:pStyle w:val="Heading2"/>
        <w:numPr>
          <w:ilvl w:val="0"/>
          <w:numId w:val="0"/>
        </w:numPr>
        <w:spacing w:after="0" w:line="240" w:lineRule="auto"/>
        <w:ind w:left="576"/>
      </w:pPr>
    </w:p>
    <w:p w:rsidR="008E3726" w:rsidRPr="00C8677B" w:rsidRDefault="008E3726" w:rsidP="00C8677B">
      <w:pPr>
        <w:pStyle w:val="Heading2"/>
        <w:spacing w:after="0" w:line="240" w:lineRule="auto"/>
        <w:rPr>
          <w:sz w:val="24"/>
        </w:rPr>
      </w:pPr>
      <w:bookmarkStart w:id="28" w:name="_Toc389745278"/>
      <w:r w:rsidRPr="00C8677B">
        <w:rPr>
          <w:sz w:val="24"/>
        </w:rPr>
        <w:t>JAVNE FINANSIJE U 2013. GODINI</w:t>
      </w:r>
      <w:bookmarkEnd w:id="27"/>
      <w:bookmarkEnd w:id="28"/>
    </w:p>
    <w:p w:rsidR="008E3726" w:rsidRPr="009D407D" w:rsidRDefault="008E3726" w:rsidP="00C8677B">
      <w:pPr>
        <w:spacing w:after="0" w:line="240" w:lineRule="auto"/>
      </w:pPr>
    </w:p>
    <w:p w:rsidR="008E3726" w:rsidRDefault="005664C0" w:rsidP="00C8677B">
      <w:pPr>
        <w:spacing w:after="0" w:line="240" w:lineRule="auto"/>
        <w:jc w:val="both"/>
        <w:rPr>
          <w:rFonts w:eastAsia="Times New Roman" w:cstheme="minorHAnsi"/>
          <w:lang w:val="hr-BA"/>
        </w:rPr>
      </w:pPr>
      <w:r w:rsidRPr="001413FE">
        <w:rPr>
          <w:b/>
        </w:rPr>
        <w:t>Politika javnih finansija u 2013. godini bila je usmjerena je na konsolidaciju javnih finansija, održivost javnog duga i smanjenje deficita javne potrošnje</w:t>
      </w:r>
      <w:r w:rsidRPr="001413FE">
        <w:t>. Već početkom 2013. godine uveden je set kriznih mjera fiskalnog prilagođavanja sa ciljem zaustavljanja trenda pogoršanja fiskaln</w:t>
      </w:r>
      <w:r>
        <w:t xml:space="preserve">ih parametara, tj. pada prihoda. </w:t>
      </w:r>
      <w:r w:rsidRPr="001413FE">
        <w:t>Uspješnom primjenom ovih mjera, u 2013. godini prihodi su povećani i bili su iznad planiranih, odnosno prihoda ostvarenih u 2012, što se pozitivno odrazilo na fiskalnu konsolidaciju i stabilizaciju javnih finansija.</w:t>
      </w:r>
      <w:r>
        <w:t xml:space="preserve"> </w:t>
      </w:r>
      <w:r w:rsidR="008E3726">
        <w:rPr>
          <w:rFonts w:eastAsia="Times New Roman" w:cstheme="minorHAnsi"/>
          <w:lang w:val="hr-BA"/>
        </w:rPr>
        <w:t>Kada se izuzmu neplanirane</w:t>
      </w:r>
      <w:r w:rsidR="008E3726" w:rsidRPr="00AF3022">
        <w:rPr>
          <w:rFonts w:eastAsia="Times New Roman" w:cstheme="minorHAnsi"/>
          <w:lang w:val="hr-BA"/>
        </w:rPr>
        <w:t xml:space="preserve"> isplat</w:t>
      </w:r>
      <w:r w:rsidR="008E3726">
        <w:rPr>
          <w:rFonts w:eastAsia="Times New Roman" w:cstheme="minorHAnsi"/>
          <w:lang w:val="hr-BA"/>
        </w:rPr>
        <w:t>e</w:t>
      </w:r>
      <w:r w:rsidR="008E3726" w:rsidRPr="00AF3022">
        <w:rPr>
          <w:rFonts w:eastAsia="Times New Roman" w:cstheme="minorHAnsi"/>
          <w:lang w:val="hr-BA"/>
        </w:rPr>
        <w:t xml:space="preserve"> za državne garancije u 2013. godini od 3</w:t>
      </w:r>
      <w:r>
        <w:rPr>
          <w:rFonts w:eastAsia="Times New Roman" w:cstheme="minorHAnsi"/>
          <w:lang w:val="hr-BA"/>
        </w:rPr>
        <w:t>,2</w:t>
      </w:r>
      <w:r w:rsidR="008E3726" w:rsidRPr="00AF3022">
        <w:rPr>
          <w:rFonts w:eastAsia="Times New Roman" w:cstheme="minorHAnsi"/>
          <w:lang w:val="hr-BA"/>
        </w:rPr>
        <w:t xml:space="preserve">% BDP-a, </w:t>
      </w:r>
      <w:r w:rsidR="008E3726" w:rsidRPr="007E0B1C">
        <w:rPr>
          <w:rFonts w:eastAsia="Times New Roman" w:cstheme="minorHAnsi"/>
          <w:lang w:val="hr-BA"/>
        </w:rPr>
        <w:t>javne finansije bilježe suficit.</w:t>
      </w:r>
    </w:p>
    <w:p w:rsidR="00C8677B" w:rsidRPr="005664C0" w:rsidRDefault="00C8677B" w:rsidP="00C8677B">
      <w:pPr>
        <w:spacing w:after="0" w:line="240" w:lineRule="auto"/>
        <w:jc w:val="both"/>
      </w:pPr>
    </w:p>
    <w:p w:rsidR="008E3726" w:rsidRPr="00AF3022" w:rsidRDefault="00685DD8" w:rsidP="00C8677B">
      <w:pPr>
        <w:spacing w:after="0" w:line="240" w:lineRule="auto"/>
        <w:jc w:val="both"/>
        <w:rPr>
          <w:rFonts w:eastAsia="Times New Roman" w:cstheme="minorHAnsi"/>
          <w:lang w:val="hr-BA"/>
        </w:rPr>
      </w:pPr>
      <w:r w:rsidRPr="00A44B7F">
        <w:rPr>
          <w:b/>
        </w:rPr>
        <w:t xml:space="preserve">Javni prihodi </w:t>
      </w:r>
      <w:r>
        <w:rPr>
          <w:b/>
        </w:rPr>
        <w:t>u 2013.</w:t>
      </w:r>
      <w:r w:rsidRPr="00A44B7F">
        <w:rPr>
          <w:b/>
        </w:rPr>
        <w:t xml:space="preserve"> </w:t>
      </w:r>
      <w:r>
        <w:rPr>
          <w:b/>
        </w:rPr>
        <w:t>r</w:t>
      </w:r>
      <w:r w:rsidRPr="00A44B7F">
        <w:rPr>
          <w:b/>
        </w:rPr>
        <w:t>asli</w:t>
      </w:r>
      <w:r>
        <w:rPr>
          <w:b/>
        </w:rPr>
        <w:t xml:space="preserve"> su</w:t>
      </w:r>
      <w:r w:rsidRPr="00A44B7F">
        <w:rPr>
          <w:b/>
        </w:rPr>
        <w:t xml:space="preserve"> pod uticajem rasta poreskih stopa, efikasnije naplate prihoda i ekonomskog rasta</w:t>
      </w:r>
      <w:r>
        <w:t xml:space="preserve">. </w:t>
      </w:r>
      <w:r w:rsidR="008E3726" w:rsidRPr="00AF3022">
        <w:rPr>
          <w:rFonts w:eastAsia="Times New Roman" w:cstheme="minorHAnsi"/>
          <w:lang w:val="hr-BA"/>
        </w:rPr>
        <w:t xml:space="preserve">Javni prihodi </w:t>
      </w:r>
      <w:r w:rsidR="005664C0">
        <w:rPr>
          <w:rFonts w:eastAsia="Times New Roman" w:cstheme="minorHAnsi"/>
          <w:lang w:val="hr-BA"/>
        </w:rPr>
        <w:t>su iznosili</w:t>
      </w:r>
      <w:r w:rsidR="008E3726" w:rsidRPr="00AF3022">
        <w:rPr>
          <w:rFonts w:eastAsia="Times New Roman" w:cstheme="minorHAnsi"/>
          <w:lang w:val="hr-BA"/>
        </w:rPr>
        <w:t xml:space="preserve"> 1.430,</w:t>
      </w:r>
      <w:r w:rsidR="007E0B1C">
        <w:rPr>
          <w:rFonts w:eastAsia="Times New Roman" w:cstheme="minorHAnsi"/>
          <w:lang w:val="hr-BA"/>
        </w:rPr>
        <w:t>1</w:t>
      </w:r>
      <w:r w:rsidR="008E3726" w:rsidRPr="00AF3022">
        <w:rPr>
          <w:rFonts w:eastAsia="Times New Roman" w:cstheme="minorHAnsi"/>
          <w:lang w:val="hr-BA"/>
        </w:rPr>
        <w:t xml:space="preserve"> mil. € ili 42,9%</w:t>
      </w:r>
      <w:r w:rsidR="008E3726">
        <w:rPr>
          <w:rFonts w:eastAsia="Times New Roman" w:cstheme="minorHAnsi"/>
          <w:lang w:val="hr-BA"/>
        </w:rPr>
        <w:t xml:space="preserve"> </w:t>
      </w:r>
      <w:r w:rsidR="005664C0">
        <w:rPr>
          <w:rFonts w:eastAsia="Times New Roman" w:cstheme="minorHAnsi"/>
          <w:lang w:val="hr-BA"/>
        </w:rPr>
        <w:t>BDP-a, što u odnosu na</w:t>
      </w:r>
      <w:r w:rsidR="008E3726">
        <w:rPr>
          <w:rFonts w:eastAsia="Times New Roman" w:cstheme="minorHAnsi"/>
          <w:lang w:val="hr-BA"/>
        </w:rPr>
        <w:t xml:space="preserve"> 2012. godinu</w:t>
      </w:r>
      <w:r w:rsidR="008E3726" w:rsidRPr="00AF3022">
        <w:rPr>
          <w:rFonts w:eastAsia="Times New Roman" w:cstheme="minorHAnsi"/>
          <w:lang w:val="hr-BA"/>
        </w:rPr>
        <w:t xml:space="preserve"> </w:t>
      </w:r>
      <w:r w:rsidR="005664C0">
        <w:rPr>
          <w:rFonts w:eastAsia="Times New Roman" w:cstheme="minorHAnsi"/>
          <w:lang w:val="hr-BA"/>
        </w:rPr>
        <w:t>predstavlja rast</w:t>
      </w:r>
      <w:r w:rsidR="008E3726" w:rsidRPr="00AF3022">
        <w:rPr>
          <w:rFonts w:eastAsia="Times New Roman" w:cstheme="minorHAnsi"/>
          <w:lang w:val="hr-BA"/>
        </w:rPr>
        <w:t xml:space="preserve"> za </w:t>
      </w:r>
      <w:r w:rsidR="007E0B1C">
        <w:rPr>
          <w:rFonts w:eastAsia="Times New Roman" w:cstheme="minorHAnsi"/>
          <w:lang w:val="hr-BA"/>
        </w:rPr>
        <w:t>9,1</w:t>
      </w:r>
      <w:r w:rsidR="008E3726" w:rsidRPr="00AF3022">
        <w:rPr>
          <w:rFonts w:eastAsia="Times New Roman" w:cstheme="minorHAnsi"/>
          <w:lang w:val="hr-BA"/>
        </w:rPr>
        <w:t>%</w:t>
      </w:r>
      <w:r w:rsidR="005664C0">
        <w:rPr>
          <w:rFonts w:eastAsia="Times New Roman" w:cstheme="minorHAnsi"/>
          <w:lang w:val="hr-BA"/>
        </w:rPr>
        <w:t xml:space="preserve"> ili </w:t>
      </w:r>
      <w:r w:rsidR="008E3726" w:rsidRPr="00AF3022">
        <w:rPr>
          <w:rFonts w:eastAsia="Times New Roman" w:cstheme="minorHAnsi"/>
          <w:lang w:val="hr-BA"/>
        </w:rPr>
        <w:t>nominaln</w:t>
      </w:r>
      <w:r w:rsidR="005664C0">
        <w:rPr>
          <w:rFonts w:eastAsia="Times New Roman" w:cstheme="minorHAnsi"/>
          <w:lang w:val="hr-BA"/>
        </w:rPr>
        <w:t>o</w:t>
      </w:r>
      <w:r w:rsidR="008E3726" w:rsidRPr="00AF3022">
        <w:rPr>
          <w:rFonts w:eastAsia="Times New Roman" w:cstheme="minorHAnsi"/>
          <w:lang w:val="hr-BA"/>
        </w:rPr>
        <w:t xml:space="preserve"> </w:t>
      </w:r>
      <w:r w:rsidR="007E0B1C">
        <w:rPr>
          <w:rFonts w:eastAsia="Times New Roman" w:cstheme="minorHAnsi"/>
          <w:lang w:val="hr-BA"/>
        </w:rPr>
        <w:t>119,1</w:t>
      </w:r>
      <w:r w:rsidR="008E3726" w:rsidRPr="00AF3022">
        <w:rPr>
          <w:rFonts w:eastAsia="Times New Roman" w:cstheme="minorHAnsi"/>
          <w:lang w:val="hr-BA"/>
        </w:rPr>
        <w:t xml:space="preserve"> mil. €</w:t>
      </w:r>
      <w:r w:rsidR="005664C0">
        <w:rPr>
          <w:rFonts w:eastAsia="Times New Roman" w:cstheme="minorHAnsi"/>
          <w:lang w:val="hr-BA"/>
        </w:rPr>
        <w:t xml:space="preserve"> više</w:t>
      </w:r>
      <w:r w:rsidR="008E3726" w:rsidRPr="00AF3022">
        <w:rPr>
          <w:rFonts w:eastAsia="Times New Roman" w:cstheme="minorHAnsi"/>
          <w:lang w:val="hr-BA"/>
        </w:rPr>
        <w:t xml:space="preserve">. Rast prihoda rezultat je primjene mjera na suzbijanju sive ekonomije, oporavka ekonomske aktivnosti, kao i uvođenja viših poreskih stopa. </w:t>
      </w:r>
    </w:p>
    <w:p w:rsidR="008E3726" w:rsidRPr="00AF3022" w:rsidRDefault="008E3726" w:rsidP="00C8677B">
      <w:pPr>
        <w:spacing w:after="0" w:line="240" w:lineRule="auto"/>
        <w:jc w:val="both"/>
        <w:rPr>
          <w:rFonts w:eastAsia="Times New Roman" w:cstheme="minorHAnsi"/>
          <w:lang w:val="hr-BA"/>
        </w:rPr>
      </w:pPr>
    </w:p>
    <w:p w:rsidR="008E3726" w:rsidRDefault="008E3726" w:rsidP="00C8677B">
      <w:pPr>
        <w:spacing w:after="0" w:line="240" w:lineRule="auto"/>
        <w:jc w:val="both"/>
        <w:rPr>
          <w:lang w:val="hr-BA"/>
        </w:rPr>
      </w:pPr>
      <w:r w:rsidRPr="005664C0">
        <w:rPr>
          <w:rFonts w:eastAsia="Times New Roman" w:cstheme="minorHAnsi"/>
          <w:b/>
          <w:lang w:val="hr-BA"/>
        </w:rPr>
        <w:t>Javna potrošnja za 2013. godinu iznosila je 1.505,2 mil. €, što predstavlja 45,1% procijenjenog BDP-a (3.335,9 mil. €) i u odnosu na isti period 2012</w:t>
      </w:r>
      <w:r w:rsidR="007E0B1C">
        <w:rPr>
          <w:rFonts w:eastAsia="Times New Roman" w:cstheme="minorHAnsi"/>
          <w:b/>
          <w:lang w:val="hr-BA"/>
        </w:rPr>
        <w:t xml:space="preserve"> bilježi blagi rast</w:t>
      </w:r>
      <w:r w:rsidRPr="005664C0">
        <w:rPr>
          <w:rFonts w:eastAsia="Times New Roman" w:cstheme="minorHAnsi"/>
          <w:b/>
          <w:lang w:val="hr-BA"/>
        </w:rPr>
        <w:t>.</w:t>
      </w:r>
      <w:r w:rsidRPr="00AF3022">
        <w:rPr>
          <w:rFonts w:eastAsia="Times New Roman" w:cstheme="minorHAnsi"/>
          <w:lang w:val="hr-BA"/>
        </w:rPr>
        <w:t xml:space="preserve"> </w:t>
      </w:r>
      <w:r w:rsidR="007E0B1C">
        <w:rPr>
          <w:rFonts w:eastAsia="Times New Roman" w:cstheme="minorHAnsi"/>
          <w:lang w:val="hr-BA"/>
        </w:rPr>
        <w:t>Sporijem rastu javne potrošnje</w:t>
      </w:r>
      <w:r w:rsidRPr="00AF3022">
        <w:rPr>
          <w:rFonts w:eastAsia="Times New Roman" w:cstheme="minorHAnsi"/>
          <w:lang w:val="hr-BA"/>
        </w:rPr>
        <w:t xml:space="preserve"> doprinijele </w:t>
      </w:r>
      <w:r w:rsidR="007E0B1C">
        <w:rPr>
          <w:rFonts w:eastAsia="Times New Roman" w:cstheme="minorHAnsi"/>
          <w:lang w:val="hr-BA"/>
        </w:rPr>
        <w:t xml:space="preserve">su </w:t>
      </w:r>
      <w:r w:rsidR="005664C0" w:rsidRPr="001413FE">
        <w:t>mjere</w:t>
      </w:r>
      <w:r w:rsidR="005664C0" w:rsidRPr="0092195A">
        <w:rPr>
          <w:lang w:val="hr-BA"/>
        </w:rPr>
        <w:t xml:space="preserve"> š</w:t>
      </w:r>
      <w:r w:rsidR="005664C0" w:rsidRPr="001413FE">
        <w:t>tednje</w:t>
      </w:r>
      <w:r w:rsidR="005664C0" w:rsidRPr="0092195A">
        <w:rPr>
          <w:lang w:val="hr-BA"/>
        </w:rPr>
        <w:t xml:space="preserve"> </w:t>
      </w:r>
      <w:r w:rsidR="005664C0" w:rsidRPr="001413FE">
        <w:t>koje</w:t>
      </w:r>
      <w:r w:rsidR="005664C0" w:rsidRPr="0092195A">
        <w:rPr>
          <w:lang w:val="hr-BA"/>
        </w:rPr>
        <w:t xml:space="preserve"> </w:t>
      </w:r>
      <w:r w:rsidR="005664C0" w:rsidRPr="001413FE">
        <w:t>su</w:t>
      </w:r>
      <w:r w:rsidR="005664C0" w:rsidRPr="0092195A">
        <w:rPr>
          <w:lang w:val="hr-BA"/>
        </w:rPr>
        <w:t xml:space="preserve"> </w:t>
      </w:r>
      <w:r w:rsidR="005664C0" w:rsidRPr="001413FE">
        <w:t>realizovane</w:t>
      </w:r>
      <w:r w:rsidR="005664C0" w:rsidRPr="0092195A">
        <w:rPr>
          <w:lang w:val="hr-BA"/>
        </w:rPr>
        <w:t xml:space="preserve"> </w:t>
      </w:r>
      <w:r w:rsidR="005664C0" w:rsidRPr="001413FE">
        <w:t>u</w:t>
      </w:r>
      <w:r w:rsidR="005664C0" w:rsidRPr="0092195A">
        <w:rPr>
          <w:lang w:val="hr-BA"/>
        </w:rPr>
        <w:t xml:space="preserve"> 2013, </w:t>
      </w:r>
      <w:r w:rsidR="005664C0" w:rsidRPr="001413FE">
        <w:t>a</w:t>
      </w:r>
      <w:r w:rsidR="005664C0" w:rsidRPr="0092195A">
        <w:rPr>
          <w:lang w:val="hr-BA"/>
        </w:rPr>
        <w:t xml:space="preserve"> </w:t>
      </w:r>
      <w:r w:rsidR="005664C0" w:rsidRPr="001413FE">
        <w:t>odnose</w:t>
      </w:r>
      <w:r w:rsidR="005664C0" w:rsidRPr="0092195A">
        <w:rPr>
          <w:lang w:val="hr-BA"/>
        </w:rPr>
        <w:t xml:space="preserve"> </w:t>
      </w:r>
      <w:r w:rsidR="005664C0" w:rsidRPr="001413FE">
        <w:t>se</w:t>
      </w:r>
      <w:r w:rsidR="005664C0" w:rsidRPr="0092195A">
        <w:rPr>
          <w:lang w:val="hr-BA"/>
        </w:rPr>
        <w:t xml:space="preserve"> </w:t>
      </w:r>
      <w:r w:rsidR="005664C0" w:rsidRPr="001413FE">
        <w:t>na</w:t>
      </w:r>
      <w:r w:rsidR="005664C0" w:rsidRPr="0092195A">
        <w:rPr>
          <w:lang w:val="hr-BA"/>
        </w:rPr>
        <w:t xml:space="preserve"> </w:t>
      </w:r>
      <w:r w:rsidR="005664C0" w:rsidRPr="001413FE">
        <w:t>zamrzavanje</w:t>
      </w:r>
      <w:r w:rsidR="005664C0" w:rsidRPr="0092195A">
        <w:rPr>
          <w:lang w:val="hr-BA"/>
        </w:rPr>
        <w:t xml:space="preserve"> </w:t>
      </w:r>
      <w:r w:rsidR="005664C0" w:rsidRPr="001413FE">
        <w:t>rasta</w:t>
      </w:r>
      <w:r w:rsidR="005664C0" w:rsidRPr="0092195A">
        <w:rPr>
          <w:lang w:val="hr-BA"/>
        </w:rPr>
        <w:t xml:space="preserve"> </w:t>
      </w:r>
      <w:r w:rsidR="005664C0" w:rsidRPr="001413FE">
        <w:t>penzija</w:t>
      </w:r>
      <w:r w:rsidR="005664C0" w:rsidRPr="0092195A">
        <w:rPr>
          <w:lang w:val="hr-BA"/>
        </w:rPr>
        <w:t xml:space="preserve"> </w:t>
      </w:r>
      <w:r w:rsidR="005664C0" w:rsidRPr="001413FE">
        <w:t>i</w:t>
      </w:r>
      <w:r w:rsidR="005664C0" w:rsidRPr="0092195A">
        <w:rPr>
          <w:lang w:val="hr-BA"/>
        </w:rPr>
        <w:t xml:space="preserve"> </w:t>
      </w:r>
      <w:r w:rsidR="005664C0" w:rsidRPr="001413FE">
        <w:t>smanjenje</w:t>
      </w:r>
      <w:r w:rsidR="005664C0" w:rsidRPr="0092195A">
        <w:rPr>
          <w:lang w:val="hr-BA"/>
        </w:rPr>
        <w:t xml:space="preserve"> </w:t>
      </w:r>
      <w:r w:rsidR="005664C0" w:rsidRPr="001413FE">
        <w:t>tro</w:t>
      </w:r>
      <w:r w:rsidR="005664C0" w:rsidRPr="0092195A">
        <w:rPr>
          <w:lang w:val="hr-BA"/>
        </w:rPr>
        <w:t>š</w:t>
      </w:r>
      <w:r w:rsidR="005664C0" w:rsidRPr="001413FE">
        <w:t>kova</w:t>
      </w:r>
      <w:r w:rsidR="005664C0" w:rsidRPr="0092195A">
        <w:rPr>
          <w:lang w:val="hr-BA"/>
        </w:rPr>
        <w:t xml:space="preserve"> </w:t>
      </w:r>
      <w:r w:rsidR="005664C0" w:rsidRPr="001413FE">
        <w:t>u</w:t>
      </w:r>
      <w:r w:rsidR="005664C0" w:rsidRPr="0092195A">
        <w:rPr>
          <w:lang w:val="hr-BA"/>
        </w:rPr>
        <w:t xml:space="preserve"> </w:t>
      </w:r>
      <w:r w:rsidR="005664C0" w:rsidRPr="001413FE">
        <w:t>javnom</w:t>
      </w:r>
      <w:r w:rsidR="005664C0" w:rsidRPr="0092195A">
        <w:rPr>
          <w:lang w:val="hr-BA"/>
        </w:rPr>
        <w:t xml:space="preserve"> </w:t>
      </w:r>
      <w:r w:rsidR="005664C0" w:rsidRPr="001413FE">
        <w:t>sektoru</w:t>
      </w:r>
      <w:r w:rsidR="005664C0" w:rsidRPr="0092195A">
        <w:rPr>
          <w:lang w:val="hr-BA"/>
        </w:rPr>
        <w:t>.</w:t>
      </w:r>
    </w:p>
    <w:p w:rsidR="00C8677B" w:rsidRPr="0092195A" w:rsidRDefault="00C8677B" w:rsidP="00C8677B">
      <w:pPr>
        <w:spacing w:after="0" w:line="240" w:lineRule="auto"/>
        <w:jc w:val="both"/>
        <w:rPr>
          <w:lang w:val="hr-BA"/>
        </w:rPr>
      </w:pPr>
    </w:p>
    <w:p w:rsidR="008E3726" w:rsidRPr="00970FBB" w:rsidRDefault="008E3726" w:rsidP="00C8677B">
      <w:pPr>
        <w:spacing w:after="0" w:line="240" w:lineRule="auto"/>
        <w:jc w:val="both"/>
        <w:rPr>
          <w:rFonts w:eastAsia="Times New Roman" w:cstheme="minorHAnsi"/>
          <w:b/>
          <w:lang w:val="hr-BA"/>
        </w:rPr>
      </w:pPr>
      <w:r w:rsidRPr="00970FBB">
        <w:rPr>
          <w:rFonts w:eastAsia="Times New Roman" w:cstheme="minorHAnsi"/>
          <w:b/>
          <w:lang w:val="hr-BA"/>
        </w:rPr>
        <w:t>Deficit javnog sektora</w:t>
      </w:r>
      <w:r w:rsidR="00970FBB" w:rsidRPr="00970FBB">
        <w:rPr>
          <w:rFonts w:eastAsia="Times New Roman" w:cstheme="minorHAnsi"/>
          <w:b/>
          <w:lang w:val="hr-BA"/>
        </w:rPr>
        <w:t xml:space="preserve"> kao rezultat fiskalne politike,</w:t>
      </w:r>
      <w:r w:rsidRPr="00970FBB">
        <w:rPr>
          <w:rFonts w:eastAsia="Times New Roman" w:cstheme="minorHAnsi"/>
          <w:b/>
          <w:lang w:val="hr-BA"/>
        </w:rPr>
        <w:t xml:space="preserve"> na kraju 2013. iznosio je 75,1 mil. € i manji je za </w:t>
      </w:r>
      <w:r w:rsidR="007E0B1C">
        <w:rPr>
          <w:rFonts w:eastAsia="Times New Roman" w:cstheme="minorHAnsi"/>
          <w:b/>
          <w:lang w:val="hr-BA"/>
        </w:rPr>
        <w:t>59,0</w:t>
      </w:r>
      <w:r w:rsidRPr="00970FBB">
        <w:rPr>
          <w:rFonts w:eastAsia="Times New Roman" w:cstheme="minorHAnsi"/>
          <w:b/>
          <w:lang w:val="hr-BA"/>
        </w:rPr>
        <w:t xml:space="preserve"> mil. € u odnosu na deficit ostvaren na kraju 2012.godine.</w:t>
      </w:r>
    </w:p>
    <w:p w:rsidR="009C3C71" w:rsidRPr="00AF3022" w:rsidRDefault="009C3C71" w:rsidP="00C8677B">
      <w:pPr>
        <w:spacing w:after="0" w:line="240" w:lineRule="auto"/>
        <w:jc w:val="both"/>
        <w:rPr>
          <w:rFonts w:eastAsia="Times New Roman" w:cstheme="minorHAnsi"/>
          <w:lang w:val="hr-BA"/>
        </w:rPr>
      </w:pPr>
    </w:p>
    <w:p w:rsidR="008E3726" w:rsidRDefault="008E3726" w:rsidP="00C8677B">
      <w:pPr>
        <w:spacing w:after="0" w:line="240" w:lineRule="auto"/>
        <w:jc w:val="both"/>
        <w:rPr>
          <w:rFonts w:eastAsia="Times New Roman" w:cstheme="minorHAnsi"/>
          <w:lang w:val="hr-BA"/>
        </w:rPr>
      </w:pPr>
      <w:r w:rsidRPr="00AF3022">
        <w:rPr>
          <w:rFonts w:eastAsia="Times New Roman" w:cstheme="minorHAnsi"/>
          <w:lang w:val="hr-BA"/>
        </w:rPr>
        <w:t xml:space="preserve">Izvorni prihodi Budžeta za 2013. godinu iznosili su 1.241,8 mil. €, i viši su u odnosu na prošlogodišnje za </w:t>
      </w:r>
      <w:r w:rsidR="007E0B1C">
        <w:rPr>
          <w:rFonts w:eastAsia="Times New Roman" w:cstheme="minorHAnsi"/>
          <w:lang w:val="hr-BA"/>
        </w:rPr>
        <w:t>115,7</w:t>
      </w:r>
      <w:r w:rsidRPr="00AF3022">
        <w:rPr>
          <w:rFonts w:eastAsia="Times New Roman" w:cstheme="minorHAnsi"/>
          <w:lang w:val="hr-BA"/>
        </w:rPr>
        <w:t xml:space="preserve"> mil. € ili za 10,</w:t>
      </w:r>
      <w:r w:rsidR="007E0B1C">
        <w:rPr>
          <w:rFonts w:eastAsia="Times New Roman" w:cstheme="minorHAnsi"/>
          <w:lang w:val="hr-BA"/>
        </w:rPr>
        <w:t>3</w:t>
      </w:r>
      <w:r w:rsidRPr="00AF3022">
        <w:rPr>
          <w:rFonts w:eastAsia="Times New Roman" w:cstheme="minorHAnsi"/>
          <w:lang w:val="hr-BA"/>
        </w:rPr>
        <w:t>%. Povećanju prihoda najviše je doprinijela</w:t>
      </w:r>
      <w:r>
        <w:rPr>
          <w:rFonts w:eastAsia="Times New Roman" w:cstheme="minorHAnsi"/>
          <w:lang w:val="hr-BA"/>
        </w:rPr>
        <w:t xml:space="preserve"> naplata poreza i doprinosa koji</w:t>
      </w:r>
      <w:r w:rsidRPr="00AF3022">
        <w:rPr>
          <w:rFonts w:eastAsia="Times New Roman" w:cstheme="minorHAnsi"/>
          <w:lang w:val="hr-BA"/>
        </w:rPr>
        <w:t xml:space="preserve"> u </w:t>
      </w:r>
      <w:r w:rsidRPr="00AF3022">
        <w:rPr>
          <w:rFonts w:eastAsia="Times New Roman" w:cstheme="minorHAnsi"/>
          <w:lang w:val="hr-BA"/>
        </w:rPr>
        <w:lastRenderedPageBreak/>
        <w:t>strukturi prihoda ima</w:t>
      </w:r>
      <w:r>
        <w:rPr>
          <w:rFonts w:eastAsia="Times New Roman" w:cstheme="minorHAnsi"/>
          <w:lang w:val="hr-BA"/>
        </w:rPr>
        <w:t>ju</w:t>
      </w:r>
      <w:r w:rsidRPr="00AF3022">
        <w:rPr>
          <w:rFonts w:eastAsia="Times New Roman" w:cstheme="minorHAnsi"/>
          <w:lang w:val="hr-BA"/>
        </w:rPr>
        <w:t xml:space="preserve"> najveći udio. Najveći rast prihoda u odnosu na prošlu godinu ostvaren je kod poreza na dodatu vrijednost od 74,5 mil. € ili 21% i ukupno iznosi </w:t>
      </w:r>
      <w:r w:rsidR="003E6554">
        <w:rPr>
          <w:rFonts w:eastAsia="Times New Roman" w:cstheme="minorHAnsi"/>
          <w:lang w:val="hr-BA"/>
        </w:rPr>
        <w:t>429,2</w:t>
      </w:r>
      <w:r w:rsidRPr="00AF3022">
        <w:rPr>
          <w:rFonts w:eastAsia="Times New Roman" w:cstheme="minorHAnsi"/>
          <w:lang w:val="hr-BA"/>
        </w:rPr>
        <w:t xml:space="preserve"> mil. €. Ovaj rast prihoda od PDV-a rezultat je primjene mjera za suzbijanje sive ekonomije, kao i povećanju više stope PDV-a sa 17% na 19%. Rast je ostvaren i kod akciza, i to u iznosu od 9,7 mil. € ili 6,4%, </w:t>
      </w:r>
      <w:r>
        <w:rPr>
          <w:rFonts w:eastAsia="Times New Roman" w:cstheme="minorHAnsi"/>
          <w:lang w:val="hr-BA"/>
        </w:rPr>
        <w:t>što je rezultat postepenog povećanja</w:t>
      </w:r>
      <w:r w:rsidRPr="00AF3022">
        <w:rPr>
          <w:rFonts w:eastAsia="Times New Roman" w:cstheme="minorHAnsi"/>
          <w:lang w:val="hr-BA"/>
        </w:rPr>
        <w:t xml:space="preserve"> akciznih stopa u 2013. godini. </w:t>
      </w:r>
    </w:p>
    <w:p w:rsidR="00C8677B" w:rsidRPr="00AF3022" w:rsidRDefault="00C8677B" w:rsidP="00C8677B">
      <w:pPr>
        <w:spacing w:after="0" w:line="240" w:lineRule="auto"/>
        <w:jc w:val="both"/>
        <w:rPr>
          <w:rFonts w:eastAsia="Times New Roman" w:cstheme="minorHAnsi"/>
          <w:lang w:val="hr-BA"/>
        </w:rPr>
      </w:pPr>
    </w:p>
    <w:p w:rsidR="008E3726" w:rsidRDefault="008E3726" w:rsidP="00C8677B">
      <w:pPr>
        <w:spacing w:after="0" w:line="240" w:lineRule="auto"/>
        <w:jc w:val="both"/>
        <w:rPr>
          <w:rFonts w:eastAsia="Times New Roman" w:cstheme="minorHAnsi"/>
          <w:lang w:val="hr-BA"/>
        </w:rPr>
      </w:pPr>
      <w:r w:rsidRPr="00AF3022">
        <w:rPr>
          <w:rFonts w:eastAsia="Times New Roman" w:cstheme="minorHAnsi"/>
          <w:lang w:val="hr-BA"/>
        </w:rPr>
        <w:t>Na rashodnoj strani Budžeta, set mjera fiskalnog prilagođavanje ogledao se u zamrzavanju rasta penzija, uravnoteženju zarada u javnom sektoru, ukidanju dodatnih naknada za rad komisija i radnih grupa Vlade Crne Gore, smanjenju svih troškova u preduzećima u kojima Vlada ima većinski udio i smanjenju troškova u lokalnim samoupravama. Ukupni izdaci b</w:t>
      </w:r>
      <w:r>
        <w:rPr>
          <w:rFonts w:eastAsia="Times New Roman" w:cstheme="minorHAnsi"/>
          <w:lang w:val="hr-BA"/>
        </w:rPr>
        <w:t>udžeta Crne Gore za 2013. godinu</w:t>
      </w:r>
      <w:r w:rsidRPr="00AF3022">
        <w:rPr>
          <w:rFonts w:eastAsia="Times New Roman" w:cstheme="minorHAnsi"/>
          <w:lang w:val="hr-BA"/>
        </w:rPr>
        <w:t xml:space="preserve"> iznosili su </w:t>
      </w:r>
      <w:r w:rsidRPr="00AB12DC">
        <w:rPr>
          <w:rFonts w:eastAsia="Times New Roman" w:cstheme="minorHAnsi"/>
          <w:lang w:val="hr-BA"/>
        </w:rPr>
        <w:t>1.363,</w:t>
      </w:r>
      <w:r>
        <w:rPr>
          <w:rFonts w:eastAsia="Times New Roman" w:cstheme="minorHAnsi"/>
          <w:lang w:val="hr-BA"/>
        </w:rPr>
        <w:t>5</w:t>
      </w:r>
      <w:r w:rsidRPr="00AF3022">
        <w:rPr>
          <w:rFonts w:eastAsia="Times New Roman" w:cstheme="minorHAnsi"/>
          <w:lang w:val="hr-BA"/>
        </w:rPr>
        <w:t xml:space="preserve"> mil. € ili 4</w:t>
      </w:r>
      <w:r>
        <w:rPr>
          <w:rFonts w:eastAsia="Times New Roman" w:cstheme="minorHAnsi"/>
          <w:lang w:val="hr-BA"/>
        </w:rPr>
        <w:t>0</w:t>
      </w:r>
      <w:r w:rsidRPr="00AF3022">
        <w:rPr>
          <w:rFonts w:eastAsia="Times New Roman" w:cstheme="minorHAnsi"/>
          <w:lang w:val="hr-BA"/>
        </w:rPr>
        <w:t xml:space="preserve">,9% procijenjenog BDP-a za 2013. godinu, od čega je finansirana tekuća budžetska potrošnja u iznosu od </w:t>
      </w:r>
      <w:r w:rsidRPr="00AB12DC">
        <w:rPr>
          <w:rFonts w:eastAsia="Times New Roman" w:cstheme="minorHAnsi"/>
          <w:lang w:val="hr-BA"/>
        </w:rPr>
        <w:t>1.301</w:t>
      </w:r>
      <w:r>
        <w:rPr>
          <w:rFonts w:eastAsia="Times New Roman" w:cstheme="minorHAnsi"/>
          <w:lang w:val="hr-BA"/>
        </w:rPr>
        <w:t>,7</w:t>
      </w:r>
      <w:r w:rsidRPr="00AF3022">
        <w:rPr>
          <w:rFonts w:eastAsia="Times New Roman" w:cstheme="minorHAnsi"/>
          <w:lang w:val="hr-BA"/>
        </w:rPr>
        <w:t xml:space="preserve"> mil. € i kapitalne investicije </w:t>
      </w:r>
      <w:r w:rsidRPr="00AB12DC">
        <w:rPr>
          <w:rFonts w:eastAsia="Times New Roman" w:cstheme="minorHAnsi"/>
          <w:lang w:val="hr-BA"/>
        </w:rPr>
        <w:t>61,8</w:t>
      </w:r>
      <w:r w:rsidRPr="00AF3022">
        <w:rPr>
          <w:rFonts w:eastAsia="Times New Roman" w:cstheme="minorHAnsi"/>
          <w:lang w:val="hr-BA"/>
        </w:rPr>
        <w:t xml:space="preserve"> mil. €.</w:t>
      </w:r>
    </w:p>
    <w:p w:rsidR="00C8677B" w:rsidRPr="00AF3022" w:rsidRDefault="00C8677B" w:rsidP="00C8677B">
      <w:pPr>
        <w:spacing w:after="0" w:line="240" w:lineRule="auto"/>
        <w:jc w:val="both"/>
        <w:rPr>
          <w:rFonts w:eastAsia="Times New Roman" w:cstheme="minorHAnsi"/>
          <w:lang w:val="hr-BA"/>
        </w:rPr>
      </w:pPr>
    </w:p>
    <w:p w:rsidR="008E3726" w:rsidRDefault="008E3726" w:rsidP="00C8677B">
      <w:pPr>
        <w:spacing w:after="0" w:line="240" w:lineRule="auto"/>
        <w:jc w:val="both"/>
        <w:rPr>
          <w:rFonts w:eastAsia="Times New Roman" w:cstheme="minorHAnsi"/>
          <w:lang w:val="hr-BA"/>
        </w:rPr>
      </w:pPr>
      <w:r w:rsidRPr="00AB12DC">
        <w:rPr>
          <w:rFonts w:eastAsia="Times New Roman" w:cstheme="minorHAnsi"/>
          <w:lang w:val="hr-BA"/>
        </w:rPr>
        <w:t xml:space="preserve">Kao rezultat kretanja prihoda i rashoda u 2013. godine, </w:t>
      </w:r>
      <w:r w:rsidRPr="00B12497">
        <w:rPr>
          <w:rFonts w:eastAsia="Times New Roman" w:cstheme="minorHAnsi"/>
          <w:b/>
          <w:lang w:val="hr-BA"/>
        </w:rPr>
        <w:t>deficit državnog budžeta</w:t>
      </w:r>
      <w:r w:rsidRPr="00AB12DC">
        <w:rPr>
          <w:rFonts w:eastAsia="Times New Roman" w:cstheme="minorHAnsi"/>
          <w:lang w:val="hr-BA"/>
        </w:rPr>
        <w:t xml:space="preserve"> iznosi 121,7 mil. €</w:t>
      </w:r>
      <w:r w:rsidR="003E6554">
        <w:rPr>
          <w:rFonts w:eastAsia="Times New Roman" w:cstheme="minorHAnsi"/>
          <w:lang w:val="hr-BA"/>
        </w:rPr>
        <w:t xml:space="preserve"> ili 3,65% BDP-a</w:t>
      </w:r>
      <w:r w:rsidRPr="00AB12DC">
        <w:rPr>
          <w:rFonts w:eastAsia="Times New Roman" w:cstheme="minorHAnsi"/>
          <w:lang w:val="hr-BA"/>
        </w:rPr>
        <w:t xml:space="preserve"> i niži je za </w:t>
      </w:r>
      <w:r w:rsidRPr="00542C5D">
        <w:rPr>
          <w:rFonts w:eastAsia="Times New Roman" w:cstheme="minorHAnsi"/>
          <w:lang w:val="hr-BA"/>
        </w:rPr>
        <w:t>77,8</w:t>
      </w:r>
      <w:r w:rsidRPr="00AB12DC">
        <w:rPr>
          <w:rFonts w:eastAsia="Times New Roman" w:cstheme="minorHAnsi"/>
          <w:lang w:val="hr-BA"/>
        </w:rPr>
        <w:t xml:space="preserve"> mil. € od deficita ostvarenog u 2012. Ako se izuzmu plaćene garancije deficit bi iznosio 14,5 mil. €. </w:t>
      </w:r>
      <w:r w:rsidR="00B12497">
        <w:rPr>
          <w:rFonts w:eastAsia="Times New Roman" w:cstheme="minorHAnsi"/>
          <w:lang w:val="hr-BA"/>
        </w:rPr>
        <w:t>Kada se izuzmu neplanirani troškovi garancija od 107,2 mil € i plaćena sudska rješenja u iznosu od 23,2 mil €, državni budžet je u 2013.godini bio u suficitu od oko 8,7 mil € ili 0,3% BDP-a.</w:t>
      </w:r>
    </w:p>
    <w:p w:rsidR="00C8677B" w:rsidRPr="00AF3022" w:rsidRDefault="00C8677B" w:rsidP="00C8677B">
      <w:pPr>
        <w:spacing w:after="0" w:line="240" w:lineRule="auto"/>
        <w:jc w:val="both"/>
        <w:rPr>
          <w:rFonts w:eastAsia="Times New Roman" w:cstheme="minorHAnsi"/>
          <w:lang w:val="hr-BA"/>
        </w:rPr>
      </w:pPr>
    </w:p>
    <w:p w:rsidR="008E3726" w:rsidRPr="00542C5D" w:rsidRDefault="008E3726" w:rsidP="00C8677B">
      <w:pPr>
        <w:spacing w:after="0" w:line="240" w:lineRule="auto"/>
        <w:jc w:val="both"/>
        <w:rPr>
          <w:rFonts w:eastAsia="Times New Roman" w:cstheme="minorHAnsi"/>
          <w:lang w:val="hr-BA"/>
        </w:rPr>
      </w:pPr>
      <w:r w:rsidRPr="00542C5D">
        <w:rPr>
          <w:rFonts w:eastAsia="Times New Roman" w:cstheme="minorHAnsi"/>
          <w:lang w:val="hr-BA"/>
        </w:rPr>
        <w:t xml:space="preserve">Izdaci lokalne samouprave za 2013. godine iznose 146,5 mil. € ili 4,4 % BDP-a što je niže za 8,6% u odnosu na izvršenje u istom periodu prošle godine. Najznačajniji pad u odnosu na prethodnu godinu zabilježen je kod rashoda za materijal i </w:t>
      </w:r>
      <w:r w:rsidR="001C46E9" w:rsidRPr="00542C5D">
        <w:rPr>
          <w:rFonts w:eastAsia="Times New Roman" w:cstheme="minorHAnsi"/>
          <w:lang w:val="hr-BA"/>
        </w:rPr>
        <w:t>usluge i kod kapitalnih izdataka.</w:t>
      </w:r>
      <w:r w:rsidR="00542C5D">
        <w:rPr>
          <w:rFonts w:eastAsia="Times New Roman" w:cstheme="minorHAnsi"/>
          <w:lang w:val="hr-BA"/>
        </w:rPr>
        <w:t xml:space="preserve"> </w:t>
      </w:r>
      <w:r w:rsidRPr="00AF3022">
        <w:rPr>
          <w:rFonts w:eastAsia="Times New Roman" w:cstheme="minorHAnsi"/>
          <w:lang w:val="hr-BA"/>
        </w:rPr>
        <w:t xml:space="preserve">Suficit lokalne samouprave za 2013. godine procijenjen je u iznosu od </w:t>
      </w:r>
      <w:r>
        <w:rPr>
          <w:rFonts w:eastAsia="Times New Roman" w:cstheme="minorHAnsi"/>
          <w:lang w:val="hr-BA"/>
        </w:rPr>
        <w:t>46,6</w:t>
      </w:r>
      <w:r w:rsidR="00542C5D">
        <w:rPr>
          <w:rFonts w:eastAsia="Times New Roman" w:cstheme="minorHAnsi"/>
          <w:lang w:val="hr-BA"/>
        </w:rPr>
        <w:t xml:space="preserve"> mil. € ili 1,</w:t>
      </w:r>
      <w:r>
        <w:rPr>
          <w:rFonts w:eastAsia="Times New Roman" w:cstheme="minorHAnsi"/>
          <w:lang w:val="hr-BA"/>
        </w:rPr>
        <w:t>4</w:t>
      </w:r>
      <w:r w:rsidRPr="00AF3022">
        <w:rPr>
          <w:rFonts w:eastAsia="Times New Roman" w:cstheme="minorHAnsi"/>
          <w:lang w:val="hr-BA"/>
        </w:rPr>
        <w:t>% BDP-a.</w:t>
      </w:r>
    </w:p>
    <w:p w:rsidR="008E3726" w:rsidRPr="00F853F3" w:rsidRDefault="008E3726" w:rsidP="00C8677B">
      <w:pPr>
        <w:spacing w:after="0" w:line="240" w:lineRule="auto"/>
      </w:pPr>
    </w:p>
    <w:p w:rsidR="008E3726" w:rsidRPr="00C8677B" w:rsidRDefault="001C46E9" w:rsidP="00C8677B">
      <w:pPr>
        <w:pStyle w:val="Heading2"/>
        <w:spacing w:after="0" w:line="240" w:lineRule="auto"/>
        <w:rPr>
          <w:sz w:val="22"/>
        </w:rPr>
      </w:pPr>
      <w:bookmarkStart w:id="29" w:name="_Toc389223768"/>
      <w:bookmarkStart w:id="30" w:name="_Toc389745279"/>
      <w:r w:rsidRPr="00C8677B">
        <w:rPr>
          <w:sz w:val="24"/>
        </w:rPr>
        <w:t>Budžet Crne Gore u</w:t>
      </w:r>
      <w:r w:rsidR="008E3726" w:rsidRPr="00C8677B">
        <w:rPr>
          <w:sz w:val="24"/>
        </w:rPr>
        <w:t xml:space="preserve"> 2014.</w:t>
      </w:r>
      <w:bookmarkEnd w:id="29"/>
      <w:r w:rsidRPr="00C8677B">
        <w:rPr>
          <w:sz w:val="24"/>
        </w:rPr>
        <w:t>godini</w:t>
      </w:r>
      <w:bookmarkEnd w:id="30"/>
    </w:p>
    <w:p w:rsidR="008E3726" w:rsidRPr="009D407D" w:rsidRDefault="008E3726" w:rsidP="00C8677B">
      <w:pPr>
        <w:spacing w:after="0" w:line="240" w:lineRule="auto"/>
      </w:pPr>
    </w:p>
    <w:p w:rsidR="008E3726" w:rsidRDefault="008E3726" w:rsidP="00C8677B">
      <w:pPr>
        <w:spacing w:after="0" w:line="240" w:lineRule="auto"/>
        <w:jc w:val="both"/>
      </w:pPr>
      <w:r w:rsidRPr="00704301">
        <w:t>Mjere fiskalne pol</w:t>
      </w:r>
      <w:r w:rsidR="00542C5D">
        <w:t>itike u 2014.</w:t>
      </w:r>
      <w:r w:rsidRPr="00704301">
        <w:t>godini usmjerene su na</w:t>
      </w:r>
      <w:r w:rsidR="00542C5D">
        <w:t xml:space="preserve"> nastavak</w:t>
      </w:r>
      <w:r w:rsidRPr="00704301">
        <w:t xml:space="preserve"> </w:t>
      </w:r>
      <w:r w:rsidR="00542C5D">
        <w:t>fiskalne konsolidacije koja će doprinijeti</w:t>
      </w:r>
      <w:r w:rsidRPr="00704301">
        <w:t xml:space="preserve"> </w:t>
      </w:r>
      <w:r w:rsidR="00542C5D">
        <w:t>i smanjenju</w:t>
      </w:r>
      <w:r w:rsidRPr="00704301">
        <w:t xml:space="preserve"> budžetskog deficita</w:t>
      </w:r>
      <w:r w:rsidR="00542C5D">
        <w:t xml:space="preserve"> i</w:t>
      </w:r>
      <w:r w:rsidR="00542C5D" w:rsidRPr="00542C5D">
        <w:t xml:space="preserve"> </w:t>
      </w:r>
      <w:r w:rsidR="00542C5D">
        <w:t>uspostavljanju silaznog trenda nivoa</w:t>
      </w:r>
      <w:r w:rsidR="00542C5D" w:rsidRPr="00704301">
        <w:t xml:space="preserve"> javnog duga</w:t>
      </w:r>
      <w:r w:rsidRPr="00704301">
        <w:t>. Komisija za suzbijanje sive ekonomije preduzima efikasne mjere koje su usmjerene na unaprijeđenje poreske discipline i proširenje poreske baze.</w:t>
      </w:r>
    </w:p>
    <w:p w:rsidR="00C8677B" w:rsidRPr="00704301" w:rsidRDefault="00C8677B" w:rsidP="00C8677B">
      <w:pPr>
        <w:spacing w:after="0" w:line="240" w:lineRule="auto"/>
        <w:jc w:val="both"/>
      </w:pPr>
    </w:p>
    <w:p w:rsidR="008E3726" w:rsidRDefault="008E3726" w:rsidP="00C8677B">
      <w:pPr>
        <w:spacing w:after="0" w:line="240" w:lineRule="auto"/>
        <w:jc w:val="both"/>
      </w:pPr>
      <w:r w:rsidRPr="00704301">
        <w:rPr>
          <w:b/>
        </w:rPr>
        <w:t>Prihodi Budžeta</w:t>
      </w:r>
      <w:r w:rsidRPr="00704301">
        <w:t xml:space="preserve"> u periodu januar-april 2014. godine kontinuirano rastu. U ovom periodu naplaćeno je </w:t>
      </w:r>
      <w:r>
        <w:t>362,2</w:t>
      </w:r>
      <w:r w:rsidRPr="00704301">
        <w:t xml:space="preserve"> mil. €, što predstavlja rast od 11,</w:t>
      </w:r>
      <w:r>
        <w:t>9</w:t>
      </w:r>
      <w:r w:rsidRPr="00704301">
        <w:t>% u odnosu na isti period 2013. godine. Najveći doprinos povećanju prihoda ostvaren je kod prihoda od PDV-a, koji su u ovom periodu naplaćeni u iznosu 137,3 mil. € i povećani su u odnosu na isti period 2013. godine za 21,6%. Prihodi od PDV-a povećani su zbog povećanja osnovne stope PDV-a na 19%, sredinom 2013. godine, kao i zbog rasta ekonomske aktivnosti i smanjenja sive ekonomije. Takođe, porast u odnosu na prethodnu godinu bilježe doprinosi koji su naplaćeni u iznosu od 107,</w:t>
      </w:r>
      <w:r>
        <w:t xml:space="preserve">2 mil. €, što predstavlja rast </w:t>
      </w:r>
      <w:r w:rsidRPr="00704301">
        <w:t>od 11,8% u odnosu na isti period prošle godine. Na porast doprinosa uticalo je povećanje broja legalno zaposle</w:t>
      </w:r>
      <w:r>
        <w:t xml:space="preserve">nih lica, kao i </w:t>
      </w:r>
      <w:r w:rsidRPr="00704301">
        <w:t>smanjenje poreskog duga po ovom osnovu. Rast od 20,9% u odnosu na isti period 2013. godine ostvaren je kod naplate poreza na dobit pravnih lica.</w:t>
      </w:r>
    </w:p>
    <w:p w:rsidR="00C8677B" w:rsidRDefault="00C8677B" w:rsidP="00C8677B">
      <w:pPr>
        <w:spacing w:after="0" w:line="240" w:lineRule="auto"/>
        <w:jc w:val="both"/>
      </w:pPr>
    </w:p>
    <w:p w:rsidR="008E3726" w:rsidRPr="00821EB3" w:rsidRDefault="008E3726" w:rsidP="002B3C21">
      <w:pPr>
        <w:spacing w:after="0" w:line="240" w:lineRule="auto"/>
        <w:jc w:val="both"/>
        <w:rPr>
          <w:sz w:val="16"/>
          <w:szCs w:val="16"/>
        </w:rPr>
      </w:pPr>
      <w:r w:rsidRPr="00C8677B">
        <w:rPr>
          <w:rFonts w:cs="Calibri"/>
          <w:b/>
          <w:sz w:val="18"/>
          <w:szCs w:val="20"/>
          <w:lang w:eastAsia="sr-Latn-CS"/>
        </w:rPr>
        <w:t>Tabela 8 : Kretanje akciza u 2013. i 2014. godini</w:t>
      </w:r>
      <w:r w:rsidRPr="00821EB3">
        <w:rPr>
          <w:sz w:val="16"/>
          <w:szCs w:val="16"/>
        </w:rPr>
        <w:t xml:space="preserve">                                                                                                                                        -u mil. €-</w:t>
      </w:r>
    </w:p>
    <w:tbl>
      <w:tblPr>
        <w:tblW w:w="5000" w:type="pct"/>
        <w:jc w:val="center"/>
        <w:tblLook w:val="04A0"/>
      </w:tblPr>
      <w:tblGrid>
        <w:gridCol w:w="3869"/>
        <w:gridCol w:w="630"/>
        <w:gridCol w:w="664"/>
        <w:gridCol w:w="723"/>
        <w:gridCol w:w="671"/>
        <w:gridCol w:w="630"/>
        <w:gridCol w:w="664"/>
        <w:gridCol w:w="723"/>
        <w:gridCol w:w="669"/>
      </w:tblGrid>
      <w:tr w:rsidR="008E3726" w:rsidRPr="002B3C21" w:rsidTr="009C3C71">
        <w:trPr>
          <w:trHeight w:val="255"/>
          <w:jc w:val="center"/>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1454" w:type="pct"/>
            <w:gridSpan w:val="4"/>
            <w:tcBorders>
              <w:top w:val="single" w:sz="4" w:space="0" w:color="auto"/>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2013</w:t>
            </w:r>
          </w:p>
        </w:tc>
        <w:tc>
          <w:tcPr>
            <w:tcW w:w="1454" w:type="pct"/>
            <w:gridSpan w:val="4"/>
            <w:tcBorders>
              <w:top w:val="single" w:sz="4" w:space="0" w:color="auto"/>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2014</w:t>
            </w:r>
          </w:p>
        </w:tc>
      </w:tr>
      <w:tr w:rsidR="008E3726" w:rsidRPr="002B3C21" w:rsidTr="009C3C71">
        <w:trPr>
          <w:trHeight w:val="255"/>
          <w:jc w:val="center"/>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A K C I Z E</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Jan.</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Feb.</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Mart</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Apr.</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Jan.</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Feb.</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Mart</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Apr.</w:t>
            </w:r>
          </w:p>
        </w:tc>
      </w:tr>
      <w:tr w:rsidR="008E3726" w:rsidRPr="002B3C21" w:rsidTr="009C3C71">
        <w:trPr>
          <w:trHeight w:val="153"/>
          <w:jc w:val="center"/>
        </w:trPr>
        <w:tc>
          <w:tcPr>
            <w:tcW w:w="2093"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p>
        </w:tc>
        <w:tc>
          <w:tcPr>
            <w:tcW w:w="341"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59"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91"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63"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41"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59"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91"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63" w:type="pct"/>
            <w:tcBorders>
              <w:top w:val="nil"/>
              <w:left w:val="nil"/>
              <w:bottom w:val="single" w:sz="4" w:space="0" w:color="auto"/>
              <w:right w:val="single" w:sz="4" w:space="0" w:color="auto"/>
            </w:tcBorders>
            <w:shd w:val="clear" w:color="auto" w:fill="EEECE1" w:themeFill="background2"/>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r>
      <w:tr w:rsidR="008E3726" w:rsidRPr="002B3C21" w:rsidTr="009C3C71">
        <w:trPr>
          <w:trHeight w:val="255"/>
          <w:jc w:val="center"/>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Akcize na mineralna ulja njihove derivate</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6,6</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5,1</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6,1</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6,7</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7,1</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5,4</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6,3</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7,1</w:t>
            </w:r>
          </w:p>
        </w:tc>
      </w:tr>
      <w:tr w:rsidR="008E3726" w:rsidRPr="002B3C21" w:rsidTr="009C3C71">
        <w:trPr>
          <w:trHeight w:val="255"/>
          <w:jc w:val="center"/>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Akcize na alkohol i alkoholna pica</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0,8</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0,5</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0,5</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0,7</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0,9</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0,5</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0,6</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0,8</w:t>
            </w:r>
          </w:p>
        </w:tc>
      </w:tr>
      <w:tr w:rsidR="008E3726" w:rsidRPr="002B3C21" w:rsidTr="009C3C71">
        <w:trPr>
          <w:trHeight w:val="255"/>
          <w:jc w:val="center"/>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Akcize na duvan i duvanske proizvode</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1,6</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3,1</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3,4</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4,3</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1,5</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2,2</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2,2</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2,4</w:t>
            </w:r>
          </w:p>
        </w:tc>
      </w:tr>
      <w:tr w:rsidR="008E3726" w:rsidRPr="002B3C21" w:rsidTr="009C3C71">
        <w:trPr>
          <w:trHeight w:val="255"/>
          <w:jc w:val="center"/>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Akcize na kafu i gazirana pica</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0,3</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0,3</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0,3</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0,5</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0,3</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0,3</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0,4</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0,4</w:t>
            </w:r>
          </w:p>
        </w:tc>
      </w:tr>
      <w:tr w:rsidR="008E3726" w:rsidRPr="002B3C21" w:rsidTr="009C3C71">
        <w:trPr>
          <w:trHeight w:val="53"/>
          <w:jc w:val="center"/>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59"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91"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c>
          <w:tcPr>
            <w:tcW w:w="363" w:type="pct"/>
            <w:tcBorders>
              <w:top w:val="nil"/>
              <w:left w:val="nil"/>
              <w:bottom w:val="single" w:sz="4" w:space="0" w:color="auto"/>
              <w:right w:val="single" w:sz="4" w:space="0" w:color="auto"/>
            </w:tcBorders>
            <w:shd w:val="clear" w:color="auto" w:fill="auto"/>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 </w:t>
            </w:r>
          </w:p>
        </w:tc>
      </w:tr>
      <w:tr w:rsidR="008E3726" w:rsidRPr="002B3C21" w:rsidTr="009C3C71">
        <w:trPr>
          <w:trHeight w:val="255"/>
          <w:jc w:val="center"/>
        </w:trPr>
        <w:tc>
          <w:tcPr>
            <w:tcW w:w="2093" w:type="pct"/>
            <w:tcBorders>
              <w:top w:val="nil"/>
              <w:left w:val="single" w:sz="4" w:space="0" w:color="auto"/>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Ukupno:</w:t>
            </w:r>
          </w:p>
        </w:tc>
        <w:tc>
          <w:tcPr>
            <w:tcW w:w="341"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9,2</w:t>
            </w:r>
          </w:p>
        </w:tc>
        <w:tc>
          <w:tcPr>
            <w:tcW w:w="359"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9,0</w:t>
            </w:r>
          </w:p>
        </w:tc>
        <w:tc>
          <w:tcPr>
            <w:tcW w:w="391"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10,3</w:t>
            </w:r>
          </w:p>
        </w:tc>
        <w:tc>
          <w:tcPr>
            <w:tcW w:w="363"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12,2</w:t>
            </w:r>
          </w:p>
        </w:tc>
        <w:tc>
          <w:tcPr>
            <w:tcW w:w="341"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9,7</w:t>
            </w:r>
          </w:p>
        </w:tc>
        <w:tc>
          <w:tcPr>
            <w:tcW w:w="359"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8,4</w:t>
            </w:r>
          </w:p>
        </w:tc>
        <w:tc>
          <w:tcPr>
            <w:tcW w:w="391"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9,5</w:t>
            </w:r>
          </w:p>
        </w:tc>
        <w:tc>
          <w:tcPr>
            <w:tcW w:w="363" w:type="pct"/>
            <w:tcBorders>
              <w:top w:val="nil"/>
              <w:left w:val="nil"/>
              <w:bottom w:val="single" w:sz="4" w:space="0" w:color="auto"/>
              <w:right w:val="single" w:sz="4" w:space="0" w:color="auto"/>
            </w:tcBorders>
            <w:shd w:val="clear" w:color="000000" w:fill="FFFFFF"/>
            <w:noWrap/>
            <w:vAlign w:val="bottom"/>
            <w:hideMark/>
          </w:tcPr>
          <w:p w:rsidR="008E3726" w:rsidRPr="002B3C21" w:rsidRDefault="008E3726" w:rsidP="00C8677B">
            <w:pPr>
              <w:spacing w:after="0" w:line="240" w:lineRule="auto"/>
              <w:jc w:val="center"/>
              <w:rPr>
                <w:rFonts w:asciiTheme="minorHAnsi" w:eastAsia="Times New Roman" w:hAnsiTheme="minorHAnsi" w:cstheme="minorHAnsi"/>
                <w:sz w:val="18"/>
                <w:szCs w:val="18"/>
              </w:rPr>
            </w:pPr>
            <w:r w:rsidRPr="002B3C21">
              <w:rPr>
                <w:rFonts w:asciiTheme="minorHAnsi" w:eastAsia="Times New Roman" w:hAnsiTheme="minorHAnsi" w:cstheme="minorHAnsi"/>
                <w:sz w:val="18"/>
                <w:szCs w:val="18"/>
              </w:rPr>
              <w:t>10,8</w:t>
            </w:r>
          </w:p>
        </w:tc>
      </w:tr>
    </w:tbl>
    <w:p w:rsidR="008E3726" w:rsidRPr="00704301" w:rsidRDefault="008E3726" w:rsidP="00C8677B">
      <w:pPr>
        <w:spacing w:after="0" w:line="240" w:lineRule="auto"/>
        <w:jc w:val="both"/>
      </w:pPr>
    </w:p>
    <w:p w:rsidR="008E3726" w:rsidRDefault="008E3726" w:rsidP="00C8677B">
      <w:pPr>
        <w:autoSpaceDE w:val="0"/>
        <w:autoSpaceDN w:val="0"/>
        <w:adjustRightInd w:val="0"/>
        <w:spacing w:after="0" w:line="240" w:lineRule="auto"/>
        <w:jc w:val="both"/>
      </w:pPr>
      <w:r w:rsidRPr="00704301">
        <w:t>S druge strane, zabilježen</w:t>
      </w:r>
      <w:r>
        <w:t xml:space="preserve"> je pad </w:t>
      </w:r>
      <w:r w:rsidRPr="00704301">
        <w:t>u naplati prihoda po o</w:t>
      </w:r>
      <w:r>
        <w:t>snovu akciza od 2,5 mil €</w:t>
      </w:r>
      <w:r w:rsidR="00542C5D">
        <w:t xml:space="preserve"> </w:t>
      </w:r>
      <w:r w:rsidRPr="00704301">
        <w:t>u odnosu na isti period prošle godine</w:t>
      </w:r>
      <w:r>
        <w:t>(tabela 8)</w:t>
      </w:r>
      <w:r w:rsidRPr="00704301">
        <w:t xml:space="preserve">. </w:t>
      </w:r>
      <w:r w:rsidRPr="002F1C2E">
        <w:rPr>
          <w:rFonts w:asciiTheme="minorHAnsi" w:hAnsiTheme="minorHAnsi" w:cs="Calibri"/>
        </w:rPr>
        <w:t xml:space="preserve"> </w:t>
      </w:r>
      <w:r>
        <w:rPr>
          <w:rFonts w:asciiTheme="minorHAnsi" w:hAnsiTheme="minorHAnsi" w:cs="Calibri"/>
        </w:rPr>
        <w:t>Iako mjesečna dinamika pokazuje da se zaostatak za prošlogodišnjim ostvarenjem smanjuje u posljednjem mjesecu prvog kvartala, sumnja se na povećanje sivog tržišta akciznih proizvoda.</w:t>
      </w:r>
      <w:r w:rsidRPr="00C202D4">
        <w:rPr>
          <w:rFonts w:asciiTheme="minorHAnsi" w:hAnsiTheme="minorHAnsi" w:cs="Calibri"/>
          <w:color w:val="FF0000"/>
          <w:szCs w:val="24"/>
        </w:rPr>
        <w:t xml:space="preserve"> </w:t>
      </w:r>
      <w:r w:rsidR="00542C5D">
        <w:t>Pad je zabilježen kod naplate akciza na duvan i</w:t>
      </w:r>
      <w:r w:rsidRPr="00704301">
        <w:t xml:space="preserve"> duvanske proizvode u iznosu od 3,9 mil. € u odnosu na prošlu godinu. Iz tog razloga, sprovode se pojačane mjere kontrole tržišta akciznih priozvoda, posebno duvanskih proizvoda.</w:t>
      </w:r>
    </w:p>
    <w:p w:rsidR="002B3C21" w:rsidRPr="00C202D4" w:rsidRDefault="002B3C21" w:rsidP="00C8677B">
      <w:pPr>
        <w:autoSpaceDE w:val="0"/>
        <w:autoSpaceDN w:val="0"/>
        <w:adjustRightInd w:val="0"/>
        <w:spacing w:after="0" w:line="240" w:lineRule="auto"/>
        <w:jc w:val="both"/>
        <w:rPr>
          <w:rFonts w:asciiTheme="minorHAnsi" w:hAnsiTheme="minorHAnsi" w:cs="Calibri"/>
          <w:color w:val="FF0000"/>
          <w:szCs w:val="24"/>
        </w:rPr>
      </w:pPr>
    </w:p>
    <w:p w:rsidR="008E3726" w:rsidRDefault="008E3726" w:rsidP="00C8677B">
      <w:pPr>
        <w:autoSpaceDE w:val="0"/>
        <w:autoSpaceDN w:val="0"/>
        <w:adjustRightInd w:val="0"/>
        <w:spacing w:after="0" w:line="240" w:lineRule="auto"/>
        <w:jc w:val="both"/>
      </w:pPr>
      <w:r w:rsidRPr="00704301">
        <w:rPr>
          <w:b/>
        </w:rPr>
        <w:t xml:space="preserve">Rashodi budžeta </w:t>
      </w:r>
      <w:r w:rsidRPr="00704301">
        <w:t>za prva čet</w:t>
      </w:r>
      <w:r>
        <w:t>i</w:t>
      </w:r>
      <w:r w:rsidRPr="00704301">
        <w:t>ri mjeseca 2014. godine izvršeni su u iznosu od</w:t>
      </w:r>
      <w:r>
        <w:t xml:space="preserve"> 421,4 </w:t>
      </w:r>
      <w:r w:rsidR="00542C5D">
        <w:t>mi. € i u odnosu na 2013.godinu</w:t>
      </w:r>
      <w:r w:rsidRPr="00704301">
        <w:t xml:space="preserve"> povećani su za 22,3 mil. € ili za 5,6%, uglavnom zbog povećanja rashoda za plaćanje garancija i kamata. U cilju racionalizacije budžetske potrošnje primjenjuju se mjere štednje. Imajući u vidu da se ove mjere primjenjuju od 2009. godine prostor za djelovanje je u velikoj mjeri smanjen. Takođe, vodi se računa da se pri tome ne ugrožava efikasno funkcionisanje cijelog sistema javnog sektora.  </w:t>
      </w:r>
    </w:p>
    <w:p w:rsidR="002B3C21" w:rsidRDefault="002B3C21" w:rsidP="00C8677B">
      <w:pPr>
        <w:autoSpaceDE w:val="0"/>
        <w:autoSpaceDN w:val="0"/>
        <w:adjustRightInd w:val="0"/>
        <w:spacing w:after="0" w:line="240" w:lineRule="auto"/>
        <w:jc w:val="both"/>
      </w:pPr>
    </w:p>
    <w:p w:rsidR="008E3726" w:rsidRDefault="008E3726" w:rsidP="00C8677B">
      <w:pPr>
        <w:autoSpaceDE w:val="0"/>
        <w:autoSpaceDN w:val="0"/>
        <w:adjustRightInd w:val="0"/>
        <w:spacing w:after="0" w:line="240" w:lineRule="auto"/>
        <w:jc w:val="both"/>
      </w:pPr>
      <w:r w:rsidRPr="00704301">
        <w:rPr>
          <w:b/>
        </w:rPr>
        <w:t xml:space="preserve">Deficit budžeta </w:t>
      </w:r>
      <w:r w:rsidRPr="00704301">
        <w:t xml:space="preserve">na kraju aprila 2014. godine iznosio je 59,1 mil.€ ili 1,7% BDP-a i manji je za </w:t>
      </w:r>
      <w:r w:rsidR="0047177D">
        <w:t>16,2</w:t>
      </w:r>
      <w:r w:rsidRPr="00704301">
        <w:t xml:space="preserve"> mil. € u odnosu na deficit </w:t>
      </w:r>
      <w:r w:rsidR="0047177D">
        <w:t>u 2013</w:t>
      </w:r>
      <w:r w:rsidRPr="00704301">
        <w:t xml:space="preserve">. </w:t>
      </w:r>
      <w:r w:rsidRPr="0047177D">
        <w:t xml:space="preserve">Kada se izuzmu plaćene garancije deficit iznosi </w:t>
      </w:r>
      <w:r w:rsidR="0047177D" w:rsidRPr="0047177D">
        <w:t>49,4</w:t>
      </w:r>
      <w:r w:rsidRPr="0047177D">
        <w:t xml:space="preserve"> mil. €, ili </w:t>
      </w:r>
      <w:r w:rsidR="0047177D" w:rsidRPr="0047177D">
        <w:t>1,4</w:t>
      </w:r>
      <w:r w:rsidRPr="0047177D">
        <w:t>% BDP-a.</w:t>
      </w:r>
    </w:p>
    <w:p w:rsidR="002B3C21" w:rsidRPr="009D407D" w:rsidRDefault="002B3C21" w:rsidP="00C8677B">
      <w:pPr>
        <w:autoSpaceDE w:val="0"/>
        <w:autoSpaceDN w:val="0"/>
        <w:adjustRightInd w:val="0"/>
        <w:spacing w:after="0" w:line="240" w:lineRule="auto"/>
        <w:jc w:val="both"/>
      </w:pPr>
    </w:p>
    <w:p w:rsidR="008E3726" w:rsidRPr="002B3C21" w:rsidRDefault="008E3726" w:rsidP="00C8677B">
      <w:pPr>
        <w:pStyle w:val="Heading3"/>
        <w:spacing w:before="0"/>
        <w:rPr>
          <w:sz w:val="22"/>
        </w:rPr>
      </w:pPr>
      <w:bookmarkStart w:id="31" w:name="_Toc389223770"/>
      <w:bookmarkStart w:id="32" w:name="_Toc389745280"/>
      <w:r w:rsidRPr="002B3C21">
        <w:rPr>
          <w:sz w:val="22"/>
        </w:rPr>
        <w:t xml:space="preserve">Procjena </w:t>
      </w:r>
      <w:r w:rsidR="00DD739E" w:rsidRPr="002B3C21">
        <w:rPr>
          <w:sz w:val="22"/>
        </w:rPr>
        <w:t xml:space="preserve">Budžeta </w:t>
      </w:r>
      <w:r w:rsidRPr="002B3C21">
        <w:rPr>
          <w:sz w:val="22"/>
        </w:rPr>
        <w:t>do kraja 2014. godine</w:t>
      </w:r>
      <w:bookmarkEnd w:id="31"/>
      <w:bookmarkEnd w:id="32"/>
    </w:p>
    <w:p w:rsidR="008E3726" w:rsidRDefault="008E3726" w:rsidP="00C8677B">
      <w:pPr>
        <w:spacing w:after="0" w:line="240" w:lineRule="auto"/>
        <w:jc w:val="center"/>
      </w:pPr>
    </w:p>
    <w:p w:rsidR="008E3726" w:rsidRDefault="008E3726" w:rsidP="00C8677B">
      <w:pPr>
        <w:spacing w:after="0" w:line="240" w:lineRule="auto"/>
        <w:jc w:val="both"/>
      </w:pPr>
      <w:r w:rsidRPr="00513AB4">
        <w:rPr>
          <w:b/>
        </w:rPr>
        <w:t>Izvorni prihodi budžeta u 2014. godini</w:t>
      </w:r>
      <w:r w:rsidRPr="00704301">
        <w:t xml:space="preserve"> procijenjeni su u iznosu od 1.316,3 mil. € ili 37,</w:t>
      </w:r>
      <w:r>
        <w:t>4% BDP-a, što je za 40,2 mil. €</w:t>
      </w:r>
      <w:r w:rsidRPr="00704301">
        <w:t xml:space="preserve"> ili 3,2% više u odnosu na plan. Procijene se zasnivaju na očekivanom povećanju izvornih prihoda budžeta u 2014. godini, kao rezultat projekcija realnog rasta BDP-a, realizacije fiskalne politike i mjera,  kao i dobre naplate prihoda u period</w:t>
      </w:r>
      <w:r>
        <w:t>u</w:t>
      </w:r>
      <w:r w:rsidRPr="00704301">
        <w:t xml:space="preserve"> januar-april 2014. godine. </w:t>
      </w:r>
    </w:p>
    <w:p w:rsidR="002B3C21" w:rsidRPr="00704301" w:rsidRDefault="002B3C21" w:rsidP="00C8677B">
      <w:pPr>
        <w:spacing w:after="0" w:line="240" w:lineRule="auto"/>
        <w:jc w:val="both"/>
      </w:pPr>
    </w:p>
    <w:p w:rsidR="008E3726" w:rsidRDefault="008E3726" w:rsidP="00C8677B">
      <w:pPr>
        <w:spacing w:after="0" w:line="240" w:lineRule="auto"/>
        <w:jc w:val="both"/>
      </w:pPr>
      <w:r w:rsidRPr="00704301">
        <w:rPr>
          <w:b/>
        </w:rPr>
        <w:t xml:space="preserve">Rashodi </w:t>
      </w:r>
      <w:r w:rsidRPr="00704301">
        <w:t xml:space="preserve">državnog Budžeta su procijenjeni na nivou od </w:t>
      </w:r>
      <w:r>
        <w:t>1</w:t>
      </w:r>
      <w:r w:rsidR="00DD739E">
        <w:t>.342,8</w:t>
      </w:r>
      <w:r w:rsidRPr="00704301">
        <w:t xml:space="preserve"> mil. €, ili 38,</w:t>
      </w:r>
      <w:r w:rsidR="00DD739E">
        <w:t>2</w:t>
      </w:r>
      <w:r w:rsidRPr="00704301">
        <w:t>% BDP-a</w:t>
      </w:r>
      <w:r w:rsidR="00DD739E">
        <w:t>,</w:t>
      </w:r>
      <w:r w:rsidRPr="00704301">
        <w:t xml:space="preserve"> od čega se </w:t>
      </w:r>
      <w:r w:rsidR="00B171F2">
        <w:t>1.240,9 mil. €, ili 35,3% BDP-a</w:t>
      </w:r>
      <w:r w:rsidRPr="00704301">
        <w:t xml:space="preserve"> odnosi na tekuću budžetsku potrošnju, a </w:t>
      </w:r>
      <w:r w:rsidR="00B171F2">
        <w:t>101,8</w:t>
      </w:r>
      <w:r w:rsidRPr="00704301">
        <w:t xml:space="preserve"> mil. € ili </w:t>
      </w:r>
      <w:r w:rsidR="00B171F2">
        <w:t>2,9</w:t>
      </w:r>
      <w:r w:rsidRPr="00704301">
        <w:t>% BDP-a na kapitalni b</w:t>
      </w:r>
      <w:r>
        <w:t>udžet. U odnosu na plan Budžeta</w:t>
      </w:r>
      <w:r w:rsidRPr="00704301">
        <w:t xml:space="preserve">, procjena rashoda je veća za </w:t>
      </w:r>
      <w:r w:rsidR="00B171F2">
        <w:t>5,1</w:t>
      </w:r>
      <w:r>
        <w:t xml:space="preserve"> mil. €</w:t>
      </w:r>
      <w:r w:rsidRPr="00704301">
        <w:t>.</w:t>
      </w:r>
    </w:p>
    <w:p w:rsidR="002B3C21" w:rsidRPr="00704301" w:rsidRDefault="002B3C21" w:rsidP="00C8677B">
      <w:pPr>
        <w:spacing w:after="0" w:line="240" w:lineRule="auto"/>
        <w:jc w:val="both"/>
      </w:pPr>
    </w:p>
    <w:p w:rsidR="008E3726" w:rsidRPr="00B171F2" w:rsidRDefault="008E3726" w:rsidP="00C8677B">
      <w:pPr>
        <w:spacing w:after="0" w:line="240" w:lineRule="auto"/>
        <w:jc w:val="both"/>
      </w:pPr>
      <w:r w:rsidRPr="00704301">
        <w:rPr>
          <w:b/>
        </w:rPr>
        <w:t>Deficit</w:t>
      </w:r>
      <w:r w:rsidRPr="00704301">
        <w:t xml:space="preserve"> drž</w:t>
      </w:r>
      <w:r w:rsidR="00B171F2">
        <w:t>avnog Budžeta u 2014. godini</w:t>
      </w:r>
      <w:r>
        <w:t xml:space="preserve"> planiran je u iznosu od 61,6</w:t>
      </w:r>
      <w:r w:rsidR="00B171F2">
        <w:rPr>
          <w:rStyle w:val="FootnoteReference"/>
        </w:rPr>
        <w:footnoteReference w:id="8"/>
      </w:r>
      <w:r>
        <w:t xml:space="preserve"> mil€ ili 1,7 %BDP-a prema ZOB-u za 2014.g. Međutim, procjena </w:t>
      </w:r>
      <w:r w:rsidRPr="00704301">
        <w:t>je</w:t>
      </w:r>
      <w:r>
        <w:t xml:space="preserve"> da će se do kraja godine smanjiti na iznos od  </w:t>
      </w:r>
      <w:r w:rsidR="00B171F2">
        <w:t>26,4</w:t>
      </w:r>
      <w:r>
        <w:t xml:space="preserve"> mil. € ili </w:t>
      </w:r>
      <w:r w:rsidR="00B171F2">
        <w:t>0,75</w:t>
      </w:r>
      <w:r>
        <w:t>% BDP-a na osnovu dinamike naplate prihoda za prva četiri mjeseca ove godine</w:t>
      </w:r>
      <w:r w:rsidR="00B171F2">
        <w:t>, uz pretpostavku stabilne ekonomske aktivnosti</w:t>
      </w:r>
      <w:r>
        <w:t>.</w:t>
      </w:r>
      <w:r w:rsidRPr="00704301">
        <w:t xml:space="preserve"> </w:t>
      </w:r>
      <w:r>
        <w:t>P</w:t>
      </w:r>
      <w:r w:rsidRPr="00704301">
        <w:t>rimarni suficit budžeta (deficit umanjen za</w:t>
      </w:r>
      <w:r w:rsidR="00B171F2">
        <w:t xml:space="preserve"> rashode za kamate) procijenjen</w:t>
      </w:r>
      <w:r>
        <w:t xml:space="preserve"> je </w:t>
      </w:r>
      <w:r w:rsidRPr="00704301">
        <w:t xml:space="preserve">u iznosu od </w:t>
      </w:r>
      <w:r w:rsidR="00B171F2">
        <w:t>46,9</w:t>
      </w:r>
      <w:r w:rsidRPr="00704301">
        <w:t xml:space="preserve"> mil. €</w:t>
      </w:r>
      <w:r w:rsidR="00B171F2">
        <w:t xml:space="preserve"> ili 1,3% BDP-a</w:t>
      </w:r>
      <w:r w:rsidRPr="00704301">
        <w:t>.</w:t>
      </w:r>
    </w:p>
    <w:p w:rsidR="008E3726" w:rsidRDefault="008E3726" w:rsidP="00C8677B">
      <w:pPr>
        <w:spacing w:after="0" w:line="240" w:lineRule="auto"/>
        <w:jc w:val="both"/>
      </w:pPr>
      <w:r w:rsidRPr="005652CB">
        <w:t xml:space="preserve">Na grafiku mjesečne distribucije prihoda jasno se vidi napredak u odnosu na kriznu 2012. godinu. </w:t>
      </w:r>
      <w:r w:rsidR="00B171F2">
        <w:t xml:space="preserve"> U 2014.godini</w:t>
      </w:r>
      <w:r>
        <w:t xml:space="preserve"> prihodi su porasli u odnos</w:t>
      </w:r>
      <w:r w:rsidR="00B171F2">
        <w:t>u na</w:t>
      </w:r>
      <w:r>
        <w:t xml:space="preserve"> 2013.godinu za 1</w:t>
      </w:r>
      <w:r w:rsidR="00B171F2">
        <w:t>1,9 %, a u odnosu na 2012.g. za</w:t>
      </w:r>
      <w:r>
        <w:t xml:space="preserve"> 23,6%.  </w:t>
      </w:r>
      <w:r w:rsidRPr="005652CB">
        <w:t>Zbog neznatno promijenjenih fiskalnih mjera na prihodnoj strani budžeta, plan za 20</w:t>
      </w:r>
      <w:r w:rsidR="00B171F2">
        <w:t>14. godinu prati trend iz 2013.</w:t>
      </w:r>
      <w:r w:rsidRPr="005652CB">
        <w:t xml:space="preserve"> uz </w:t>
      </w:r>
      <w:r>
        <w:t>povećanje više stope PDV-a sa 17 na 19%.</w:t>
      </w:r>
      <w:r w:rsidRPr="005652CB">
        <w:t xml:space="preserve"> Međutim, ostvarenje iz prvog kvartala 2014. godine, uslovilo je korekciju </w:t>
      </w:r>
      <w:r>
        <w:t xml:space="preserve">ukupnih </w:t>
      </w:r>
      <w:r w:rsidRPr="005652CB">
        <w:t>prihoda na gore za oko 40 mil. €, tako da se u 2014. godini očekuju ukupni budžetski prihodi od 1.316,3 mil. €.</w:t>
      </w:r>
    </w:p>
    <w:p w:rsidR="008E3726" w:rsidRDefault="008E3726" w:rsidP="00C8677B">
      <w:pPr>
        <w:spacing w:after="0" w:line="240" w:lineRule="auto"/>
        <w:jc w:val="both"/>
        <w:rPr>
          <w:rFonts w:cs="Calibri"/>
          <w:b/>
        </w:rPr>
      </w:pPr>
    </w:p>
    <w:p w:rsidR="002B3C21" w:rsidRDefault="002B3C21" w:rsidP="00C8677B">
      <w:pPr>
        <w:spacing w:after="0" w:line="240" w:lineRule="auto"/>
        <w:jc w:val="both"/>
        <w:rPr>
          <w:rFonts w:cs="Calibri"/>
          <w:b/>
        </w:rPr>
      </w:pPr>
    </w:p>
    <w:p w:rsidR="002B3C21" w:rsidRDefault="002B3C21" w:rsidP="00C8677B">
      <w:pPr>
        <w:spacing w:after="0" w:line="240" w:lineRule="auto"/>
        <w:jc w:val="both"/>
        <w:rPr>
          <w:rFonts w:cs="Calibri"/>
          <w:b/>
        </w:rPr>
      </w:pPr>
    </w:p>
    <w:p w:rsidR="002B3C21" w:rsidRDefault="002B3C21" w:rsidP="00C8677B">
      <w:pPr>
        <w:spacing w:after="0" w:line="240" w:lineRule="auto"/>
        <w:jc w:val="both"/>
        <w:rPr>
          <w:rFonts w:cs="Calibri"/>
          <w:b/>
        </w:rPr>
      </w:pPr>
    </w:p>
    <w:p w:rsidR="002B3C21" w:rsidRDefault="002B3C21" w:rsidP="00C8677B">
      <w:pPr>
        <w:spacing w:after="0" w:line="240" w:lineRule="auto"/>
        <w:jc w:val="both"/>
        <w:rPr>
          <w:rFonts w:cs="Calibri"/>
          <w:b/>
        </w:rPr>
      </w:pPr>
    </w:p>
    <w:p w:rsidR="002B3C21" w:rsidRDefault="002B3C21" w:rsidP="00C8677B">
      <w:pPr>
        <w:spacing w:after="0" w:line="240" w:lineRule="auto"/>
        <w:jc w:val="both"/>
        <w:rPr>
          <w:rFonts w:cs="Calibri"/>
          <w:b/>
        </w:rPr>
      </w:pPr>
    </w:p>
    <w:p w:rsidR="002B3C21" w:rsidRDefault="002B3C21" w:rsidP="00C8677B">
      <w:pPr>
        <w:spacing w:after="0" w:line="240" w:lineRule="auto"/>
        <w:jc w:val="both"/>
        <w:rPr>
          <w:rFonts w:cs="Calibri"/>
          <w:b/>
        </w:rPr>
      </w:pPr>
    </w:p>
    <w:p w:rsidR="002B3C21" w:rsidRDefault="002B3C21" w:rsidP="00C8677B">
      <w:pPr>
        <w:spacing w:after="0" w:line="240" w:lineRule="auto"/>
        <w:jc w:val="both"/>
        <w:rPr>
          <w:rFonts w:cs="Calibri"/>
          <w:b/>
        </w:rPr>
      </w:pPr>
    </w:p>
    <w:p w:rsidR="002B3C21" w:rsidRDefault="002B3C21" w:rsidP="00C8677B">
      <w:pPr>
        <w:spacing w:after="0" w:line="240" w:lineRule="auto"/>
        <w:jc w:val="both"/>
        <w:rPr>
          <w:rFonts w:cs="Calibri"/>
          <w:b/>
        </w:rPr>
      </w:pPr>
    </w:p>
    <w:p w:rsidR="008E3726" w:rsidRPr="002B3C21" w:rsidRDefault="008E3726" w:rsidP="00C8677B">
      <w:pPr>
        <w:spacing w:after="0" w:line="240" w:lineRule="auto"/>
        <w:jc w:val="both"/>
        <w:rPr>
          <w:rFonts w:cs="Calibri"/>
          <w:sz w:val="18"/>
        </w:rPr>
      </w:pPr>
      <w:r w:rsidRPr="002B3C21">
        <w:rPr>
          <w:rFonts w:cs="Calibri"/>
          <w:b/>
          <w:sz w:val="18"/>
        </w:rPr>
        <w:lastRenderedPageBreak/>
        <w:t>Mjesečna distribucija prihoda 2012-2014.</w:t>
      </w:r>
    </w:p>
    <w:p w:rsidR="008E3726" w:rsidRDefault="008E3726" w:rsidP="00C8677B">
      <w:pPr>
        <w:spacing w:after="0" w:line="240" w:lineRule="auto"/>
        <w:jc w:val="both"/>
        <w:rPr>
          <w:rFonts w:cs="Calibri"/>
        </w:rPr>
      </w:pPr>
      <w:r w:rsidRPr="005652CB">
        <w:rPr>
          <w:rFonts w:cs="Calibri"/>
          <w:noProof/>
          <w:lang w:val="sr-Latn-CS" w:eastAsia="sr-Latn-CS"/>
        </w:rPr>
        <w:drawing>
          <wp:inline distT="0" distB="0" distL="0" distR="0">
            <wp:extent cx="5732060" cy="2565779"/>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3726" w:rsidRDefault="008E3726" w:rsidP="00C8677B">
      <w:pPr>
        <w:pStyle w:val="Heading2"/>
        <w:numPr>
          <w:ilvl w:val="0"/>
          <w:numId w:val="0"/>
        </w:numPr>
        <w:spacing w:after="0" w:line="240" w:lineRule="auto"/>
        <w:ind w:left="576"/>
      </w:pPr>
      <w:bookmarkStart w:id="33" w:name="_Toc389223771"/>
    </w:p>
    <w:p w:rsidR="008E3726" w:rsidRDefault="008E3726" w:rsidP="00C8677B">
      <w:pPr>
        <w:pStyle w:val="Heading2"/>
        <w:spacing w:after="0" w:line="240" w:lineRule="auto"/>
        <w:rPr>
          <w:sz w:val="24"/>
        </w:rPr>
      </w:pPr>
      <w:bookmarkStart w:id="34" w:name="_Toc389745281"/>
      <w:r w:rsidRPr="002B3C21">
        <w:rPr>
          <w:sz w:val="24"/>
        </w:rPr>
        <w:t>DRŽAVNI DUG U 2014.GODINI</w:t>
      </w:r>
      <w:bookmarkEnd w:id="33"/>
      <w:bookmarkEnd w:id="34"/>
    </w:p>
    <w:p w:rsidR="002B3C21" w:rsidRPr="002B3C21" w:rsidRDefault="002B3C21" w:rsidP="002B3C21">
      <w:pPr>
        <w:spacing w:after="0" w:line="240" w:lineRule="auto"/>
      </w:pPr>
    </w:p>
    <w:p w:rsidR="008E3726" w:rsidRDefault="008E3726" w:rsidP="00C8677B">
      <w:pPr>
        <w:spacing w:after="0" w:line="240" w:lineRule="auto"/>
        <w:jc w:val="both"/>
        <w:rPr>
          <w:lang w:val="sr-Latn-CS"/>
        </w:rPr>
      </w:pPr>
      <w:r w:rsidRPr="00232AF0">
        <w:rPr>
          <w:b/>
          <w:lang w:val="sr-Latn-CS"/>
        </w:rPr>
        <w:t xml:space="preserve">Državni dug na kraju aprila 2014.godine </w:t>
      </w:r>
      <w:r w:rsidRPr="00232AF0">
        <w:rPr>
          <w:lang w:val="sr-Latn-CS"/>
        </w:rPr>
        <w:t>iznosio je 1.990,</w:t>
      </w:r>
      <w:r w:rsidR="00B171F2">
        <w:rPr>
          <w:lang w:val="sr-Latn-CS"/>
        </w:rPr>
        <w:t>3</w:t>
      </w:r>
      <w:r w:rsidRPr="00232AF0">
        <w:rPr>
          <w:lang w:val="sr-Latn-CS"/>
        </w:rPr>
        <w:t xml:space="preserve"> mil.€ ili 56,6 % procijenjenog BDP-a i smanjen  je za 0,</w:t>
      </w:r>
      <w:r w:rsidR="009F0E4C">
        <w:rPr>
          <w:lang w:val="sr-Latn-CS"/>
        </w:rPr>
        <w:t>5</w:t>
      </w:r>
      <w:r w:rsidRPr="00232AF0">
        <w:rPr>
          <w:lang w:val="sr-Latn-CS"/>
        </w:rPr>
        <w:t>p.p. u odnosu na prethodni mjesec. Unutrašnji dug je iznosio 588,1 mil€ ili 16,7 % BDP, dok je</w:t>
      </w:r>
      <w:r w:rsidR="00F44616">
        <w:rPr>
          <w:lang w:val="sr-Latn-CS"/>
        </w:rPr>
        <w:t xml:space="preserve"> dug prema nerezidentima 1.402,2</w:t>
      </w:r>
      <w:r w:rsidRPr="00232AF0">
        <w:rPr>
          <w:lang w:val="sr-Latn-CS"/>
        </w:rPr>
        <w:t xml:space="preserve"> mil€ ili 39,9%BDP</w:t>
      </w:r>
      <w:r w:rsidR="00DC7499">
        <w:rPr>
          <w:lang w:val="sr-Latn-CS"/>
        </w:rPr>
        <w:t>-a</w:t>
      </w:r>
      <w:r w:rsidRPr="00232AF0">
        <w:rPr>
          <w:lang w:val="sr-Latn-CS"/>
        </w:rPr>
        <w:t>.</w:t>
      </w:r>
    </w:p>
    <w:p w:rsidR="002B3C21" w:rsidRPr="00232AF0" w:rsidRDefault="002B3C21" w:rsidP="00C8677B">
      <w:pPr>
        <w:spacing w:after="0" w:line="240" w:lineRule="auto"/>
        <w:jc w:val="both"/>
        <w:rPr>
          <w:lang w:val="sr-Latn-CS"/>
        </w:rPr>
      </w:pPr>
    </w:p>
    <w:p w:rsidR="008E3726" w:rsidRPr="00410ED8" w:rsidRDefault="008E3726" w:rsidP="00C8677B">
      <w:pPr>
        <w:spacing w:after="0" w:line="240" w:lineRule="auto"/>
        <w:jc w:val="both"/>
        <w:rPr>
          <w:rFonts w:cs="Calibri"/>
        </w:rPr>
      </w:pPr>
      <w:r w:rsidRPr="00410ED8">
        <w:rPr>
          <w:rFonts w:cs="Calibri"/>
        </w:rPr>
        <w:t>U narednoj tabeli prikazano je kretanje i struktura državnog duga u periodu 2013 - 201</w:t>
      </w:r>
      <w:r>
        <w:rPr>
          <w:rFonts w:cs="Calibri"/>
        </w:rPr>
        <w:t>4</w:t>
      </w:r>
      <w:r w:rsidR="002B3C21">
        <w:rPr>
          <w:rFonts w:cs="Calibri"/>
        </w:rPr>
        <w:t>. godine:</w:t>
      </w:r>
    </w:p>
    <w:p w:rsidR="008E3726" w:rsidRPr="00410ED8" w:rsidRDefault="008E3726" w:rsidP="00C8677B">
      <w:pPr>
        <w:spacing w:after="0" w:line="240" w:lineRule="auto"/>
        <w:rPr>
          <w:rFonts w:cs="Calibri"/>
        </w:rPr>
      </w:pPr>
      <w:r w:rsidRPr="00410ED8">
        <w:rPr>
          <w:rFonts w:cs="Calibri"/>
        </w:rPr>
        <w:t xml:space="preserve"> </w:t>
      </w:r>
    </w:p>
    <w:tbl>
      <w:tblPr>
        <w:tblStyle w:val="TableGrid"/>
        <w:tblW w:w="5000" w:type="pct"/>
        <w:tblLook w:val="04A0"/>
      </w:tblPr>
      <w:tblGrid>
        <w:gridCol w:w="3511"/>
        <w:gridCol w:w="2976"/>
        <w:gridCol w:w="2756"/>
      </w:tblGrid>
      <w:tr w:rsidR="008E3726" w:rsidRPr="002B3C21" w:rsidTr="002B3C21">
        <w:trPr>
          <w:trHeight w:hRule="exact" w:val="284"/>
        </w:trPr>
        <w:tc>
          <w:tcPr>
            <w:tcW w:w="1899" w:type="pct"/>
            <w:noWrap/>
            <w:hideMark/>
          </w:tcPr>
          <w:p w:rsidR="008E3726" w:rsidRPr="002B3C21" w:rsidRDefault="002B3C21" w:rsidP="00C8677B">
            <w:pPr>
              <w:spacing w:after="0" w:line="240" w:lineRule="auto"/>
              <w:jc w:val="center"/>
              <w:rPr>
                <w:rFonts w:cs="Calibri"/>
                <w:color w:val="FFFFFF"/>
                <w:sz w:val="18"/>
                <w:szCs w:val="18"/>
              </w:rPr>
            </w:pPr>
            <w:r>
              <w:rPr>
                <w:rFonts w:cs="Calibri"/>
                <w:sz w:val="18"/>
                <w:szCs w:val="18"/>
              </w:rPr>
              <w:t>DRŽAVNI</w:t>
            </w:r>
            <w:r w:rsidRPr="002B3C21">
              <w:rPr>
                <w:rFonts w:cs="Calibri"/>
                <w:sz w:val="18"/>
                <w:szCs w:val="18"/>
              </w:rPr>
              <w:t xml:space="preserve"> DUG</w:t>
            </w:r>
            <w:r>
              <w:rPr>
                <w:rFonts w:cs="Calibri"/>
                <w:color w:val="FFFFFF"/>
                <w:sz w:val="18"/>
                <w:szCs w:val="18"/>
              </w:rPr>
              <w:t xml:space="preserve"> Držadddddd</w:t>
            </w:r>
            <w:r w:rsidR="008E3726" w:rsidRPr="002B3C21">
              <w:rPr>
                <w:rFonts w:cs="Calibri"/>
                <w:color w:val="FFFFFF"/>
                <w:sz w:val="18"/>
                <w:szCs w:val="18"/>
              </w:rPr>
              <w:t>GODINA</w:t>
            </w:r>
          </w:p>
        </w:tc>
        <w:tc>
          <w:tcPr>
            <w:tcW w:w="1610" w:type="pct"/>
            <w:noWrap/>
            <w:hideMark/>
          </w:tcPr>
          <w:p w:rsidR="008E3726" w:rsidRPr="002B3C21" w:rsidRDefault="008E3726" w:rsidP="002B3C21">
            <w:pPr>
              <w:spacing w:after="0" w:line="240" w:lineRule="auto"/>
              <w:jc w:val="center"/>
              <w:rPr>
                <w:rFonts w:cs="Calibri"/>
                <w:sz w:val="18"/>
                <w:szCs w:val="18"/>
              </w:rPr>
            </w:pPr>
            <w:r w:rsidRPr="002B3C21">
              <w:rPr>
                <w:rFonts w:cs="Calibri"/>
                <w:sz w:val="18"/>
                <w:szCs w:val="18"/>
              </w:rPr>
              <w:t>2013</w:t>
            </w:r>
          </w:p>
        </w:tc>
        <w:tc>
          <w:tcPr>
            <w:tcW w:w="1491" w:type="pct"/>
            <w:noWrap/>
            <w:hideMark/>
          </w:tcPr>
          <w:p w:rsidR="008E3726" w:rsidRPr="002B3C21" w:rsidRDefault="008E3726" w:rsidP="002B3C21">
            <w:pPr>
              <w:spacing w:after="0" w:line="240" w:lineRule="auto"/>
              <w:jc w:val="center"/>
              <w:rPr>
                <w:rFonts w:cs="Calibri"/>
                <w:sz w:val="18"/>
                <w:szCs w:val="18"/>
              </w:rPr>
            </w:pPr>
            <w:r w:rsidRPr="002B3C21">
              <w:rPr>
                <w:rFonts w:cs="Calibri"/>
                <w:sz w:val="18"/>
                <w:szCs w:val="18"/>
              </w:rPr>
              <w:t>2014</w:t>
            </w:r>
          </w:p>
        </w:tc>
      </w:tr>
      <w:tr w:rsidR="008E3726" w:rsidRPr="002B3C21" w:rsidTr="002B3C21">
        <w:trPr>
          <w:trHeight w:hRule="exact" w:val="284"/>
        </w:trPr>
        <w:tc>
          <w:tcPr>
            <w:tcW w:w="1899" w:type="pct"/>
            <w:noWrap/>
            <w:hideMark/>
          </w:tcPr>
          <w:p w:rsidR="008E3726" w:rsidRPr="002B3C21" w:rsidRDefault="008E3726" w:rsidP="00C8677B">
            <w:pPr>
              <w:spacing w:after="0" w:line="240" w:lineRule="auto"/>
              <w:rPr>
                <w:rFonts w:cs="Calibri"/>
                <w:sz w:val="18"/>
                <w:szCs w:val="18"/>
              </w:rPr>
            </w:pPr>
            <w:r w:rsidRPr="002B3C21">
              <w:rPr>
                <w:rFonts w:cs="Calibri"/>
                <w:sz w:val="18"/>
                <w:szCs w:val="18"/>
              </w:rPr>
              <w:t>BDP</w:t>
            </w:r>
          </w:p>
        </w:tc>
        <w:tc>
          <w:tcPr>
            <w:tcW w:w="1610"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3.335,9</w:t>
            </w:r>
          </w:p>
        </w:tc>
        <w:tc>
          <w:tcPr>
            <w:tcW w:w="1491"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3.516,0</w:t>
            </w:r>
          </w:p>
        </w:tc>
      </w:tr>
      <w:tr w:rsidR="008E3726" w:rsidRPr="002B3C21" w:rsidTr="002B3C21">
        <w:trPr>
          <w:trHeight w:hRule="exact" w:val="284"/>
        </w:trPr>
        <w:tc>
          <w:tcPr>
            <w:tcW w:w="1899" w:type="pct"/>
            <w:noWrap/>
            <w:hideMark/>
          </w:tcPr>
          <w:p w:rsidR="008E3726" w:rsidRPr="002B3C21" w:rsidRDefault="008E3726" w:rsidP="00C8677B">
            <w:pPr>
              <w:spacing w:after="0" w:line="240" w:lineRule="auto"/>
              <w:rPr>
                <w:rFonts w:cs="Calibri"/>
                <w:sz w:val="18"/>
                <w:szCs w:val="18"/>
              </w:rPr>
            </w:pPr>
            <w:r w:rsidRPr="002B3C21">
              <w:rPr>
                <w:rFonts w:cs="Calibri"/>
                <w:sz w:val="18"/>
                <w:szCs w:val="18"/>
              </w:rPr>
              <w:t>BDP/UKUPAN DUG(%)</w:t>
            </w:r>
          </w:p>
        </w:tc>
        <w:tc>
          <w:tcPr>
            <w:tcW w:w="1610"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57,98</w:t>
            </w:r>
          </w:p>
        </w:tc>
        <w:tc>
          <w:tcPr>
            <w:tcW w:w="1491"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58,10</w:t>
            </w:r>
          </w:p>
        </w:tc>
      </w:tr>
      <w:tr w:rsidR="008E3726" w:rsidRPr="002B3C21" w:rsidTr="002B3C21">
        <w:trPr>
          <w:trHeight w:hRule="exact" w:val="284"/>
        </w:trPr>
        <w:tc>
          <w:tcPr>
            <w:tcW w:w="1899" w:type="pct"/>
            <w:noWrap/>
            <w:hideMark/>
          </w:tcPr>
          <w:p w:rsidR="008E3726" w:rsidRPr="002B3C21" w:rsidRDefault="008E3726" w:rsidP="00C8677B">
            <w:pPr>
              <w:spacing w:after="0" w:line="240" w:lineRule="auto"/>
              <w:rPr>
                <w:rFonts w:cs="Calibri"/>
                <w:sz w:val="18"/>
                <w:szCs w:val="18"/>
              </w:rPr>
            </w:pPr>
            <w:r w:rsidRPr="002B3C21">
              <w:rPr>
                <w:rFonts w:cs="Calibri"/>
                <w:sz w:val="18"/>
                <w:szCs w:val="18"/>
              </w:rPr>
              <w:t> </w:t>
            </w:r>
          </w:p>
        </w:tc>
        <w:tc>
          <w:tcPr>
            <w:tcW w:w="1610" w:type="pct"/>
            <w:noWrap/>
            <w:hideMark/>
          </w:tcPr>
          <w:p w:rsidR="008E3726" w:rsidRPr="002B3C21" w:rsidRDefault="008E3726" w:rsidP="00C8677B">
            <w:pPr>
              <w:spacing w:after="0" w:line="240" w:lineRule="auto"/>
              <w:rPr>
                <w:rFonts w:cs="Calibri"/>
                <w:sz w:val="18"/>
                <w:szCs w:val="18"/>
              </w:rPr>
            </w:pPr>
            <w:r w:rsidRPr="002B3C21">
              <w:rPr>
                <w:rFonts w:cs="Calibri"/>
                <w:sz w:val="18"/>
                <w:szCs w:val="18"/>
              </w:rPr>
              <w:t> </w:t>
            </w:r>
          </w:p>
        </w:tc>
        <w:tc>
          <w:tcPr>
            <w:tcW w:w="1491" w:type="pct"/>
            <w:noWrap/>
            <w:hideMark/>
          </w:tcPr>
          <w:p w:rsidR="008E3726" w:rsidRPr="002B3C21" w:rsidRDefault="008E3726" w:rsidP="00C8677B">
            <w:pPr>
              <w:spacing w:after="0" w:line="240" w:lineRule="auto"/>
              <w:rPr>
                <w:rFonts w:cs="Calibri"/>
                <w:sz w:val="18"/>
                <w:szCs w:val="18"/>
              </w:rPr>
            </w:pPr>
          </w:p>
        </w:tc>
      </w:tr>
      <w:tr w:rsidR="008E3726" w:rsidRPr="002B3C21" w:rsidTr="002B3C21">
        <w:trPr>
          <w:trHeight w:hRule="exact" w:val="284"/>
        </w:trPr>
        <w:tc>
          <w:tcPr>
            <w:tcW w:w="1899" w:type="pct"/>
            <w:noWrap/>
            <w:hideMark/>
          </w:tcPr>
          <w:p w:rsidR="008E3726" w:rsidRPr="002B3C21" w:rsidRDefault="008E3726" w:rsidP="00C8677B">
            <w:pPr>
              <w:spacing w:after="0" w:line="240" w:lineRule="auto"/>
              <w:rPr>
                <w:rFonts w:cs="Calibri"/>
                <w:sz w:val="18"/>
                <w:szCs w:val="18"/>
              </w:rPr>
            </w:pPr>
            <w:r w:rsidRPr="002B3C21">
              <w:rPr>
                <w:rFonts w:cs="Calibri"/>
                <w:sz w:val="18"/>
                <w:szCs w:val="18"/>
              </w:rPr>
              <w:t>UKUPAN DUG</w:t>
            </w:r>
          </w:p>
        </w:tc>
        <w:tc>
          <w:tcPr>
            <w:tcW w:w="1610"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1.934,20</w:t>
            </w:r>
          </w:p>
        </w:tc>
        <w:tc>
          <w:tcPr>
            <w:tcW w:w="1491"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2.042,77</w:t>
            </w:r>
          </w:p>
        </w:tc>
      </w:tr>
      <w:tr w:rsidR="008E3726" w:rsidRPr="002B3C21" w:rsidTr="002B3C21">
        <w:trPr>
          <w:trHeight w:hRule="exact" w:val="284"/>
        </w:trPr>
        <w:tc>
          <w:tcPr>
            <w:tcW w:w="1899" w:type="pct"/>
            <w:noWrap/>
            <w:hideMark/>
          </w:tcPr>
          <w:p w:rsidR="008E3726" w:rsidRPr="002B3C21" w:rsidRDefault="008E3726" w:rsidP="00C8677B">
            <w:pPr>
              <w:spacing w:after="0" w:line="240" w:lineRule="auto"/>
              <w:rPr>
                <w:rFonts w:cs="Calibri"/>
                <w:sz w:val="18"/>
                <w:szCs w:val="18"/>
              </w:rPr>
            </w:pPr>
            <w:r w:rsidRPr="002B3C21">
              <w:rPr>
                <w:rFonts w:cs="Calibri"/>
                <w:sz w:val="18"/>
                <w:szCs w:val="18"/>
              </w:rPr>
              <w:t>DOMAĆI DUG</w:t>
            </w:r>
          </w:p>
        </w:tc>
        <w:tc>
          <w:tcPr>
            <w:tcW w:w="1610"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500,70</w:t>
            </w:r>
          </w:p>
        </w:tc>
        <w:tc>
          <w:tcPr>
            <w:tcW w:w="1491"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479,07</w:t>
            </w:r>
          </w:p>
        </w:tc>
      </w:tr>
      <w:tr w:rsidR="008E3726" w:rsidRPr="002B3C21" w:rsidTr="002B3C21">
        <w:trPr>
          <w:trHeight w:hRule="exact" w:val="284"/>
        </w:trPr>
        <w:tc>
          <w:tcPr>
            <w:tcW w:w="1899" w:type="pct"/>
            <w:noWrap/>
            <w:hideMark/>
          </w:tcPr>
          <w:p w:rsidR="008E3726" w:rsidRPr="002B3C21" w:rsidRDefault="008E3726" w:rsidP="00C8677B">
            <w:pPr>
              <w:spacing w:after="0" w:line="240" w:lineRule="auto"/>
              <w:rPr>
                <w:rFonts w:cs="Calibri"/>
                <w:sz w:val="18"/>
                <w:szCs w:val="18"/>
              </w:rPr>
            </w:pPr>
            <w:r w:rsidRPr="002B3C21">
              <w:rPr>
                <w:rFonts w:cs="Calibri"/>
                <w:sz w:val="18"/>
                <w:szCs w:val="18"/>
              </w:rPr>
              <w:t>SPOLJNI DUG</w:t>
            </w:r>
          </w:p>
        </w:tc>
        <w:tc>
          <w:tcPr>
            <w:tcW w:w="1610"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1.433,50</w:t>
            </w:r>
          </w:p>
        </w:tc>
        <w:tc>
          <w:tcPr>
            <w:tcW w:w="1491" w:type="pct"/>
            <w:noWrap/>
            <w:hideMark/>
          </w:tcPr>
          <w:p w:rsidR="008E3726" w:rsidRPr="002B3C21" w:rsidRDefault="008E3726" w:rsidP="00C8677B">
            <w:pPr>
              <w:spacing w:after="0" w:line="240" w:lineRule="auto"/>
              <w:jc w:val="right"/>
              <w:rPr>
                <w:rFonts w:cs="Calibri"/>
                <w:sz w:val="18"/>
                <w:szCs w:val="18"/>
              </w:rPr>
            </w:pPr>
            <w:r w:rsidRPr="002B3C21">
              <w:rPr>
                <w:rFonts w:cs="Calibri"/>
                <w:sz w:val="18"/>
                <w:szCs w:val="18"/>
              </w:rPr>
              <w:t>1.563,70</w:t>
            </w:r>
          </w:p>
        </w:tc>
      </w:tr>
    </w:tbl>
    <w:p w:rsidR="008E3726" w:rsidRPr="00410ED8" w:rsidRDefault="008E3726" w:rsidP="00C8677B">
      <w:pPr>
        <w:spacing w:after="0" w:line="240" w:lineRule="auto"/>
      </w:pPr>
    </w:p>
    <w:p w:rsidR="008E3726" w:rsidRDefault="008E3726" w:rsidP="00C8677B">
      <w:pPr>
        <w:spacing w:after="0" w:line="240" w:lineRule="auto"/>
        <w:jc w:val="both"/>
        <w:rPr>
          <w:rFonts w:cs="Calibri"/>
        </w:rPr>
      </w:pPr>
      <w:r>
        <w:rPr>
          <w:rFonts w:cs="Calibri"/>
        </w:rPr>
        <w:t>U 2014.godini doći će do</w:t>
      </w:r>
      <w:r w:rsidRPr="00410ED8">
        <w:rPr>
          <w:rFonts w:cs="Calibri"/>
        </w:rPr>
        <w:t xml:space="preserve"> rasta duga uslijed potrebe finansiranja budžeta. Naime, za 2014. godinu predviđeno je oko 200,0 mil. € za finansiranje budžetske potrošnje, dok je Zakonom o budžetu za 2014. godinu, utvrđena mogućnost zaduženja u iznosu do 240,0 mil. €. Ukoliko navedene projekcije budu ostvarene, uz ostvarene prihode po osnovu privatizacije i donacije, očekuje se da će na kraju godine biti obezbijeđeni depoziti u iznosu od oko 3</w:t>
      </w:r>
      <w:r w:rsidR="00F44616">
        <w:rPr>
          <w:rFonts w:cs="Calibri"/>
        </w:rPr>
        <w:t>0</w:t>
      </w:r>
      <w:r w:rsidRPr="00410ED8">
        <w:rPr>
          <w:rFonts w:cs="Calibri"/>
        </w:rPr>
        <w:t>,0 mil. €. Sredstva iz depozita biće iskorišćena za finansiranje deficita i otplate duga u 2015. godini. Istovremeno, u navedenom periodu, projektovano je i povlačenje sredstava po ostalim finansijskim aranžmanima, koji će iznositi oko 40,0 mil. € godišnje.</w:t>
      </w:r>
    </w:p>
    <w:p w:rsidR="002B3C21" w:rsidRPr="00410ED8" w:rsidRDefault="002B3C21" w:rsidP="00C8677B">
      <w:pPr>
        <w:spacing w:after="0" w:line="240" w:lineRule="auto"/>
        <w:jc w:val="both"/>
        <w:rPr>
          <w:rFonts w:cs="Calibri"/>
        </w:rPr>
      </w:pPr>
    </w:p>
    <w:p w:rsidR="00DC7499" w:rsidRDefault="008E3726" w:rsidP="00C8677B">
      <w:pPr>
        <w:spacing w:after="0" w:line="240" w:lineRule="auto"/>
        <w:jc w:val="both"/>
        <w:rPr>
          <w:rFonts w:cs="Calibri"/>
        </w:rPr>
      </w:pPr>
      <w:r w:rsidRPr="00410ED8">
        <w:rPr>
          <w:rFonts w:cs="Calibri"/>
        </w:rPr>
        <w:t xml:space="preserve">U cilju boljeg pozicioniranja Crne Gore na međunarodnom tržištu kapitala a, samim tim, i lakšem i jeftinijem pristupu izvorima finansiranja, nastavljaju se aktivnosti koje se odnose na oblast upravljanja javnim dugom. U tom smislu, intenzivirane su aktivnosti koje se odnose na analizu troškova obaveza i preduzimanje mjera koje bi dovele do smanjenja troškova po osnovu servisiranja duga. </w:t>
      </w:r>
    </w:p>
    <w:p w:rsidR="002B3C21" w:rsidRDefault="002B3C21" w:rsidP="00C8677B">
      <w:pPr>
        <w:spacing w:after="0" w:line="240" w:lineRule="auto"/>
        <w:jc w:val="both"/>
        <w:rPr>
          <w:rFonts w:cs="Calibri"/>
        </w:rPr>
      </w:pPr>
    </w:p>
    <w:p w:rsidR="00DC7499" w:rsidRDefault="00DC7499" w:rsidP="00C8677B">
      <w:pPr>
        <w:spacing w:after="0" w:line="240" w:lineRule="auto"/>
        <w:jc w:val="both"/>
        <w:rPr>
          <w:rFonts w:asciiTheme="minorHAnsi" w:hAnsiTheme="minorHAnsi" w:cstheme="minorHAnsi"/>
          <w:lang w:val="sl-SI"/>
        </w:rPr>
      </w:pPr>
      <w:r w:rsidRPr="00DC7499">
        <w:rPr>
          <w:rFonts w:asciiTheme="minorHAnsi" w:hAnsiTheme="minorHAnsi" w:cstheme="minorHAnsi"/>
        </w:rPr>
        <w:t xml:space="preserve">U aprilu 2014. godine realizovana je i treća emisija euroobveznica, koja se ocjenjuje izuzetno uspješnom, sa učešćem preko 200 </w:t>
      </w:r>
      <w:r w:rsidRPr="00DC7499">
        <w:rPr>
          <w:rFonts w:asciiTheme="minorHAnsi" w:hAnsiTheme="minorHAnsi" w:cstheme="minorHAnsi"/>
          <w:lang w:val="sl-SI"/>
        </w:rPr>
        <w:t xml:space="preserve">međunarodnih investitora, što je rezultiralo petostruko većom tražnjom od ponuđenog iznosa za prodaju. Visoka tražnja, u iznosu od oko 1,6 milijardi eura, </w:t>
      </w:r>
      <w:r w:rsidRPr="00DC7499">
        <w:rPr>
          <w:rFonts w:asciiTheme="minorHAnsi" w:hAnsiTheme="minorHAnsi" w:cstheme="minorHAnsi"/>
          <w:lang w:val="sl-SI"/>
        </w:rPr>
        <w:lastRenderedPageBreak/>
        <w:t xml:space="preserve">omogućila je znatno poboljšanje uslova prodaje i značajno nižu kamatnu stopu u odnosu na prethodne emisije euroobveznica. </w:t>
      </w:r>
      <w:r w:rsidR="00DA4180" w:rsidRPr="00DA4180">
        <w:rPr>
          <w:rFonts w:asciiTheme="minorHAnsi" w:hAnsiTheme="minorHAnsi" w:cstheme="minorHAnsi"/>
          <w:lang w:val="sl-SI"/>
        </w:rPr>
        <w:t>Obveznice su emitovane sa ročnošću od pet godina i kamatnom stopom od 5,375%, što je značajno niže u odnosu na prve dvije emisije (7,875% u 2010. godini i 7,25% u 2011. godini).</w:t>
      </w:r>
    </w:p>
    <w:p w:rsidR="002B3C21" w:rsidRDefault="002B3C21" w:rsidP="00C8677B">
      <w:pPr>
        <w:spacing w:after="0" w:line="240" w:lineRule="auto"/>
        <w:jc w:val="both"/>
        <w:rPr>
          <w:rFonts w:asciiTheme="minorHAnsi" w:hAnsiTheme="minorHAnsi" w:cstheme="minorHAnsi"/>
          <w:lang w:val="sl-SI"/>
        </w:rPr>
      </w:pPr>
    </w:p>
    <w:p w:rsidR="00DA4180" w:rsidRDefault="00DA4180" w:rsidP="00C8677B">
      <w:pPr>
        <w:spacing w:after="0" w:line="240" w:lineRule="auto"/>
        <w:jc w:val="both"/>
        <w:rPr>
          <w:rStyle w:val="HTMLTypewriter"/>
          <w:rFonts w:asciiTheme="minorHAnsi" w:hAnsiTheme="minorHAnsi" w:cstheme="minorHAnsi"/>
          <w:sz w:val="22"/>
          <w:lang w:val="sl-SI"/>
        </w:rPr>
      </w:pPr>
      <w:r w:rsidRPr="00DA4180">
        <w:rPr>
          <w:rStyle w:val="HTMLTypewriter"/>
          <w:rFonts w:asciiTheme="minorHAnsi" w:hAnsiTheme="minorHAnsi" w:cstheme="minorHAnsi"/>
          <w:sz w:val="22"/>
          <w:lang w:val="sl-SI"/>
        </w:rPr>
        <w:t>Od ukupnog iznosa, 195 miliona eura predstavlja novo zaduženje, u skladu sa Zakonom o budžetu za 2014. godinu, i ova sredstva će biti iskorišćena za pokriće deficita, otplatu dugova i stvaranje fiskalnih rezervi tokom godine. Preostalih 85 miliona eura odnosi se na refinansiranje i otkup dijela euro-obveznica koje su emitovane 2010. i 2011. godine, čime se smanjuje fiskalno opterećenje tokom 2015. i 2016. godine.</w:t>
      </w:r>
    </w:p>
    <w:p w:rsidR="002B3C21" w:rsidRPr="00DA4180" w:rsidRDefault="002B3C21" w:rsidP="00C8677B">
      <w:pPr>
        <w:spacing w:after="0" w:line="240" w:lineRule="auto"/>
        <w:jc w:val="both"/>
        <w:rPr>
          <w:rStyle w:val="HTMLTypewriter"/>
          <w:rFonts w:asciiTheme="minorHAnsi" w:hAnsiTheme="minorHAnsi" w:cstheme="minorHAnsi"/>
          <w:sz w:val="22"/>
          <w:lang w:val="sl-SI"/>
        </w:rPr>
      </w:pPr>
    </w:p>
    <w:p w:rsidR="008E3726" w:rsidRPr="00410ED8" w:rsidRDefault="008E3726" w:rsidP="00C8677B">
      <w:pPr>
        <w:spacing w:after="0" w:line="240" w:lineRule="auto"/>
        <w:jc w:val="both"/>
        <w:rPr>
          <w:rFonts w:cs="Calibri"/>
        </w:rPr>
      </w:pPr>
      <w:r w:rsidRPr="0092195A">
        <w:rPr>
          <w:rFonts w:cs="Calibri"/>
          <w:lang w:val="sl-SI"/>
        </w:rPr>
        <w:t>Takođe, planirana realizacija projekta izgradnje Autoputa Bar-Boljare (prioritetne dionice Smokovac-Mateševo), čija procijenjena vrijednost iznosi oko 809,0 mil. €, u izvjesnoj mjeri uticaće na kretanje nivoa državnog duga. Projekat će se najvećim dijelom finansirati iz kreditnih sredstava</w:t>
      </w:r>
      <w:r w:rsidR="00F44616" w:rsidRPr="0092195A">
        <w:rPr>
          <w:rFonts w:cs="Calibri"/>
          <w:lang w:val="sl-SI"/>
        </w:rPr>
        <w:t xml:space="preserve"> </w:t>
      </w:r>
      <w:r w:rsidRPr="0092195A">
        <w:rPr>
          <w:rFonts w:cs="Calibri"/>
          <w:lang w:val="sl-SI"/>
        </w:rPr>
        <w:t xml:space="preserve">(85%). </w:t>
      </w:r>
      <w:r w:rsidRPr="00410ED8">
        <w:rPr>
          <w:rFonts w:cs="Calibri"/>
        </w:rPr>
        <w:t xml:space="preserve">S tim u vezi, u toku su pregovori sa Kineskom Exim bankom oko uslova finansiranja. Nakon okončanja pregovora biće poznati svi uslovi pod kojima će kredit biti odobren. U tom dijelu, </w:t>
      </w:r>
      <w:r>
        <w:rPr>
          <w:rFonts w:cs="Calibri"/>
        </w:rPr>
        <w:t>kredit bi trebalo da se odobri na</w:t>
      </w:r>
      <w:r w:rsidRPr="00410ED8">
        <w:rPr>
          <w:rFonts w:cs="Calibri"/>
        </w:rPr>
        <w:t xml:space="preserve"> period od 20 godina, sa 5 godina grace perioda, d</w:t>
      </w:r>
      <w:r>
        <w:rPr>
          <w:rFonts w:cs="Calibri"/>
        </w:rPr>
        <w:t>ok se očekuje kamatna stopa od 2</w:t>
      </w:r>
      <w:r w:rsidRPr="00410ED8">
        <w:rPr>
          <w:rFonts w:cs="Calibri"/>
        </w:rPr>
        <w:t>%. Nakon potpisivanja ugovora biće moguće jasno definisati troškove kreditnog aranžmana, uticaja zaduženja na javni dug, kao i njegovu otplatu.</w:t>
      </w:r>
    </w:p>
    <w:p w:rsidR="008E3726" w:rsidRDefault="008E3726" w:rsidP="00C8677B">
      <w:pPr>
        <w:pStyle w:val="Subtitle"/>
        <w:spacing w:after="0" w:line="240" w:lineRule="auto"/>
        <w:jc w:val="both"/>
        <w:rPr>
          <w:rFonts w:ascii="Calibri" w:hAnsi="Calibri" w:cs="Calibri"/>
          <w:color w:val="7E0000"/>
        </w:rPr>
      </w:pPr>
    </w:p>
    <w:p w:rsidR="008E3726" w:rsidRPr="002B3C21" w:rsidRDefault="008E3726" w:rsidP="00C8677B">
      <w:pPr>
        <w:pStyle w:val="Heading2"/>
        <w:spacing w:after="0" w:line="240" w:lineRule="auto"/>
        <w:rPr>
          <w:sz w:val="24"/>
        </w:rPr>
      </w:pPr>
      <w:bookmarkStart w:id="35" w:name="_Toc389223772"/>
      <w:bookmarkStart w:id="36" w:name="_Toc389745282"/>
      <w:r w:rsidRPr="002B3C21">
        <w:rPr>
          <w:sz w:val="24"/>
        </w:rPr>
        <w:t>FISKALNI RIZICI U SREDNJEM ROKU</w:t>
      </w:r>
      <w:bookmarkEnd w:id="35"/>
      <w:bookmarkEnd w:id="36"/>
    </w:p>
    <w:p w:rsidR="008E3726" w:rsidRPr="009D407D" w:rsidRDefault="008E3726" w:rsidP="00C8677B">
      <w:pPr>
        <w:spacing w:after="0" w:line="240" w:lineRule="auto"/>
      </w:pPr>
    </w:p>
    <w:p w:rsidR="008E3726" w:rsidRDefault="008E3726" w:rsidP="002B3C21">
      <w:pPr>
        <w:spacing w:after="0" w:line="240" w:lineRule="auto"/>
        <w:jc w:val="both"/>
        <w:rPr>
          <w:rFonts w:cstheme="minorHAnsi"/>
        </w:rPr>
      </w:pPr>
      <w:r w:rsidRPr="00410ED8">
        <w:rPr>
          <w:rFonts w:cstheme="minorHAnsi"/>
        </w:rPr>
        <w:t xml:space="preserve">Glavni rizici u ostvarenju fiskalnih projekcija, bilo politički ili ekonomski, mogu imati pozitivne ili negativne imlikacije. Pregled </w:t>
      </w:r>
      <w:r w:rsidR="009C3C71">
        <w:rPr>
          <w:rFonts w:cstheme="minorHAnsi"/>
        </w:rPr>
        <w:t>rizika dat je u narednoj tabeli:</w:t>
      </w:r>
    </w:p>
    <w:p w:rsidR="009C3C71" w:rsidRPr="00410ED8" w:rsidRDefault="009C3C71" w:rsidP="00C8677B">
      <w:pPr>
        <w:spacing w:after="0" w:line="240" w:lineRule="auto"/>
        <w:jc w:val="both"/>
        <w:rPr>
          <w:rFonts w:cstheme="minorHAnsi"/>
        </w:rPr>
      </w:pPr>
    </w:p>
    <w:tbl>
      <w:tblPr>
        <w:tblStyle w:val="TableGrid"/>
        <w:tblW w:w="5031" w:type="pct"/>
        <w:tblBorders>
          <w:top w:val="none" w:sz="0" w:space="0" w:color="auto"/>
          <w:left w:val="none" w:sz="0" w:space="0" w:color="auto"/>
          <w:bottom w:val="none" w:sz="0" w:space="0" w:color="auto"/>
          <w:right w:val="none" w:sz="0" w:space="0" w:color="auto"/>
        </w:tblBorders>
        <w:tblLook w:val="04A0"/>
      </w:tblPr>
      <w:tblGrid>
        <w:gridCol w:w="1190"/>
        <w:gridCol w:w="3986"/>
        <w:gridCol w:w="4124"/>
      </w:tblGrid>
      <w:tr w:rsidR="008E3726" w:rsidRPr="00410ED8" w:rsidTr="00763F70">
        <w:trPr>
          <w:trHeight w:val="622"/>
        </w:trPr>
        <w:tc>
          <w:tcPr>
            <w:tcW w:w="640" w:type="pct"/>
          </w:tcPr>
          <w:p w:rsidR="008E3726" w:rsidRPr="00410ED8" w:rsidRDefault="008E3726" w:rsidP="00C8677B">
            <w:pPr>
              <w:spacing w:after="0" w:line="240" w:lineRule="auto"/>
              <w:rPr>
                <w:rFonts w:cstheme="minorHAnsi"/>
              </w:rPr>
            </w:pPr>
          </w:p>
        </w:tc>
        <w:tc>
          <w:tcPr>
            <w:tcW w:w="2143" w:type="pct"/>
            <w:vAlign w:val="center"/>
          </w:tcPr>
          <w:p w:rsidR="008E3726" w:rsidRPr="00410ED8" w:rsidRDefault="008E3726" w:rsidP="00C8677B">
            <w:pPr>
              <w:spacing w:after="0" w:line="240" w:lineRule="auto"/>
              <w:jc w:val="center"/>
              <w:rPr>
                <w:rFonts w:cstheme="minorHAnsi"/>
              </w:rPr>
            </w:pPr>
            <w:r w:rsidRPr="00410ED8">
              <w:rPr>
                <w:rFonts w:cstheme="minorHAnsi"/>
              </w:rPr>
              <w:t>Pozitivni</w:t>
            </w:r>
          </w:p>
        </w:tc>
        <w:tc>
          <w:tcPr>
            <w:tcW w:w="2217" w:type="pct"/>
            <w:vAlign w:val="center"/>
          </w:tcPr>
          <w:p w:rsidR="008E3726" w:rsidRPr="00410ED8" w:rsidRDefault="008E3726" w:rsidP="00C8677B">
            <w:pPr>
              <w:spacing w:after="0" w:line="240" w:lineRule="auto"/>
              <w:jc w:val="center"/>
              <w:rPr>
                <w:rFonts w:cstheme="minorHAnsi"/>
              </w:rPr>
            </w:pPr>
            <w:r w:rsidRPr="00410ED8">
              <w:rPr>
                <w:rFonts w:cstheme="minorHAnsi"/>
              </w:rPr>
              <w:t>Negativni</w:t>
            </w:r>
          </w:p>
        </w:tc>
      </w:tr>
      <w:tr w:rsidR="008E3726" w:rsidRPr="00410ED8" w:rsidTr="00763F70">
        <w:trPr>
          <w:trHeight w:val="3241"/>
        </w:trPr>
        <w:tc>
          <w:tcPr>
            <w:tcW w:w="640" w:type="pct"/>
            <w:vAlign w:val="center"/>
          </w:tcPr>
          <w:p w:rsidR="008E3726" w:rsidRPr="00410ED8" w:rsidRDefault="008E3726" w:rsidP="00C8677B">
            <w:pPr>
              <w:spacing w:after="0" w:line="240" w:lineRule="auto"/>
              <w:rPr>
                <w:rFonts w:cstheme="minorHAnsi"/>
              </w:rPr>
            </w:pPr>
            <w:r w:rsidRPr="00410ED8">
              <w:rPr>
                <w:rFonts w:cstheme="minorHAnsi"/>
              </w:rPr>
              <w:t>Politički</w:t>
            </w:r>
          </w:p>
        </w:tc>
        <w:tc>
          <w:tcPr>
            <w:tcW w:w="2143" w:type="pct"/>
            <w:vAlign w:val="center"/>
          </w:tcPr>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Poziv za članstvo u NATO povećaće povjerenje zapadnih investitora i turista što će se pozitivno odraziti na ekonomski sistem Crne Gore;</w:t>
            </w:r>
          </w:p>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Napredak na putu pristupanja Evropskoj uniji i otvaranje novih pregovaračkih poglavlja može pozitivno uticati na ekonomiju Crne Gore, kroz bolji pristup fondovima EU;</w:t>
            </w:r>
          </w:p>
        </w:tc>
        <w:tc>
          <w:tcPr>
            <w:tcW w:w="2217" w:type="pct"/>
            <w:vAlign w:val="center"/>
          </w:tcPr>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 xml:space="preserve">Izdrazita elastičnost crnogorskog ekonomskog sistema na spoljna dešavanja, a posebno u svjetlu političke krize u Ukrajini i Rusiji može se negativno odraziti na turističku sezonu, a time uticati i na ostvarenje projektovanih prihoda kako centralnog budžeta, tako i, iako u manjoj mjeri, prihoda lokalnih samouprava; </w:t>
            </w:r>
          </w:p>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Diplomatski odnosi sa pojedinim državama emitivnog tržišta, mogu uticati na broj turista i investitora, koji predstavljaju značajne elemente crnogorske privrede;</w:t>
            </w:r>
          </w:p>
        </w:tc>
      </w:tr>
      <w:tr w:rsidR="008E3726" w:rsidRPr="00410ED8" w:rsidTr="00763F70">
        <w:trPr>
          <w:trHeight w:val="2089"/>
        </w:trPr>
        <w:tc>
          <w:tcPr>
            <w:tcW w:w="640" w:type="pct"/>
            <w:vAlign w:val="center"/>
          </w:tcPr>
          <w:p w:rsidR="008E3726" w:rsidRPr="00410ED8" w:rsidRDefault="008E3726" w:rsidP="00C8677B">
            <w:pPr>
              <w:spacing w:after="0" w:line="240" w:lineRule="auto"/>
              <w:rPr>
                <w:rFonts w:cstheme="minorHAnsi"/>
                <w:b/>
              </w:rPr>
            </w:pPr>
            <w:r w:rsidRPr="00410ED8">
              <w:rPr>
                <w:rFonts w:cstheme="minorHAnsi"/>
              </w:rPr>
              <w:t>Ekonomski</w:t>
            </w:r>
          </w:p>
        </w:tc>
        <w:tc>
          <w:tcPr>
            <w:tcW w:w="2143" w:type="pct"/>
            <w:vAlign w:val="center"/>
          </w:tcPr>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Multiplikativni efekti početka gradnje autoputa i realizacije najavljenih investicija predstavljaju rizik za usklađivanje projekcije prihoda;</w:t>
            </w:r>
          </w:p>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Nastavak napora na smanjenju sive ekonomije i ostvarivanje rezultata na tom polju, povećaće poresku bazu koja će dati dodatni zamajac budžetskim prihodima;</w:t>
            </w:r>
          </w:p>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Prijevremena otplata i/ili restruktuiranje postojećeg javnog duga smanjiće izdatke za kamate, koji ovim projekcijama čine oko 2% BDP-a;</w:t>
            </w:r>
          </w:p>
        </w:tc>
        <w:tc>
          <w:tcPr>
            <w:tcW w:w="2217" w:type="pct"/>
            <w:vAlign w:val="center"/>
          </w:tcPr>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Infrastrukturne slabosti ekonomije, neodrživost penzijskog sistema, preduzeća u restruktuiranju, socijalni pritisak, itd.</w:t>
            </w:r>
          </w:p>
          <w:p w:rsidR="008E3726" w:rsidRPr="00410ED8" w:rsidRDefault="008E3726" w:rsidP="00C8677B">
            <w:pPr>
              <w:pStyle w:val="ListParagraph"/>
              <w:numPr>
                <w:ilvl w:val="0"/>
                <w:numId w:val="9"/>
              </w:numPr>
              <w:spacing w:after="0" w:line="240" w:lineRule="auto"/>
              <w:ind w:left="318" w:hanging="284"/>
              <w:contextualSpacing/>
              <w:jc w:val="both"/>
              <w:rPr>
                <w:rFonts w:asciiTheme="minorHAnsi" w:hAnsiTheme="minorHAnsi" w:cstheme="minorHAnsi"/>
              </w:rPr>
            </w:pPr>
            <w:r w:rsidRPr="00410ED8">
              <w:rPr>
                <w:rFonts w:asciiTheme="minorHAnsi" w:hAnsiTheme="minorHAnsi" w:cstheme="minorHAnsi"/>
              </w:rPr>
              <w:t>Odlaganje početka i/ili zastoji u realizaciji investicionih, a posebno infrastrukturnih, projekata ugroziće predstavljeni makroekonomski model, a time i fiskalne projekcije za srednjeročni period.</w:t>
            </w:r>
          </w:p>
        </w:tc>
      </w:tr>
    </w:tbl>
    <w:p w:rsidR="008E3726" w:rsidRPr="009D407D" w:rsidRDefault="008E3726" w:rsidP="00C8677B">
      <w:pPr>
        <w:pStyle w:val="Subtitle"/>
        <w:spacing w:after="0" w:line="240" w:lineRule="auto"/>
        <w:jc w:val="both"/>
        <w:rPr>
          <w:rFonts w:ascii="Calibri" w:hAnsi="Calibri" w:cs="Calibri"/>
          <w:color w:val="7E0000"/>
        </w:rPr>
      </w:pPr>
    </w:p>
    <w:p w:rsidR="008E3726" w:rsidRPr="002B3C21" w:rsidRDefault="008E3726" w:rsidP="00C8677B">
      <w:pPr>
        <w:pStyle w:val="Heading2"/>
        <w:spacing w:after="0" w:line="240" w:lineRule="auto"/>
        <w:rPr>
          <w:sz w:val="24"/>
        </w:rPr>
      </w:pPr>
      <w:bookmarkStart w:id="37" w:name="_Toc389223773"/>
      <w:bookmarkStart w:id="38" w:name="_Toc389745283"/>
      <w:r w:rsidRPr="002B3C21">
        <w:rPr>
          <w:sz w:val="24"/>
        </w:rPr>
        <w:lastRenderedPageBreak/>
        <w:t>KVALITET JAVNIH FINANSIJA I INSTITUCIONALNI OKVIR</w:t>
      </w:r>
      <w:bookmarkEnd w:id="37"/>
      <w:bookmarkEnd w:id="38"/>
    </w:p>
    <w:p w:rsidR="008E3726" w:rsidRPr="009D407D" w:rsidRDefault="008E3726" w:rsidP="00C8677B">
      <w:pPr>
        <w:spacing w:after="0" w:line="240" w:lineRule="auto"/>
      </w:pPr>
    </w:p>
    <w:p w:rsidR="008E3726" w:rsidRDefault="008E3726" w:rsidP="00C8677B">
      <w:pPr>
        <w:spacing w:after="0" w:line="240" w:lineRule="auto"/>
        <w:jc w:val="both"/>
        <w:rPr>
          <w:rFonts w:cs="Calibri"/>
        </w:rPr>
      </w:pPr>
      <w:r w:rsidRPr="00410ED8">
        <w:rPr>
          <w:rFonts w:cs="Calibri"/>
        </w:rPr>
        <w:t>Kvalitet javnih finansija u 201</w:t>
      </w:r>
      <w:r>
        <w:rPr>
          <w:rFonts w:cs="Calibri"/>
        </w:rPr>
        <w:t>4</w:t>
      </w:r>
      <w:r w:rsidRPr="00410ED8">
        <w:rPr>
          <w:rFonts w:cs="Calibri"/>
        </w:rPr>
        <w:t>.</w:t>
      </w:r>
      <w:r>
        <w:rPr>
          <w:rFonts w:cs="Calibri"/>
        </w:rPr>
        <w:t xml:space="preserve"> </w:t>
      </w:r>
      <w:r w:rsidRPr="00410ED8">
        <w:rPr>
          <w:rFonts w:cs="Calibri"/>
        </w:rPr>
        <w:t>godini karakteriše nastavak fiskalnog prilagođavanja i racionalizacije budžetske potrošnje, kao i usklađivanje javnih finansija sa regulativom i praksom u EU. Poreska politika u Crnoj Gori je usmjerena na kreiranje konkurentnog i stabilnog poreskog siste</w:t>
      </w:r>
      <w:r>
        <w:rPr>
          <w:rFonts w:cs="Calibri"/>
        </w:rPr>
        <w:t>ma koji</w:t>
      </w:r>
      <w:r w:rsidRPr="00410ED8">
        <w:rPr>
          <w:rFonts w:cs="Calibri"/>
        </w:rPr>
        <w:t xml:space="preserve"> se bazira na jednostavnim i jasnim zakonskim rešenjima i procedurama, konkurentnim poreskim stopama, što manjem broju poreskih izuzeća i odbitaka i većoj disciplini poreskih obveznika.</w:t>
      </w:r>
    </w:p>
    <w:p w:rsidR="002B3C21" w:rsidRPr="00410ED8" w:rsidRDefault="002B3C21" w:rsidP="00C8677B">
      <w:pPr>
        <w:spacing w:after="0" w:line="240" w:lineRule="auto"/>
        <w:jc w:val="both"/>
        <w:rPr>
          <w:rFonts w:cs="Calibri"/>
        </w:rPr>
      </w:pPr>
    </w:p>
    <w:p w:rsidR="008E3726" w:rsidRDefault="008E3726" w:rsidP="00C8677B">
      <w:pPr>
        <w:spacing w:after="0" w:line="240" w:lineRule="auto"/>
        <w:jc w:val="both"/>
        <w:rPr>
          <w:rFonts w:cs="Calibri"/>
        </w:rPr>
      </w:pPr>
      <w:r w:rsidRPr="00410ED8">
        <w:rPr>
          <w:rFonts w:cs="Calibri"/>
        </w:rPr>
        <w:t>Fiskalna politika u narednom periodu biće usmjerena na stabililnost javnih finansija, čija je osnovna determinanta javni dug. U tom cilju pripremljen je set mjera sistemskog karaktera koje će se implementirati u narednom periodu, a koje se odnose na: uređenje sistema zarada u javnom sektoru (Nacrt zakona o zaradama u javnom sektoru je na javnoj raspravi); pronalaženje modela za veći nivo održivosti penzijskog sistema; oštrije kaznene mjere za prekršioce; poreske i carinske olakšice za uredne poreske obveznike; otpis kamate za jednokratnu otplatu duga; naplatu poreskog duga imovinom dužnika; racionalizaciju javnih nabavki, dodatna poreska opterećenja na imovinu koja nije stavljena u funkciju, nelegalno izgrađene objekte, neprodate stanove i imovinu koja ne služi sticanju dodatnih prihoda od imovine i imovinskih prava i dr.</w:t>
      </w:r>
      <w:r>
        <w:rPr>
          <w:rFonts w:cs="Calibri"/>
        </w:rPr>
        <w:t xml:space="preserve"> </w:t>
      </w:r>
      <w:r w:rsidRPr="00410ED8">
        <w:rPr>
          <w:rFonts w:cs="Calibri"/>
        </w:rPr>
        <w:t>Implementacijom navedenih mjera fiskalne konsolidacije stvaraju se preduslovi za veći privredni rast, što uz bolju naplatu prihoda i opreznu potrošnju doprinosi smanjenju javnog deficita i posljedično nivoa javnog duga.</w:t>
      </w:r>
    </w:p>
    <w:p w:rsidR="002B3C21" w:rsidRPr="00410ED8" w:rsidRDefault="002B3C21" w:rsidP="00C8677B">
      <w:pPr>
        <w:spacing w:after="0" w:line="240" w:lineRule="auto"/>
        <w:jc w:val="both"/>
        <w:rPr>
          <w:rFonts w:cs="Calibri"/>
        </w:rPr>
      </w:pPr>
    </w:p>
    <w:p w:rsidR="008E3726" w:rsidRDefault="008E3726" w:rsidP="00C8677B">
      <w:pPr>
        <w:spacing w:after="0" w:line="240" w:lineRule="auto"/>
        <w:jc w:val="both"/>
        <w:rPr>
          <w:rFonts w:cs="Calibri"/>
        </w:rPr>
      </w:pPr>
      <w:r w:rsidRPr="0010472F">
        <w:rPr>
          <w:rFonts w:cs="Calibri"/>
        </w:rPr>
        <w:t>Mjere na suzbijanju sive ekonomije</w:t>
      </w:r>
      <w:r w:rsidRPr="00410ED8">
        <w:rPr>
          <w:rFonts w:cs="Calibri"/>
        </w:rPr>
        <w:t>, kao jednog od prioriteta Minist</w:t>
      </w:r>
      <w:r w:rsidR="00763F70">
        <w:rPr>
          <w:rFonts w:cs="Calibri"/>
        </w:rPr>
        <w:t xml:space="preserve">arstva finansija u 2014.godini </w:t>
      </w:r>
      <w:r w:rsidRPr="00410ED8">
        <w:rPr>
          <w:rFonts w:cs="Calibri"/>
        </w:rPr>
        <w:t xml:space="preserve">usmjerene su na unapređenje poreske discipline i proširenje poreske baze. S tim u vezi, donesen je Akcioni plan za suzbijanje sive ekonomije za 2014. koji je predviđa nultu stopu tolerancije na sivu ekonomiju, poštovanje principa neselektivnosti i pune transparentnosti, a uz primjenu rigoroznije kaznene politike. </w:t>
      </w:r>
    </w:p>
    <w:p w:rsidR="002B3C21" w:rsidRPr="00410ED8" w:rsidRDefault="002B3C21" w:rsidP="00C8677B">
      <w:pPr>
        <w:spacing w:after="0" w:line="240" w:lineRule="auto"/>
        <w:jc w:val="both"/>
        <w:rPr>
          <w:rFonts w:cs="Calibri"/>
        </w:rPr>
      </w:pPr>
    </w:p>
    <w:p w:rsidR="008E3726" w:rsidRDefault="008E3726" w:rsidP="00C8677B">
      <w:pPr>
        <w:spacing w:after="0" w:line="240" w:lineRule="auto"/>
        <w:jc w:val="both"/>
        <w:rPr>
          <w:rFonts w:cs="Calibri"/>
        </w:rPr>
      </w:pPr>
      <w:r w:rsidRPr="00410ED8">
        <w:rPr>
          <w:rFonts w:cs="Calibri"/>
        </w:rPr>
        <w:t xml:space="preserve">Prema najnovijim podacima Poreske uprave, poreski dug je smanjen sa 354,0 mil. €, koliko je iznosio na početku 2013. godine, </w:t>
      </w:r>
      <w:r w:rsidRPr="009F0E4C">
        <w:rPr>
          <w:rFonts w:cs="Calibri"/>
        </w:rPr>
        <w:t>na oko 330,0 mil. €</w:t>
      </w:r>
      <w:r w:rsidR="009F0E4C">
        <w:rPr>
          <w:rFonts w:cs="Calibri"/>
        </w:rPr>
        <w:t xml:space="preserve"> na kraju februara 2014. godine</w:t>
      </w:r>
      <w:r w:rsidRPr="009F0E4C">
        <w:rPr>
          <w:rFonts w:cs="Calibri"/>
        </w:rPr>
        <w:t>.</w:t>
      </w:r>
      <w:r w:rsidRPr="00410ED8">
        <w:rPr>
          <w:rFonts w:cs="Calibri"/>
        </w:rPr>
        <w:t xml:space="preserve"> Na pomenuto smanjenje uticala je i Uredba o naplati poreskih potraživanja imovinom obveznika, čime se omogućilo da preduzeća koja imaju poreski dug veći od 100.000 €, mogu ponuditi svoju imovinu u cilju izmirenja istog.</w:t>
      </w:r>
    </w:p>
    <w:p w:rsidR="002B3C21" w:rsidRPr="00410ED8" w:rsidRDefault="002B3C21" w:rsidP="00C8677B">
      <w:pPr>
        <w:spacing w:after="0" w:line="240" w:lineRule="auto"/>
        <w:jc w:val="both"/>
        <w:rPr>
          <w:rFonts w:cs="Calibri"/>
        </w:rPr>
      </w:pPr>
    </w:p>
    <w:p w:rsidR="008E3726" w:rsidRDefault="008E3726" w:rsidP="00C8677B">
      <w:pPr>
        <w:spacing w:after="0" w:line="240" w:lineRule="auto"/>
        <w:jc w:val="both"/>
        <w:rPr>
          <w:rFonts w:cs="Calibri"/>
        </w:rPr>
      </w:pPr>
      <w:r w:rsidRPr="00410ED8">
        <w:rPr>
          <w:rFonts w:cs="Calibri"/>
        </w:rPr>
        <w:t>Konsolidovanje finansija u lokalnim samoupravama započeto je donošenjem planova konsolidacije lokalnih javnih finansija, koji predviđaju racionalizaciju broja zaposlenih, snižavanje nivoa zarada, plaćanje poreskih obaveza i smanjenje zaduženosti opština.</w:t>
      </w:r>
    </w:p>
    <w:p w:rsidR="002B3C21" w:rsidRPr="00410ED8" w:rsidRDefault="002B3C21" w:rsidP="00C8677B">
      <w:pPr>
        <w:spacing w:after="0" w:line="240" w:lineRule="auto"/>
        <w:jc w:val="both"/>
        <w:rPr>
          <w:rFonts w:cs="Calibri"/>
        </w:rPr>
      </w:pPr>
    </w:p>
    <w:p w:rsidR="008E3726" w:rsidRDefault="008E3726" w:rsidP="00C8677B">
      <w:pPr>
        <w:spacing w:after="0" w:line="240" w:lineRule="auto"/>
        <w:jc w:val="both"/>
        <w:rPr>
          <w:rFonts w:cs="Calibri"/>
        </w:rPr>
      </w:pPr>
      <w:r w:rsidRPr="00410ED8">
        <w:rPr>
          <w:rFonts w:cs="Calibri"/>
        </w:rPr>
        <w:t>U aprilu 2014. godine donešen je novi Zakon o budžetu i fiskalnoj odgovornosti u cilju unapređenja ukupnog sistema javnih finansija i harmonizacije propisa koji se odnose na oblast javnih finansija sa relevantnim propisima Evropske unije. U skladu sa pravnom tekovinom EU, uvode se numerička fiskalna pravila predviđe</w:t>
      </w:r>
      <w:r w:rsidR="00763F70">
        <w:rPr>
          <w:rFonts w:cs="Calibri"/>
        </w:rPr>
        <w:t>na M</w:t>
      </w:r>
      <w:r w:rsidRPr="00410ED8">
        <w:rPr>
          <w:rFonts w:cs="Calibri"/>
        </w:rPr>
        <w:t xml:space="preserve">astrihtškim kriterijumima koja se odnose na nivo deficita i duga, kao i uvođenje srednjoročnog budžetskog okvira. Zakon o budžetu i fiskalnoj odgovornosti, predviđa dalje unaprjeđenje sistema javnih finansija kroz jačanje fiskalne odgovornosti, transparentnosti i srednjoročne i dugoročne održivosti javnih finansija. </w:t>
      </w:r>
    </w:p>
    <w:p w:rsidR="002B3C21" w:rsidRPr="00410ED8" w:rsidRDefault="002B3C21" w:rsidP="00C8677B">
      <w:pPr>
        <w:spacing w:after="0" w:line="240" w:lineRule="auto"/>
        <w:jc w:val="both"/>
        <w:rPr>
          <w:rFonts w:cs="Calibri"/>
        </w:rPr>
      </w:pPr>
    </w:p>
    <w:p w:rsidR="008E3726" w:rsidRDefault="008E3726" w:rsidP="00C8677B">
      <w:pPr>
        <w:spacing w:after="0" w:line="240" w:lineRule="auto"/>
        <w:jc w:val="both"/>
        <w:rPr>
          <w:rFonts w:cs="Calibri"/>
        </w:rPr>
      </w:pPr>
      <w:r w:rsidRPr="00410ED8">
        <w:rPr>
          <w:rFonts w:cs="Calibri"/>
        </w:rPr>
        <w:t xml:space="preserve">U okviru pregovaračkog poglavlja 17 – Ekonomska i monetarna unija u 2014. godini planirana je izrada Strategije za prelazak javnog sektora na sistem ESA 2010. Usvajanje Evropskog sistema računa ,,ESA 2010” jedan je od zahtjeva EMU, kako bi se postigla uporedivost rezultata država članica EU, odnosno definisala metodologija zajedničkih standarda, definicija, klasifikacija i računovodstvenih pravila. Strategijom će biti definisan plan prelaska na sistem ESA 2010, ciljevi koji se žele postići reformom računovodstva i izvještavanja, kao i vremenski okvir za tranziciju. </w:t>
      </w:r>
    </w:p>
    <w:p w:rsidR="002B3C21" w:rsidRDefault="002B3C21" w:rsidP="00C8677B">
      <w:pPr>
        <w:spacing w:after="0" w:line="240" w:lineRule="auto"/>
        <w:jc w:val="both"/>
      </w:pPr>
    </w:p>
    <w:p w:rsidR="00276884" w:rsidRPr="002B3C21" w:rsidRDefault="00101766" w:rsidP="00506F14">
      <w:pPr>
        <w:pStyle w:val="Heading1"/>
        <w:rPr>
          <w:sz w:val="44"/>
          <w:szCs w:val="40"/>
        </w:rPr>
      </w:pPr>
      <w:r w:rsidRPr="002B3C21">
        <w:rPr>
          <w:sz w:val="28"/>
        </w:rPr>
        <w:lastRenderedPageBreak/>
        <w:t xml:space="preserve"> </w:t>
      </w:r>
      <w:bookmarkStart w:id="39" w:name="_Toc389745284"/>
      <w:r w:rsidR="003464D1" w:rsidRPr="002B3C21">
        <w:rPr>
          <w:sz w:val="28"/>
        </w:rPr>
        <w:t>STRUKTURNE POLITIKE</w:t>
      </w:r>
      <w:bookmarkEnd w:id="39"/>
    </w:p>
    <w:p w:rsidR="002A685B" w:rsidRDefault="002A685B" w:rsidP="002A685B">
      <w:pPr>
        <w:pStyle w:val="ListParagraph"/>
        <w:spacing w:after="0" w:line="240" w:lineRule="auto"/>
        <w:ind w:left="0"/>
        <w:jc w:val="both"/>
        <w:rPr>
          <w:rFonts w:asciiTheme="minorHAnsi" w:hAnsiTheme="minorHAnsi" w:cstheme="minorHAnsi"/>
          <w:sz w:val="22"/>
          <w:szCs w:val="22"/>
        </w:rPr>
      </w:pPr>
      <w:r w:rsidRPr="00A45AE1">
        <w:rPr>
          <w:rFonts w:asciiTheme="minorHAnsi" w:hAnsiTheme="minorHAnsi" w:cstheme="minorHAnsi"/>
          <w:sz w:val="22"/>
          <w:szCs w:val="22"/>
        </w:rPr>
        <w:t>Stvaranje konkurentnog ekonomskog sistema</w:t>
      </w:r>
      <w:r w:rsidR="00340918">
        <w:rPr>
          <w:rFonts w:asciiTheme="minorHAnsi" w:hAnsiTheme="minorHAnsi" w:cstheme="minorHAnsi"/>
          <w:sz w:val="22"/>
          <w:szCs w:val="22"/>
        </w:rPr>
        <w:t>, kao jednog od prioriteta Vlade Crne Gore,</w:t>
      </w:r>
      <w:r w:rsidRPr="00A45AE1">
        <w:rPr>
          <w:rFonts w:asciiTheme="minorHAnsi" w:hAnsiTheme="minorHAnsi" w:cstheme="minorHAnsi"/>
          <w:sz w:val="22"/>
          <w:szCs w:val="22"/>
        </w:rPr>
        <w:t xml:space="preserve"> koji će, na dugi rok, obezbijediti održiv ekonomski rast i razvoj, uslovljeno je </w:t>
      </w:r>
      <w:r w:rsidRPr="00A45AE1">
        <w:rPr>
          <w:rFonts w:asciiTheme="minorHAnsi" w:hAnsiTheme="minorHAnsi" w:cstheme="minorHAnsi"/>
          <w:iCs/>
          <w:sz w:val="22"/>
          <w:szCs w:val="22"/>
          <w:lang w:val="sr-Latn-CS"/>
        </w:rPr>
        <w:t>sprovođenjem započetih strukturnih reformi i realizacijom odgovarajućih sektorskih politika.</w:t>
      </w:r>
      <w:r w:rsidRPr="00A45AE1">
        <w:rPr>
          <w:rFonts w:asciiTheme="minorHAnsi" w:hAnsiTheme="minorHAnsi" w:cstheme="minorHAnsi"/>
          <w:sz w:val="22"/>
          <w:szCs w:val="22"/>
        </w:rPr>
        <w:t xml:space="preserve"> </w:t>
      </w:r>
      <w:r w:rsidRPr="00A45AE1">
        <w:rPr>
          <w:rFonts w:cstheme="minorHAnsi"/>
          <w:sz w:val="22"/>
          <w:szCs w:val="22"/>
        </w:rPr>
        <w:t>S tim u vezi, kao odgovor na razvojni imperativ</w:t>
      </w:r>
      <w:r w:rsidRPr="00A45AE1">
        <w:rPr>
          <w:rFonts w:asciiTheme="minorHAnsi" w:hAnsiTheme="minorHAnsi" w:cstheme="minorHAnsi"/>
          <w:sz w:val="22"/>
          <w:szCs w:val="22"/>
        </w:rPr>
        <w:t>, implementiraju su sistemska rješenja u pravcu unapredjenja poslovnog ambijenta, finansijske i institucionalne podrške razvoju preduzetništva, odnosno sektora malih i srednjih preduzeća, unaprjeđenja radnog zakonodavstva, penzijskog sistema, zdravstva, obrazovanja, te postizanja veće efikasnosti i produktivnosti državne uprave. S druge strane, poseban značaj imaju aktivnosti na realizaciji značajnih infrastrukturnih projekata, prije svega, u sektorima energetika i transport.</w:t>
      </w:r>
    </w:p>
    <w:p w:rsidR="009C3C71" w:rsidRDefault="009C3C71" w:rsidP="002A685B">
      <w:pPr>
        <w:pStyle w:val="ListParagraph"/>
        <w:spacing w:after="0" w:line="240" w:lineRule="auto"/>
        <w:ind w:left="0"/>
        <w:jc w:val="both"/>
        <w:rPr>
          <w:rFonts w:asciiTheme="minorHAnsi" w:hAnsiTheme="minorHAnsi" w:cstheme="minorHAnsi"/>
          <w:sz w:val="22"/>
          <w:szCs w:val="22"/>
        </w:rPr>
      </w:pPr>
    </w:p>
    <w:p w:rsidR="00C06675" w:rsidRDefault="00C06675" w:rsidP="002A685B">
      <w:pPr>
        <w:pStyle w:val="ListParagraph"/>
        <w:spacing w:after="0" w:line="240" w:lineRule="auto"/>
        <w:ind w:left="0"/>
        <w:jc w:val="both"/>
        <w:rPr>
          <w:rFonts w:asciiTheme="minorHAnsi" w:hAnsiTheme="minorHAnsi" w:cstheme="minorHAnsi"/>
          <w:sz w:val="22"/>
          <w:szCs w:val="22"/>
        </w:rPr>
      </w:pPr>
      <w:r>
        <w:rPr>
          <w:rFonts w:asciiTheme="minorHAnsi" w:hAnsiTheme="minorHAnsi" w:cstheme="minorHAnsi"/>
          <w:sz w:val="22"/>
          <w:szCs w:val="22"/>
        </w:rPr>
        <w:t>Sve veći z</w:t>
      </w:r>
      <w:r w:rsidR="00340918">
        <w:rPr>
          <w:rFonts w:asciiTheme="minorHAnsi" w:hAnsiTheme="minorHAnsi" w:cstheme="minorHAnsi"/>
          <w:sz w:val="22"/>
          <w:szCs w:val="22"/>
        </w:rPr>
        <w:t xml:space="preserve">načaj </w:t>
      </w:r>
      <w:r>
        <w:rPr>
          <w:rFonts w:asciiTheme="minorHAnsi" w:hAnsiTheme="minorHAnsi" w:cstheme="minorHAnsi"/>
          <w:sz w:val="22"/>
          <w:szCs w:val="22"/>
        </w:rPr>
        <w:t>sprovođenja strukturnih reformi ogleda se kroz intenziviranje aktivnosti na realizaciji</w:t>
      </w:r>
      <w:r w:rsidR="00340918">
        <w:rPr>
          <w:rFonts w:asciiTheme="minorHAnsi" w:hAnsiTheme="minorHAnsi" w:cstheme="minorHAnsi"/>
          <w:sz w:val="22"/>
          <w:szCs w:val="22"/>
        </w:rPr>
        <w:t xml:space="preserve"> dosadašnjih</w:t>
      </w:r>
      <w:r>
        <w:rPr>
          <w:rFonts w:asciiTheme="minorHAnsi" w:hAnsiTheme="minorHAnsi" w:cstheme="minorHAnsi"/>
          <w:sz w:val="22"/>
          <w:szCs w:val="22"/>
        </w:rPr>
        <w:t xml:space="preserve"> i implementaciju novih rješenja, predloženih</w:t>
      </w:r>
      <w:r w:rsidRPr="00646D58">
        <w:rPr>
          <w:rFonts w:asciiTheme="minorHAnsi" w:hAnsiTheme="minorHAnsi" w:cstheme="minorHAnsi"/>
          <w:sz w:val="22"/>
          <w:szCs w:val="22"/>
        </w:rPr>
        <w:t xml:space="preserve"> </w:t>
      </w:r>
      <w:r>
        <w:rPr>
          <w:rFonts w:asciiTheme="minorHAnsi" w:hAnsiTheme="minorHAnsi" w:cstheme="minorHAnsi"/>
          <w:sz w:val="22"/>
          <w:szCs w:val="22"/>
        </w:rPr>
        <w:t>na sjednici Vlade na temu “Unapređenje poslovnog ambijenta u Crnoj Gori” (46 zaključaka). Predloženi prioriteti, usklađeni sa praksom i standardima modernih i razvijenih država, odnose se na</w:t>
      </w:r>
      <w:r w:rsidRPr="00C06675">
        <w:rPr>
          <w:rFonts w:asciiTheme="minorHAnsi" w:hAnsiTheme="minorHAnsi" w:cstheme="minorHAnsi"/>
          <w:sz w:val="22"/>
          <w:szCs w:val="22"/>
        </w:rPr>
        <w:t xml:space="preserve"> </w:t>
      </w:r>
      <w:r>
        <w:rPr>
          <w:rFonts w:asciiTheme="minorHAnsi" w:hAnsiTheme="minorHAnsi" w:cstheme="minorHAnsi"/>
          <w:sz w:val="22"/>
          <w:szCs w:val="22"/>
        </w:rPr>
        <w:t>sprovođenje mjera i podsticaja u oblastima:</w:t>
      </w:r>
    </w:p>
    <w:p w:rsidR="00C06675" w:rsidRDefault="00C06675" w:rsidP="00C06675">
      <w:pPr>
        <w:pStyle w:val="ListParagraph"/>
        <w:numPr>
          <w:ilvl w:val="0"/>
          <w:numId w:val="2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građevinarstvo i uređenje prostora;</w:t>
      </w:r>
    </w:p>
    <w:p w:rsidR="00C06675" w:rsidRDefault="00C06675" w:rsidP="00C06675">
      <w:pPr>
        <w:pStyle w:val="ListParagraph"/>
        <w:numPr>
          <w:ilvl w:val="0"/>
          <w:numId w:val="2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turizam;</w:t>
      </w:r>
    </w:p>
    <w:p w:rsidR="00C06675" w:rsidRDefault="00C06675" w:rsidP="00C06675">
      <w:pPr>
        <w:pStyle w:val="ListParagraph"/>
        <w:numPr>
          <w:ilvl w:val="0"/>
          <w:numId w:val="2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životna sredina;</w:t>
      </w:r>
    </w:p>
    <w:p w:rsidR="00C06675" w:rsidRDefault="00C06675" w:rsidP="00C06675">
      <w:pPr>
        <w:pStyle w:val="ListParagraph"/>
        <w:numPr>
          <w:ilvl w:val="0"/>
          <w:numId w:val="2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stambena politika i</w:t>
      </w:r>
    </w:p>
    <w:p w:rsidR="00C06675" w:rsidRDefault="00C06675" w:rsidP="00C06675">
      <w:pPr>
        <w:pStyle w:val="ListParagraph"/>
        <w:numPr>
          <w:ilvl w:val="0"/>
          <w:numId w:val="2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investicije.</w:t>
      </w:r>
    </w:p>
    <w:p w:rsidR="00C06675" w:rsidRDefault="00C06675" w:rsidP="002A685B">
      <w:pPr>
        <w:pStyle w:val="ListParagraph"/>
        <w:spacing w:after="0" w:line="240" w:lineRule="auto"/>
        <w:ind w:left="0"/>
        <w:jc w:val="both"/>
        <w:rPr>
          <w:rFonts w:asciiTheme="minorHAnsi" w:hAnsiTheme="minorHAnsi" w:cstheme="minorHAnsi"/>
          <w:sz w:val="22"/>
          <w:szCs w:val="22"/>
        </w:rPr>
      </w:pPr>
    </w:p>
    <w:p w:rsidR="002A72F0" w:rsidRPr="002B3C21" w:rsidRDefault="00276884" w:rsidP="00F06FFE">
      <w:pPr>
        <w:pStyle w:val="Heading2"/>
        <w:rPr>
          <w:sz w:val="24"/>
        </w:rPr>
      </w:pPr>
      <w:bookmarkStart w:id="40" w:name="_Toc389745285"/>
      <w:r w:rsidRPr="002B3C21">
        <w:rPr>
          <w:sz w:val="24"/>
        </w:rPr>
        <w:t>SEKTOR PREDUZEĆA</w:t>
      </w:r>
      <w:bookmarkEnd w:id="40"/>
    </w:p>
    <w:p w:rsidR="00276884" w:rsidRPr="002B3C21" w:rsidRDefault="00276884" w:rsidP="00F06FFE">
      <w:pPr>
        <w:pStyle w:val="Heading3"/>
        <w:rPr>
          <w:sz w:val="22"/>
        </w:rPr>
      </w:pPr>
      <w:bookmarkStart w:id="41" w:name="_Toc389745286"/>
      <w:r w:rsidRPr="002B3C21">
        <w:rPr>
          <w:sz w:val="22"/>
        </w:rPr>
        <w:t>Privatizacija i javno-privatna partnerstva</w:t>
      </w:r>
      <w:bookmarkEnd w:id="41"/>
    </w:p>
    <w:p w:rsidR="002B3C21" w:rsidRDefault="002B3C21" w:rsidP="002A685B">
      <w:pPr>
        <w:spacing w:after="0" w:line="240" w:lineRule="auto"/>
        <w:jc w:val="both"/>
        <w:rPr>
          <w:rFonts w:asciiTheme="minorHAnsi" w:hAnsiTheme="minorHAnsi" w:cstheme="minorHAnsi"/>
          <w:b/>
        </w:rPr>
      </w:pPr>
    </w:p>
    <w:p w:rsidR="002A685B" w:rsidRPr="00486D5F" w:rsidRDefault="002A685B" w:rsidP="002A685B">
      <w:pPr>
        <w:spacing w:after="0" w:line="240" w:lineRule="auto"/>
        <w:jc w:val="both"/>
        <w:rPr>
          <w:rFonts w:ascii="Times New Roman" w:eastAsia="Times New Roman" w:hAnsi="Times New Roman"/>
          <w:sz w:val="24"/>
          <w:szCs w:val="24"/>
        </w:rPr>
      </w:pPr>
      <w:r w:rsidRPr="00486D5F">
        <w:rPr>
          <w:rFonts w:asciiTheme="minorHAnsi" w:hAnsiTheme="minorHAnsi" w:cstheme="minorHAnsi"/>
          <w:b/>
        </w:rPr>
        <w:t xml:space="preserve">Utvrđen je Plan privatizacije za 2014. godinu, kojim su </w:t>
      </w:r>
      <w:r w:rsidRPr="00486D5F">
        <w:rPr>
          <w:rFonts w:cstheme="minorHAnsi"/>
          <w:b/>
        </w:rPr>
        <w:t>definisane privatizacione aktivnosti sa osnovnim ciljevima, metodama i načinima privatizacije, utvrđenim spiskovima društava i procentom akcijskog kapitala za privatizaciju.</w:t>
      </w:r>
      <w:r w:rsidRPr="00486D5F">
        <w:rPr>
          <w:rFonts w:cstheme="minorHAnsi"/>
        </w:rPr>
        <w:t xml:space="preserve"> Kriterijumi za donošenje odluka o pojedinačnim privatizacijama, i u aktuelnim ekonomskim i finansijskim uslovima, su povećanje konkurentnosti i efikasnosti funkcionisanja društava, podsticanje stranih ulaganja i preduzetništva, povećanje zaposlenosti i poboljšanje životnog standarda.</w:t>
      </w:r>
      <w:r w:rsidRPr="00486D5F">
        <w:rPr>
          <w:rFonts w:asciiTheme="minorHAnsi" w:eastAsia="Times New Roman" w:hAnsiTheme="minorHAnsi" w:cstheme="minorHAnsi"/>
        </w:rPr>
        <w:t xml:space="preserve"> </w:t>
      </w:r>
      <w:r w:rsidRPr="00C76A3A">
        <w:rPr>
          <w:rFonts w:asciiTheme="minorHAnsi" w:eastAsia="Times New Roman" w:hAnsiTheme="minorHAnsi" w:cstheme="minorHAnsi"/>
        </w:rPr>
        <w:t xml:space="preserve">Za realizaciju navedenih ciljeva </w:t>
      </w:r>
      <w:r w:rsidRPr="00486D5F">
        <w:rPr>
          <w:rFonts w:asciiTheme="minorHAnsi" w:eastAsia="Times New Roman" w:hAnsiTheme="minorHAnsi" w:cstheme="minorHAnsi"/>
        </w:rPr>
        <w:t>neophodno je sprovesti</w:t>
      </w:r>
      <w:r w:rsidRPr="00C76A3A">
        <w:rPr>
          <w:rFonts w:asciiTheme="minorHAnsi" w:eastAsia="Times New Roman" w:hAnsiTheme="minorHAnsi" w:cstheme="minorHAnsi"/>
        </w:rPr>
        <w:t xml:space="preserve"> reforme i mjere za unapređenje poslovnog ambijenta, koje podrazumijevaju i uklanjanje barijera za nova ulaganja</w:t>
      </w:r>
      <w:r w:rsidRPr="00486D5F">
        <w:rPr>
          <w:rFonts w:ascii="Times New Roman" w:eastAsia="Times New Roman" w:hAnsi="Times New Roman"/>
          <w:sz w:val="24"/>
          <w:szCs w:val="24"/>
        </w:rPr>
        <w:t>.</w:t>
      </w:r>
    </w:p>
    <w:p w:rsidR="002A685B" w:rsidRPr="00486D5F" w:rsidRDefault="002A685B" w:rsidP="002A685B">
      <w:pPr>
        <w:spacing w:after="0" w:line="240" w:lineRule="auto"/>
        <w:jc w:val="both"/>
        <w:rPr>
          <w:rFonts w:ascii="Times New Roman" w:eastAsia="Times New Roman" w:hAnsi="Times New Roman"/>
          <w:sz w:val="24"/>
          <w:szCs w:val="24"/>
        </w:rPr>
      </w:pPr>
    </w:p>
    <w:p w:rsidR="002A685B" w:rsidRPr="00486D5F" w:rsidRDefault="002A685B" w:rsidP="002A685B">
      <w:pPr>
        <w:spacing w:after="0" w:line="240" w:lineRule="auto"/>
        <w:jc w:val="both"/>
        <w:rPr>
          <w:rFonts w:asciiTheme="minorHAnsi" w:eastAsia="Times New Roman" w:hAnsiTheme="minorHAnsi" w:cstheme="minorHAnsi"/>
        </w:rPr>
      </w:pPr>
      <w:r w:rsidRPr="00C76A3A">
        <w:rPr>
          <w:rFonts w:asciiTheme="minorHAnsi" w:eastAsia="Times New Roman" w:hAnsiTheme="minorHAnsi" w:cstheme="minorHAnsi"/>
        </w:rPr>
        <w:t>Plan privatizacije biće realizovan na bazi tenderske prodaje akcijskog kapitala i kroz primjenu modela privatno-javnog partnerstva u jednom broju privrednih društava. Metodom tenderske prodaje privatizovaće se: “Jadransko brodogradilište“, "Novi duvanski kombinat", „Montecargo“, „Montenegro airlines“, HTP „Budvanska rivijera“, HTP „Ulcinjska rivijera“, „Institut crne metalurgije“, Fabrika elektroda - Plužine, "Poliex" - Berane, Institut "Dr Simo Milošević" - Igalo, „Marina“ - Bar, "Montenegro Defence Industry“ - Podgorica i Hotel "Park</w:t>
      </w:r>
      <w:r>
        <w:rPr>
          <w:rFonts w:asciiTheme="minorHAnsi" w:eastAsia="Times New Roman" w:hAnsiTheme="minorHAnsi" w:cstheme="minorHAnsi"/>
        </w:rPr>
        <w:t>”</w:t>
      </w:r>
      <w:r w:rsidRPr="00C76A3A">
        <w:rPr>
          <w:rFonts w:asciiTheme="minorHAnsi" w:eastAsia="Times New Roman" w:hAnsiTheme="minorHAnsi" w:cstheme="minorHAnsi"/>
        </w:rPr>
        <w:t xml:space="preserve"> - Bijela.</w:t>
      </w:r>
    </w:p>
    <w:p w:rsidR="002A685B" w:rsidRPr="00486D5F" w:rsidRDefault="002A685B" w:rsidP="002A685B">
      <w:pPr>
        <w:spacing w:after="0" w:line="240" w:lineRule="auto"/>
        <w:jc w:val="both"/>
        <w:rPr>
          <w:rFonts w:asciiTheme="minorHAnsi" w:eastAsia="Times New Roman" w:hAnsiTheme="minorHAnsi" w:cstheme="minorHAnsi"/>
        </w:rPr>
      </w:pPr>
    </w:p>
    <w:p w:rsidR="002A685B" w:rsidRPr="00486D5F" w:rsidRDefault="002A685B" w:rsidP="002A685B">
      <w:pPr>
        <w:spacing w:after="0" w:line="240" w:lineRule="auto"/>
        <w:jc w:val="both"/>
        <w:rPr>
          <w:rFonts w:asciiTheme="minorHAnsi" w:eastAsia="Times New Roman" w:hAnsiTheme="minorHAnsi" w:cstheme="minorHAnsi"/>
        </w:rPr>
      </w:pPr>
      <w:r>
        <w:rPr>
          <w:rFonts w:asciiTheme="minorHAnsi" w:eastAsia="Times New Roman" w:hAnsiTheme="minorHAnsi" w:cstheme="minorHAnsi"/>
        </w:rPr>
        <w:t>M</w:t>
      </w:r>
      <w:r w:rsidRPr="00C76A3A">
        <w:rPr>
          <w:rFonts w:asciiTheme="minorHAnsi" w:eastAsia="Times New Roman" w:hAnsiTheme="minorHAnsi" w:cstheme="minorHAnsi"/>
        </w:rPr>
        <w:t xml:space="preserve">odelom privatno-javnog partnerstva </w:t>
      </w:r>
      <w:r>
        <w:rPr>
          <w:rFonts w:asciiTheme="minorHAnsi" w:eastAsia="Times New Roman" w:hAnsiTheme="minorHAnsi" w:cstheme="minorHAnsi"/>
        </w:rPr>
        <w:t>privatizovaće se</w:t>
      </w:r>
      <w:r w:rsidRPr="00C76A3A">
        <w:rPr>
          <w:rFonts w:asciiTheme="minorHAnsi" w:eastAsia="Times New Roman" w:hAnsiTheme="minorHAnsi" w:cstheme="minorHAnsi"/>
        </w:rPr>
        <w:t xml:space="preserve">: Ostrvo "Lastavica" sa tvrđavom „Mamula“, VTK "Mediteran" - Žabljak, Lokalitet između Njivica i ušća Sutorine, Vojno-turistički kompleks "Bigovo"-Trašte, Turistički kompleks </w:t>
      </w:r>
      <w:r>
        <w:rPr>
          <w:rFonts w:asciiTheme="minorHAnsi" w:eastAsia="Times New Roman" w:hAnsiTheme="minorHAnsi" w:cstheme="minorHAnsi"/>
        </w:rPr>
        <w:t>“</w:t>
      </w:r>
      <w:r w:rsidRPr="00C76A3A">
        <w:rPr>
          <w:rFonts w:asciiTheme="minorHAnsi" w:eastAsia="Times New Roman" w:hAnsiTheme="minorHAnsi" w:cstheme="minorHAnsi"/>
        </w:rPr>
        <w:t>Ecolodge</w:t>
      </w:r>
      <w:r>
        <w:rPr>
          <w:rFonts w:asciiTheme="minorHAnsi" w:eastAsia="Times New Roman" w:hAnsiTheme="minorHAnsi" w:cstheme="minorHAnsi"/>
        </w:rPr>
        <w:t>”</w:t>
      </w:r>
      <w:r w:rsidRPr="00C76A3A">
        <w:rPr>
          <w:rFonts w:asciiTheme="minorHAnsi" w:eastAsia="Times New Roman" w:hAnsiTheme="minorHAnsi" w:cstheme="minorHAnsi"/>
        </w:rPr>
        <w:t xml:space="preserve"> - Vranjina, Velika plaža, Ada Bojana, Kamp Neptun - HTP “Ulcinjska rivijera”, NTC "Marina" - Kotor, Uvala Masline "Utjeha" za rt Odrač u Baru, Vojno-turistički kompleks "Valdanos", Vojno-turistički kompleks "Ostrvo cvijeća" i zemljište Prevlaka, Kasarna "Gornji klinci" - Herceg Novi, Lalovina - komanda PKL Herceg Novi, Motel Šas sa Vladimir ekonomijom – Ulcinj, Lokalitet "Donja Arza" - Herceg Novi, Pošta Crne Gore, Skijalište "Savin kuk" i zemljišt</w:t>
      </w:r>
      <w:r>
        <w:rPr>
          <w:rFonts w:asciiTheme="minorHAnsi" w:eastAsia="Times New Roman" w:hAnsiTheme="minorHAnsi" w:cstheme="minorHAnsi"/>
        </w:rPr>
        <w:t>e</w:t>
      </w:r>
      <w:r w:rsidRPr="00C76A3A">
        <w:rPr>
          <w:rFonts w:asciiTheme="minorHAnsi" w:eastAsia="Times New Roman" w:hAnsiTheme="minorHAnsi" w:cstheme="minorHAnsi"/>
        </w:rPr>
        <w:t xml:space="preserve"> nekadašnje kasa</w:t>
      </w:r>
      <w:r w:rsidRPr="00486D5F">
        <w:rPr>
          <w:rFonts w:asciiTheme="minorHAnsi" w:eastAsia="Times New Roman" w:hAnsiTheme="minorHAnsi" w:cstheme="minorHAnsi"/>
        </w:rPr>
        <w:t xml:space="preserve">rne"Radoje Dakić" na Žabljaku. </w:t>
      </w:r>
    </w:p>
    <w:p w:rsidR="002A685B" w:rsidRPr="00486D5F" w:rsidRDefault="002A685B" w:rsidP="002A685B">
      <w:pPr>
        <w:autoSpaceDE w:val="0"/>
        <w:autoSpaceDN w:val="0"/>
        <w:adjustRightInd w:val="0"/>
        <w:spacing w:after="0" w:line="240" w:lineRule="auto"/>
        <w:jc w:val="both"/>
        <w:rPr>
          <w:rFonts w:asciiTheme="minorHAnsi" w:eastAsiaTheme="minorHAnsi" w:hAnsiTheme="minorHAnsi" w:cstheme="minorHAnsi"/>
        </w:rPr>
      </w:pPr>
    </w:p>
    <w:p w:rsidR="002A685B" w:rsidRPr="002A685B" w:rsidRDefault="002A685B" w:rsidP="002A685B">
      <w:pPr>
        <w:autoSpaceDE w:val="0"/>
        <w:autoSpaceDN w:val="0"/>
        <w:adjustRightInd w:val="0"/>
        <w:spacing w:after="0" w:line="240" w:lineRule="auto"/>
        <w:jc w:val="both"/>
      </w:pPr>
      <w:r w:rsidRPr="00486D5F">
        <w:rPr>
          <w:rFonts w:asciiTheme="minorHAnsi" w:eastAsiaTheme="minorHAnsi" w:hAnsiTheme="minorHAnsi" w:cstheme="minorHAnsi"/>
        </w:rPr>
        <w:lastRenderedPageBreak/>
        <w:t>Na bazi pravne i finansijske analize efekata prodaje imovine akcionarskog društva “Jadransko Brodogradilište</w:t>
      </w:r>
      <w:r>
        <w:rPr>
          <w:rFonts w:asciiTheme="minorHAnsi" w:eastAsiaTheme="minorHAnsi" w:hAnsiTheme="minorHAnsi" w:cstheme="minorHAnsi"/>
        </w:rPr>
        <w:t>”</w:t>
      </w:r>
      <w:r w:rsidRPr="00486D5F">
        <w:rPr>
          <w:rFonts w:asciiTheme="minorHAnsi" w:eastAsiaTheme="minorHAnsi" w:hAnsiTheme="minorHAnsi" w:cstheme="minorHAnsi"/>
        </w:rPr>
        <w:t xml:space="preserve"> Bijela, u kojoj su navedene prednosti i nedostaci modela prodaje imovine Kompanije </w:t>
      </w:r>
      <w:r>
        <w:rPr>
          <w:rFonts w:asciiTheme="minorHAnsi" w:eastAsiaTheme="minorHAnsi" w:hAnsiTheme="minorHAnsi" w:cstheme="minorHAnsi"/>
        </w:rPr>
        <w:t>i</w:t>
      </w:r>
      <w:r w:rsidRPr="00486D5F">
        <w:rPr>
          <w:rFonts w:asciiTheme="minorHAnsi" w:eastAsiaTheme="minorHAnsi" w:hAnsiTheme="minorHAnsi" w:cstheme="minorHAnsi"/>
        </w:rPr>
        <w:t xml:space="preserve"> modela Joint venture koji bi se ostvari</w:t>
      </w:r>
      <w:r w:rsidR="00DA2574">
        <w:rPr>
          <w:rFonts w:asciiTheme="minorHAnsi" w:eastAsiaTheme="minorHAnsi" w:hAnsiTheme="minorHAnsi" w:cstheme="minorHAnsi"/>
        </w:rPr>
        <w:t xml:space="preserve">o kroz prodaju većinskog paketa </w:t>
      </w:r>
      <w:r w:rsidRPr="00486D5F">
        <w:rPr>
          <w:rFonts w:asciiTheme="minorHAnsi" w:eastAsiaTheme="minorHAnsi" w:hAnsiTheme="minorHAnsi" w:cstheme="minorHAnsi"/>
        </w:rPr>
        <w:t>akcija “Jadranskog brodogradilišta”. S tim u vezi, objavljen je</w:t>
      </w:r>
      <w:r>
        <w:rPr>
          <w:rFonts w:asciiTheme="minorHAnsi" w:eastAsiaTheme="minorHAnsi" w:hAnsiTheme="minorHAnsi" w:cstheme="minorHAnsi"/>
        </w:rPr>
        <w:t xml:space="preserve">, </w:t>
      </w:r>
      <w:r w:rsidRPr="00486D5F">
        <w:rPr>
          <w:rFonts w:asciiTheme="minorHAnsi" w:eastAsiaTheme="minorHAnsi" w:hAnsiTheme="minorHAnsi" w:cstheme="minorHAnsi"/>
        </w:rPr>
        <w:t>21. januara 2014</w:t>
      </w:r>
      <w:r>
        <w:rPr>
          <w:rFonts w:asciiTheme="minorHAnsi" w:eastAsiaTheme="minorHAnsi" w:hAnsiTheme="minorHAnsi" w:cstheme="minorHAnsi"/>
        </w:rPr>
        <w:t xml:space="preserve">, </w:t>
      </w:r>
      <w:r w:rsidRPr="00486D5F">
        <w:rPr>
          <w:rFonts w:asciiTheme="minorHAnsi" w:eastAsiaTheme="minorHAnsi" w:hAnsiTheme="minorHAnsi" w:cstheme="minorHAnsi"/>
        </w:rPr>
        <w:t>Javni poziv za podnošenje ponuda sa postupkom Kvalifikacije za učešće na tender</w:t>
      </w:r>
      <w:r>
        <w:rPr>
          <w:rFonts w:asciiTheme="minorHAnsi" w:eastAsiaTheme="minorHAnsi" w:hAnsiTheme="minorHAnsi" w:cstheme="minorHAnsi"/>
        </w:rPr>
        <w:t>u</w:t>
      </w:r>
      <w:r w:rsidRPr="00486D5F">
        <w:rPr>
          <w:rFonts w:asciiTheme="minorHAnsi" w:eastAsiaTheme="minorHAnsi" w:hAnsiTheme="minorHAnsi" w:cstheme="minorHAnsi"/>
        </w:rPr>
        <w:t xml:space="preserve"> radi prodaje 61,5749% kapitala društva "Jadransko brodogradilište" </w:t>
      </w:r>
      <w:r w:rsidR="00DA2574">
        <w:rPr>
          <w:rFonts w:asciiTheme="minorHAnsi" w:eastAsiaTheme="minorHAnsi" w:hAnsiTheme="minorHAnsi" w:cstheme="minorHAnsi"/>
        </w:rPr>
        <w:t>AD</w:t>
      </w:r>
      <w:r w:rsidRPr="00486D5F">
        <w:rPr>
          <w:rFonts w:asciiTheme="minorHAnsi" w:eastAsiaTheme="minorHAnsi" w:hAnsiTheme="minorHAnsi" w:cstheme="minorHAnsi"/>
        </w:rPr>
        <w:t xml:space="preserve"> </w:t>
      </w:r>
      <w:r>
        <w:rPr>
          <w:rFonts w:asciiTheme="minorHAnsi" w:eastAsiaTheme="minorHAnsi" w:hAnsiTheme="minorHAnsi" w:cstheme="minorHAnsi"/>
        </w:rPr>
        <w:t>Bijela.</w:t>
      </w:r>
    </w:p>
    <w:p w:rsidR="00276884" w:rsidRPr="002B3C21" w:rsidRDefault="00276884" w:rsidP="00F06FFE">
      <w:pPr>
        <w:pStyle w:val="Heading3"/>
        <w:rPr>
          <w:sz w:val="24"/>
        </w:rPr>
      </w:pPr>
      <w:bookmarkStart w:id="42" w:name="_Toc389745287"/>
      <w:r w:rsidRPr="002B3C21">
        <w:rPr>
          <w:sz w:val="24"/>
        </w:rPr>
        <w:t>Biznis okruženje</w:t>
      </w:r>
      <w:bookmarkEnd w:id="42"/>
    </w:p>
    <w:p w:rsidR="00D86308" w:rsidRDefault="00D86308" w:rsidP="00D86308">
      <w:pPr>
        <w:pStyle w:val="Heading4"/>
        <w:numPr>
          <w:ilvl w:val="0"/>
          <w:numId w:val="0"/>
        </w:numPr>
        <w:ind w:left="864" w:hanging="864"/>
      </w:pPr>
    </w:p>
    <w:p w:rsidR="00276884" w:rsidRPr="002B3C21" w:rsidRDefault="00276884" w:rsidP="00F06FFE">
      <w:pPr>
        <w:pStyle w:val="Heading4"/>
        <w:rPr>
          <w:sz w:val="22"/>
        </w:rPr>
      </w:pPr>
      <w:bookmarkStart w:id="43" w:name="_Toc389745288"/>
      <w:r w:rsidRPr="002B3C21">
        <w:rPr>
          <w:sz w:val="22"/>
        </w:rPr>
        <w:t>Poreska politika</w:t>
      </w:r>
      <w:bookmarkEnd w:id="43"/>
    </w:p>
    <w:p w:rsidR="002A72F0" w:rsidRPr="009D407D" w:rsidRDefault="002A72F0" w:rsidP="002A72F0">
      <w:pPr>
        <w:spacing w:after="0" w:line="240" w:lineRule="auto"/>
      </w:pPr>
    </w:p>
    <w:p w:rsidR="002A685B" w:rsidRPr="00B815E9" w:rsidRDefault="002A685B" w:rsidP="002A685B">
      <w:pPr>
        <w:spacing w:after="0" w:line="240" w:lineRule="auto"/>
        <w:jc w:val="both"/>
        <w:rPr>
          <w:rFonts w:cs="Calibri"/>
          <w:b/>
        </w:rPr>
      </w:pPr>
      <w:r w:rsidRPr="00B815E9">
        <w:rPr>
          <w:b/>
        </w:rPr>
        <w:t xml:space="preserve">Poreska politika usmjerena je na kreiranje konkurentnog i stabilnog poreskog sistema, kroz primjenu jednostavnih i jasnih zakonskih rešenja i procedura, zadržavanje konkurentnih poreskih stopa, </w:t>
      </w:r>
      <w:r w:rsidRPr="00B815E9">
        <w:rPr>
          <w:rFonts w:cs="Calibri"/>
          <w:b/>
        </w:rPr>
        <w:t>unapređenje poreske kulture obveznika i smanjenje sive ekonomije.</w:t>
      </w:r>
    </w:p>
    <w:p w:rsidR="002A685B" w:rsidRPr="00B815E9" w:rsidRDefault="002A685B" w:rsidP="002A685B">
      <w:pPr>
        <w:spacing w:after="0" w:line="240" w:lineRule="auto"/>
        <w:jc w:val="both"/>
        <w:rPr>
          <w:rFonts w:cs="Calibri"/>
          <w:b/>
        </w:rPr>
      </w:pPr>
    </w:p>
    <w:p w:rsidR="002A685B" w:rsidRPr="00B815E9" w:rsidRDefault="002A685B" w:rsidP="002A685B">
      <w:pPr>
        <w:spacing w:after="0" w:line="240" w:lineRule="auto"/>
        <w:jc w:val="both"/>
        <w:rPr>
          <w:rFonts w:asciiTheme="minorHAnsi" w:hAnsiTheme="minorHAnsi" w:cs="Calibri"/>
        </w:rPr>
      </w:pPr>
      <w:r w:rsidRPr="00B815E9">
        <w:rPr>
          <w:rFonts w:cs="Calibri"/>
        </w:rPr>
        <w:t>S tim u vezi,</w:t>
      </w:r>
      <w:r w:rsidRPr="00B815E9">
        <w:rPr>
          <w:rFonts w:cs="Calibri"/>
          <w:b/>
        </w:rPr>
        <w:t xml:space="preserve"> </w:t>
      </w:r>
      <w:r w:rsidRPr="00B815E9">
        <w:rPr>
          <w:rFonts w:asciiTheme="minorHAnsi" w:hAnsiTheme="minorHAnsi" w:cs="Calibri"/>
        </w:rPr>
        <w:t>u prethodnom periodu, aktivnosti su bile usmjerene na:</w:t>
      </w:r>
    </w:p>
    <w:p w:rsidR="002A685B" w:rsidRPr="00B815E9" w:rsidRDefault="002A685B" w:rsidP="002A685B">
      <w:pPr>
        <w:spacing w:after="0" w:line="240" w:lineRule="auto"/>
        <w:jc w:val="both"/>
        <w:rPr>
          <w:rFonts w:cs="Calibri"/>
          <w:b/>
        </w:rPr>
      </w:pPr>
    </w:p>
    <w:p w:rsidR="002A685B" w:rsidRPr="00DA2574" w:rsidRDefault="002A685B" w:rsidP="002A685B">
      <w:pPr>
        <w:pStyle w:val="ListParagraph"/>
        <w:numPr>
          <w:ilvl w:val="0"/>
          <w:numId w:val="21"/>
        </w:numPr>
        <w:spacing w:after="0" w:line="240" w:lineRule="auto"/>
        <w:jc w:val="both"/>
        <w:rPr>
          <w:rFonts w:cs="Calibri"/>
          <w:sz w:val="22"/>
        </w:rPr>
      </w:pPr>
      <w:r w:rsidRPr="00DA2574">
        <w:rPr>
          <w:rFonts w:cs="Calibri"/>
          <w:sz w:val="22"/>
        </w:rPr>
        <w:t>donošenje Zakona o budžetu i fiskalnoj odgovornosti, kojim su uspostavljena numerička fiskalna pravila u segmentu deficit</w:t>
      </w:r>
      <w:r w:rsidR="00DA2574">
        <w:rPr>
          <w:rFonts w:cs="Calibri"/>
          <w:sz w:val="22"/>
        </w:rPr>
        <w:t>a i javnog duga i utvrđeni limiti</w:t>
      </w:r>
      <w:r w:rsidRPr="00DA2574">
        <w:rPr>
          <w:rFonts w:cs="Calibri"/>
          <w:sz w:val="22"/>
        </w:rPr>
        <w:t xml:space="preserve"> potrošnje, što će predstavljati osnovu za pripremu godišnjih zakona o budžetu;</w:t>
      </w:r>
    </w:p>
    <w:p w:rsidR="002A685B" w:rsidRPr="00DA2574" w:rsidRDefault="002A685B" w:rsidP="002A685B">
      <w:pPr>
        <w:pStyle w:val="ListParagraph"/>
        <w:numPr>
          <w:ilvl w:val="0"/>
          <w:numId w:val="2"/>
        </w:numPr>
        <w:spacing w:after="0" w:line="240" w:lineRule="auto"/>
        <w:ind w:left="709" w:hanging="283"/>
        <w:contextualSpacing/>
        <w:jc w:val="both"/>
        <w:rPr>
          <w:rFonts w:asciiTheme="minorHAnsi" w:hAnsiTheme="minorHAnsi" w:cs="Calibri"/>
          <w:sz w:val="22"/>
        </w:rPr>
      </w:pPr>
      <w:r w:rsidRPr="00DA2574">
        <w:rPr>
          <w:rFonts w:asciiTheme="minorHAnsi" w:hAnsiTheme="minorHAnsi" w:cs="Calibri"/>
          <w:sz w:val="22"/>
        </w:rPr>
        <w:t>nastavak realizacije mjera</w:t>
      </w:r>
      <w:r w:rsidRPr="00DA2574">
        <w:rPr>
          <w:sz w:val="22"/>
        </w:rPr>
        <w:t xml:space="preserve"> fiskalnog prilagođavanja sa ciljem zaustavljanja trenda pogoršanja fiskalnih parametara, prvenstveno pada naplate prihoda i, posljedično, rasta deficita i nivoa javnog duga;</w:t>
      </w:r>
    </w:p>
    <w:p w:rsidR="002A685B" w:rsidRPr="00DA2574" w:rsidRDefault="002A685B" w:rsidP="002A685B">
      <w:pPr>
        <w:pStyle w:val="ListParagraph"/>
        <w:numPr>
          <w:ilvl w:val="0"/>
          <w:numId w:val="2"/>
        </w:numPr>
        <w:spacing w:after="0" w:line="240" w:lineRule="auto"/>
        <w:ind w:left="709" w:hanging="283"/>
        <w:contextualSpacing/>
        <w:jc w:val="both"/>
        <w:rPr>
          <w:rFonts w:asciiTheme="minorHAnsi" w:hAnsiTheme="minorHAnsi" w:cs="Calibri"/>
          <w:sz w:val="22"/>
        </w:rPr>
      </w:pPr>
      <w:r w:rsidRPr="00DA2574">
        <w:rPr>
          <w:rFonts w:asciiTheme="minorHAnsi" w:hAnsiTheme="minorHAnsi" w:cs="Calibri"/>
          <w:sz w:val="22"/>
        </w:rPr>
        <w:t>donošenje Akcionog plana za suzbijanje sive ekonomije za 2014. godinu;</w:t>
      </w:r>
    </w:p>
    <w:p w:rsidR="002A685B" w:rsidRPr="00DA2574" w:rsidRDefault="002A685B" w:rsidP="002A685B">
      <w:pPr>
        <w:pStyle w:val="ListParagraph"/>
        <w:numPr>
          <w:ilvl w:val="0"/>
          <w:numId w:val="2"/>
        </w:numPr>
        <w:spacing w:after="0" w:line="240" w:lineRule="auto"/>
        <w:ind w:left="709" w:hanging="283"/>
        <w:contextualSpacing/>
        <w:jc w:val="both"/>
        <w:rPr>
          <w:rFonts w:asciiTheme="minorHAnsi" w:hAnsiTheme="minorHAnsi" w:cs="Calibri"/>
          <w:sz w:val="22"/>
        </w:rPr>
      </w:pPr>
      <w:r w:rsidRPr="00DA2574">
        <w:rPr>
          <w:rFonts w:asciiTheme="minorHAnsi" w:hAnsiTheme="minorHAnsi" w:cs="Calibri"/>
          <w:sz w:val="22"/>
        </w:rPr>
        <w:t>jačanje mjera kontrole prometa akciznih proizvoda, tržišta rada, izdavanja fiskalnih računa i registracije pravnih i fizičkih lica koja obavljaju djelatnost;</w:t>
      </w:r>
    </w:p>
    <w:p w:rsidR="002A685B" w:rsidRPr="00DA2574" w:rsidRDefault="002A685B" w:rsidP="002A685B">
      <w:pPr>
        <w:pStyle w:val="ListParagraph"/>
        <w:numPr>
          <w:ilvl w:val="0"/>
          <w:numId w:val="2"/>
        </w:numPr>
        <w:spacing w:after="0" w:line="240" w:lineRule="auto"/>
        <w:ind w:left="709" w:hanging="283"/>
        <w:contextualSpacing/>
        <w:jc w:val="both"/>
        <w:rPr>
          <w:rFonts w:asciiTheme="minorHAnsi" w:hAnsiTheme="minorHAnsi" w:cs="Calibri"/>
          <w:sz w:val="22"/>
        </w:rPr>
      </w:pPr>
      <w:r w:rsidRPr="00DA2574">
        <w:rPr>
          <w:rFonts w:asciiTheme="minorHAnsi" w:hAnsiTheme="minorHAnsi" w:cs="Calibri"/>
          <w:sz w:val="22"/>
        </w:rPr>
        <w:t>utvrđivanje niže carinske tarife za, u najvećoj mjeri, poljoprivredne proizvode, čime se dodatno liberalizuje crnogorsko tržište i realizuju preuzete međunarodne obaveze.</w:t>
      </w:r>
    </w:p>
    <w:p w:rsidR="002A685B" w:rsidRPr="00DA2574" w:rsidRDefault="002A685B" w:rsidP="002A685B">
      <w:pPr>
        <w:spacing w:after="0" w:line="240" w:lineRule="auto"/>
        <w:ind w:hanging="294"/>
        <w:jc w:val="both"/>
        <w:rPr>
          <w:b/>
          <w:szCs w:val="20"/>
        </w:rPr>
      </w:pPr>
    </w:p>
    <w:p w:rsidR="002A685B" w:rsidRDefault="002A685B" w:rsidP="002A685B">
      <w:pPr>
        <w:pStyle w:val="ListParagraph"/>
        <w:spacing w:after="0" w:line="240" w:lineRule="auto"/>
        <w:ind w:left="0"/>
        <w:contextualSpacing/>
        <w:jc w:val="both"/>
        <w:rPr>
          <w:rFonts w:cstheme="minorHAnsi"/>
          <w:sz w:val="22"/>
          <w:szCs w:val="22"/>
        </w:rPr>
      </w:pPr>
      <w:r w:rsidRPr="00B815E9">
        <w:rPr>
          <w:rFonts w:cs="Calibri"/>
          <w:sz w:val="22"/>
          <w:szCs w:val="22"/>
        </w:rPr>
        <w:t>Poreska politika, i u narednom periodu, biće usmjerena na povećanje budžetskih prihoda, unapređenje poreske kulture obveznika i smanjenje sive ekonomije. Istovremeno, aktivnosti će biti usmjerene na u</w:t>
      </w:r>
      <w:r w:rsidRPr="00B815E9">
        <w:rPr>
          <w:rFonts w:cstheme="minorHAnsi"/>
          <w:sz w:val="22"/>
          <w:szCs w:val="22"/>
        </w:rPr>
        <w:t>sklađivanje zakonske regulative sa propisima EU, prije svega, u dijelu akciznih stopa i poreza na dodatu vrijednost. U skladu sa navedenim, utvrdiće se “akcizni kalendar” kojim će se obezbijediti transparentnost i mogućnost prilagođavanja dinamici povećanja akciznih stopa</w:t>
      </w:r>
      <w:r w:rsidR="00F71040">
        <w:rPr>
          <w:rFonts w:cstheme="minorHAnsi"/>
          <w:sz w:val="22"/>
          <w:szCs w:val="22"/>
        </w:rPr>
        <w:t>.</w:t>
      </w:r>
    </w:p>
    <w:p w:rsidR="00276884" w:rsidRPr="009D407D" w:rsidRDefault="00276884" w:rsidP="00A83A98">
      <w:pPr>
        <w:pStyle w:val="Heading6"/>
        <w:numPr>
          <w:ilvl w:val="0"/>
          <w:numId w:val="0"/>
        </w:numPr>
        <w:jc w:val="left"/>
      </w:pPr>
    </w:p>
    <w:p w:rsidR="00276884" w:rsidRPr="002B3C21" w:rsidRDefault="00276884" w:rsidP="00F06FFE">
      <w:pPr>
        <w:pStyle w:val="Heading4"/>
        <w:rPr>
          <w:sz w:val="22"/>
        </w:rPr>
      </w:pPr>
      <w:bookmarkStart w:id="44" w:name="_Toc389745289"/>
      <w:r w:rsidRPr="002B3C21">
        <w:rPr>
          <w:sz w:val="22"/>
        </w:rPr>
        <w:t>Unapređenje poslovnog ambijenta</w:t>
      </w:r>
      <w:bookmarkEnd w:id="44"/>
    </w:p>
    <w:p w:rsidR="002A72F0" w:rsidRPr="009D407D" w:rsidRDefault="002A72F0" w:rsidP="00915FA1">
      <w:pPr>
        <w:spacing w:after="0"/>
      </w:pPr>
    </w:p>
    <w:p w:rsidR="002A685B" w:rsidRPr="0092195A" w:rsidRDefault="002A685B" w:rsidP="002A685B">
      <w:pPr>
        <w:spacing w:after="0" w:line="240" w:lineRule="auto"/>
        <w:jc w:val="both"/>
        <w:rPr>
          <w:lang w:val="sr-Latn-CS"/>
        </w:rPr>
      </w:pPr>
      <w:r w:rsidRPr="00B815E9">
        <w:rPr>
          <w:rFonts w:asciiTheme="minorHAnsi" w:hAnsiTheme="minorHAnsi" w:cstheme="minorHAnsi"/>
          <w:b/>
          <w:lang w:val="sr-Latn-CS"/>
        </w:rPr>
        <w:t>Reformske aktivnosti usmjerene na unapređenje poslovnog ambijenta rezultirale su višegodišnjim trendom napretka</w:t>
      </w:r>
      <w:r w:rsidRPr="00B815E9">
        <w:rPr>
          <w:rFonts w:asciiTheme="minorHAnsi" w:hAnsiTheme="minorHAnsi" w:cstheme="minorHAnsi"/>
          <w:lang w:val="sr-Latn-CS"/>
        </w:rPr>
        <w:t xml:space="preserve">, </w:t>
      </w:r>
      <w:r w:rsidRPr="00B815E9">
        <w:rPr>
          <w:rStyle w:val="Strong"/>
          <w:rFonts w:asciiTheme="minorHAnsi" w:hAnsiTheme="minorHAnsi" w:cstheme="minorHAnsi"/>
          <w:lang w:val="sr-Latn-CS"/>
        </w:rPr>
        <w:t>što se ogleda i u izvještajima relevantnih međunarodnih institucija o lakoći poslovanja</w:t>
      </w:r>
      <w:r w:rsidRPr="00DA2574">
        <w:rPr>
          <w:rStyle w:val="Strong"/>
          <w:rFonts w:asciiTheme="minorHAnsi" w:hAnsiTheme="minorHAnsi" w:cstheme="minorHAnsi"/>
          <w:b w:val="0"/>
          <w:lang w:val="sr-Latn-CS"/>
        </w:rPr>
        <w:t>. Tako je,</w:t>
      </w:r>
      <w:r w:rsidRPr="00B815E9">
        <w:rPr>
          <w:rStyle w:val="Strong"/>
          <w:rFonts w:asciiTheme="minorHAnsi" w:hAnsiTheme="minorHAnsi" w:cstheme="minorHAnsi"/>
          <w:lang w:val="sr-Latn-CS"/>
        </w:rPr>
        <w:t xml:space="preserve"> u</w:t>
      </w:r>
      <w:r w:rsidRPr="0092195A">
        <w:rPr>
          <w:lang w:val="sr-Latn-CS"/>
        </w:rPr>
        <w:t xml:space="preserve"> Izvještaju Svjetske banke o lakoći poslovanja za period jul 2012 – maj 2013. godine (Doing Business 2014), Crna Gora zauzela 44. mjesto na listi od 189 zemalja, što u poređenju sa prethodnim izvještajem, predstavlja napredak </w:t>
      </w:r>
      <w:r w:rsidRPr="0092195A">
        <w:rPr>
          <w:rFonts w:cstheme="minorHAnsi"/>
          <w:bCs/>
          <w:lang w:val="sr-Latn-CS"/>
        </w:rPr>
        <w:t>za 7 mjesta. Najznačajniji napredak ostvaren je u okviru indikatora „</w:t>
      </w:r>
      <w:r w:rsidR="00DA2574" w:rsidRPr="0092195A">
        <w:rPr>
          <w:rFonts w:cstheme="minorHAnsi"/>
          <w:bCs/>
          <w:lang w:val="sr-Latn-CS"/>
        </w:rPr>
        <w:t xml:space="preserve">izdavanje građevinskih dozvola“ </w:t>
      </w:r>
      <w:r w:rsidRPr="0092195A">
        <w:rPr>
          <w:lang w:val="sr-Latn-CS"/>
        </w:rPr>
        <w:t>(+70), „registrovanje nepokretnosti“ (+19) i „dobijanje kredita“ (+1).</w:t>
      </w:r>
    </w:p>
    <w:p w:rsidR="002A685B" w:rsidRPr="0092195A" w:rsidRDefault="002A685B" w:rsidP="002A685B">
      <w:pPr>
        <w:pStyle w:val="ListParagraph"/>
        <w:tabs>
          <w:tab w:val="left" w:pos="0"/>
        </w:tabs>
        <w:spacing w:after="0" w:line="240" w:lineRule="auto"/>
        <w:ind w:left="0"/>
        <w:jc w:val="both"/>
        <w:rPr>
          <w:sz w:val="10"/>
          <w:szCs w:val="10"/>
          <w:lang w:val="sr-Latn-CS"/>
        </w:rPr>
      </w:pPr>
    </w:p>
    <w:p w:rsidR="002A685B" w:rsidRDefault="002A685B" w:rsidP="002A685B">
      <w:pPr>
        <w:pStyle w:val="ListParagraph"/>
        <w:tabs>
          <w:tab w:val="left" w:pos="0"/>
        </w:tabs>
        <w:spacing w:after="0" w:line="240" w:lineRule="auto"/>
        <w:ind w:left="0"/>
        <w:jc w:val="both"/>
        <w:rPr>
          <w:sz w:val="22"/>
          <w:szCs w:val="22"/>
          <w:lang w:val="sr-Latn-CS"/>
        </w:rPr>
      </w:pPr>
      <w:r w:rsidRPr="0092195A">
        <w:rPr>
          <w:sz w:val="22"/>
          <w:szCs w:val="22"/>
          <w:lang w:val="sr-Latn-CS"/>
        </w:rPr>
        <w:t xml:space="preserve">I pored ostvarenog napretka, kod nekih indikatora zabilježeno je nazadovanje u rangu („započinjanje biznisa“ (-11), „plaćanje poreza“ (-5), jer su druge zemlje tretirane Izvještajem uložile više napora u reformu ovih oblasti, što ukazuje na potrebu ubrzanja već započetih aktivnosti (npr. </w:t>
      </w:r>
      <w:r w:rsidRPr="00C06675">
        <w:rPr>
          <w:sz w:val="22"/>
          <w:szCs w:val="22"/>
          <w:lang w:val="sr-Latn-CS"/>
        </w:rPr>
        <w:t>pojednostavljivanje postupka plaćanja poreza).</w:t>
      </w:r>
    </w:p>
    <w:p w:rsidR="002B3C21" w:rsidRDefault="002B3C21" w:rsidP="002A685B">
      <w:pPr>
        <w:pStyle w:val="ListParagraph"/>
        <w:tabs>
          <w:tab w:val="left" w:pos="0"/>
        </w:tabs>
        <w:spacing w:after="0" w:line="240" w:lineRule="auto"/>
        <w:ind w:left="0"/>
        <w:jc w:val="both"/>
        <w:rPr>
          <w:sz w:val="22"/>
          <w:szCs w:val="22"/>
          <w:lang w:val="sr-Latn-CS"/>
        </w:rPr>
      </w:pPr>
    </w:p>
    <w:p w:rsidR="002B3C21" w:rsidRDefault="002B3C21" w:rsidP="002A685B">
      <w:pPr>
        <w:pStyle w:val="ListParagraph"/>
        <w:tabs>
          <w:tab w:val="left" w:pos="0"/>
        </w:tabs>
        <w:spacing w:after="0" w:line="240" w:lineRule="auto"/>
        <w:ind w:left="0"/>
        <w:jc w:val="both"/>
        <w:rPr>
          <w:sz w:val="22"/>
          <w:szCs w:val="22"/>
          <w:lang w:val="sr-Latn-CS"/>
        </w:rPr>
      </w:pPr>
    </w:p>
    <w:p w:rsidR="002B3C21" w:rsidRPr="0092195A" w:rsidRDefault="002B3C21" w:rsidP="002A685B">
      <w:pPr>
        <w:pStyle w:val="ListParagraph"/>
        <w:tabs>
          <w:tab w:val="left" w:pos="0"/>
        </w:tabs>
        <w:spacing w:after="0" w:line="240" w:lineRule="auto"/>
        <w:ind w:left="0"/>
        <w:jc w:val="both"/>
        <w:rPr>
          <w:rStyle w:val="Strong"/>
          <w:rFonts w:cstheme="minorHAnsi"/>
          <w:b w:val="0"/>
          <w:sz w:val="16"/>
          <w:szCs w:val="16"/>
          <w:lang w:val="sr-Latn-CS"/>
        </w:rPr>
      </w:pPr>
    </w:p>
    <w:p w:rsidR="002A685B" w:rsidRPr="00B815E9" w:rsidRDefault="002A685B" w:rsidP="002A685B">
      <w:pPr>
        <w:tabs>
          <w:tab w:val="left" w:pos="142"/>
        </w:tabs>
        <w:spacing w:after="0" w:line="240" w:lineRule="auto"/>
        <w:ind w:right="-138"/>
        <w:jc w:val="both"/>
        <w:rPr>
          <w:rFonts w:asciiTheme="minorHAnsi" w:hAnsiTheme="minorHAnsi" w:cstheme="minorHAnsi"/>
          <w:sz w:val="16"/>
          <w:szCs w:val="16"/>
        </w:rPr>
      </w:pPr>
      <w:r w:rsidRPr="0092195A">
        <w:rPr>
          <w:rFonts w:asciiTheme="minorHAnsi" w:hAnsiTheme="minorHAnsi" w:cstheme="minorHAnsi"/>
          <w:b/>
          <w:bCs/>
          <w:i/>
          <w:sz w:val="16"/>
          <w:szCs w:val="16"/>
          <w:lang w:val="sr-Latn-CS"/>
        </w:rPr>
        <w:lastRenderedPageBreak/>
        <w:t xml:space="preserve"> </w:t>
      </w:r>
      <w:r w:rsidRPr="00B815E9">
        <w:rPr>
          <w:rFonts w:asciiTheme="minorHAnsi" w:hAnsiTheme="minorHAnsi" w:cstheme="minorHAnsi"/>
          <w:b/>
          <w:bCs/>
          <w:i/>
          <w:sz w:val="16"/>
          <w:szCs w:val="16"/>
        </w:rPr>
        <w:t xml:space="preserve">Rang CG - globalno i po izrazitim oblastima zaostajanja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992"/>
        <w:gridCol w:w="879"/>
        <w:gridCol w:w="1082"/>
        <w:gridCol w:w="1082"/>
        <w:gridCol w:w="1033"/>
      </w:tblGrid>
      <w:tr w:rsidR="002A685B" w:rsidRPr="00B815E9" w:rsidTr="00654317">
        <w:trPr>
          <w:trHeight w:val="227"/>
        </w:trPr>
        <w:tc>
          <w:tcPr>
            <w:tcW w:w="3686" w:type="dxa"/>
            <w:shd w:val="clear" w:color="auto" w:fill="E5B8B7"/>
            <w:vAlign w:val="center"/>
          </w:tcPr>
          <w:p w:rsidR="002A685B" w:rsidRPr="00B815E9" w:rsidRDefault="002A685B" w:rsidP="00654317">
            <w:pPr>
              <w:tabs>
                <w:tab w:val="left" w:pos="142"/>
              </w:tabs>
              <w:spacing w:after="0" w:line="240" w:lineRule="auto"/>
              <w:ind w:right="-138"/>
              <w:rPr>
                <w:rFonts w:asciiTheme="minorHAnsi" w:hAnsiTheme="minorHAnsi" w:cstheme="minorHAnsi"/>
                <w:sz w:val="16"/>
                <w:szCs w:val="16"/>
              </w:rPr>
            </w:pPr>
            <w:r w:rsidRPr="00B815E9">
              <w:rPr>
                <w:rFonts w:asciiTheme="minorHAnsi" w:hAnsiTheme="minorHAnsi" w:cstheme="minorHAnsi"/>
                <w:bCs/>
                <w:i/>
                <w:sz w:val="16"/>
                <w:szCs w:val="16"/>
              </w:rPr>
              <w:t>Struktura /rang-pozicija po Doing Business</w:t>
            </w:r>
          </w:p>
        </w:tc>
        <w:tc>
          <w:tcPr>
            <w:tcW w:w="992" w:type="dxa"/>
            <w:shd w:val="clear" w:color="auto" w:fill="E5B8B7"/>
            <w:vAlign w:val="center"/>
          </w:tcPr>
          <w:p w:rsidR="002A685B" w:rsidRPr="00B815E9" w:rsidRDefault="002A685B" w:rsidP="00654317">
            <w:pPr>
              <w:spacing w:after="0" w:line="240" w:lineRule="auto"/>
              <w:jc w:val="center"/>
              <w:rPr>
                <w:rFonts w:asciiTheme="minorHAnsi" w:hAnsiTheme="minorHAnsi" w:cstheme="minorHAnsi"/>
                <w:bCs/>
                <w:i/>
                <w:sz w:val="16"/>
                <w:szCs w:val="16"/>
              </w:rPr>
            </w:pPr>
            <w:r w:rsidRPr="00B815E9">
              <w:rPr>
                <w:rFonts w:asciiTheme="minorHAnsi" w:hAnsiTheme="minorHAnsi" w:cstheme="minorHAnsi"/>
                <w:i/>
                <w:sz w:val="16"/>
                <w:szCs w:val="16"/>
              </w:rPr>
              <w:t>DB2010</w:t>
            </w:r>
          </w:p>
        </w:tc>
        <w:tc>
          <w:tcPr>
            <w:tcW w:w="879" w:type="dxa"/>
            <w:shd w:val="clear" w:color="auto" w:fill="E5B8B7"/>
            <w:vAlign w:val="center"/>
          </w:tcPr>
          <w:p w:rsidR="002A685B" w:rsidRPr="00B815E9" w:rsidRDefault="002A685B" w:rsidP="00654317">
            <w:pPr>
              <w:spacing w:after="0" w:line="240" w:lineRule="auto"/>
              <w:jc w:val="center"/>
              <w:rPr>
                <w:rFonts w:asciiTheme="minorHAnsi" w:hAnsiTheme="minorHAnsi" w:cstheme="minorHAnsi"/>
                <w:bCs/>
                <w:i/>
                <w:sz w:val="16"/>
                <w:szCs w:val="16"/>
              </w:rPr>
            </w:pPr>
            <w:r w:rsidRPr="00B815E9">
              <w:rPr>
                <w:rFonts w:asciiTheme="minorHAnsi" w:hAnsiTheme="minorHAnsi" w:cstheme="minorHAnsi"/>
                <w:i/>
                <w:sz w:val="16"/>
                <w:szCs w:val="16"/>
              </w:rPr>
              <w:t>DB2011</w:t>
            </w:r>
          </w:p>
        </w:tc>
        <w:tc>
          <w:tcPr>
            <w:tcW w:w="1082" w:type="dxa"/>
            <w:shd w:val="clear" w:color="auto" w:fill="E5B8B7"/>
            <w:vAlign w:val="center"/>
          </w:tcPr>
          <w:p w:rsidR="002A685B" w:rsidRPr="00B815E9" w:rsidRDefault="002A685B" w:rsidP="00654317">
            <w:pPr>
              <w:spacing w:after="0" w:line="240" w:lineRule="auto"/>
              <w:jc w:val="center"/>
              <w:rPr>
                <w:rFonts w:asciiTheme="minorHAnsi" w:hAnsiTheme="minorHAnsi" w:cstheme="minorHAnsi"/>
                <w:bCs/>
                <w:i/>
                <w:sz w:val="16"/>
                <w:szCs w:val="16"/>
              </w:rPr>
            </w:pPr>
            <w:r w:rsidRPr="00B815E9">
              <w:rPr>
                <w:rFonts w:asciiTheme="minorHAnsi" w:hAnsiTheme="minorHAnsi" w:cstheme="minorHAnsi"/>
                <w:i/>
                <w:sz w:val="16"/>
                <w:szCs w:val="16"/>
              </w:rPr>
              <w:t>DB2012</w:t>
            </w:r>
          </w:p>
        </w:tc>
        <w:tc>
          <w:tcPr>
            <w:tcW w:w="1082" w:type="dxa"/>
            <w:shd w:val="clear" w:color="auto" w:fill="E5B8B7"/>
            <w:vAlign w:val="center"/>
          </w:tcPr>
          <w:p w:rsidR="002A685B" w:rsidRPr="00B815E9" w:rsidRDefault="002A685B" w:rsidP="00654317">
            <w:pPr>
              <w:spacing w:after="0" w:line="240" w:lineRule="auto"/>
              <w:jc w:val="center"/>
              <w:rPr>
                <w:rFonts w:asciiTheme="minorHAnsi" w:hAnsiTheme="minorHAnsi" w:cstheme="minorHAnsi"/>
                <w:bCs/>
                <w:i/>
                <w:sz w:val="16"/>
                <w:szCs w:val="16"/>
              </w:rPr>
            </w:pPr>
            <w:r w:rsidRPr="00B815E9">
              <w:rPr>
                <w:rFonts w:asciiTheme="minorHAnsi" w:hAnsiTheme="minorHAnsi" w:cstheme="minorHAnsi"/>
                <w:i/>
                <w:sz w:val="16"/>
                <w:szCs w:val="16"/>
              </w:rPr>
              <w:t>DB2013</w:t>
            </w:r>
          </w:p>
        </w:tc>
        <w:tc>
          <w:tcPr>
            <w:tcW w:w="1033" w:type="dxa"/>
            <w:shd w:val="clear" w:color="auto" w:fill="E5B8B7"/>
            <w:vAlign w:val="center"/>
          </w:tcPr>
          <w:p w:rsidR="002A685B" w:rsidRPr="00B815E9" w:rsidRDefault="002A685B" w:rsidP="00654317">
            <w:pPr>
              <w:tabs>
                <w:tab w:val="left" w:pos="142"/>
              </w:tabs>
              <w:spacing w:after="0" w:line="240" w:lineRule="auto"/>
              <w:ind w:right="-138"/>
              <w:jc w:val="center"/>
              <w:rPr>
                <w:rFonts w:asciiTheme="minorHAnsi" w:hAnsiTheme="minorHAnsi" w:cstheme="minorHAnsi"/>
                <w:i/>
                <w:sz w:val="16"/>
                <w:szCs w:val="16"/>
              </w:rPr>
            </w:pPr>
            <w:r w:rsidRPr="00B815E9">
              <w:rPr>
                <w:rFonts w:asciiTheme="minorHAnsi" w:hAnsiTheme="minorHAnsi" w:cstheme="minorHAnsi"/>
                <w:i/>
                <w:sz w:val="16"/>
                <w:szCs w:val="16"/>
              </w:rPr>
              <w:t>DB2014</w:t>
            </w:r>
          </w:p>
        </w:tc>
      </w:tr>
      <w:tr w:rsidR="002A685B" w:rsidRPr="00B815E9" w:rsidTr="00654317">
        <w:trPr>
          <w:trHeight w:val="227"/>
        </w:trPr>
        <w:tc>
          <w:tcPr>
            <w:tcW w:w="3686" w:type="dxa"/>
            <w:shd w:val="clear" w:color="auto" w:fill="F2DBDB"/>
            <w:vAlign w:val="center"/>
          </w:tcPr>
          <w:p w:rsidR="002A685B" w:rsidRPr="00B815E9" w:rsidRDefault="002A685B" w:rsidP="00654317">
            <w:pPr>
              <w:spacing w:after="0" w:line="240" w:lineRule="auto"/>
              <w:rPr>
                <w:rFonts w:asciiTheme="minorHAnsi" w:hAnsiTheme="minorHAnsi" w:cstheme="minorHAnsi"/>
                <w:bCs/>
                <w:i/>
                <w:sz w:val="16"/>
                <w:szCs w:val="16"/>
              </w:rPr>
            </w:pPr>
            <w:r w:rsidRPr="00B815E9">
              <w:rPr>
                <w:rFonts w:asciiTheme="minorHAnsi" w:hAnsiTheme="minorHAnsi" w:cstheme="minorHAnsi"/>
                <w:bCs/>
                <w:i/>
                <w:sz w:val="16"/>
                <w:szCs w:val="16"/>
              </w:rPr>
              <w:t>1. Crna Gora- rang na globalnoj listi</w:t>
            </w:r>
          </w:p>
        </w:tc>
        <w:tc>
          <w:tcPr>
            <w:tcW w:w="99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71</w:t>
            </w:r>
          </w:p>
        </w:tc>
        <w:tc>
          <w:tcPr>
            <w:tcW w:w="879"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66</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56</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51</w:t>
            </w:r>
          </w:p>
        </w:tc>
        <w:tc>
          <w:tcPr>
            <w:tcW w:w="1033"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44</w:t>
            </w:r>
          </w:p>
        </w:tc>
      </w:tr>
      <w:tr w:rsidR="002A685B" w:rsidRPr="00B815E9" w:rsidTr="00654317">
        <w:trPr>
          <w:trHeight w:val="227"/>
        </w:trPr>
        <w:tc>
          <w:tcPr>
            <w:tcW w:w="3686" w:type="dxa"/>
            <w:shd w:val="clear" w:color="auto" w:fill="F2DBDB"/>
            <w:vAlign w:val="center"/>
          </w:tcPr>
          <w:p w:rsidR="002A685B" w:rsidRPr="00B815E9" w:rsidRDefault="002A685B" w:rsidP="00654317">
            <w:pPr>
              <w:spacing w:after="0" w:line="240" w:lineRule="auto"/>
              <w:rPr>
                <w:rFonts w:asciiTheme="minorHAnsi" w:hAnsiTheme="minorHAnsi" w:cstheme="minorHAnsi"/>
                <w:bCs/>
                <w:i/>
                <w:sz w:val="16"/>
                <w:szCs w:val="16"/>
              </w:rPr>
            </w:pPr>
            <w:r w:rsidRPr="00B815E9">
              <w:rPr>
                <w:rFonts w:asciiTheme="minorHAnsi" w:hAnsiTheme="minorHAnsi" w:cstheme="minorHAnsi"/>
                <w:bCs/>
                <w:i/>
                <w:sz w:val="16"/>
                <w:szCs w:val="16"/>
              </w:rPr>
              <w:t xml:space="preserve">2. oblasti u kojima Crna Gora zaostaje: </w:t>
            </w:r>
          </w:p>
        </w:tc>
        <w:tc>
          <w:tcPr>
            <w:tcW w:w="5068" w:type="dxa"/>
            <w:gridSpan w:val="5"/>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p>
        </w:tc>
      </w:tr>
      <w:tr w:rsidR="002A685B" w:rsidRPr="00B815E9" w:rsidTr="00654317">
        <w:trPr>
          <w:trHeight w:val="227"/>
        </w:trPr>
        <w:tc>
          <w:tcPr>
            <w:tcW w:w="3686" w:type="dxa"/>
            <w:shd w:val="clear" w:color="auto" w:fill="F2DBDB"/>
            <w:vAlign w:val="center"/>
          </w:tcPr>
          <w:p w:rsidR="002A685B" w:rsidRPr="00B815E9" w:rsidRDefault="002A685B" w:rsidP="00654317">
            <w:pPr>
              <w:spacing w:after="0" w:line="240" w:lineRule="auto"/>
              <w:rPr>
                <w:rFonts w:asciiTheme="minorHAnsi" w:hAnsiTheme="minorHAnsi" w:cstheme="minorHAnsi"/>
                <w:bCs/>
                <w:i/>
                <w:sz w:val="16"/>
                <w:szCs w:val="16"/>
              </w:rPr>
            </w:pPr>
            <w:r w:rsidRPr="00B815E9">
              <w:rPr>
                <w:rFonts w:asciiTheme="minorHAnsi" w:hAnsiTheme="minorHAnsi" w:cstheme="minorHAnsi"/>
                <w:bCs/>
                <w:i/>
                <w:sz w:val="16"/>
                <w:szCs w:val="16"/>
              </w:rPr>
              <w:t xml:space="preserve"> - započinjanje biznisa</w:t>
            </w:r>
          </w:p>
        </w:tc>
        <w:tc>
          <w:tcPr>
            <w:tcW w:w="99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85</w:t>
            </w:r>
          </w:p>
        </w:tc>
        <w:tc>
          <w:tcPr>
            <w:tcW w:w="879"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51</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47</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58</w:t>
            </w:r>
          </w:p>
        </w:tc>
        <w:tc>
          <w:tcPr>
            <w:tcW w:w="1033"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69</w:t>
            </w:r>
          </w:p>
        </w:tc>
      </w:tr>
      <w:tr w:rsidR="002A685B" w:rsidRPr="00B815E9" w:rsidTr="00654317">
        <w:trPr>
          <w:trHeight w:val="227"/>
        </w:trPr>
        <w:tc>
          <w:tcPr>
            <w:tcW w:w="3686" w:type="dxa"/>
            <w:shd w:val="clear" w:color="auto" w:fill="F2DBDB"/>
            <w:vAlign w:val="center"/>
          </w:tcPr>
          <w:p w:rsidR="002A685B" w:rsidRPr="00B815E9" w:rsidRDefault="002A685B" w:rsidP="00654317">
            <w:pPr>
              <w:spacing w:after="0" w:line="240" w:lineRule="auto"/>
              <w:rPr>
                <w:rFonts w:asciiTheme="minorHAnsi" w:hAnsiTheme="minorHAnsi" w:cstheme="minorHAnsi"/>
                <w:bCs/>
                <w:i/>
                <w:sz w:val="16"/>
                <w:szCs w:val="16"/>
              </w:rPr>
            </w:pPr>
            <w:r w:rsidRPr="00B815E9">
              <w:rPr>
                <w:rFonts w:asciiTheme="minorHAnsi" w:hAnsiTheme="minorHAnsi" w:cstheme="minorHAnsi"/>
                <w:bCs/>
                <w:i/>
                <w:sz w:val="16"/>
                <w:szCs w:val="16"/>
              </w:rPr>
              <w:t xml:space="preserve"> - izdavanje građevinske dozvole</w:t>
            </w:r>
          </w:p>
        </w:tc>
        <w:tc>
          <w:tcPr>
            <w:tcW w:w="99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160</w:t>
            </w:r>
          </w:p>
        </w:tc>
        <w:tc>
          <w:tcPr>
            <w:tcW w:w="879"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161</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173</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176</w:t>
            </w:r>
          </w:p>
        </w:tc>
        <w:tc>
          <w:tcPr>
            <w:tcW w:w="1033"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106</w:t>
            </w:r>
          </w:p>
        </w:tc>
      </w:tr>
      <w:tr w:rsidR="002A685B" w:rsidRPr="00B815E9" w:rsidTr="00654317">
        <w:trPr>
          <w:trHeight w:val="227"/>
        </w:trPr>
        <w:tc>
          <w:tcPr>
            <w:tcW w:w="3686" w:type="dxa"/>
            <w:shd w:val="clear" w:color="auto" w:fill="F2DBDB"/>
            <w:vAlign w:val="center"/>
          </w:tcPr>
          <w:p w:rsidR="002A685B" w:rsidRPr="00B815E9" w:rsidRDefault="002A685B" w:rsidP="00654317">
            <w:pPr>
              <w:spacing w:after="0" w:line="240" w:lineRule="auto"/>
              <w:rPr>
                <w:rFonts w:asciiTheme="minorHAnsi" w:hAnsiTheme="minorHAnsi" w:cstheme="minorHAnsi"/>
                <w:bCs/>
                <w:i/>
                <w:sz w:val="16"/>
                <w:szCs w:val="16"/>
              </w:rPr>
            </w:pPr>
            <w:r w:rsidRPr="00B815E9">
              <w:rPr>
                <w:rFonts w:asciiTheme="minorHAnsi" w:hAnsiTheme="minorHAnsi" w:cstheme="minorHAnsi"/>
                <w:bCs/>
                <w:i/>
                <w:sz w:val="16"/>
                <w:szCs w:val="16"/>
              </w:rPr>
              <w:t xml:space="preserve"> - registrovanje imovine</w:t>
            </w:r>
          </w:p>
        </w:tc>
        <w:tc>
          <w:tcPr>
            <w:tcW w:w="99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131</w:t>
            </w:r>
          </w:p>
        </w:tc>
        <w:tc>
          <w:tcPr>
            <w:tcW w:w="879"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116</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108</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117</w:t>
            </w:r>
          </w:p>
        </w:tc>
        <w:tc>
          <w:tcPr>
            <w:tcW w:w="1033"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98</w:t>
            </w:r>
          </w:p>
        </w:tc>
      </w:tr>
      <w:tr w:rsidR="002A685B" w:rsidRPr="00B815E9" w:rsidTr="00654317">
        <w:trPr>
          <w:trHeight w:val="227"/>
        </w:trPr>
        <w:tc>
          <w:tcPr>
            <w:tcW w:w="3686" w:type="dxa"/>
            <w:shd w:val="clear" w:color="auto" w:fill="F2DBDB"/>
            <w:vAlign w:val="center"/>
          </w:tcPr>
          <w:p w:rsidR="002A685B" w:rsidRPr="00B815E9" w:rsidRDefault="002A685B" w:rsidP="00654317">
            <w:pPr>
              <w:spacing w:after="0" w:line="240" w:lineRule="auto"/>
              <w:rPr>
                <w:rFonts w:asciiTheme="minorHAnsi" w:hAnsiTheme="minorHAnsi" w:cstheme="minorHAnsi"/>
                <w:bCs/>
                <w:i/>
                <w:sz w:val="16"/>
                <w:szCs w:val="16"/>
              </w:rPr>
            </w:pPr>
            <w:r w:rsidRPr="00B815E9">
              <w:rPr>
                <w:rFonts w:asciiTheme="minorHAnsi" w:hAnsiTheme="minorHAnsi" w:cstheme="minorHAnsi"/>
                <w:bCs/>
                <w:i/>
                <w:sz w:val="16"/>
                <w:szCs w:val="16"/>
              </w:rPr>
              <w:t xml:space="preserve"> - plaćanje poreza</w:t>
            </w:r>
          </w:p>
        </w:tc>
        <w:tc>
          <w:tcPr>
            <w:tcW w:w="99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145</w:t>
            </w:r>
          </w:p>
        </w:tc>
        <w:tc>
          <w:tcPr>
            <w:tcW w:w="879"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139</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108</w:t>
            </w:r>
          </w:p>
        </w:tc>
        <w:tc>
          <w:tcPr>
            <w:tcW w:w="1082"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81</w:t>
            </w:r>
          </w:p>
        </w:tc>
        <w:tc>
          <w:tcPr>
            <w:tcW w:w="1033" w:type="dxa"/>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86</w:t>
            </w:r>
          </w:p>
        </w:tc>
      </w:tr>
      <w:tr w:rsidR="002A685B" w:rsidRPr="00B815E9" w:rsidTr="00654317">
        <w:trPr>
          <w:trHeight w:val="227"/>
        </w:trPr>
        <w:tc>
          <w:tcPr>
            <w:tcW w:w="3686" w:type="dxa"/>
            <w:tcBorders>
              <w:bottom w:val="single" w:sz="4" w:space="0" w:color="auto"/>
            </w:tcBorders>
            <w:shd w:val="clear" w:color="auto" w:fill="F2DBDB"/>
            <w:vAlign w:val="center"/>
          </w:tcPr>
          <w:p w:rsidR="002A685B" w:rsidRPr="00B815E9" w:rsidRDefault="002A685B" w:rsidP="00654317">
            <w:pPr>
              <w:spacing w:after="0" w:line="240" w:lineRule="auto"/>
              <w:rPr>
                <w:rFonts w:asciiTheme="minorHAnsi" w:hAnsiTheme="minorHAnsi" w:cstheme="minorHAnsi"/>
                <w:bCs/>
                <w:i/>
                <w:sz w:val="16"/>
                <w:szCs w:val="16"/>
              </w:rPr>
            </w:pPr>
            <w:r w:rsidRPr="00B815E9">
              <w:rPr>
                <w:rFonts w:asciiTheme="minorHAnsi" w:hAnsiTheme="minorHAnsi" w:cstheme="minorHAnsi"/>
                <w:bCs/>
                <w:i/>
                <w:sz w:val="16"/>
                <w:szCs w:val="16"/>
              </w:rPr>
              <w:t xml:space="preserve"> - izvršenje ugovora</w:t>
            </w:r>
          </w:p>
        </w:tc>
        <w:tc>
          <w:tcPr>
            <w:tcW w:w="992" w:type="dxa"/>
            <w:tcBorders>
              <w:bottom w:val="single" w:sz="4" w:space="0" w:color="auto"/>
            </w:tcBorders>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133</w:t>
            </w:r>
          </w:p>
        </w:tc>
        <w:tc>
          <w:tcPr>
            <w:tcW w:w="879" w:type="dxa"/>
            <w:tcBorders>
              <w:bottom w:val="single" w:sz="4" w:space="0" w:color="auto"/>
            </w:tcBorders>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135</w:t>
            </w:r>
          </w:p>
        </w:tc>
        <w:tc>
          <w:tcPr>
            <w:tcW w:w="1082" w:type="dxa"/>
            <w:tcBorders>
              <w:bottom w:val="single" w:sz="4" w:space="0" w:color="auto"/>
            </w:tcBorders>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133</w:t>
            </w:r>
          </w:p>
        </w:tc>
        <w:tc>
          <w:tcPr>
            <w:tcW w:w="1082" w:type="dxa"/>
            <w:tcBorders>
              <w:bottom w:val="single" w:sz="4" w:space="0" w:color="auto"/>
            </w:tcBorders>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135</w:t>
            </w:r>
          </w:p>
        </w:tc>
        <w:tc>
          <w:tcPr>
            <w:tcW w:w="1033" w:type="dxa"/>
            <w:tcBorders>
              <w:bottom w:val="single" w:sz="4" w:space="0" w:color="auto"/>
            </w:tcBorders>
            <w:shd w:val="clear" w:color="auto" w:fill="auto"/>
            <w:vAlign w:val="center"/>
          </w:tcPr>
          <w:p w:rsidR="002A685B" w:rsidRPr="00B815E9" w:rsidRDefault="002A685B" w:rsidP="00654317">
            <w:pPr>
              <w:spacing w:after="0" w:line="240" w:lineRule="auto"/>
              <w:jc w:val="center"/>
              <w:rPr>
                <w:rFonts w:asciiTheme="minorHAnsi" w:hAnsiTheme="minorHAnsi" w:cstheme="minorHAnsi"/>
                <w:i/>
                <w:sz w:val="16"/>
                <w:szCs w:val="16"/>
              </w:rPr>
            </w:pPr>
            <w:r w:rsidRPr="00B815E9">
              <w:rPr>
                <w:rFonts w:asciiTheme="minorHAnsi" w:hAnsiTheme="minorHAnsi" w:cstheme="minorHAnsi"/>
                <w:i/>
                <w:sz w:val="16"/>
                <w:szCs w:val="16"/>
              </w:rPr>
              <w:t>136</w:t>
            </w:r>
          </w:p>
        </w:tc>
      </w:tr>
    </w:tbl>
    <w:p w:rsidR="002A685B" w:rsidRDefault="002A685B" w:rsidP="002A685B">
      <w:pPr>
        <w:spacing w:after="0" w:line="240" w:lineRule="auto"/>
        <w:jc w:val="both"/>
        <w:rPr>
          <w:rFonts w:asciiTheme="minorHAnsi" w:hAnsiTheme="minorHAnsi" w:cstheme="minorHAnsi"/>
          <w:i/>
          <w:iCs/>
          <w:sz w:val="16"/>
          <w:szCs w:val="16"/>
        </w:rPr>
      </w:pPr>
      <w:r w:rsidRPr="00B815E9">
        <w:rPr>
          <w:rFonts w:asciiTheme="minorHAnsi" w:hAnsiTheme="minorHAnsi" w:cstheme="minorHAnsi"/>
          <w:b/>
          <w:bCs/>
          <w:i/>
          <w:iCs/>
          <w:sz w:val="16"/>
          <w:szCs w:val="16"/>
        </w:rPr>
        <w:t>Izvor:</w:t>
      </w:r>
      <w:r w:rsidRPr="00B815E9">
        <w:rPr>
          <w:rFonts w:asciiTheme="minorHAnsi" w:hAnsiTheme="minorHAnsi" w:cstheme="minorHAnsi"/>
          <w:i/>
          <w:iCs/>
          <w:sz w:val="16"/>
          <w:szCs w:val="16"/>
        </w:rPr>
        <w:t>www.doingbusiness.org/reports/</w:t>
      </w:r>
    </w:p>
    <w:p w:rsidR="002B3C21" w:rsidRPr="00B815E9" w:rsidRDefault="002B3C21" w:rsidP="002A685B">
      <w:pPr>
        <w:spacing w:after="0" w:line="240" w:lineRule="auto"/>
        <w:jc w:val="both"/>
        <w:rPr>
          <w:rFonts w:asciiTheme="minorHAnsi" w:hAnsiTheme="minorHAnsi" w:cstheme="minorHAnsi"/>
          <w:b/>
          <w:bCs/>
          <w:i/>
          <w:sz w:val="16"/>
          <w:szCs w:val="16"/>
        </w:rPr>
      </w:pPr>
    </w:p>
    <w:p w:rsidR="002A685B" w:rsidRPr="00B815E9" w:rsidRDefault="002A685B" w:rsidP="007B4A1E">
      <w:pPr>
        <w:pStyle w:val="ListParagraph"/>
        <w:spacing w:after="0" w:line="240" w:lineRule="auto"/>
        <w:ind w:left="0"/>
        <w:jc w:val="both"/>
        <w:rPr>
          <w:rFonts w:asciiTheme="minorHAnsi" w:hAnsiTheme="minorHAnsi" w:cstheme="minorHAnsi"/>
          <w:sz w:val="22"/>
          <w:szCs w:val="22"/>
        </w:rPr>
      </w:pPr>
      <w:r w:rsidRPr="00B815E9">
        <w:rPr>
          <w:rFonts w:asciiTheme="minorHAnsi" w:hAnsiTheme="minorHAnsi" w:cstheme="minorHAnsi"/>
          <w:sz w:val="22"/>
          <w:szCs w:val="22"/>
          <w:lang w:val="sr-Latn-CS"/>
        </w:rPr>
        <w:t>U aktuelnim ekonomskim uslovima, efikasniji javni sektor, pojednostavlje</w:t>
      </w:r>
      <w:r>
        <w:rPr>
          <w:rFonts w:asciiTheme="minorHAnsi" w:hAnsiTheme="minorHAnsi" w:cstheme="minorHAnsi"/>
          <w:sz w:val="22"/>
          <w:szCs w:val="22"/>
          <w:lang w:val="sr-Latn-CS"/>
        </w:rPr>
        <w:t>ne</w:t>
      </w:r>
      <w:r w:rsidRPr="00B815E9">
        <w:rPr>
          <w:rFonts w:asciiTheme="minorHAnsi" w:hAnsiTheme="minorHAnsi" w:cstheme="minorHAnsi"/>
          <w:sz w:val="22"/>
          <w:szCs w:val="22"/>
          <w:lang w:val="sr-Latn-CS"/>
        </w:rPr>
        <w:t xml:space="preserve"> administrativn</w:t>
      </w:r>
      <w:r>
        <w:rPr>
          <w:rFonts w:asciiTheme="minorHAnsi" w:hAnsiTheme="minorHAnsi" w:cstheme="minorHAnsi"/>
          <w:sz w:val="22"/>
          <w:szCs w:val="22"/>
          <w:lang w:val="sr-Latn-CS"/>
        </w:rPr>
        <w:t>e</w:t>
      </w:r>
      <w:r w:rsidRPr="00B815E9">
        <w:rPr>
          <w:rFonts w:asciiTheme="minorHAnsi" w:hAnsiTheme="minorHAnsi" w:cstheme="minorHAnsi"/>
          <w:sz w:val="22"/>
          <w:szCs w:val="22"/>
          <w:lang w:val="sr-Latn-CS"/>
        </w:rPr>
        <w:t xml:space="preserve"> procedur</w:t>
      </w:r>
      <w:r>
        <w:rPr>
          <w:rFonts w:asciiTheme="minorHAnsi" w:hAnsiTheme="minorHAnsi" w:cstheme="minorHAnsi"/>
          <w:sz w:val="22"/>
          <w:szCs w:val="22"/>
          <w:lang w:val="sr-Latn-CS"/>
        </w:rPr>
        <w:t>e</w:t>
      </w:r>
      <w:r w:rsidRPr="00B815E9">
        <w:rPr>
          <w:rFonts w:asciiTheme="minorHAnsi" w:hAnsiTheme="minorHAnsi" w:cstheme="minorHAnsi"/>
          <w:sz w:val="22"/>
          <w:szCs w:val="22"/>
          <w:lang w:val="sr-Latn-CS"/>
        </w:rPr>
        <w:t xml:space="preserve"> i unapr</w:t>
      </w:r>
      <w:r>
        <w:rPr>
          <w:rFonts w:asciiTheme="minorHAnsi" w:hAnsiTheme="minorHAnsi" w:cstheme="minorHAnsi"/>
          <w:sz w:val="22"/>
          <w:szCs w:val="22"/>
          <w:lang w:val="sr-Latn-CS"/>
        </w:rPr>
        <w:t>ijeđen</w:t>
      </w:r>
      <w:r w:rsidRPr="00B815E9">
        <w:rPr>
          <w:rFonts w:asciiTheme="minorHAnsi" w:hAnsiTheme="minorHAnsi" w:cstheme="minorHAnsi"/>
          <w:sz w:val="22"/>
          <w:szCs w:val="22"/>
          <w:lang w:val="sr-Latn-CS"/>
        </w:rPr>
        <w:t xml:space="preserve"> regulatorn</w:t>
      </w:r>
      <w:r>
        <w:rPr>
          <w:rFonts w:asciiTheme="minorHAnsi" w:hAnsiTheme="minorHAnsi" w:cstheme="minorHAnsi"/>
          <w:sz w:val="22"/>
          <w:szCs w:val="22"/>
          <w:lang w:val="sr-Latn-CS"/>
        </w:rPr>
        <w:t>i</w:t>
      </w:r>
      <w:r w:rsidRPr="00B815E9">
        <w:rPr>
          <w:rFonts w:asciiTheme="minorHAnsi" w:hAnsiTheme="minorHAnsi" w:cstheme="minorHAnsi"/>
          <w:sz w:val="22"/>
          <w:szCs w:val="22"/>
          <w:lang w:val="sr-Latn-CS"/>
        </w:rPr>
        <w:t xml:space="preserve"> okvir </w:t>
      </w:r>
      <w:r w:rsidRPr="00B815E9">
        <w:rPr>
          <w:rFonts w:asciiTheme="minorHAnsi" w:hAnsiTheme="minorHAnsi" w:cstheme="minorHAnsi"/>
          <w:sz w:val="22"/>
          <w:szCs w:val="22"/>
        </w:rPr>
        <w:t xml:space="preserve">ključni </w:t>
      </w:r>
      <w:r w:rsidRPr="00B815E9">
        <w:rPr>
          <w:rFonts w:asciiTheme="minorHAnsi" w:hAnsiTheme="minorHAnsi" w:cstheme="minorHAnsi"/>
          <w:sz w:val="22"/>
          <w:szCs w:val="22"/>
          <w:lang w:val="sr-Latn-CS"/>
        </w:rPr>
        <w:t>su</w:t>
      </w:r>
      <w:r w:rsidRPr="00B815E9">
        <w:rPr>
          <w:rFonts w:asciiTheme="minorHAnsi" w:hAnsiTheme="minorHAnsi" w:cstheme="minorHAnsi"/>
          <w:sz w:val="22"/>
          <w:szCs w:val="22"/>
        </w:rPr>
        <w:t xml:space="preserve"> preduslov unapređenja investicione klime, ubrzanog privrednog rasta i razvoja i, u krajnjem, većeg </w:t>
      </w:r>
      <w:r w:rsidRPr="00B815E9">
        <w:rPr>
          <w:sz w:val="22"/>
          <w:szCs w:val="22"/>
        </w:rPr>
        <w:t>životnog standarda</w:t>
      </w:r>
      <w:r>
        <w:rPr>
          <w:rFonts w:asciiTheme="minorHAnsi" w:hAnsiTheme="minorHAnsi" w:cstheme="minorHAnsi"/>
          <w:sz w:val="22"/>
          <w:szCs w:val="22"/>
        </w:rPr>
        <w:t>.</w:t>
      </w:r>
    </w:p>
    <w:p w:rsidR="002A685B" w:rsidRPr="00B815E9" w:rsidRDefault="002A685B" w:rsidP="002A685B">
      <w:pPr>
        <w:pStyle w:val="ListParagraph"/>
        <w:spacing w:after="0" w:line="240" w:lineRule="auto"/>
        <w:ind w:left="0"/>
        <w:jc w:val="both"/>
        <w:rPr>
          <w:rFonts w:asciiTheme="minorHAnsi" w:hAnsiTheme="minorHAnsi" w:cstheme="minorHAnsi"/>
          <w:sz w:val="22"/>
          <w:szCs w:val="22"/>
        </w:rPr>
      </w:pPr>
    </w:p>
    <w:p w:rsidR="002A685B" w:rsidRPr="00B815E9" w:rsidRDefault="002A685B" w:rsidP="002A685B">
      <w:pPr>
        <w:pStyle w:val="ListParagraph"/>
        <w:spacing w:after="0" w:line="240" w:lineRule="auto"/>
        <w:ind w:left="0"/>
        <w:jc w:val="both"/>
        <w:rPr>
          <w:rFonts w:asciiTheme="minorHAnsi" w:hAnsiTheme="minorHAnsi" w:cstheme="minorHAnsi"/>
          <w:sz w:val="22"/>
          <w:szCs w:val="22"/>
        </w:rPr>
      </w:pPr>
      <w:r w:rsidRPr="00B815E9">
        <w:rPr>
          <w:rFonts w:asciiTheme="minorHAnsi" w:hAnsiTheme="minorHAnsi" w:cstheme="minorHAnsi"/>
          <w:sz w:val="22"/>
          <w:szCs w:val="22"/>
        </w:rPr>
        <w:t xml:space="preserve">U tom smislu, </w:t>
      </w:r>
      <w:r w:rsidRPr="00B815E9">
        <w:rPr>
          <w:rFonts w:asciiTheme="minorHAnsi" w:hAnsiTheme="minorHAnsi" w:cstheme="minorHAnsi"/>
          <w:sz w:val="22"/>
          <w:szCs w:val="22"/>
          <w:lang w:val="fr-FR"/>
        </w:rPr>
        <w:t>u analiziranom periodu, reformske aktivnosti odnosile su se, prije svega, na</w:t>
      </w:r>
      <w:r w:rsidRPr="00B815E9">
        <w:rPr>
          <w:rFonts w:asciiTheme="minorHAnsi" w:hAnsiTheme="minorHAnsi" w:cstheme="minorHAnsi"/>
          <w:sz w:val="22"/>
          <w:szCs w:val="22"/>
        </w:rPr>
        <w:t>:</w:t>
      </w:r>
    </w:p>
    <w:p w:rsidR="002A685B" w:rsidRPr="007B4A1E" w:rsidRDefault="002A685B" w:rsidP="002A685B">
      <w:pPr>
        <w:tabs>
          <w:tab w:val="left" w:pos="142"/>
        </w:tabs>
        <w:spacing w:after="0" w:line="240" w:lineRule="auto"/>
        <w:ind w:right="-193"/>
        <w:jc w:val="both"/>
        <w:rPr>
          <w:rFonts w:asciiTheme="minorHAnsi" w:hAnsiTheme="minorHAnsi" w:cstheme="minorHAnsi"/>
          <w:sz w:val="24"/>
          <w:lang w:val="fr-FR"/>
        </w:rPr>
      </w:pPr>
    </w:p>
    <w:p w:rsidR="002A685B" w:rsidRPr="007B4A1E" w:rsidRDefault="002A685B" w:rsidP="002A685B">
      <w:pPr>
        <w:numPr>
          <w:ilvl w:val="0"/>
          <w:numId w:val="1"/>
        </w:numPr>
        <w:tabs>
          <w:tab w:val="left" w:pos="142"/>
        </w:tabs>
        <w:spacing w:after="0" w:line="240" w:lineRule="auto"/>
        <w:ind w:right="-138"/>
        <w:jc w:val="both"/>
        <w:rPr>
          <w:rFonts w:asciiTheme="minorHAnsi" w:hAnsiTheme="minorHAnsi" w:cstheme="minorHAnsi"/>
          <w:szCs w:val="20"/>
          <w:lang w:val="fr-FR"/>
        </w:rPr>
      </w:pPr>
      <w:r w:rsidRPr="007B4A1E">
        <w:rPr>
          <w:rFonts w:asciiTheme="minorHAnsi" w:hAnsiTheme="minorHAnsi" w:cstheme="minorHAnsi"/>
          <w:szCs w:val="20"/>
          <w:lang w:val="fr-FR"/>
        </w:rPr>
        <w:t xml:space="preserve">pojednostavljivanje procedura, odnosno kreiranje i </w:t>
      </w:r>
      <w:r w:rsidRPr="00DA4180">
        <w:rPr>
          <w:rFonts w:asciiTheme="minorHAnsi" w:hAnsiTheme="minorHAnsi" w:cstheme="minorHAnsi"/>
          <w:szCs w:val="20"/>
        </w:rPr>
        <w:t>implementaciju</w:t>
      </w:r>
      <w:r w:rsidRPr="007B4A1E">
        <w:rPr>
          <w:rFonts w:asciiTheme="minorHAnsi" w:hAnsiTheme="minorHAnsi" w:cstheme="minorHAnsi"/>
          <w:szCs w:val="20"/>
        </w:rPr>
        <w:t xml:space="preserve"> one stop shop-a za izdavanje građevinskih dozvola u jedinicama lokalnih samouprava</w:t>
      </w:r>
      <w:r w:rsidRPr="007B4A1E">
        <w:rPr>
          <w:rFonts w:asciiTheme="minorHAnsi" w:hAnsiTheme="minorHAnsi" w:cstheme="minorHAnsi"/>
          <w:szCs w:val="20"/>
          <w:lang w:val="fr-FR"/>
        </w:rPr>
        <w:t>;</w:t>
      </w:r>
    </w:p>
    <w:p w:rsidR="002A685B" w:rsidRPr="007B4A1E" w:rsidRDefault="002A685B" w:rsidP="002A685B">
      <w:pPr>
        <w:numPr>
          <w:ilvl w:val="0"/>
          <w:numId w:val="1"/>
        </w:numPr>
        <w:tabs>
          <w:tab w:val="left" w:pos="142"/>
        </w:tabs>
        <w:spacing w:after="0" w:line="240" w:lineRule="auto"/>
        <w:ind w:right="-138"/>
        <w:jc w:val="both"/>
        <w:rPr>
          <w:rFonts w:asciiTheme="minorHAnsi" w:hAnsiTheme="minorHAnsi" w:cstheme="minorHAnsi"/>
          <w:szCs w:val="20"/>
          <w:lang w:val="fr-FR"/>
        </w:rPr>
      </w:pPr>
      <w:r w:rsidRPr="007B4A1E">
        <w:rPr>
          <w:rFonts w:asciiTheme="minorHAnsi" w:hAnsiTheme="minorHAnsi" w:cstheme="minorHAnsi"/>
          <w:szCs w:val="20"/>
          <w:lang w:val="sr-Latn-CS"/>
        </w:rPr>
        <w:t xml:space="preserve">realizaciju preporuka „Analize fiskaliteta na lokalnom nivou“, koja se odnosi na ukidanje naknade za komunalno opremanje građevinskog zemljišta (implementacija navedene mjere počeće </w:t>
      </w:r>
      <w:r w:rsidRPr="007B4A1E">
        <w:rPr>
          <w:rFonts w:asciiTheme="minorHAnsi" w:eastAsia="Times New Roman" w:hAnsiTheme="minorHAnsi" w:cstheme="minorHAnsi"/>
          <w:szCs w:val="20"/>
          <w:lang w:val="fr-FR"/>
        </w:rPr>
        <w:t>od 2016. godine, čime će se značajno doprinijeti stvaranju povoljnijih uslova za investiranje na nivou JLS);</w:t>
      </w:r>
    </w:p>
    <w:p w:rsidR="002A685B" w:rsidRPr="0092195A" w:rsidRDefault="002A685B" w:rsidP="002A685B">
      <w:pPr>
        <w:pStyle w:val="ListParagraph"/>
        <w:numPr>
          <w:ilvl w:val="0"/>
          <w:numId w:val="1"/>
        </w:numPr>
        <w:tabs>
          <w:tab w:val="left" w:pos="142"/>
        </w:tabs>
        <w:spacing w:after="0" w:line="240" w:lineRule="auto"/>
        <w:ind w:right="-138"/>
        <w:contextualSpacing/>
        <w:jc w:val="both"/>
        <w:rPr>
          <w:rFonts w:asciiTheme="minorHAnsi" w:hAnsiTheme="minorHAnsi" w:cstheme="minorHAnsi"/>
          <w:bCs/>
          <w:sz w:val="22"/>
          <w:lang w:val="sr-Latn-CS"/>
        </w:rPr>
      </w:pPr>
      <w:r w:rsidRPr="007B4A1E">
        <w:rPr>
          <w:rFonts w:asciiTheme="minorHAnsi" w:hAnsiTheme="minorHAnsi" w:cstheme="minorHAnsi"/>
          <w:sz w:val="22"/>
          <w:lang w:val="sr-Latn-CS"/>
        </w:rPr>
        <w:t>izradu analiza svih oblasti ekonomskog sistema, gdje su sektori obrazovanja, zdravstva i penzijskog sistema prepoznati kao područja u kojima je neophodno sprovesti dalje reforme. S tim u vezi, sprovode se intenzivne aktivnosti u cilju jačanja privatne inicijative u oblastima zdravstva i obrazovanja, posebno kroz primjenu javno-privatnog partnerstva. Istovremeno, u cilju unapređenja obrazovnog sistema, radi se na većem usklađivanju obrazovanja sa potrebama tržišta rada, uvođenju koncepta vaučera u visokoškolskom sistemu, povećanju stepena korišćenja informacionih tehnologija i dr;</w:t>
      </w:r>
    </w:p>
    <w:p w:rsidR="002A685B" w:rsidRPr="007B4A1E" w:rsidRDefault="002A685B" w:rsidP="002A685B">
      <w:pPr>
        <w:pStyle w:val="ListParagraph"/>
        <w:numPr>
          <w:ilvl w:val="0"/>
          <w:numId w:val="1"/>
        </w:numPr>
        <w:spacing w:after="0" w:line="240" w:lineRule="auto"/>
        <w:jc w:val="both"/>
        <w:rPr>
          <w:rFonts w:asciiTheme="minorHAnsi" w:hAnsiTheme="minorHAnsi" w:cstheme="minorHAnsi"/>
          <w:sz w:val="22"/>
        </w:rPr>
      </w:pPr>
      <w:r w:rsidRPr="007B4A1E">
        <w:rPr>
          <w:rFonts w:asciiTheme="minorHAnsi" w:hAnsiTheme="minorHAnsi" w:cstheme="minorHAnsi"/>
          <w:sz w:val="22"/>
        </w:rPr>
        <w:t>nastavak implementacije Analize procjene uticaja propisa (Regulatory Impact Assessment), pribavljanje mišljenja</w:t>
      </w:r>
      <w:r w:rsidRPr="007B4A1E">
        <w:rPr>
          <w:rStyle w:val="FootnoteReference"/>
          <w:rFonts w:asciiTheme="minorHAnsi" w:hAnsiTheme="minorHAnsi" w:cstheme="minorHAnsi"/>
          <w:sz w:val="22"/>
        </w:rPr>
        <w:footnoteReference w:id="9"/>
      </w:r>
      <w:r w:rsidRPr="007B4A1E">
        <w:rPr>
          <w:rFonts w:asciiTheme="minorHAnsi" w:hAnsiTheme="minorHAnsi" w:cstheme="minorHAnsi"/>
          <w:sz w:val="22"/>
        </w:rPr>
        <w:t xml:space="preserve"> na valjanost RIA analize i uticaj iste na poslovni ambijent i budžet, kao i implementacija, na bazi inoviranog Akcionog plana, projekta „Giljotine propisa“.</w:t>
      </w:r>
    </w:p>
    <w:p w:rsidR="002A685B" w:rsidRPr="0073636F" w:rsidRDefault="002A685B" w:rsidP="002A685B">
      <w:pPr>
        <w:spacing w:after="0" w:line="240" w:lineRule="auto"/>
        <w:jc w:val="both"/>
        <w:rPr>
          <w:rFonts w:asciiTheme="minorHAnsi" w:hAnsiTheme="minorHAnsi" w:cstheme="minorHAnsi"/>
        </w:rPr>
      </w:pPr>
    </w:p>
    <w:p w:rsidR="002A685B" w:rsidRPr="007B4A1E" w:rsidRDefault="002A685B" w:rsidP="002A685B">
      <w:pPr>
        <w:spacing w:after="0" w:line="240" w:lineRule="auto"/>
        <w:jc w:val="both"/>
        <w:rPr>
          <w:rFonts w:asciiTheme="minorHAnsi" w:hAnsiTheme="minorHAnsi" w:cstheme="minorHAnsi"/>
          <w:szCs w:val="20"/>
        </w:rPr>
      </w:pPr>
      <w:r w:rsidRPr="007B4A1E">
        <w:rPr>
          <w:rFonts w:asciiTheme="minorHAnsi" w:hAnsiTheme="minorHAnsi" w:cstheme="minorHAnsi"/>
          <w:szCs w:val="20"/>
        </w:rPr>
        <w:t>U narednom periodu, sprovodiće se aktivnosti koje se odnose na:</w:t>
      </w:r>
    </w:p>
    <w:p w:rsidR="002A685B" w:rsidRPr="007B4A1E" w:rsidRDefault="002A685B" w:rsidP="002A685B">
      <w:pPr>
        <w:spacing w:after="0" w:line="240" w:lineRule="auto"/>
        <w:jc w:val="both"/>
        <w:rPr>
          <w:rFonts w:asciiTheme="minorHAnsi" w:hAnsiTheme="minorHAnsi" w:cstheme="minorHAnsi"/>
          <w:szCs w:val="20"/>
        </w:rPr>
      </w:pPr>
    </w:p>
    <w:p w:rsidR="002A685B" w:rsidRPr="007B4A1E" w:rsidRDefault="00197792" w:rsidP="002A685B">
      <w:pPr>
        <w:numPr>
          <w:ilvl w:val="0"/>
          <w:numId w:val="10"/>
        </w:numPr>
        <w:spacing w:after="0" w:line="240" w:lineRule="auto"/>
        <w:jc w:val="both"/>
        <w:rPr>
          <w:rFonts w:asciiTheme="minorHAnsi" w:hAnsiTheme="minorHAnsi" w:cstheme="minorHAnsi"/>
          <w:szCs w:val="20"/>
        </w:rPr>
      </w:pPr>
      <w:r>
        <w:rPr>
          <w:rFonts w:asciiTheme="minorHAnsi" w:hAnsiTheme="minorHAnsi" w:cstheme="minorHAnsi"/>
          <w:szCs w:val="20"/>
        </w:rPr>
        <w:t>nastavak implementacije</w:t>
      </w:r>
      <w:r w:rsidR="002A685B" w:rsidRPr="007B4A1E">
        <w:rPr>
          <w:rFonts w:asciiTheme="minorHAnsi" w:hAnsiTheme="minorHAnsi" w:cstheme="minorHAnsi"/>
          <w:szCs w:val="20"/>
        </w:rPr>
        <w:t xml:space="preserve"> one stop shop-a za izdavanje građevinskih dozvola u JLS;</w:t>
      </w:r>
    </w:p>
    <w:p w:rsidR="002A685B" w:rsidRPr="007B4A1E" w:rsidRDefault="002A685B" w:rsidP="002A685B">
      <w:pPr>
        <w:numPr>
          <w:ilvl w:val="0"/>
          <w:numId w:val="10"/>
        </w:numPr>
        <w:spacing w:after="0" w:line="240" w:lineRule="auto"/>
        <w:jc w:val="both"/>
        <w:rPr>
          <w:rFonts w:asciiTheme="minorHAnsi" w:hAnsiTheme="minorHAnsi" w:cstheme="minorHAnsi"/>
          <w:szCs w:val="20"/>
        </w:rPr>
      </w:pPr>
      <w:r w:rsidRPr="007B4A1E">
        <w:rPr>
          <w:rFonts w:asciiTheme="minorHAnsi" w:hAnsiTheme="minorHAnsi" w:cstheme="minorHAnsi"/>
          <w:szCs w:val="20"/>
        </w:rPr>
        <w:t>rješavanje problema nelikvidnosti;</w:t>
      </w:r>
    </w:p>
    <w:p w:rsidR="002A685B" w:rsidRPr="007B4A1E" w:rsidRDefault="002A685B" w:rsidP="002A685B">
      <w:pPr>
        <w:numPr>
          <w:ilvl w:val="0"/>
          <w:numId w:val="10"/>
        </w:numPr>
        <w:spacing w:after="0" w:line="240" w:lineRule="auto"/>
        <w:jc w:val="both"/>
        <w:rPr>
          <w:rFonts w:asciiTheme="minorHAnsi" w:hAnsiTheme="minorHAnsi" w:cstheme="minorHAnsi"/>
          <w:szCs w:val="20"/>
        </w:rPr>
      </w:pPr>
      <w:r w:rsidRPr="007B4A1E">
        <w:rPr>
          <w:rFonts w:asciiTheme="minorHAnsi" w:eastAsia="Times New Roman" w:hAnsiTheme="minorHAnsi" w:cstheme="minorHAnsi"/>
          <w:szCs w:val="20"/>
        </w:rPr>
        <w:t>dalje pojednostavljivanje procedura i skraćenje rokova za registraciju obveznika, unapređivanje sistema oporezivanja dobiti pravnih lica, proširenje baze za oporezivanje dohotka fizičkih lica, unapređenje sistema PDV-a i akcizne politike, kao i kreiranje efikasnijeg sistema oporezivanja nepokretnosti;</w:t>
      </w:r>
    </w:p>
    <w:p w:rsidR="002A685B" w:rsidRPr="007B4A1E" w:rsidRDefault="002A685B" w:rsidP="002A685B">
      <w:pPr>
        <w:numPr>
          <w:ilvl w:val="0"/>
          <w:numId w:val="10"/>
        </w:numPr>
        <w:spacing w:after="0" w:line="240" w:lineRule="auto"/>
        <w:jc w:val="both"/>
        <w:rPr>
          <w:rFonts w:asciiTheme="minorHAnsi" w:hAnsiTheme="minorHAnsi" w:cstheme="minorHAnsi"/>
          <w:szCs w:val="20"/>
        </w:rPr>
      </w:pPr>
      <w:r w:rsidRPr="007B4A1E">
        <w:rPr>
          <w:rFonts w:asciiTheme="minorHAnsi" w:eastAsia="Times New Roman" w:hAnsiTheme="minorHAnsi" w:cstheme="minorHAnsi"/>
          <w:szCs w:val="20"/>
        </w:rPr>
        <w:t>utvrđivanje adekvatnih kriterijuma za procjenu vrijednosti državne imovine, što direktno utiče na stepen povjerenja investitora i kvalitetno upravljanje, a zahtijeva uspostavljanje zakonskog okvira, uz primenu međunarodnih standarda u ovoj oblasti;</w:t>
      </w:r>
    </w:p>
    <w:p w:rsidR="002A685B" w:rsidRPr="007B4A1E" w:rsidRDefault="002A685B" w:rsidP="002A685B">
      <w:pPr>
        <w:numPr>
          <w:ilvl w:val="0"/>
          <w:numId w:val="10"/>
        </w:numPr>
        <w:spacing w:after="0" w:line="240" w:lineRule="auto"/>
        <w:jc w:val="both"/>
        <w:rPr>
          <w:rFonts w:cs="Calibri"/>
          <w:szCs w:val="20"/>
        </w:rPr>
      </w:pPr>
      <w:r w:rsidRPr="007B4A1E">
        <w:rPr>
          <w:rFonts w:cs="Calibri"/>
          <w:szCs w:val="20"/>
        </w:rPr>
        <w:t xml:space="preserve">dalje jačanje vladavine prava i pravne sigurnosti i, u to smislu, </w:t>
      </w:r>
      <w:r w:rsidRPr="007B4A1E">
        <w:rPr>
          <w:rFonts w:eastAsia="Times New Roman" w:cs="Calibri"/>
          <w:szCs w:val="20"/>
        </w:rPr>
        <w:t xml:space="preserve">izradu novog </w:t>
      </w:r>
      <w:r w:rsidRPr="007B4A1E">
        <w:rPr>
          <w:rFonts w:cs="Calibri"/>
          <w:szCs w:val="20"/>
        </w:rPr>
        <w:t>Zakona o opštem upravnom postupku, izradu Zakona o arbitraži i izmjene Zakona o stečaju;</w:t>
      </w:r>
    </w:p>
    <w:p w:rsidR="002A685B" w:rsidRPr="007B4A1E" w:rsidRDefault="002A685B" w:rsidP="002A685B">
      <w:pPr>
        <w:pStyle w:val="ListParagraph"/>
        <w:numPr>
          <w:ilvl w:val="0"/>
          <w:numId w:val="10"/>
        </w:numPr>
        <w:spacing w:after="0" w:line="240" w:lineRule="auto"/>
        <w:jc w:val="both"/>
        <w:rPr>
          <w:rFonts w:cs="Calibri"/>
          <w:sz w:val="22"/>
        </w:rPr>
      </w:pPr>
      <w:r w:rsidRPr="007B4A1E">
        <w:rPr>
          <w:rFonts w:cs="Calibri"/>
          <w:sz w:val="22"/>
        </w:rPr>
        <w:t>sagledavanje</w:t>
      </w:r>
      <w:r w:rsidR="007B4A1E">
        <w:rPr>
          <w:rFonts w:cs="Calibri"/>
          <w:sz w:val="22"/>
        </w:rPr>
        <w:t xml:space="preserve"> </w:t>
      </w:r>
      <w:r w:rsidRPr="007B4A1E">
        <w:rPr>
          <w:rFonts w:cs="Calibri"/>
          <w:sz w:val="22"/>
        </w:rPr>
        <w:t xml:space="preserve">i implementaciju reformi u oblasti turizma i održivog razvoja i, u tom kontekstu, sprovođenje reformi koje treba da </w:t>
      </w:r>
      <w:r w:rsidRPr="007B4A1E">
        <w:rPr>
          <w:sz w:val="22"/>
        </w:rPr>
        <w:t>omoguće razvoj visokokvalitetne turističke ponude, kao i razvoj pratećih sadržaja istog nivoa, uz povećanje saobraćajne dostupnosti Crne Gore kao prestižne turističke destinacije.</w:t>
      </w:r>
    </w:p>
    <w:p w:rsidR="002A685B" w:rsidRPr="00B815E9" w:rsidRDefault="002A685B" w:rsidP="002A685B">
      <w:pPr>
        <w:pStyle w:val="ListParagraph"/>
        <w:spacing w:after="0" w:line="240" w:lineRule="auto"/>
        <w:rPr>
          <w:rFonts w:asciiTheme="minorHAnsi" w:hAnsiTheme="minorHAnsi" w:cstheme="minorHAnsi"/>
        </w:rPr>
      </w:pPr>
    </w:p>
    <w:p w:rsidR="002A685B" w:rsidRDefault="002A685B" w:rsidP="002A685B">
      <w:pPr>
        <w:spacing w:after="0" w:line="240" w:lineRule="auto"/>
        <w:jc w:val="both"/>
      </w:pPr>
      <w:r w:rsidRPr="00B815E9">
        <w:t>Nova zakonska rješenja u oblasti poreske politike, finansijskog izvještavanja i procjene vrijednosti i imovinsko-pravnih odnosa ne smiju ugroziti osnovni koncept i konzistentnost ekonomske i razvojne politike, što zahtijeva detaljnu analizu svih parametara, kako bi se očuvao balans između fiskalne održivosti i lakoće poslovanja.</w:t>
      </w:r>
    </w:p>
    <w:p w:rsidR="002A685B" w:rsidRPr="00B815E9" w:rsidRDefault="002A685B" w:rsidP="002A685B">
      <w:pPr>
        <w:spacing w:after="0" w:line="240" w:lineRule="auto"/>
        <w:jc w:val="both"/>
      </w:pPr>
    </w:p>
    <w:p w:rsidR="00276884" w:rsidRPr="002B3C21" w:rsidRDefault="00276884" w:rsidP="00F06FFE">
      <w:pPr>
        <w:pStyle w:val="Heading4"/>
        <w:rPr>
          <w:sz w:val="22"/>
        </w:rPr>
      </w:pPr>
      <w:bookmarkStart w:id="45" w:name="_Toc389745290"/>
      <w:r w:rsidRPr="002B3C21">
        <w:rPr>
          <w:sz w:val="22"/>
        </w:rPr>
        <w:t>Sektor malih i srednjih preduzeća</w:t>
      </w:r>
      <w:bookmarkEnd w:id="45"/>
    </w:p>
    <w:p w:rsidR="002A72F0" w:rsidRPr="009D407D" w:rsidRDefault="002A72F0" w:rsidP="002A72F0">
      <w:pPr>
        <w:spacing w:after="0" w:line="240" w:lineRule="auto"/>
      </w:pPr>
    </w:p>
    <w:p w:rsidR="002A685B" w:rsidRPr="0073636F" w:rsidRDefault="002A685B" w:rsidP="002A685B">
      <w:pPr>
        <w:pStyle w:val="Default"/>
        <w:jc w:val="both"/>
        <w:rPr>
          <w:rFonts w:asciiTheme="minorHAnsi" w:hAnsiTheme="minorHAnsi" w:cstheme="minorHAnsi"/>
          <w:color w:val="auto"/>
          <w:sz w:val="22"/>
          <w:szCs w:val="22"/>
        </w:rPr>
      </w:pPr>
      <w:r w:rsidRPr="0073636F">
        <w:rPr>
          <w:rFonts w:asciiTheme="minorHAnsi" w:hAnsiTheme="minorHAnsi" w:cstheme="minorHAnsi"/>
          <w:b/>
          <w:color w:val="auto"/>
          <w:sz w:val="22"/>
          <w:szCs w:val="22"/>
        </w:rPr>
        <w:t>Poslovanje sektora malih i srednjih preduzeća (MSP) i dalje je opterećeno problemima vezanim za nedostatak likvidnih sredstava, složene dužničko-povjerilačke odnose i nedovoljnu podršku bankarskog sistema razvojnim projektima MSP.</w:t>
      </w:r>
    </w:p>
    <w:p w:rsidR="002A685B" w:rsidRPr="0073636F" w:rsidRDefault="002A685B" w:rsidP="002A685B">
      <w:pPr>
        <w:pStyle w:val="Default"/>
        <w:jc w:val="both"/>
        <w:rPr>
          <w:rFonts w:asciiTheme="minorHAnsi" w:hAnsiTheme="minorHAnsi" w:cstheme="minorHAnsi"/>
          <w:color w:val="auto"/>
          <w:sz w:val="22"/>
          <w:szCs w:val="22"/>
        </w:rPr>
      </w:pPr>
    </w:p>
    <w:p w:rsidR="002A685B" w:rsidRPr="0073636F" w:rsidRDefault="002A685B" w:rsidP="002A685B">
      <w:pPr>
        <w:pStyle w:val="Default"/>
        <w:jc w:val="both"/>
        <w:rPr>
          <w:rFonts w:asciiTheme="minorHAnsi" w:hAnsiTheme="minorHAnsi" w:cstheme="minorHAnsi"/>
          <w:color w:val="auto"/>
          <w:sz w:val="22"/>
          <w:szCs w:val="22"/>
        </w:rPr>
      </w:pPr>
      <w:r w:rsidRPr="0073636F">
        <w:rPr>
          <w:rFonts w:asciiTheme="minorHAnsi" w:hAnsiTheme="minorHAnsi" w:cstheme="minorHAnsi"/>
          <w:color w:val="auto"/>
          <w:sz w:val="22"/>
          <w:szCs w:val="22"/>
        </w:rPr>
        <w:t>Restriktivna politika poslovnih banaka, kada je u pitanju kreditiranje MSP, uticala je na povećanje uloge i značaja Investiciono-razvojnog fonda u daljem razvoju preduzetničke kulture, naročito nakon potpisivanja Ugovora o kreditnom aranžmanu sa Evropskom investicionom bankom (EIB), po kome će 50,0 mil. € biti usmjereno za finansiranje mikro, malog i srednjeg biznisa u Crnoj Gori.</w:t>
      </w:r>
    </w:p>
    <w:p w:rsidR="002A685B" w:rsidRPr="0073636F" w:rsidRDefault="002A685B" w:rsidP="002A685B">
      <w:pPr>
        <w:pStyle w:val="Default"/>
        <w:jc w:val="both"/>
        <w:rPr>
          <w:rFonts w:asciiTheme="minorHAnsi" w:hAnsiTheme="minorHAnsi" w:cstheme="minorHAnsi"/>
          <w:color w:val="auto"/>
          <w:sz w:val="22"/>
          <w:szCs w:val="22"/>
        </w:rPr>
      </w:pPr>
    </w:p>
    <w:p w:rsidR="002A685B" w:rsidRPr="0073636F" w:rsidRDefault="002A685B" w:rsidP="002A685B">
      <w:pPr>
        <w:spacing w:after="0" w:line="240" w:lineRule="auto"/>
        <w:jc w:val="both"/>
        <w:rPr>
          <w:rFonts w:asciiTheme="minorHAnsi" w:hAnsiTheme="minorHAnsi" w:cstheme="minorHAnsi"/>
        </w:rPr>
      </w:pPr>
      <w:r w:rsidRPr="0073636F">
        <w:rPr>
          <w:rFonts w:asciiTheme="minorHAnsi" w:hAnsiTheme="minorHAnsi" w:cstheme="minorHAnsi"/>
        </w:rPr>
        <w:t>Finansijska podrška Investiciono –razvojnog fonda CG (IRF) sektoru MSP, za prva četiri mjeseca tekuće godine, iznosila je 7,8 mil.€, što je 12% manje u odnosu na isti period prošle godine (podržano 77 projekata). U finansiranju projekata MSP dominantna su sredstva Fonda, dok se učešće bankarskih sredstava smanjilo u odnosu na prethodne godine. Od odobrenih projekata, jedan se odnosi na start-up preduzeća u iznosu 30,0 hilj.€. Takođe, Fond je podržao sektor MSP kroz faktoring aranžmane, tako da je u ovoj godini sklopljeno 15 ugovora o faktoringu (odobreni su limiti komitentima u iznosu od 9,6 mil.€ i izvršen otkup potraživanja u iznosu od 8,4mil.€). Finansijskim planom za ovu godinu nije predviđeno odobrenje/izdavanje garancija.</w:t>
      </w:r>
    </w:p>
    <w:p w:rsidR="002A685B" w:rsidRPr="0073636F" w:rsidRDefault="002A685B" w:rsidP="002A685B">
      <w:pPr>
        <w:spacing w:after="0" w:line="240" w:lineRule="auto"/>
        <w:jc w:val="both"/>
        <w:rPr>
          <w:rFonts w:asciiTheme="minorHAnsi" w:hAnsiTheme="minorHAnsi" w:cstheme="minorHAnsi"/>
        </w:rPr>
      </w:pPr>
    </w:p>
    <w:p w:rsidR="002A685B" w:rsidRDefault="002A685B" w:rsidP="002A685B">
      <w:pPr>
        <w:spacing w:after="0" w:line="240" w:lineRule="auto"/>
        <w:jc w:val="both"/>
        <w:rPr>
          <w:rFonts w:asciiTheme="minorHAnsi" w:hAnsiTheme="minorHAnsi" w:cstheme="minorHAnsi"/>
        </w:rPr>
      </w:pPr>
      <w:r w:rsidRPr="0073636F">
        <w:rPr>
          <w:rFonts w:asciiTheme="minorHAnsi" w:hAnsiTheme="minorHAnsi" w:cstheme="minorHAnsi"/>
        </w:rPr>
        <w:t>Politika i ciljevi razvoja MSP-a definisani razvojnim dokumentima, realizuju se sprovođenjem niza mjera i aktivnosti. Istovremeno, Crna Gora je uključena u realizaciju niza projekata međunarodno-regionalnog karaktera. Od posebnog značaja su: dalja realizacija projekta ,,Uspostavljanje i promocija mentoring sistema u MSP u Crnoj Gori’’, završetak projekta ,,Izrada vizuelnog identiteta preduzeća’’, kontinuitet u pružanju usluga Evropskog centra za informacije i inovacije EIICM, kao i dalja realizacija projekta,,Žensko preduzetništvo-motor za stvaranje radnih mjesta u Jugoistočnoj Evropi’’.</w:t>
      </w:r>
    </w:p>
    <w:p w:rsidR="002A685B" w:rsidRPr="0073636F" w:rsidRDefault="002A685B" w:rsidP="002A685B">
      <w:pPr>
        <w:spacing w:after="0" w:line="240" w:lineRule="auto"/>
        <w:jc w:val="both"/>
        <w:rPr>
          <w:rFonts w:asciiTheme="minorHAnsi" w:hAnsiTheme="minorHAnsi" w:cstheme="minorHAnsi"/>
        </w:rPr>
      </w:pPr>
    </w:p>
    <w:p w:rsidR="002A685B" w:rsidRPr="0073636F" w:rsidRDefault="002A685B" w:rsidP="002A685B">
      <w:pPr>
        <w:spacing w:after="0" w:line="240" w:lineRule="auto"/>
        <w:jc w:val="both"/>
        <w:rPr>
          <w:rFonts w:asciiTheme="minorHAnsi" w:hAnsiTheme="minorHAnsi" w:cstheme="minorHAnsi"/>
        </w:rPr>
      </w:pPr>
      <w:r w:rsidRPr="0073636F">
        <w:rPr>
          <w:rFonts w:asciiTheme="minorHAnsi" w:hAnsiTheme="minorHAnsi" w:cstheme="minorHAnsi"/>
        </w:rPr>
        <w:t xml:space="preserve">U cilju povećanja konurentnosti, prvenstveno, kroz usaglašavanje sa zahtjevima međunarodnih standarda za proizvode i podrške za dobijanje akreditacije za ocjenjivanje usaglašenosti, počela je realizacija Programa povećanja regionalne i lokalne konkurentnosti kroz usaglašavanje sa zahtjevima međunarodnih standarda poslovanja za period 2014-2016. Programom je planirana finansijska podrška preduzetnicima, malim i srednjim privrednim društvima, naročito iz manje razvijenih opština i Sjevernog regiona (završen je Prvi javni poziv i očekuje se donošenje odluke o dodjeli državne pomoći). Istovremeno, jačanje tržišne pozicije, odnosno konkurentnosti privrednih subjekata kroz unapređenje saradnje u okviru klastera, podstiče se </w:t>
      </w:r>
      <w:r w:rsidRPr="0073636F">
        <w:rPr>
          <w:rFonts w:asciiTheme="minorHAnsi" w:hAnsiTheme="minorHAnsi" w:cstheme="minorHAnsi"/>
          <w:bCs/>
        </w:rPr>
        <w:t xml:space="preserve">realizacijom projekta „Jačanje konkurentnosti malih i srednjih preduzeća u Crnoj Gori kroz razvoj klastera“, </w:t>
      </w:r>
      <w:r w:rsidRPr="0073636F">
        <w:rPr>
          <w:rFonts w:asciiTheme="minorHAnsi" w:hAnsiTheme="minorHAnsi" w:cstheme="minorHAnsi"/>
        </w:rPr>
        <w:t>kojim će tehnički biti podržano 5 klastera, a koji se finansira iz IPA fondova i implementira preko UNIDO-a.</w:t>
      </w:r>
    </w:p>
    <w:p w:rsidR="002A685B" w:rsidRPr="0073636F" w:rsidRDefault="002A685B" w:rsidP="002A685B">
      <w:pPr>
        <w:spacing w:after="0" w:line="240" w:lineRule="auto"/>
        <w:jc w:val="both"/>
        <w:rPr>
          <w:rFonts w:asciiTheme="minorHAnsi" w:hAnsiTheme="minorHAnsi" w:cstheme="minorHAnsi"/>
        </w:rPr>
      </w:pPr>
    </w:p>
    <w:p w:rsidR="002A685B" w:rsidRPr="0073636F" w:rsidRDefault="002A685B" w:rsidP="002A685B">
      <w:pPr>
        <w:pStyle w:val="Default"/>
        <w:jc w:val="both"/>
        <w:rPr>
          <w:rFonts w:asciiTheme="minorHAnsi" w:hAnsiTheme="minorHAnsi" w:cstheme="minorHAnsi"/>
          <w:color w:val="auto"/>
          <w:sz w:val="22"/>
          <w:szCs w:val="22"/>
        </w:rPr>
      </w:pPr>
      <w:r w:rsidRPr="0073636F">
        <w:rPr>
          <w:rFonts w:asciiTheme="minorHAnsi" w:hAnsiTheme="minorHAnsi" w:cstheme="minorHAnsi"/>
          <w:color w:val="auto"/>
          <w:sz w:val="22"/>
          <w:szCs w:val="22"/>
        </w:rPr>
        <w:t>Radiće se na unapređenju sistema statističkog praćenja MSP sektora. Formirana je radna grupa za pripremu odgovarajućeg dokumenta.</w:t>
      </w:r>
    </w:p>
    <w:p w:rsidR="002A685B" w:rsidRPr="0073636F" w:rsidRDefault="002A685B" w:rsidP="002A685B">
      <w:pPr>
        <w:pStyle w:val="Default"/>
        <w:jc w:val="both"/>
        <w:rPr>
          <w:rFonts w:asciiTheme="minorHAnsi" w:hAnsiTheme="minorHAnsi" w:cstheme="minorHAnsi"/>
          <w:color w:val="auto"/>
          <w:sz w:val="22"/>
          <w:szCs w:val="22"/>
        </w:rPr>
      </w:pPr>
    </w:p>
    <w:p w:rsidR="002A685B" w:rsidRDefault="002A685B" w:rsidP="002A685B">
      <w:pPr>
        <w:pStyle w:val="Default"/>
        <w:jc w:val="both"/>
        <w:rPr>
          <w:rFonts w:asciiTheme="minorHAnsi" w:hAnsiTheme="minorHAnsi" w:cstheme="minorHAnsi"/>
          <w:color w:val="auto"/>
          <w:sz w:val="22"/>
          <w:szCs w:val="22"/>
        </w:rPr>
      </w:pPr>
      <w:r w:rsidRPr="0073636F">
        <w:rPr>
          <w:rFonts w:asciiTheme="minorHAnsi" w:hAnsiTheme="minorHAnsi" w:cstheme="minorHAnsi"/>
          <w:color w:val="auto"/>
          <w:sz w:val="22"/>
          <w:szCs w:val="22"/>
        </w:rPr>
        <w:t>Polazeći od značaja MSP za dugoročni razvoj domaće ekonomije, nastaviće se jačanje finansijske i institucionalne podrške tom sektoru. Shodno preporukama Small Business Acta (SBA), preduzeće se mjere na jačanju inovativnosti, podrške start-up projektima, unapređenju znanja i vještina, u cilju jačanja konkurentnosti i stimulisanja izvoza, naročito u okviru trgovinske razmjene sa EU.</w:t>
      </w:r>
    </w:p>
    <w:p w:rsidR="00BC1367" w:rsidRDefault="00BC1367" w:rsidP="002A685B">
      <w:pPr>
        <w:pStyle w:val="Default"/>
        <w:jc w:val="both"/>
        <w:rPr>
          <w:rFonts w:asciiTheme="minorHAnsi" w:hAnsiTheme="minorHAnsi" w:cstheme="minorHAnsi"/>
          <w:color w:val="auto"/>
          <w:sz w:val="22"/>
          <w:szCs w:val="22"/>
        </w:rPr>
      </w:pPr>
    </w:p>
    <w:p w:rsidR="002A685B" w:rsidRPr="002B3C21" w:rsidRDefault="00BC1367" w:rsidP="002A685B">
      <w:pPr>
        <w:pStyle w:val="Heading3"/>
        <w:rPr>
          <w:rFonts w:cstheme="minorHAnsi"/>
          <w:sz w:val="22"/>
        </w:rPr>
      </w:pPr>
      <w:bookmarkStart w:id="46" w:name="_Toc389745291"/>
      <w:r w:rsidRPr="002B3C21">
        <w:rPr>
          <w:sz w:val="22"/>
        </w:rPr>
        <w:lastRenderedPageBreak/>
        <w:t>Mrežne industrije</w:t>
      </w:r>
      <w:bookmarkEnd w:id="46"/>
    </w:p>
    <w:p w:rsidR="002A72F0" w:rsidRPr="009D407D" w:rsidRDefault="002A72F0" w:rsidP="00F06FFE">
      <w:pPr>
        <w:pStyle w:val="Heading6"/>
        <w:numPr>
          <w:ilvl w:val="0"/>
          <w:numId w:val="0"/>
        </w:numPr>
        <w:ind w:left="1152"/>
        <w:jc w:val="left"/>
      </w:pPr>
    </w:p>
    <w:p w:rsidR="00276884" w:rsidRPr="002B3C21" w:rsidRDefault="00276884" w:rsidP="00F06FFE">
      <w:pPr>
        <w:pStyle w:val="Heading4"/>
        <w:rPr>
          <w:sz w:val="22"/>
        </w:rPr>
      </w:pPr>
      <w:bookmarkStart w:id="47" w:name="_Toc389745292"/>
      <w:r w:rsidRPr="002B3C21">
        <w:rPr>
          <w:sz w:val="22"/>
        </w:rPr>
        <w:t>Energetika</w:t>
      </w:r>
      <w:bookmarkEnd w:id="47"/>
    </w:p>
    <w:p w:rsidR="002A72F0" w:rsidRPr="009D407D" w:rsidRDefault="002A72F0" w:rsidP="002A72F0">
      <w:pPr>
        <w:spacing w:after="0" w:line="240" w:lineRule="auto"/>
      </w:pPr>
    </w:p>
    <w:p w:rsidR="00BC1367" w:rsidRPr="0073636F" w:rsidRDefault="00BC1367" w:rsidP="00BC1367">
      <w:pPr>
        <w:tabs>
          <w:tab w:val="left" w:pos="567"/>
        </w:tabs>
        <w:spacing w:after="0" w:line="240" w:lineRule="auto"/>
        <w:jc w:val="both"/>
        <w:rPr>
          <w:rFonts w:cs="Calibri"/>
          <w:b/>
        </w:rPr>
      </w:pPr>
      <w:r w:rsidRPr="0073636F">
        <w:rPr>
          <w:rFonts w:cs="Calibri"/>
        </w:rPr>
        <w:t xml:space="preserve">U sektoru energetike, u skladu sa principima održivog razvoja, u kontinuitetu se sprovode aktivnosti usmjerene na bolju valorizaciju velikog prirodnog potencijala (ugalj, hidropotencijal, potencijal biomase, vjetro i solarni potencijal), </w:t>
      </w:r>
      <w:r w:rsidRPr="0073636F">
        <w:rPr>
          <w:rFonts w:cs="Calibri"/>
          <w:bCs/>
        </w:rPr>
        <w:t>unapre</w:t>
      </w:r>
      <w:r w:rsidRPr="0073636F">
        <w:rPr>
          <w:rFonts w:cs="Calibri"/>
          <w:bCs/>
          <w:lang w:val="sr-Latn-CS"/>
        </w:rPr>
        <w:t>đ</w:t>
      </w:r>
      <w:r w:rsidRPr="0073636F">
        <w:rPr>
          <w:rFonts w:cs="Calibri"/>
          <w:bCs/>
        </w:rPr>
        <w:t>enje</w:t>
      </w:r>
      <w:r w:rsidRPr="0073636F">
        <w:rPr>
          <w:rFonts w:cs="Calibri"/>
          <w:bCs/>
          <w:lang w:val="sr-Latn-CS"/>
        </w:rPr>
        <w:t xml:space="preserve"> </w:t>
      </w:r>
      <w:r w:rsidRPr="0073636F">
        <w:rPr>
          <w:rFonts w:cs="Calibri"/>
          <w:bCs/>
        </w:rPr>
        <w:t>energetske</w:t>
      </w:r>
      <w:r w:rsidRPr="0073636F">
        <w:rPr>
          <w:rFonts w:cs="Calibri"/>
          <w:bCs/>
          <w:lang w:val="sr-Latn-CS"/>
        </w:rPr>
        <w:t xml:space="preserve"> </w:t>
      </w:r>
      <w:r w:rsidRPr="0073636F">
        <w:rPr>
          <w:rFonts w:cs="Calibri"/>
          <w:bCs/>
        </w:rPr>
        <w:t>efikasnosti</w:t>
      </w:r>
      <w:r w:rsidRPr="0073636F">
        <w:rPr>
          <w:rFonts w:cs="Calibri"/>
          <w:bCs/>
          <w:lang w:val="sr-Latn-CS"/>
        </w:rPr>
        <w:t xml:space="preserve"> </w:t>
      </w:r>
      <w:r w:rsidRPr="0073636F">
        <w:rPr>
          <w:rFonts w:cs="Calibri"/>
          <w:bCs/>
        </w:rPr>
        <w:t>u</w:t>
      </w:r>
      <w:r w:rsidRPr="0073636F">
        <w:rPr>
          <w:rFonts w:cs="Calibri"/>
          <w:bCs/>
          <w:lang w:val="sr-Latn-CS"/>
        </w:rPr>
        <w:t xml:space="preserve"> </w:t>
      </w:r>
      <w:r w:rsidRPr="0073636F">
        <w:rPr>
          <w:rFonts w:cs="Calibri"/>
          <w:bCs/>
        </w:rPr>
        <w:t>cijelom</w:t>
      </w:r>
      <w:r w:rsidRPr="0073636F">
        <w:rPr>
          <w:rFonts w:cs="Calibri"/>
          <w:bCs/>
          <w:lang w:val="sr-Latn-CS"/>
        </w:rPr>
        <w:t xml:space="preserve"> </w:t>
      </w:r>
      <w:r w:rsidRPr="0073636F">
        <w:rPr>
          <w:rFonts w:cs="Calibri"/>
          <w:bCs/>
        </w:rPr>
        <w:t>lancu</w:t>
      </w:r>
      <w:r w:rsidRPr="0073636F">
        <w:rPr>
          <w:rFonts w:cs="Calibri"/>
          <w:bCs/>
          <w:lang w:val="sr-Latn-CS"/>
        </w:rPr>
        <w:t xml:space="preserve"> </w:t>
      </w:r>
      <w:r w:rsidRPr="0073636F">
        <w:rPr>
          <w:rFonts w:cs="Calibri"/>
          <w:bCs/>
        </w:rPr>
        <w:t>snabdijevanja</w:t>
      </w:r>
      <w:r w:rsidRPr="0073636F">
        <w:rPr>
          <w:rFonts w:cs="Calibri"/>
          <w:bCs/>
          <w:lang w:val="sr-Latn-CS"/>
        </w:rPr>
        <w:t xml:space="preserve"> </w:t>
      </w:r>
      <w:r w:rsidRPr="0073636F">
        <w:rPr>
          <w:rFonts w:cs="Calibri"/>
          <w:bCs/>
        </w:rPr>
        <w:t>i</w:t>
      </w:r>
      <w:r w:rsidRPr="0073636F">
        <w:rPr>
          <w:rFonts w:cs="Calibri"/>
          <w:bCs/>
          <w:lang w:val="sr-Latn-CS"/>
        </w:rPr>
        <w:t xml:space="preserve"> </w:t>
      </w:r>
      <w:r w:rsidRPr="0073636F">
        <w:rPr>
          <w:rFonts w:cs="Calibri"/>
          <w:bCs/>
        </w:rPr>
        <w:t>kori</w:t>
      </w:r>
      <w:r w:rsidRPr="0073636F">
        <w:rPr>
          <w:rFonts w:cs="Calibri"/>
          <w:bCs/>
          <w:lang w:val="sr-Latn-CS"/>
        </w:rPr>
        <w:t>šć</w:t>
      </w:r>
      <w:r w:rsidRPr="0073636F">
        <w:rPr>
          <w:rFonts w:cs="Calibri"/>
          <w:bCs/>
        </w:rPr>
        <w:t>enja</w:t>
      </w:r>
      <w:r w:rsidRPr="0073636F">
        <w:rPr>
          <w:rFonts w:cs="Calibri"/>
          <w:bCs/>
          <w:lang w:val="sr-Latn-CS"/>
        </w:rPr>
        <w:t xml:space="preserve"> </w:t>
      </w:r>
      <w:r w:rsidRPr="0073636F">
        <w:rPr>
          <w:rFonts w:cs="Calibri"/>
          <w:bCs/>
        </w:rPr>
        <w:t>energije</w:t>
      </w:r>
      <w:r w:rsidRPr="0073636F">
        <w:rPr>
          <w:rFonts w:cs="Calibri"/>
          <w:bCs/>
          <w:lang w:val="sr-Latn-CS"/>
        </w:rPr>
        <w:t xml:space="preserve">, poboljšanju prenosne i distributivne mreže, a posebno konekcije sa susjednim zemljama, </w:t>
      </w:r>
      <w:r w:rsidRPr="0073636F">
        <w:rPr>
          <w:rFonts w:cs="Calibri"/>
          <w:bCs/>
        </w:rPr>
        <w:t xml:space="preserve">kao i istraživanju energetskih resursa u cilju njihove adekvatne valorizacije. </w:t>
      </w:r>
      <w:r w:rsidRPr="0073636F">
        <w:rPr>
          <w:rFonts w:cs="Calibri"/>
          <w:b/>
        </w:rPr>
        <w:t>Valorizacijom raspoloživog potencijala, Crna Gora može zadovoljiti sopstvene energetske potrebe i, uzimajući u obzir geografski položaj, pozicionirati se kao energetsko čvorište i izvoznik energije.</w:t>
      </w:r>
    </w:p>
    <w:p w:rsidR="00BC1367" w:rsidRPr="0073636F" w:rsidRDefault="00BC1367" w:rsidP="00BC1367">
      <w:pPr>
        <w:tabs>
          <w:tab w:val="left" w:pos="567"/>
        </w:tabs>
        <w:spacing w:after="0" w:line="240" w:lineRule="auto"/>
        <w:jc w:val="both"/>
        <w:rPr>
          <w:rFonts w:cs="Calibri"/>
          <w:b/>
        </w:rPr>
      </w:pPr>
    </w:p>
    <w:p w:rsidR="00BC1367" w:rsidRPr="0073636F" w:rsidRDefault="00BC1367" w:rsidP="00BC1367">
      <w:pPr>
        <w:tabs>
          <w:tab w:val="left" w:pos="567"/>
        </w:tabs>
        <w:spacing w:after="0" w:line="240" w:lineRule="auto"/>
        <w:jc w:val="both"/>
        <w:rPr>
          <w:rFonts w:eastAsia="Times New Roman" w:cs="Calibri"/>
        </w:rPr>
      </w:pPr>
      <w:r w:rsidRPr="0073636F">
        <w:rPr>
          <w:rFonts w:eastAsia="Times New Roman" w:cs="Calibri"/>
        </w:rPr>
        <w:t>Za izgradnju II bloka TE “Pljevlja“, nacrte ugovora i finalne ponude dostavile su kompanije Škoda Praha (356,7 mil.€), Design Institute i China Machinery Engineering Corporation–CMEC (278,0 mil.€) i Powerchina Hube i Electric Power Survey (277,0 mil.€). Sve kompanije su navele da su performanse projekta u skladu sa definisanim Idejnim projektom i da su spremne da obezbijede povoljna kreditna sredstva u visini od 85% ukupno potrebnih, uz obaveznu tehničko-ekološku sanaciju postojećeg bloka. Radna grupa i Upravljački komitet za realizaciju ovoga projekta analiziraće pristigle finansijsko-tehničke ponude i pripremiti biznis plan i opravdanost svakog projekta pojedinačno, nakon čega se očekuje izbor finalne ponude.</w:t>
      </w:r>
    </w:p>
    <w:p w:rsidR="00BC1367" w:rsidRPr="0073636F" w:rsidRDefault="00BC1367" w:rsidP="00BC1367">
      <w:pPr>
        <w:tabs>
          <w:tab w:val="left" w:pos="567"/>
        </w:tabs>
        <w:spacing w:after="0" w:line="240" w:lineRule="auto"/>
        <w:jc w:val="both"/>
        <w:rPr>
          <w:rFonts w:cs="Calibri"/>
          <w:b/>
        </w:rPr>
      </w:pPr>
    </w:p>
    <w:p w:rsidR="00BC1367" w:rsidRPr="0073636F" w:rsidRDefault="00BC1367" w:rsidP="00BC1367">
      <w:pPr>
        <w:spacing w:after="0" w:line="240" w:lineRule="auto"/>
        <w:jc w:val="both"/>
        <w:rPr>
          <w:rFonts w:cs="Calibri"/>
        </w:rPr>
      </w:pPr>
      <w:r w:rsidRPr="0073636F">
        <w:rPr>
          <w:rFonts w:cs="Calibri"/>
        </w:rPr>
        <w:t xml:space="preserve">Jedan od glavnih prioriteta u energetskoj politici Crne Gore je veće korišćenje </w:t>
      </w:r>
      <w:r w:rsidRPr="0073636F">
        <w:rPr>
          <w:rFonts w:cs="Calibri"/>
          <w:b/>
        </w:rPr>
        <w:t>obnovljivih izvora energije</w:t>
      </w:r>
      <w:r w:rsidRPr="0073636F">
        <w:rPr>
          <w:rFonts w:cs="Calibri"/>
        </w:rPr>
        <w:t>. U vezi sa tim:</w:t>
      </w:r>
    </w:p>
    <w:p w:rsidR="00BC1367" w:rsidRPr="0073636F" w:rsidRDefault="00BC1367" w:rsidP="00BC1367">
      <w:pPr>
        <w:spacing w:after="0" w:line="240" w:lineRule="auto"/>
        <w:jc w:val="both"/>
        <w:rPr>
          <w:rFonts w:cs="Calibri"/>
          <w:sz w:val="20"/>
          <w:szCs w:val="20"/>
        </w:rPr>
      </w:pPr>
    </w:p>
    <w:p w:rsidR="00BC1367" w:rsidRPr="007B4A1E" w:rsidRDefault="00BC1367" w:rsidP="00BC1367">
      <w:pPr>
        <w:pStyle w:val="ListParagraph"/>
        <w:numPr>
          <w:ilvl w:val="0"/>
          <w:numId w:val="11"/>
        </w:numPr>
        <w:spacing w:after="0" w:line="240" w:lineRule="auto"/>
        <w:ind w:left="714" w:hanging="357"/>
        <w:jc w:val="both"/>
        <w:rPr>
          <w:rFonts w:cs="Calibri"/>
          <w:sz w:val="22"/>
        </w:rPr>
      </w:pPr>
      <w:r w:rsidRPr="007B4A1E">
        <w:rPr>
          <w:rFonts w:cs="Calibri"/>
          <w:sz w:val="22"/>
        </w:rPr>
        <w:t>u pripremi je Nacionalni akcioni plan koriš</w:t>
      </w:r>
      <w:r w:rsidRPr="007B4A1E">
        <w:rPr>
          <w:rFonts w:eastAsia="MS Mincho" w:cs="Calibri"/>
          <w:sz w:val="22"/>
        </w:rPr>
        <w:t>ć</w:t>
      </w:r>
      <w:r w:rsidRPr="007B4A1E">
        <w:rPr>
          <w:rFonts w:cs="Calibri"/>
          <w:sz w:val="22"/>
        </w:rPr>
        <w:t xml:space="preserve">enja obnovljivih izvora energije do 2020. godine, u kome </w:t>
      </w:r>
      <w:r w:rsidRPr="007B4A1E">
        <w:rPr>
          <w:rFonts w:eastAsia="MS Mincho" w:cs="Calibri"/>
          <w:sz w:val="22"/>
        </w:rPr>
        <w:t>će</w:t>
      </w:r>
      <w:r w:rsidRPr="007B4A1E">
        <w:rPr>
          <w:rFonts w:cs="Calibri"/>
          <w:sz w:val="22"/>
        </w:rPr>
        <w:t xml:space="preserve"> biti utvr</w:t>
      </w:r>
      <w:r w:rsidRPr="007B4A1E">
        <w:rPr>
          <w:rFonts w:eastAsia="MS Mincho" w:cs="Calibri"/>
          <w:sz w:val="22"/>
        </w:rPr>
        <w:t>đene</w:t>
      </w:r>
      <w:r w:rsidRPr="007B4A1E">
        <w:rPr>
          <w:rFonts w:cs="Calibri"/>
          <w:sz w:val="22"/>
        </w:rPr>
        <w:t xml:space="preserve"> dinamika i podsticajne mjere za ostvarivanje nacionalnog cilja u pogledu učešća obnovljivih izvora energije u ukupnoj finalnoj potrošnji energije (</w:t>
      </w:r>
      <w:r w:rsidRPr="007B4A1E">
        <w:rPr>
          <w:rFonts w:cs="Calibri"/>
          <w:sz w:val="22"/>
          <w:lang w:val="sl-SI"/>
        </w:rPr>
        <w:t>u oktobru 2012. godine, Ministarski savjet Energetske zajednice JIE je donio Odluku po kojoj energija iz obnovljivih izvora treba da čini 33% ukupne finalne potrošnje energije Crne Gore);</w:t>
      </w:r>
    </w:p>
    <w:p w:rsidR="00BC1367" w:rsidRPr="007B4A1E" w:rsidRDefault="00BC1367" w:rsidP="00BC1367">
      <w:pPr>
        <w:pStyle w:val="Default"/>
        <w:numPr>
          <w:ilvl w:val="0"/>
          <w:numId w:val="3"/>
        </w:numPr>
        <w:tabs>
          <w:tab w:val="left" w:pos="10350"/>
        </w:tabs>
        <w:ind w:right="19"/>
        <w:contextualSpacing/>
        <w:jc w:val="both"/>
        <w:rPr>
          <w:rFonts w:ascii="Calibri" w:eastAsia="Times New Roman" w:hAnsi="Calibri" w:cs="Calibri"/>
          <w:color w:val="auto"/>
          <w:sz w:val="22"/>
          <w:szCs w:val="20"/>
        </w:rPr>
      </w:pPr>
      <w:r w:rsidRPr="007B4A1E">
        <w:rPr>
          <w:rFonts w:ascii="Calibri" w:hAnsi="Calibri" w:cs="Calibri"/>
          <w:color w:val="auto"/>
          <w:sz w:val="22"/>
          <w:szCs w:val="20"/>
        </w:rPr>
        <w:t>realizuju se projekti izgradnje malih hidroelektrana, u skladu sa ugovorima o koncesijama zaključenim u 2008. i 2010. godini (trenutno se sprovodi devet ugovora o koncesiji, kojima je predvi</w:t>
      </w:r>
      <w:r w:rsidRPr="007B4A1E">
        <w:rPr>
          <w:rFonts w:ascii="Calibri" w:eastAsia="MS Mincho" w:hAnsi="Calibri" w:cs="Calibri"/>
          <w:color w:val="auto"/>
          <w:sz w:val="22"/>
          <w:szCs w:val="20"/>
        </w:rPr>
        <w:t>đ</w:t>
      </w:r>
      <w:r w:rsidRPr="007B4A1E">
        <w:rPr>
          <w:rFonts w:ascii="Calibri" w:eastAsia="PMingLiU" w:hAnsi="Calibri" w:cs="Calibri"/>
          <w:color w:val="auto"/>
          <w:sz w:val="22"/>
          <w:szCs w:val="20"/>
        </w:rPr>
        <w:t>ena izgradnja 26 mHE, ukupne instalisane snage oko 45 MW, sa planiranom godišnjom proizvodnjom od oko 146 GWh, a</w:t>
      </w:r>
      <w:r w:rsidRPr="007B4A1E">
        <w:rPr>
          <w:rFonts w:ascii="Calibri" w:hAnsi="Calibri" w:cs="Calibri"/>
          <w:color w:val="auto"/>
          <w:sz w:val="22"/>
          <w:szCs w:val="20"/>
        </w:rPr>
        <w:t xml:space="preserve"> raskinuta su četiri ugovora o koncesiji); </w:t>
      </w:r>
      <w:r w:rsidRPr="007B4A1E">
        <w:rPr>
          <w:rFonts w:ascii="Calibri" w:eastAsia="Times New Roman" w:hAnsi="Calibri" w:cs="Calibri"/>
          <w:color w:val="auto"/>
          <w:sz w:val="22"/>
          <w:szCs w:val="20"/>
        </w:rPr>
        <w:t>potpisana su četiri ugovora o koncesiji, na osnovu trećeg javnog poziva, kao i jedan ugovor, na osnovu tendera koji je pokrenut na samoinicijativu ponuđača (predviđena je izgradnja deset malih hidroelektrana na šest vodotoka, ukupne instalisane snage 23,324 MW i predviđene godišnje proizvodnje 86,289 GWh, a na osnovu prihvaćenih idejnih rješenja, ukupna vrijednost investicija iznosi 46.63</w:t>
      </w:r>
      <w:r w:rsidR="00656B58" w:rsidRPr="00656B58">
        <w:rPr>
          <w:rFonts w:ascii="Calibri" w:eastAsia="Times New Roman" w:hAnsi="Calibri" w:cs="Calibri"/>
          <w:color w:val="auto"/>
          <w:sz w:val="22"/>
          <w:szCs w:val="20"/>
        </w:rPr>
        <w:t xml:space="preserve"> mil.€</w:t>
      </w:r>
      <w:r w:rsidRPr="007B4A1E">
        <w:rPr>
          <w:rFonts w:ascii="Calibri" w:eastAsia="Times New Roman" w:hAnsi="Calibri" w:cs="Calibri"/>
          <w:color w:val="auto"/>
          <w:sz w:val="22"/>
          <w:szCs w:val="20"/>
        </w:rPr>
        <w:t>);</w:t>
      </w:r>
    </w:p>
    <w:p w:rsidR="00BC1367" w:rsidRPr="007B4A1E" w:rsidRDefault="00BC1367" w:rsidP="00BC1367">
      <w:pPr>
        <w:pStyle w:val="Default"/>
        <w:numPr>
          <w:ilvl w:val="0"/>
          <w:numId w:val="3"/>
        </w:numPr>
        <w:jc w:val="both"/>
        <w:rPr>
          <w:rFonts w:ascii="Calibri" w:hAnsi="Calibri" w:cs="Calibri"/>
          <w:color w:val="auto"/>
          <w:sz w:val="22"/>
          <w:szCs w:val="20"/>
          <w:lang w:val="sr-Latn-CS"/>
        </w:rPr>
      </w:pPr>
      <w:r w:rsidRPr="007B4A1E">
        <w:rPr>
          <w:rFonts w:ascii="Calibri" w:hAnsi="Calibri" w:cs="Calibri"/>
          <w:color w:val="auto"/>
          <w:sz w:val="22"/>
          <w:szCs w:val="20"/>
        </w:rPr>
        <w:t>nakon završenog postupka eksproprijacije zemljišta u privatnoj svojini i dobijanja građevinske dozvole, stvoreni su uslovi za nastavak procesa realizacije projekta izgradnje vjetroelektrane na lokalitetu Krnovo, instalisane snage 72 MW;</w:t>
      </w:r>
    </w:p>
    <w:p w:rsidR="00BC1367" w:rsidRPr="007B4A1E" w:rsidRDefault="00BC1367" w:rsidP="00BC1367">
      <w:pPr>
        <w:pStyle w:val="Default"/>
        <w:numPr>
          <w:ilvl w:val="0"/>
          <w:numId w:val="3"/>
        </w:numPr>
        <w:jc w:val="both"/>
        <w:rPr>
          <w:rFonts w:ascii="Calibri" w:hAnsi="Calibri" w:cs="Calibri"/>
          <w:color w:val="auto"/>
          <w:sz w:val="22"/>
          <w:szCs w:val="20"/>
          <w:lang w:val="sr-Latn-CS"/>
        </w:rPr>
      </w:pPr>
      <w:r w:rsidRPr="007B4A1E">
        <w:rPr>
          <w:rFonts w:ascii="Calibri" w:hAnsi="Calibri" w:cs="Calibri"/>
          <w:color w:val="auto"/>
          <w:sz w:val="22"/>
          <w:szCs w:val="20"/>
          <w:lang w:val="sr-Latn-CS"/>
        </w:rPr>
        <w:t>U skladu sa zaklju</w:t>
      </w:r>
      <w:r w:rsidRPr="007B4A1E">
        <w:rPr>
          <w:rFonts w:ascii="Calibri" w:eastAsia="MS Mincho" w:hAnsi="Calibri" w:cs="Calibri"/>
          <w:color w:val="auto"/>
          <w:sz w:val="22"/>
          <w:szCs w:val="20"/>
          <w:lang w:val="sr-Latn-CS"/>
        </w:rPr>
        <w:t>č</w:t>
      </w:r>
      <w:r w:rsidRPr="007B4A1E">
        <w:rPr>
          <w:rFonts w:ascii="Calibri" w:eastAsia="PMingLiU" w:hAnsi="Calibri" w:cs="Calibri"/>
          <w:color w:val="auto"/>
          <w:sz w:val="22"/>
          <w:szCs w:val="20"/>
          <w:lang w:val="sr-Latn-CS"/>
        </w:rPr>
        <w:t>kom Vlade,</w:t>
      </w:r>
      <w:r w:rsidRPr="0092195A">
        <w:rPr>
          <w:rFonts w:ascii="Calibri" w:hAnsi="Calibri" w:cs="Calibri"/>
          <w:color w:val="auto"/>
          <w:sz w:val="22"/>
          <w:szCs w:val="20"/>
          <w:lang w:val="sr-Latn-CS"/>
        </w:rPr>
        <w:t xml:space="preserve"> Ministarstvo ekonomije </w:t>
      </w:r>
      <w:r w:rsidRPr="0092195A">
        <w:rPr>
          <w:rFonts w:ascii="Calibri" w:eastAsia="MS Mincho" w:hAnsi="Calibri" w:cs="Calibri"/>
          <w:color w:val="auto"/>
          <w:sz w:val="22"/>
          <w:szCs w:val="20"/>
          <w:lang w:val="sr-Latn-CS"/>
        </w:rPr>
        <w:t>ć</w:t>
      </w:r>
      <w:r w:rsidRPr="0092195A">
        <w:rPr>
          <w:rFonts w:ascii="Calibri" w:eastAsia="PMingLiU" w:hAnsi="Calibri" w:cs="Calibri"/>
          <w:color w:val="auto"/>
          <w:sz w:val="22"/>
          <w:szCs w:val="20"/>
          <w:lang w:val="sr-Latn-CS"/>
        </w:rPr>
        <w:t>e pokrenuti</w:t>
      </w:r>
      <w:r w:rsidRPr="0092195A">
        <w:rPr>
          <w:rFonts w:ascii="Calibri" w:hAnsi="Calibri" w:cs="Calibri"/>
          <w:color w:val="auto"/>
          <w:sz w:val="22"/>
          <w:szCs w:val="20"/>
          <w:lang w:val="sr-Latn-CS"/>
        </w:rPr>
        <w:t xml:space="preserve"> proceduru raskida Ugovora </w:t>
      </w:r>
      <w:r w:rsidRPr="007B4A1E">
        <w:rPr>
          <w:rFonts w:ascii="Calibri" w:hAnsi="Calibri" w:cs="Calibri"/>
          <w:color w:val="auto"/>
          <w:sz w:val="22"/>
          <w:szCs w:val="20"/>
          <w:lang w:val="sr-Latn-CS"/>
        </w:rPr>
        <w:t>o zakupu zemljišta i izgradnji vjetroelektrane na lokalitetu Mo</w:t>
      </w:r>
      <w:r w:rsidRPr="007B4A1E">
        <w:rPr>
          <w:rFonts w:ascii="Calibri" w:eastAsia="MS Mincho" w:hAnsi="Calibri" w:cs="Calibri"/>
          <w:color w:val="auto"/>
          <w:sz w:val="22"/>
          <w:szCs w:val="20"/>
          <w:lang w:val="sr-Latn-CS"/>
        </w:rPr>
        <w:t>ž</w:t>
      </w:r>
      <w:r w:rsidRPr="007B4A1E">
        <w:rPr>
          <w:rFonts w:ascii="Calibri" w:eastAsia="PMingLiU" w:hAnsi="Calibri" w:cs="Calibri"/>
          <w:color w:val="auto"/>
          <w:sz w:val="22"/>
          <w:szCs w:val="20"/>
          <w:lang w:val="sr-Latn-CS"/>
        </w:rPr>
        <w:t>ura</w:t>
      </w:r>
      <w:r w:rsidRPr="007B4A1E">
        <w:rPr>
          <w:rFonts w:ascii="Calibri" w:hAnsi="Calibri" w:cs="Calibri"/>
          <w:color w:val="auto"/>
          <w:sz w:val="22"/>
          <w:szCs w:val="20"/>
          <w:lang w:val="sr-Latn-CS"/>
        </w:rPr>
        <w:t>, ukoliko investitor ne podnese potvrdu</w:t>
      </w:r>
      <w:r w:rsidRPr="0092195A">
        <w:rPr>
          <w:rFonts w:ascii="Calibri" w:hAnsi="Calibri" w:cs="Calibri"/>
          <w:color w:val="auto"/>
          <w:sz w:val="22"/>
          <w:szCs w:val="20"/>
          <w:lang w:val="sr-Latn-CS"/>
        </w:rPr>
        <w:t xml:space="preserve">, </w:t>
      </w:r>
      <w:r w:rsidRPr="007B4A1E">
        <w:rPr>
          <w:rFonts w:ascii="Calibri" w:hAnsi="Calibri" w:cs="Calibri"/>
          <w:color w:val="auto"/>
          <w:sz w:val="22"/>
          <w:szCs w:val="20"/>
          <w:lang w:val="sr-Latn-CS"/>
        </w:rPr>
        <w:t>do 30. juna 2014. godine,</w:t>
      </w:r>
      <w:r w:rsidRPr="0092195A">
        <w:rPr>
          <w:rFonts w:ascii="Calibri" w:hAnsi="Calibri" w:cs="Calibri"/>
          <w:color w:val="auto"/>
          <w:sz w:val="22"/>
          <w:szCs w:val="20"/>
          <w:lang w:val="sr-Latn-CS"/>
        </w:rPr>
        <w:t xml:space="preserve"> da je podnio svu neophodnu dokumentaciju za izdavanje gra</w:t>
      </w:r>
      <w:r w:rsidRPr="0092195A">
        <w:rPr>
          <w:rFonts w:ascii="Calibri" w:eastAsia="MS Mincho" w:hAnsi="Calibri" w:cs="Calibri"/>
          <w:color w:val="auto"/>
          <w:sz w:val="22"/>
          <w:szCs w:val="20"/>
          <w:lang w:val="sr-Latn-CS"/>
        </w:rPr>
        <w:t>đ</w:t>
      </w:r>
      <w:r w:rsidRPr="0092195A">
        <w:rPr>
          <w:rFonts w:ascii="Calibri" w:eastAsia="PMingLiU" w:hAnsi="Calibri" w:cs="Calibri"/>
          <w:color w:val="auto"/>
          <w:sz w:val="22"/>
          <w:szCs w:val="20"/>
          <w:lang w:val="sr-Latn-CS"/>
        </w:rPr>
        <w:t>evinske dozvole</w:t>
      </w:r>
      <w:r w:rsidRPr="0092195A">
        <w:rPr>
          <w:rFonts w:ascii="Calibri" w:hAnsi="Calibri" w:cs="Calibri"/>
          <w:color w:val="auto"/>
          <w:sz w:val="22"/>
          <w:szCs w:val="20"/>
          <w:lang w:val="sr-Latn-CS"/>
        </w:rPr>
        <w:t>.</w:t>
      </w:r>
    </w:p>
    <w:p w:rsidR="00BC1367" w:rsidRPr="0092195A" w:rsidRDefault="00BC1367" w:rsidP="00BC1367">
      <w:pPr>
        <w:pStyle w:val="Default"/>
        <w:ind w:left="720"/>
        <w:jc w:val="both"/>
        <w:rPr>
          <w:rFonts w:ascii="Calibri" w:hAnsi="Calibri" w:cs="Calibri"/>
          <w:color w:val="auto"/>
          <w:sz w:val="22"/>
          <w:szCs w:val="20"/>
          <w:lang w:val="sr-Latn-CS"/>
        </w:rPr>
      </w:pPr>
      <w:r w:rsidRPr="0092195A">
        <w:rPr>
          <w:rFonts w:ascii="Calibri" w:hAnsi="Calibri" w:cs="Calibri"/>
          <w:color w:val="auto"/>
          <w:sz w:val="22"/>
          <w:szCs w:val="20"/>
          <w:lang w:val="sr-Latn-CS"/>
        </w:rPr>
        <w:t>Ina</w:t>
      </w:r>
      <w:r w:rsidRPr="0092195A">
        <w:rPr>
          <w:rFonts w:ascii="Calibri" w:eastAsia="MS Mincho" w:hAnsi="Calibri" w:cs="Calibri"/>
          <w:color w:val="auto"/>
          <w:sz w:val="22"/>
          <w:szCs w:val="20"/>
          <w:lang w:val="sr-Latn-CS"/>
        </w:rPr>
        <w:t>č</w:t>
      </w:r>
      <w:r w:rsidRPr="0092195A">
        <w:rPr>
          <w:rFonts w:ascii="Calibri" w:eastAsia="PMingLiU" w:hAnsi="Calibri" w:cs="Calibri"/>
          <w:color w:val="auto"/>
          <w:sz w:val="22"/>
          <w:szCs w:val="20"/>
          <w:lang w:val="sr-Latn-CS"/>
        </w:rPr>
        <w:t>e</w:t>
      </w:r>
      <w:r w:rsidRPr="0092195A">
        <w:rPr>
          <w:rFonts w:ascii="Calibri" w:hAnsi="Calibri" w:cs="Calibri"/>
          <w:color w:val="auto"/>
          <w:sz w:val="22"/>
          <w:szCs w:val="20"/>
          <w:lang w:val="sr-Latn-CS"/>
        </w:rPr>
        <w:t>, visina godišnje zakupnine državnog zemljišta za izgradnju VE Krnovo iznosi 21.909,7 €, a za VE Možura 186.057,6 €, koja se plaća kvartalno. Investitori su izvršili uplatu zakupnine za 2013. i 2014. godinu u ukupnom iznosu od 34.078,10 €, odnosno 151.267,45 €.</w:t>
      </w:r>
    </w:p>
    <w:p w:rsidR="00BC1367" w:rsidRPr="0092195A" w:rsidRDefault="00BC1367" w:rsidP="00BC1367">
      <w:pPr>
        <w:pStyle w:val="Default"/>
        <w:jc w:val="both"/>
        <w:rPr>
          <w:rFonts w:ascii="Calibri" w:hAnsi="Calibri" w:cs="Calibri"/>
          <w:color w:val="auto"/>
          <w:sz w:val="22"/>
          <w:szCs w:val="22"/>
          <w:lang w:val="sr-Latn-CS"/>
        </w:rPr>
      </w:pPr>
    </w:p>
    <w:p w:rsidR="00BC1367" w:rsidRPr="0092195A" w:rsidRDefault="00BC1367" w:rsidP="00BC1367">
      <w:pPr>
        <w:spacing w:after="0" w:line="240" w:lineRule="auto"/>
        <w:jc w:val="both"/>
        <w:rPr>
          <w:rFonts w:cs="Calibri"/>
          <w:bCs/>
          <w:lang w:val="sr-Latn-CS"/>
        </w:rPr>
      </w:pPr>
      <w:r w:rsidRPr="0092195A">
        <w:rPr>
          <w:rFonts w:cs="Calibri"/>
          <w:lang w:val="sr-Latn-CS"/>
        </w:rPr>
        <w:t xml:space="preserve">Nastavljene su aktivnosti na planu </w:t>
      </w:r>
      <w:r w:rsidRPr="0092195A">
        <w:rPr>
          <w:rFonts w:cs="Calibri"/>
          <w:b/>
          <w:lang w:val="sr-Latn-CS"/>
        </w:rPr>
        <w:t>energetske efikasnosti</w:t>
      </w:r>
      <w:r w:rsidRPr="0092195A">
        <w:rPr>
          <w:rFonts w:cs="Calibri"/>
          <w:lang w:val="sr-Latn-CS"/>
        </w:rPr>
        <w:t xml:space="preserve">, u skladu sa Drugim nacionalnim akcionim planom energetske efikasnosti za period 2013-2015. S tim u vezi, između ostalog, realizuju se </w:t>
      </w:r>
      <w:r w:rsidRPr="0092195A">
        <w:rPr>
          <w:rFonts w:cs="Calibri"/>
          <w:lang w:val="sr-Latn-CS"/>
        </w:rPr>
        <w:lastRenderedPageBreak/>
        <w:t xml:space="preserve">projekti </w:t>
      </w:r>
      <w:r w:rsidRPr="0092195A">
        <w:rPr>
          <w:rFonts w:cs="Calibri"/>
          <w:bCs/>
          <w:lang w:val="sr-Latn-CS"/>
        </w:rPr>
        <w:t>energetske</w:t>
      </w:r>
      <w:r w:rsidRPr="0073636F">
        <w:rPr>
          <w:rFonts w:cs="Calibri"/>
          <w:bCs/>
          <w:lang w:val="sr-Latn-CS"/>
        </w:rPr>
        <w:t xml:space="preserve"> </w:t>
      </w:r>
      <w:r w:rsidRPr="0092195A">
        <w:rPr>
          <w:rFonts w:cs="Calibri"/>
          <w:bCs/>
          <w:lang w:val="sr-Latn-CS"/>
        </w:rPr>
        <w:t>efikasnosti</w:t>
      </w:r>
      <w:r w:rsidRPr="0073636F">
        <w:rPr>
          <w:rFonts w:cs="Calibri"/>
          <w:bCs/>
          <w:lang w:val="sr-Latn-CS"/>
        </w:rPr>
        <w:t xml:space="preserve"> </w:t>
      </w:r>
      <w:r w:rsidRPr="0092195A">
        <w:rPr>
          <w:rFonts w:cs="Calibri"/>
          <w:bCs/>
          <w:lang w:val="sr-Latn-CS"/>
        </w:rPr>
        <w:t>u</w:t>
      </w:r>
      <w:r w:rsidRPr="0073636F">
        <w:rPr>
          <w:rFonts w:cs="Calibri"/>
          <w:bCs/>
          <w:lang w:val="sr-Latn-CS"/>
        </w:rPr>
        <w:t xml:space="preserve"> </w:t>
      </w:r>
      <w:r w:rsidRPr="0092195A">
        <w:rPr>
          <w:rFonts w:cs="Calibri"/>
          <w:bCs/>
          <w:lang w:val="sr-Latn-CS"/>
        </w:rPr>
        <w:t>javnim</w:t>
      </w:r>
      <w:r w:rsidRPr="0073636F">
        <w:rPr>
          <w:rFonts w:cs="Calibri"/>
          <w:bCs/>
          <w:lang w:val="sr-Latn-CS"/>
        </w:rPr>
        <w:t xml:space="preserve"> </w:t>
      </w:r>
      <w:r w:rsidRPr="0092195A">
        <w:rPr>
          <w:rFonts w:cs="Calibri"/>
          <w:bCs/>
          <w:lang w:val="sr-Latn-CS"/>
        </w:rPr>
        <w:t>objektima</w:t>
      </w:r>
      <w:r w:rsidRPr="0073636F">
        <w:rPr>
          <w:rFonts w:cs="Calibri"/>
          <w:bCs/>
          <w:lang w:val="sr-Latn-CS"/>
        </w:rPr>
        <w:t xml:space="preserve">, </w:t>
      </w:r>
      <w:r w:rsidRPr="0092195A">
        <w:rPr>
          <w:rFonts w:cs="Calibri"/>
          <w:bCs/>
          <w:lang w:val="sr-Latn-CS"/>
        </w:rPr>
        <w:t>prevashodno</w:t>
      </w:r>
      <w:r w:rsidRPr="0073636F">
        <w:rPr>
          <w:rFonts w:cs="Calibri"/>
          <w:bCs/>
          <w:lang w:val="sr-Latn-CS"/>
        </w:rPr>
        <w:t xml:space="preserve"> š</w:t>
      </w:r>
      <w:r w:rsidRPr="0092195A">
        <w:rPr>
          <w:rFonts w:cs="Calibri"/>
          <w:bCs/>
          <w:lang w:val="sr-Latn-CS"/>
        </w:rPr>
        <w:t>kolskim</w:t>
      </w:r>
      <w:r w:rsidRPr="0073636F">
        <w:rPr>
          <w:rFonts w:cs="Calibri"/>
          <w:bCs/>
          <w:lang w:val="sr-Latn-CS"/>
        </w:rPr>
        <w:t xml:space="preserve"> </w:t>
      </w:r>
      <w:r w:rsidRPr="0092195A">
        <w:rPr>
          <w:rFonts w:cs="Calibri"/>
          <w:bCs/>
          <w:lang w:val="sr-Latn-CS"/>
        </w:rPr>
        <w:t>i</w:t>
      </w:r>
      <w:r w:rsidRPr="0073636F">
        <w:rPr>
          <w:rFonts w:cs="Calibri"/>
          <w:bCs/>
          <w:lang w:val="sr-Latn-CS"/>
        </w:rPr>
        <w:t xml:space="preserve"> </w:t>
      </w:r>
      <w:r w:rsidRPr="0092195A">
        <w:rPr>
          <w:rFonts w:cs="Calibri"/>
          <w:bCs/>
          <w:lang w:val="sr-Latn-CS"/>
        </w:rPr>
        <w:t>zdravstvenim, kao i projekti  beskamatnih kredita za solarne sisteme, sisteme grijanja na biomasu, ugradnju fotonaposnkih sistema na katunima:</w:t>
      </w:r>
    </w:p>
    <w:p w:rsidR="00BC1367" w:rsidRPr="0092195A" w:rsidRDefault="00BC1367" w:rsidP="00BC1367">
      <w:pPr>
        <w:spacing w:after="0" w:line="240" w:lineRule="auto"/>
        <w:jc w:val="both"/>
        <w:rPr>
          <w:rFonts w:cs="Calibri"/>
          <w:bCs/>
          <w:lang w:val="sr-Latn-CS"/>
        </w:rPr>
      </w:pPr>
    </w:p>
    <w:p w:rsidR="00BC1367" w:rsidRPr="007B4A1E" w:rsidRDefault="00BC1367" w:rsidP="00BC1367">
      <w:pPr>
        <w:pStyle w:val="ListParagraph"/>
        <w:numPr>
          <w:ilvl w:val="0"/>
          <w:numId w:val="12"/>
        </w:numPr>
        <w:spacing w:after="0" w:line="240" w:lineRule="auto"/>
        <w:jc w:val="both"/>
        <w:rPr>
          <w:rFonts w:eastAsia="Times New Roman" w:cs="Calibri"/>
          <w:sz w:val="22"/>
          <w:lang w:val="sr-Latn-CS"/>
        </w:rPr>
      </w:pPr>
      <w:r w:rsidRPr="007B4A1E">
        <w:rPr>
          <w:rFonts w:eastAsia="Times New Roman" w:cs="Calibri"/>
          <w:sz w:val="22"/>
          <w:lang w:val="sr-Latn-CS"/>
        </w:rPr>
        <w:t>u decembru 2013. godine, Vlada Crne Gore je sa Svjetskom bankom potpisala ugovor za nastavak realizacije Projekta energetske efikasnosti u Crnoj Gori (MEEP). Sredstva kredita (5,0 mil.€) biće utrošena na implementaciju mjera energetske efikasnosti u 12-14 zdravstvenih objekata. Realizacija projekta trajaće do 30. marta 2017;</w:t>
      </w:r>
    </w:p>
    <w:p w:rsidR="00BC1367" w:rsidRPr="007B4A1E" w:rsidRDefault="00BC1367" w:rsidP="00BC1367">
      <w:pPr>
        <w:pStyle w:val="ListParagraph"/>
        <w:numPr>
          <w:ilvl w:val="0"/>
          <w:numId w:val="12"/>
        </w:numPr>
        <w:spacing w:after="0" w:line="240" w:lineRule="auto"/>
        <w:jc w:val="both"/>
        <w:rPr>
          <w:rFonts w:eastAsia="Times New Roman" w:cs="Calibri"/>
          <w:sz w:val="22"/>
          <w:lang w:val="sr-Latn-CS"/>
        </w:rPr>
      </w:pPr>
      <w:r w:rsidRPr="007B4A1E">
        <w:rPr>
          <w:rFonts w:cs="Calibri"/>
          <w:sz w:val="22"/>
          <w:lang w:val="sr-Latn-CS"/>
        </w:rPr>
        <w:t>u okviru projekta „Program energetske efikasnosti u javnim zgradama“ (</w:t>
      </w:r>
      <w:r w:rsidRPr="007B4A1E">
        <w:rPr>
          <w:rFonts w:eastAsia="Times New Roman" w:cs="Calibri"/>
          <w:sz w:val="22"/>
          <w:lang w:val="sr-Latn-CS"/>
        </w:rPr>
        <w:t>EEPPB</w:t>
      </w:r>
      <w:r w:rsidRPr="007B4A1E">
        <w:rPr>
          <w:rFonts w:cs="Calibri"/>
          <w:sz w:val="22"/>
          <w:lang w:val="sr-Latn-CS"/>
        </w:rPr>
        <w:t>), u skladu sa tenderskom procedurom, u toku je izbor izvođača radova za osam obrazovnoh ustanova, kao i pretkvalifikacija za III i IV klaster kojim je obuhvaćeno, takođe, osam škola;</w:t>
      </w:r>
    </w:p>
    <w:p w:rsidR="00BC1367" w:rsidRPr="007B4A1E" w:rsidRDefault="00BC1367" w:rsidP="00BC1367">
      <w:pPr>
        <w:pStyle w:val="ListParagraph"/>
        <w:numPr>
          <w:ilvl w:val="0"/>
          <w:numId w:val="12"/>
        </w:numPr>
        <w:spacing w:after="0" w:line="240" w:lineRule="auto"/>
        <w:jc w:val="both"/>
        <w:rPr>
          <w:rFonts w:eastAsia="Times New Roman" w:cs="Calibri"/>
          <w:sz w:val="22"/>
          <w:lang w:val="sr-Latn-CS"/>
        </w:rPr>
      </w:pPr>
      <w:r w:rsidRPr="007B4A1E">
        <w:rPr>
          <w:rFonts w:eastAsia="Times New Roman" w:cs="Calibri"/>
          <w:sz w:val="22"/>
          <w:lang w:val="sr-Latn-CS"/>
        </w:rPr>
        <w:t>u okviru projekta MONTESOL, do sada je ugrađeno oko 155 solarnih sistema. U pripremi je novi amandman na sporazum o saradnji sa Programom zaštite životne sredine pri Ujedinjenim nacijama (UNEP), kako bi se dodatno produžio period za realizaciju ovoga projekta. U narednom periodu planirano je proširenje projekta i na određen broj pravnih lica iz turističkog sektora, gdje bi iznos kredita bio povećan (do 50.000 €), sa periodom otplate do 7 godina i 0 % kamatne stope, za korisnike kredita;</w:t>
      </w:r>
    </w:p>
    <w:p w:rsidR="00BC1367" w:rsidRPr="007B4A1E" w:rsidRDefault="00BC1367" w:rsidP="00BC1367">
      <w:pPr>
        <w:pStyle w:val="ListParagraph"/>
        <w:numPr>
          <w:ilvl w:val="0"/>
          <w:numId w:val="12"/>
        </w:numPr>
        <w:spacing w:after="0" w:line="240" w:lineRule="auto"/>
        <w:jc w:val="both"/>
        <w:rPr>
          <w:rFonts w:eastAsia="Times New Roman" w:cs="Calibri"/>
          <w:sz w:val="22"/>
          <w:lang w:val="sr-Latn-CS"/>
        </w:rPr>
      </w:pPr>
      <w:r w:rsidRPr="007B4A1E">
        <w:rPr>
          <w:rFonts w:eastAsia="Times New Roman" w:cs="Calibri"/>
          <w:sz w:val="22"/>
          <w:lang w:val="sr-Latn-CS"/>
        </w:rPr>
        <w:t>u okviru projekta SOLARNI KATUNI-instalacija fotonaponskih solarnih sistema na katunima, do sada je instalirano 189 sistema. Ministarstvo ekonomije i Ministarstvo poljoprivrede i ruralnog razvoja za tu namjenu, u 2014. godini, obezbijedili su 55.000 €. Raspisivanje tendera planirano je u junu/julu ove godine;</w:t>
      </w:r>
    </w:p>
    <w:p w:rsidR="00BC1367" w:rsidRPr="007B4A1E" w:rsidRDefault="00BC1367" w:rsidP="00BC1367">
      <w:pPr>
        <w:pStyle w:val="default0"/>
        <w:numPr>
          <w:ilvl w:val="0"/>
          <w:numId w:val="12"/>
        </w:numPr>
        <w:jc w:val="both"/>
        <w:rPr>
          <w:rFonts w:ascii="Calibri" w:hAnsi="Calibri" w:cs="Calibri"/>
          <w:color w:val="auto"/>
          <w:sz w:val="22"/>
          <w:szCs w:val="20"/>
          <w:lang w:val="sr-Latn-CS"/>
        </w:rPr>
      </w:pPr>
      <w:r w:rsidRPr="007B4A1E">
        <w:rPr>
          <w:rFonts w:ascii="Calibri" w:hAnsi="Calibri" w:cs="Calibri"/>
          <w:color w:val="auto"/>
          <w:sz w:val="22"/>
          <w:szCs w:val="20"/>
          <w:lang w:val="sr-Latn-CS"/>
        </w:rPr>
        <w:t>u okviru programa ENERGY WOOD, koji ima za cilj uspostavljanje atraktivnog i održivog finansijskog mehanizma za obezbjeđivanje beskamatnih kredita za domaćinstva za ugradnju sistema za grijanje (kotlova i peći) na moderne oblike biomase (pelet, briket), do sada je ugrađeno oko 200 sistema (peći). Inače, građani mogu da apliciraju kod Hipo Alpe Adria banke i NLB Montenegrobanke za kredite u iznosu do 3500 € za domaćinstva, sa periodom otplate do 5 godina i kamatnom stopom od 0%.</w:t>
      </w:r>
    </w:p>
    <w:p w:rsidR="00BC1367" w:rsidRPr="0073636F" w:rsidRDefault="00BC1367" w:rsidP="00BC1367">
      <w:pPr>
        <w:pStyle w:val="default0"/>
        <w:jc w:val="both"/>
        <w:rPr>
          <w:rFonts w:ascii="Calibri" w:hAnsi="Calibri" w:cs="Calibri"/>
          <w:color w:val="auto"/>
          <w:sz w:val="20"/>
          <w:szCs w:val="20"/>
          <w:lang w:val="sr-Latn-CS"/>
        </w:rPr>
      </w:pPr>
    </w:p>
    <w:p w:rsidR="00BC1367" w:rsidRPr="0073636F" w:rsidRDefault="00BC1367" w:rsidP="00BC1367">
      <w:pPr>
        <w:spacing w:after="0" w:line="240" w:lineRule="auto"/>
        <w:jc w:val="both"/>
        <w:rPr>
          <w:rFonts w:cs="Calibri"/>
        </w:rPr>
      </w:pPr>
      <w:r w:rsidRPr="0092195A">
        <w:rPr>
          <w:rFonts w:cs="Calibri"/>
          <w:bCs/>
          <w:lang w:val="sr-Latn-CS"/>
        </w:rPr>
        <w:t xml:space="preserve">Sprovode se značajne aktivnosti na planu poboljšanja </w:t>
      </w:r>
      <w:r w:rsidRPr="0092195A">
        <w:rPr>
          <w:rFonts w:cs="Calibri"/>
          <w:b/>
          <w:bCs/>
          <w:lang w:val="sr-Latn-CS"/>
        </w:rPr>
        <w:t>prenosne mreže</w:t>
      </w:r>
      <w:r w:rsidRPr="0092195A">
        <w:rPr>
          <w:rFonts w:cs="Calibri"/>
          <w:bCs/>
          <w:lang w:val="sr-Latn-CS"/>
        </w:rPr>
        <w:t xml:space="preserve">, pri čemu je prioritet izgradnja infrastrukturnih objekata koji su sastavni dio projekta izgradnje </w:t>
      </w:r>
      <w:r w:rsidRPr="0092195A">
        <w:rPr>
          <w:rFonts w:cs="Calibri"/>
          <w:lang w:val="sr-Latn-CS"/>
        </w:rPr>
        <w:t>podmorskog interkonektivnog kabla između EES Crne Gore i Italije. Stvoreni su uslovi za izgradnju objekata koji su, u okviru ovoga projekata, obaveza Crne Gore. Projekti će se, najvećim dijelom, finansirati sredstvima iz kredita za koje je garancije dala Vlada Crne Gore (</w:t>
      </w:r>
      <w:r w:rsidRPr="0073636F">
        <w:rPr>
          <w:rFonts w:cs="Calibri"/>
          <w:lang w:val="sl-SI"/>
        </w:rPr>
        <w:t>kredit Njemačke banke za razvoj-</w:t>
      </w:r>
      <w:r w:rsidRPr="0092195A">
        <w:rPr>
          <w:rFonts w:cs="Calibri"/>
          <w:lang w:val="sr-Latn-CS"/>
        </w:rPr>
        <w:t xml:space="preserve">KfW, u iznosu od 25,0 mil.€ i kredit Evropske banke za obnovu i razvoj-EBRD, u iznosu od 60,0 mil.€). Izdate su građevinske dozvole za trafostanicu u Lastvi, </w:t>
      </w:r>
      <w:r w:rsidRPr="0092195A">
        <w:rPr>
          <w:rFonts w:eastAsia="Times New Roman" w:cs="Calibri"/>
          <w:lang w:val="sr-Latn-CS"/>
        </w:rPr>
        <w:t xml:space="preserve">DV 2X400kV Lastva-Trebinje i Lastva-Pljevlja (dionica Lastva-Pljevlja) i DV 400kV Lastva-Podgorica (dionica Lastva-Čevo). </w:t>
      </w:r>
      <w:r w:rsidRPr="0073636F">
        <w:rPr>
          <w:rFonts w:cs="Calibri"/>
        </w:rPr>
        <w:t>Očekuje se da će se, nakon izgradnje kabla, povećati interesovanje stranih investitora za projekte u oblasti energetike, i u Crnoj Gori i u regionu.</w:t>
      </w:r>
    </w:p>
    <w:p w:rsidR="00BC1367" w:rsidRPr="0073636F" w:rsidRDefault="00BC1367" w:rsidP="00BC1367">
      <w:pPr>
        <w:pStyle w:val="Default"/>
        <w:jc w:val="both"/>
        <w:rPr>
          <w:rFonts w:ascii="Calibri" w:hAnsi="Calibri" w:cs="Calibri"/>
          <w:color w:val="auto"/>
          <w:sz w:val="22"/>
          <w:szCs w:val="22"/>
        </w:rPr>
      </w:pPr>
    </w:p>
    <w:p w:rsidR="00BC1367" w:rsidRDefault="00BC1367" w:rsidP="00BC1367">
      <w:pPr>
        <w:spacing w:after="0" w:line="240" w:lineRule="auto"/>
        <w:jc w:val="both"/>
        <w:rPr>
          <w:rFonts w:cs="Calibri"/>
        </w:rPr>
      </w:pPr>
      <w:r w:rsidRPr="0073636F">
        <w:rPr>
          <w:rFonts w:eastAsia="Times New Roman" w:cs="Calibri"/>
        </w:rPr>
        <w:t xml:space="preserve">Intenzivno se radi na stvaranju uslova za </w:t>
      </w:r>
      <w:r w:rsidRPr="0073636F">
        <w:rPr>
          <w:rFonts w:eastAsia="Times New Roman" w:cs="Calibri"/>
          <w:b/>
        </w:rPr>
        <w:t>gasifikaciju</w:t>
      </w:r>
      <w:r w:rsidRPr="0073636F">
        <w:rPr>
          <w:rFonts w:eastAsia="Times New Roman" w:cs="Calibri"/>
        </w:rPr>
        <w:t xml:space="preserve"> Crne Gore. U tom smislu: u pripremi je </w:t>
      </w:r>
      <w:r w:rsidRPr="0073636F">
        <w:rPr>
          <w:rFonts w:eastAsia="Times New Roman" w:cs="Calibri"/>
          <w:bCs/>
        </w:rPr>
        <w:t>M</w:t>
      </w:r>
      <w:r w:rsidRPr="0073636F">
        <w:rPr>
          <w:rFonts w:eastAsia="Times New Roman" w:cs="Calibri"/>
        </w:rPr>
        <w:t xml:space="preserve">aster plan gasifikacije Crne Gore (planirano je njegovo donošenje u 2015. godini); u završnoj fazi je izrada Studije izvodljivosti za izgradnju Jadransko-jonskog gasovoda koji će proći kroz Crnu Goru, koja sadrži Startešku procjenu uticaja projekta na životnu sredini i društvo, kao i Predlog biznis modela za realizaciju projekta; na Javni poziv za dostavljanje ponuda za dodjelu ugovora o koncesiji za proizvodnju ugljovodonika u podmorju Crne Gore javilo se šest kompanija i dostavilo tri ponude (očekuje se da će se procedura izbora partnera završi do kraja ove godine), a u pripremi je i </w:t>
      </w:r>
      <w:r w:rsidRPr="0073636F">
        <w:rPr>
          <w:rFonts w:cs="Calibri"/>
        </w:rPr>
        <w:t>Strateška procjena uticaja na životnu sredinu za program istraživanja i proizvodnje ugljovodonika u podmorju Crne Gore.</w:t>
      </w:r>
    </w:p>
    <w:p w:rsidR="002B3C21" w:rsidRPr="0073636F" w:rsidRDefault="002B3C21" w:rsidP="00BC1367">
      <w:pPr>
        <w:spacing w:after="0" w:line="240" w:lineRule="auto"/>
        <w:jc w:val="both"/>
        <w:rPr>
          <w:rFonts w:cs="Calibri"/>
        </w:rPr>
      </w:pPr>
    </w:p>
    <w:p w:rsidR="00BC1410" w:rsidRPr="009D407D" w:rsidRDefault="00BC1410" w:rsidP="00BC1410">
      <w:pPr>
        <w:tabs>
          <w:tab w:val="left" w:pos="567"/>
        </w:tabs>
        <w:spacing w:after="0" w:line="240" w:lineRule="auto"/>
        <w:jc w:val="both"/>
        <w:rPr>
          <w:rStyle w:val="Emphasis"/>
          <w:rFonts w:cs="Calibri"/>
        </w:rPr>
      </w:pPr>
    </w:p>
    <w:p w:rsidR="00276884" w:rsidRPr="002B3C21" w:rsidRDefault="00276884" w:rsidP="00F06FFE">
      <w:pPr>
        <w:pStyle w:val="Heading4"/>
        <w:rPr>
          <w:sz w:val="22"/>
        </w:rPr>
      </w:pPr>
      <w:bookmarkStart w:id="48" w:name="_Toc389745293"/>
      <w:r w:rsidRPr="002B3C21">
        <w:rPr>
          <w:sz w:val="22"/>
        </w:rPr>
        <w:lastRenderedPageBreak/>
        <w:t>Transport</w:t>
      </w:r>
      <w:bookmarkEnd w:id="48"/>
    </w:p>
    <w:p w:rsidR="002A72F0" w:rsidRPr="009D407D" w:rsidRDefault="002A72F0" w:rsidP="002A72F0">
      <w:pPr>
        <w:spacing w:after="0" w:line="240" w:lineRule="auto"/>
      </w:pPr>
    </w:p>
    <w:p w:rsidR="00BC1367" w:rsidRDefault="00BC1367" w:rsidP="00BC1367">
      <w:pPr>
        <w:spacing w:after="0" w:line="240" w:lineRule="auto"/>
        <w:jc w:val="both"/>
        <w:rPr>
          <w:rFonts w:cs="Calibri"/>
          <w:b/>
        </w:rPr>
      </w:pPr>
      <w:r w:rsidRPr="0073636F">
        <w:rPr>
          <w:rFonts w:cs="Calibri"/>
          <w:b/>
          <w:lang w:eastAsia="sl-SI"/>
        </w:rPr>
        <w:t xml:space="preserve">Politika razvoja saobraćaja je fokusirana na rekonstrukciju i sanaciju postojeće i izgradnju nove saobraćajne infrastrukture. </w:t>
      </w:r>
      <w:r w:rsidRPr="0073636F">
        <w:rPr>
          <w:rFonts w:cs="Calibri"/>
          <w:b/>
        </w:rPr>
        <w:t>Unapređenjem putne infrastrukture, uz dalji razvoj Luke Bar i crnogorskih željeznica, stvoriće se uslovi da Autoput Bar-Boljare, postane dio modernog intermodalnog koridora.</w:t>
      </w:r>
    </w:p>
    <w:p w:rsidR="002B3C21" w:rsidRPr="0073636F" w:rsidRDefault="002B3C21" w:rsidP="00BC1367">
      <w:pPr>
        <w:spacing w:after="0" w:line="240" w:lineRule="auto"/>
        <w:jc w:val="both"/>
        <w:rPr>
          <w:rFonts w:cs="Calibri"/>
          <w:b/>
        </w:rPr>
      </w:pPr>
    </w:p>
    <w:p w:rsidR="00BC1367" w:rsidRPr="0073636F" w:rsidRDefault="00BC1367" w:rsidP="00BC1367">
      <w:pPr>
        <w:spacing w:after="0" w:line="240" w:lineRule="auto"/>
        <w:jc w:val="both"/>
      </w:pPr>
      <w:r w:rsidRPr="0073636F">
        <w:rPr>
          <w:rFonts w:cs="Calibri"/>
        </w:rPr>
        <w:t>Autoput Bar-Boljare,</w:t>
      </w:r>
      <w:r w:rsidRPr="0073636F">
        <w:rPr>
          <w:rFonts w:cs="Calibri"/>
          <w:b/>
        </w:rPr>
        <w:t xml:space="preserve"> </w:t>
      </w:r>
      <w:r w:rsidRPr="0073636F">
        <w:rPr>
          <w:rFonts w:cs="Calibri"/>
        </w:rPr>
        <w:t>odnosno prioritetna dionica Smokovac-Uvač-Mateševo</w:t>
      </w:r>
      <w:r w:rsidRPr="0073636F">
        <w:rPr>
          <w:rFonts w:cs="Calibri"/>
          <w:b/>
        </w:rPr>
        <w:t xml:space="preserve"> </w:t>
      </w:r>
      <w:r w:rsidRPr="0073636F">
        <w:rPr>
          <w:rFonts w:cs="Calibri"/>
        </w:rPr>
        <w:t xml:space="preserve">je najznačajniji infrastrukturni projekat u Crnoj Gori, koji je trenutno u fazi pripreme. Potpisan je Ugovor o projektovanju i izgradnji dionice Autoputa, Smokovac-Uvač-Mateševo, između Vlade Crne Gore i kineske kompanije CRBC, a kineskoj EXIM banci dostavljena je kreditna aplikacija za odobravanje sredstava za finansiranje realizacije. </w:t>
      </w:r>
      <w:r w:rsidRPr="00DA4180">
        <w:rPr>
          <w:rFonts w:cs="Calibri"/>
        </w:rPr>
        <w:t xml:space="preserve">Zakonom će se </w:t>
      </w:r>
      <w:r w:rsidRPr="00DA4180">
        <w:t xml:space="preserve">uspostaviti normativni okvir za realizaciju Autoputa i, izmedju ostalog, regulisati </w:t>
      </w:r>
      <w:r w:rsidRPr="00DA4180">
        <w:rPr>
          <w:rFonts w:cs="Calibri"/>
        </w:rPr>
        <w:t>oslobađanje od plaćanja PDV-a, carine na opremu, materijal i postrojenja namijenjena za izgradnju Autoputa, kao i riješti pitanja koja se odnose na porez na dobit, naknadu za kamenolome, građevinske dozvole i pripremne radove.</w:t>
      </w:r>
      <w:r w:rsidRPr="00DA4180">
        <w:t xml:space="preserve"> Vlada je utvrdila Predlog zakona o autoputu Bar – Boljare.</w:t>
      </w:r>
    </w:p>
    <w:p w:rsidR="00BC1367" w:rsidRPr="0073636F" w:rsidRDefault="00BC1367" w:rsidP="00BC1367">
      <w:pPr>
        <w:spacing w:after="0" w:line="240" w:lineRule="auto"/>
        <w:jc w:val="both"/>
        <w:rPr>
          <w:rFonts w:cs="Calibri"/>
        </w:rPr>
      </w:pPr>
    </w:p>
    <w:p w:rsidR="00BC1367" w:rsidRPr="0073636F" w:rsidRDefault="00BC1367" w:rsidP="00BC1367">
      <w:pPr>
        <w:pStyle w:val="Default"/>
        <w:jc w:val="both"/>
        <w:rPr>
          <w:rFonts w:ascii="Calibri" w:hAnsi="Calibri" w:cs="Calibri"/>
          <w:color w:val="auto"/>
          <w:sz w:val="22"/>
          <w:szCs w:val="22"/>
        </w:rPr>
      </w:pPr>
      <w:r w:rsidRPr="0073636F">
        <w:rPr>
          <w:rFonts w:ascii="Calibri" w:hAnsi="Calibri" w:cs="Calibri"/>
          <w:b/>
          <w:i/>
          <w:color w:val="auto"/>
          <w:sz w:val="22"/>
          <w:szCs w:val="22"/>
        </w:rPr>
        <w:t>Putna infrastruktura i drumski saobraćaj.</w:t>
      </w:r>
      <w:r w:rsidRPr="0073636F">
        <w:rPr>
          <w:rFonts w:ascii="Calibri" w:hAnsi="Calibri" w:cs="Calibri"/>
          <w:color w:val="auto"/>
          <w:sz w:val="22"/>
          <w:szCs w:val="22"/>
        </w:rPr>
        <w:t xml:space="preserve"> Cilj Plana redovnog i investicionog održavanja, rekonstrukcije i izgradnje državnih puteva za 2014. godinu je da se obezbijedi očuvanje postojeće putne infrastrukture i izgrade novi putni pravci. Razvoj moderne saobraćajne infrastrukture zahtijeva što manji negativan uticaj na životnu sredinu, što poskupljuje izradu tehničkih projekata i izvođenje radova. U 2014. godini, prema Planu redovnog i investicionog održavanja, rekonstrukcije i izgradnje državnih puteva, biće investirano 52.962.309,00 €. Planirano je da se iz Tekućeg Budžeta Crne Gore obezbijede sredstva, u ukupnom iznosu od 9.989.309,00 €, za redovno održavanje i zaštitu državnih puteva i Službu pomoći i informisanja na javnim putevima Crne Gore, a iz Kapitalnog Budžeta Crne Gore, u iznosu od 42.973.000,00 €, za održavanje, rekonstrukciju i izgradnju državnih puteva.</w:t>
      </w:r>
    </w:p>
    <w:p w:rsidR="00BC1367" w:rsidRPr="0073636F" w:rsidRDefault="00BC1367" w:rsidP="00BC1367">
      <w:pPr>
        <w:pStyle w:val="Default"/>
        <w:jc w:val="both"/>
        <w:rPr>
          <w:rFonts w:ascii="Calibri" w:hAnsi="Calibri" w:cs="Calibri"/>
          <w:color w:val="auto"/>
          <w:sz w:val="22"/>
          <w:szCs w:val="22"/>
        </w:rPr>
      </w:pPr>
    </w:p>
    <w:p w:rsidR="00BC1367" w:rsidRPr="0073636F" w:rsidRDefault="00BC1367" w:rsidP="00BC1367">
      <w:pPr>
        <w:spacing w:after="0" w:line="240" w:lineRule="auto"/>
        <w:jc w:val="both"/>
        <w:rPr>
          <w:rFonts w:cs="Calibri"/>
        </w:rPr>
      </w:pPr>
      <w:r w:rsidRPr="0073636F">
        <w:rPr>
          <w:rFonts w:cs="Calibri"/>
        </w:rPr>
        <w:t>U narednom periodu, nastaviće se i aktivnosti neophodne za realizaciju projekta Jadransko-jonski autoput (JJA). U 2013. godini, pripremljeni su urbanističko-tehnički uslovi i Nacrt detaljnog prostornog plana, koji još nije usvojen.</w:t>
      </w:r>
    </w:p>
    <w:p w:rsidR="00BC1367" w:rsidRPr="0073636F" w:rsidRDefault="00BC1367" w:rsidP="00BC1367">
      <w:pPr>
        <w:spacing w:after="0" w:line="240" w:lineRule="auto"/>
        <w:jc w:val="both"/>
        <w:rPr>
          <w:rFonts w:cs="Calibri"/>
        </w:rPr>
      </w:pPr>
    </w:p>
    <w:p w:rsidR="00BC1367" w:rsidRPr="0092195A" w:rsidRDefault="00BC1367" w:rsidP="00BC1367">
      <w:pPr>
        <w:pStyle w:val="Default"/>
        <w:jc w:val="both"/>
        <w:rPr>
          <w:rFonts w:ascii="Calibri" w:eastAsia="Times New Roman" w:hAnsi="Calibri" w:cs="Calibri"/>
          <w:color w:val="auto"/>
          <w:sz w:val="22"/>
          <w:szCs w:val="22"/>
          <w:lang w:val="sr-Latn-CS"/>
        </w:rPr>
      </w:pPr>
      <w:r w:rsidRPr="0073636F">
        <w:rPr>
          <w:rFonts w:ascii="Calibri" w:hAnsi="Calibri" w:cs="Calibri"/>
          <w:b/>
          <w:bCs/>
          <w:i/>
          <w:iCs/>
          <w:color w:val="auto"/>
          <w:sz w:val="22"/>
          <w:szCs w:val="22"/>
          <w:lang w:val="sl-SI"/>
        </w:rPr>
        <w:t>Željeznički saobraćaj</w:t>
      </w:r>
      <w:r w:rsidRPr="0073636F">
        <w:rPr>
          <w:rFonts w:ascii="Calibri" w:hAnsi="Calibri" w:cs="Calibri"/>
          <w:b/>
          <w:bCs/>
          <w:iCs/>
          <w:color w:val="auto"/>
          <w:sz w:val="22"/>
          <w:szCs w:val="22"/>
          <w:lang w:val="sl-SI"/>
        </w:rPr>
        <w:t xml:space="preserve">. </w:t>
      </w:r>
      <w:r w:rsidRPr="0073636F">
        <w:rPr>
          <w:rFonts w:ascii="Calibri" w:hAnsi="Calibri" w:cs="Calibri"/>
          <w:color w:val="auto"/>
          <w:sz w:val="22"/>
          <w:szCs w:val="22"/>
        </w:rPr>
        <w:t xml:space="preserve">Shodno strateškim planovima, intenzivno se radi na realizaciji projekata remonta pruge, koji se finansiraju iz kreditnih aranžmana sa EBRD, EIB, pretpristupnih fondova i Budžeta Crne Gore. </w:t>
      </w:r>
      <w:r w:rsidRPr="0073636F">
        <w:rPr>
          <w:rFonts w:ascii="Calibri" w:hAnsi="Calibri" w:cs="Calibri"/>
          <w:color w:val="auto"/>
          <w:sz w:val="22"/>
          <w:szCs w:val="22"/>
          <w:lang w:val="sr-Latn-CS"/>
        </w:rPr>
        <w:t>Tekuće održavanje željezničke infrastrukture vrši se u skladu sa Programom održavanja željezničke infrastrukture za 2014. godinu. Zakonom o Budžetu Crne Gore za 2014. godinu, za ove namjene opredijeljena su sredstva u iznosu od 6,7</w:t>
      </w:r>
      <w:r w:rsidRPr="0073636F">
        <w:rPr>
          <w:rFonts w:ascii="Calibri" w:eastAsia="Times New Roman" w:hAnsi="Calibri" w:cs="Calibri"/>
          <w:color w:val="auto"/>
          <w:sz w:val="22"/>
          <w:szCs w:val="22"/>
          <w:lang w:val="sr-Latn-CS"/>
        </w:rPr>
        <w:t xml:space="preserve"> mil.€, od čega se na tekuće održavanje gradjevinske infrastrukture odnosi 45,0%, na tekuće održavanje elektrotehničke infrastrukture 17,0%, a na upravljanje i regulisanje saobraćaja 38,0% sredstava.</w:t>
      </w:r>
    </w:p>
    <w:p w:rsidR="00BC1367" w:rsidRPr="0092195A" w:rsidRDefault="00BC1367" w:rsidP="00BC1367">
      <w:pPr>
        <w:pStyle w:val="Default"/>
        <w:rPr>
          <w:rFonts w:ascii="Calibri" w:hAnsi="Calibri" w:cs="Calibri"/>
          <w:color w:val="auto"/>
          <w:sz w:val="22"/>
          <w:szCs w:val="22"/>
          <w:lang w:val="sr-Latn-CS"/>
        </w:rPr>
      </w:pPr>
    </w:p>
    <w:p w:rsidR="00BC1367" w:rsidRPr="0073636F" w:rsidRDefault="00BC1367" w:rsidP="00BC1367">
      <w:pPr>
        <w:pStyle w:val="Default"/>
        <w:jc w:val="both"/>
        <w:rPr>
          <w:rFonts w:ascii="Calibri" w:hAnsi="Calibri" w:cs="Calibri"/>
          <w:color w:val="auto"/>
          <w:sz w:val="22"/>
          <w:szCs w:val="22"/>
        </w:rPr>
      </w:pPr>
      <w:r w:rsidRPr="0073636F">
        <w:rPr>
          <w:rFonts w:ascii="Calibri" w:hAnsi="Calibri" w:cs="Calibri"/>
          <w:b/>
          <w:i/>
          <w:color w:val="auto"/>
          <w:sz w:val="22"/>
          <w:szCs w:val="22"/>
        </w:rPr>
        <w:t>Pomorstvo.</w:t>
      </w:r>
      <w:r w:rsidRPr="0073636F">
        <w:rPr>
          <w:rFonts w:ascii="Calibri" w:hAnsi="Calibri" w:cs="Calibri"/>
          <w:b/>
          <w:color w:val="auto"/>
          <w:sz w:val="22"/>
          <w:szCs w:val="22"/>
        </w:rPr>
        <w:t xml:space="preserve"> </w:t>
      </w:r>
      <w:r w:rsidRPr="0073636F">
        <w:rPr>
          <w:rFonts w:ascii="Calibri" w:hAnsi="Calibri" w:cs="Calibri"/>
          <w:color w:val="auto"/>
          <w:sz w:val="22"/>
          <w:szCs w:val="22"/>
        </w:rPr>
        <w:t>Završetkom procesa privatizacije AD „Kontejnerski terminal i generalni tereti“ Bar, stvoreni su i uslovi za njegovu modernizaciju. U okviru aktivnosti na revitalizaciji/proširenju trgova</w:t>
      </w:r>
      <w:r w:rsidRPr="0073636F">
        <w:rPr>
          <w:rFonts w:ascii="Calibri" w:eastAsia="MS Mincho" w:hAnsi="Calibri" w:cs="Calibri"/>
          <w:color w:val="auto"/>
          <w:sz w:val="22"/>
          <w:szCs w:val="22"/>
        </w:rPr>
        <w:t>č</w:t>
      </w:r>
      <w:r w:rsidRPr="0073636F">
        <w:rPr>
          <w:rFonts w:ascii="Calibri" w:eastAsia="PMingLiU" w:hAnsi="Calibri" w:cs="Calibri"/>
          <w:color w:val="auto"/>
          <w:sz w:val="22"/>
          <w:szCs w:val="22"/>
        </w:rPr>
        <w:t>ke flote, u završnoj fazi je gradnja dva broda za potre</w:t>
      </w:r>
      <w:r w:rsidRPr="0073636F">
        <w:rPr>
          <w:rFonts w:ascii="Calibri" w:hAnsi="Calibri" w:cs="Calibri"/>
          <w:color w:val="auto"/>
          <w:sz w:val="22"/>
          <w:szCs w:val="22"/>
        </w:rPr>
        <w:t>be AD “Barska plovidba“. S</w:t>
      </w:r>
      <w:r w:rsidRPr="0073636F">
        <w:rPr>
          <w:rFonts w:ascii="Calibri" w:eastAsia="PMingLiU" w:hAnsi="Calibri" w:cs="Calibri"/>
          <w:color w:val="auto"/>
          <w:sz w:val="22"/>
          <w:szCs w:val="22"/>
        </w:rPr>
        <w:t xml:space="preserve">redstva su obezbijedjena iz kredita EXIM banke, u iznosu od 46,4 mil. USA dolara, </w:t>
      </w:r>
      <w:r w:rsidRPr="0073636F">
        <w:rPr>
          <w:rFonts w:ascii="Calibri" w:hAnsi="Calibri" w:cs="Calibri"/>
          <w:color w:val="auto"/>
          <w:sz w:val="22"/>
          <w:szCs w:val="22"/>
        </w:rPr>
        <w:t>za koji je garancije dala Vlada Crne Gore.</w:t>
      </w:r>
    </w:p>
    <w:p w:rsidR="00BC1367" w:rsidRPr="0073636F" w:rsidRDefault="00BC1367" w:rsidP="00BC1367">
      <w:pPr>
        <w:pStyle w:val="Default"/>
        <w:jc w:val="both"/>
        <w:rPr>
          <w:rFonts w:ascii="Calibri" w:hAnsi="Calibri" w:cs="Calibri"/>
          <w:color w:val="auto"/>
          <w:sz w:val="22"/>
          <w:szCs w:val="22"/>
        </w:rPr>
      </w:pPr>
    </w:p>
    <w:p w:rsidR="00BC1367" w:rsidRDefault="00BC1367" w:rsidP="00BC1367">
      <w:pPr>
        <w:spacing w:after="0" w:line="240" w:lineRule="auto"/>
        <w:jc w:val="both"/>
        <w:rPr>
          <w:rFonts w:eastAsia="Times New Roman" w:cs="Calibri"/>
        </w:rPr>
      </w:pPr>
      <w:r w:rsidRPr="0073636F">
        <w:rPr>
          <w:rFonts w:cs="Calibri"/>
          <w:b/>
          <w:i/>
          <w:lang w:val="sl-SI"/>
        </w:rPr>
        <w:t>Vazdušni saobraćaj</w:t>
      </w:r>
      <w:r w:rsidRPr="0073636F">
        <w:rPr>
          <w:rFonts w:cs="Calibri"/>
          <w:b/>
          <w:lang w:val="sl-SI"/>
        </w:rPr>
        <w:t>.</w:t>
      </w:r>
      <w:r w:rsidRPr="0073636F">
        <w:rPr>
          <w:rFonts w:cs="Calibri"/>
          <w:b/>
          <w:i/>
          <w:lang w:val="sl-SI"/>
        </w:rPr>
        <w:t xml:space="preserve"> </w:t>
      </w:r>
      <w:r w:rsidRPr="0073636F">
        <w:rPr>
          <w:rFonts w:eastAsia="Times New Roman" w:cs="Calibri"/>
          <w:spacing w:val="-4"/>
        </w:rPr>
        <w:t>Master planom razvoja Aerodroma Crne Gore do 2030, definisana je strategija razvoja Aerodroma Podgorica i Aerodroma Tivat, odnosno utvrđen slijed unapređenja kapaciteta i kvaliteta usluge u odnosu na prognoziranu tražnju. Prioritetne investicije su: p</w:t>
      </w:r>
      <w:r w:rsidRPr="0073636F">
        <w:rPr>
          <w:rFonts w:eastAsia="Times New Roman" w:cs="Calibri"/>
        </w:rPr>
        <w:t>roširenje i rekonstrukcija manevarskih površina na Aerodromu Podgorica (procijenjena vrijednost investicije iznosi 10.5</w:t>
      </w:r>
      <w:r w:rsidR="00DB7DF0">
        <w:rPr>
          <w:rFonts w:eastAsia="Times New Roman" w:cs="Calibri"/>
        </w:rPr>
        <w:t>4 mil.</w:t>
      </w:r>
      <w:r w:rsidRPr="0073636F">
        <w:rPr>
          <w:rFonts w:eastAsia="Times New Roman" w:cs="Calibri"/>
        </w:rPr>
        <w:t xml:space="preserve">€), proširenje i rekonstrukcija manevarskih površina i pristanišne platforme na Aerodromu Tivat </w:t>
      </w:r>
      <w:r w:rsidRPr="0073636F">
        <w:rPr>
          <w:rFonts w:eastAsia="Times New Roman" w:cs="Calibri"/>
        </w:rPr>
        <w:lastRenderedPageBreak/>
        <w:t>(procijenjena vrijednost investicije je 12.</w:t>
      </w:r>
      <w:r w:rsidR="00DB7DF0">
        <w:rPr>
          <w:rFonts w:eastAsia="Times New Roman" w:cs="Calibri"/>
        </w:rPr>
        <w:t>3</w:t>
      </w:r>
      <w:r w:rsidR="00DB7DF0" w:rsidRPr="00DB7DF0">
        <w:rPr>
          <w:rFonts w:eastAsia="Times New Roman" w:cs="Calibri"/>
        </w:rPr>
        <w:t xml:space="preserve"> </w:t>
      </w:r>
      <w:r w:rsidR="00DB7DF0">
        <w:rPr>
          <w:rFonts w:eastAsia="Times New Roman" w:cs="Calibri"/>
        </w:rPr>
        <w:t>mil.</w:t>
      </w:r>
      <w:r w:rsidR="00DB7DF0" w:rsidRPr="0073636F">
        <w:rPr>
          <w:rFonts w:eastAsia="Times New Roman" w:cs="Calibri"/>
        </w:rPr>
        <w:t>€</w:t>
      </w:r>
      <w:r w:rsidR="00DB7DF0">
        <w:rPr>
          <w:rFonts w:eastAsia="Times New Roman" w:cs="Calibri"/>
        </w:rPr>
        <w:t xml:space="preserve"> </w:t>
      </w:r>
      <w:r w:rsidRPr="0073636F">
        <w:rPr>
          <w:rFonts w:eastAsia="Times New Roman" w:cs="Calibri"/>
        </w:rPr>
        <w:t>izgradnja nove terminalne zgrade na aerodromu Tivat sa pratećom infrastrukturom (procijenjena vrijednost investicije iznosi 17.2</w:t>
      </w:r>
      <w:r w:rsidR="00DB7DF0">
        <w:rPr>
          <w:rFonts w:eastAsia="Times New Roman" w:cs="Calibri"/>
        </w:rPr>
        <w:t>3</w:t>
      </w:r>
      <w:r w:rsidR="00DB7DF0" w:rsidRPr="00DB7DF0">
        <w:rPr>
          <w:rFonts w:eastAsia="Times New Roman" w:cs="Calibri"/>
        </w:rPr>
        <w:t xml:space="preserve"> </w:t>
      </w:r>
      <w:r w:rsidR="00DB7DF0">
        <w:rPr>
          <w:rFonts w:eastAsia="Times New Roman" w:cs="Calibri"/>
        </w:rPr>
        <w:t>mil.</w:t>
      </w:r>
      <w:r w:rsidR="00DB7DF0" w:rsidRPr="0073636F">
        <w:rPr>
          <w:rFonts w:eastAsia="Times New Roman" w:cs="Calibri"/>
        </w:rPr>
        <w:t>€</w:t>
      </w:r>
    </w:p>
    <w:p w:rsidR="00BC1367" w:rsidRPr="0073636F" w:rsidRDefault="00BC1367" w:rsidP="00BC1367">
      <w:pPr>
        <w:spacing w:after="0" w:line="240" w:lineRule="auto"/>
        <w:jc w:val="both"/>
        <w:rPr>
          <w:rFonts w:eastAsia="Times New Roman" w:cs="Calibri"/>
        </w:rPr>
      </w:pPr>
    </w:p>
    <w:p w:rsidR="00276884" w:rsidRPr="002B3C21" w:rsidRDefault="00276884" w:rsidP="00F06FFE">
      <w:pPr>
        <w:pStyle w:val="Heading4"/>
        <w:rPr>
          <w:sz w:val="22"/>
        </w:rPr>
      </w:pPr>
      <w:bookmarkStart w:id="49" w:name="_Toc389745294"/>
      <w:r w:rsidRPr="002B3C21">
        <w:rPr>
          <w:sz w:val="22"/>
        </w:rPr>
        <w:t>Informaciono društvo i telekomunikacije</w:t>
      </w:r>
      <w:bookmarkEnd w:id="49"/>
    </w:p>
    <w:p w:rsidR="002A72F0" w:rsidRPr="009D407D" w:rsidRDefault="002A72F0" w:rsidP="002A72F0">
      <w:pPr>
        <w:spacing w:after="0" w:line="240" w:lineRule="auto"/>
      </w:pPr>
    </w:p>
    <w:p w:rsidR="00BC1367" w:rsidRDefault="00BC1367" w:rsidP="00BC1367">
      <w:pPr>
        <w:pStyle w:val="Default"/>
        <w:jc w:val="both"/>
        <w:rPr>
          <w:rFonts w:ascii="Calibri" w:hAnsi="Calibri" w:cs="Calibri"/>
          <w:b/>
          <w:color w:val="auto"/>
          <w:sz w:val="22"/>
          <w:szCs w:val="22"/>
        </w:rPr>
      </w:pPr>
      <w:r w:rsidRPr="0073636F">
        <w:rPr>
          <w:rFonts w:ascii="Calibri" w:hAnsi="Calibri" w:cs="Calibri"/>
          <w:color w:val="auto"/>
          <w:sz w:val="22"/>
          <w:szCs w:val="22"/>
        </w:rPr>
        <w:t xml:space="preserve">Kvalitetan pristup internetu i ICT infrastruktura u skladu sa potrebama krajnjih korisnika prepoznati su kao glavni cilj programa “ICT infrastruktura” Strategije razvoja informacionog društva za period 2012-2016. Do sada ostvareni rezultati, kroz realizaciju zadataka definisanih Akcionim planom, ukazuju na ostvarivanje ciljeva koji su zacrtani u Strategiji: </w:t>
      </w:r>
      <w:r w:rsidRPr="0073636F">
        <w:rPr>
          <w:rFonts w:ascii="Calibri" w:hAnsi="Calibri" w:cs="Calibri"/>
          <w:b/>
          <w:color w:val="auto"/>
          <w:sz w:val="22"/>
          <w:szCs w:val="22"/>
        </w:rPr>
        <w:t>penetracija fiksnog širokopojasnog pristupa u Crnoj Gori je iznad prosjeka zemalja Jugoistočne Evrope, dok je penetracija mobilnog širokopojasnog pristupa veća od prosjeka u Evropskoj uniji; penetracija fiksnog širokopojasnog pristupa, u 2013. u odnosu na 2012. godinu, je povećana za 9,1 %, tako da je na kraju 2013 godine iznosila 15,4%. Posmatrana u odnosu na broj domaćinstava, penetracija je iznosila 49,1 %; dostupnost širokopojasnog pristupa interneta putem ADSl-a je 99,981 %; prema podacima Zavoda za statistiku, na početku 2013. godine, 60,3 % stanovništva je koristilo internet.</w:t>
      </w:r>
    </w:p>
    <w:p w:rsidR="00BC1367" w:rsidRPr="0073636F" w:rsidRDefault="00BC1367" w:rsidP="00BC1367">
      <w:pPr>
        <w:pStyle w:val="Default"/>
        <w:jc w:val="both"/>
        <w:rPr>
          <w:rFonts w:ascii="Calibri" w:hAnsi="Calibri" w:cs="Calibri"/>
          <w:b/>
          <w:color w:val="auto"/>
          <w:sz w:val="22"/>
          <w:szCs w:val="22"/>
        </w:rPr>
      </w:pPr>
    </w:p>
    <w:p w:rsidR="00BC1367" w:rsidRPr="0073636F" w:rsidRDefault="00BC1367" w:rsidP="00BC1367">
      <w:pPr>
        <w:pStyle w:val="Default"/>
        <w:jc w:val="both"/>
        <w:rPr>
          <w:rFonts w:ascii="Calibri" w:eastAsia="Times New Roman" w:hAnsi="Calibri" w:cs="Calibri"/>
          <w:color w:val="auto"/>
          <w:sz w:val="22"/>
          <w:szCs w:val="22"/>
        </w:rPr>
      </w:pPr>
      <w:r w:rsidRPr="0073636F">
        <w:rPr>
          <w:rFonts w:ascii="Calibri" w:eastAsia="Times New Roman" w:hAnsi="Calibri" w:cs="Calibri"/>
          <w:bCs/>
          <w:color w:val="auto"/>
          <w:sz w:val="22"/>
          <w:szCs w:val="22"/>
        </w:rPr>
        <w:t>Sprov</w:t>
      </w:r>
      <w:r w:rsidR="00B74D80">
        <w:rPr>
          <w:rFonts w:ascii="Calibri" w:eastAsia="Times New Roman" w:hAnsi="Calibri" w:cs="Calibri"/>
          <w:bCs/>
          <w:color w:val="auto"/>
          <w:sz w:val="22"/>
          <w:szCs w:val="22"/>
        </w:rPr>
        <w:t>ode se značajne aktivno</w:t>
      </w:r>
      <w:r w:rsidRPr="0073636F">
        <w:rPr>
          <w:rFonts w:ascii="Calibri" w:eastAsia="Times New Roman" w:hAnsi="Calibri" w:cs="Calibri"/>
          <w:bCs/>
          <w:color w:val="auto"/>
          <w:sz w:val="22"/>
          <w:szCs w:val="22"/>
        </w:rPr>
        <w:t xml:space="preserve">sti na planu povećanja broja servisa koji će građanima i privredi biti dostupni on–line, što podrazumijeva koordinaciju i komunikaciju sa državnim organima, ali i organima lokalne uprave. </w:t>
      </w:r>
      <w:r w:rsidRPr="0073636F">
        <w:rPr>
          <w:rFonts w:ascii="Calibri" w:eastAsia="Times New Roman" w:hAnsi="Calibri" w:cs="Calibri"/>
          <w:color w:val="auto"/>
          <w:sz w:val="22"/>
          <w:szCs w:val="22"/>
        </w:rPr>
        <w:t>Trenutno se na portalu e-uprave nalazi 58 usluga, a u planu je da se do kraja ove godine ovaj broj poveća na 100.</w:t>
      </w:r>
    </w:p>
    <w:p w:rsidR="00BC1367" w:rsidRPr="0073636F" w:rsidRDefault="00BC1367" w:rsidP="00BC1367">
      <w:pPr>
        <w:pStyle w:val="Default"/>
        <w:jc w:val="both"/>
        <w:rPr>
          <w:rFonts w:ascii="Calibri" w:eastAsia="Times New Roman" w:hAnsi="Calibri" w:cs="Calibri"/>
          <w:color w:val="auto"/>
          <w:sz w:val="22"/>
          <w:szCs w:val="22"/>
        </w:rPr>
      </w:pPr>
    </w:p>
    <w:p w:rsidR="00BC1367" w:rsidRDefault="00BC1367" w:rsidP="00BC1367">
      <w:pPr>
        <w:pStyle w:val="Default"/>
        <w:jc w:val="both"/>
        <w:rPr>
          <w:rFonts w:ascii="Calibri" w:hAnsi="Calibri" w:cs="Calibri"/>
          <w:color w:val="auto"/>
          <w:sz w:val="22"/>
          <w:szCs w:val="22"/>
        </w:rPr>
      </w:pPr>
      <w:r w:rsidRPr="0073636F">
        <w:rPr>
          <w:rFonts w:ascii="Calibri" w:hAnsi="Calibri" w:cs="Calibri"/>
          <w:color w:val="auto"/>
          <w:sz w:val="22"/>
          <w:szCs w:val="22"/>
        </w:rPr>
        <w:t>Ministarstvo za informaciono društvo i telekomunikacije i kompanija Wireless Montenegro započeli su realizaciju projekta “WiFi bežični internet”. Planirano je da građani koriste besplatan internet do određene brzine. Građani Podgorice, Budve i Nikšić već imaju priliku da koriste besplatan WiFi internet na nekoliko lokacija, a određene su lokacije u Baru na kojima će biti implementiran besplatan WiFi internet.</w:t>
      </w:r>
    </w:p>
    <w:p w:rsidR="00BC1367" w:rsidRPr="0073636F" w:rsidRDefault="00BC1367" w:rsidP="00BC1367">
      <w:pPr>
        <w:pStyle w:val="Default"/>
        <w:jc w:val="both"/>
        <w:rPr>
          <w:rFonts w:ascii="Calibri" w:hAnsi="Calibri" w:cs="Calibri"/>
          <w:color w:val="auto"/>
          <w:sz w:val="22"/>
          <w:szCs w:val="22"/>
        </w:rPr>
      </w:pPr>
    </w:p>
    <w:p w:rsidR="00BC1367" w:rsidRPr="0073636F" w:rsidRDefault="00BC1367" w:rsidP="00BC1367">
      <w:pPr>
        <w:pStyle w:val="Default"/>
        <w:jc w:val="both"/>
        <w:rPr>
          <w:rFonts w:ascii="Calibri" w:hAnsi="Calibri" w:cs="Calibri"/>
          <w:b/>
          <w:color w:val="auto"/>
          <w:sz w:val="22"/>
          <w:szCs w:val="22"/>
        </w:rPr>
      </w:pPr>
      <w:r w:rsidRPr="0073636F">
        <w:rPr>
          <w:rFonts w:ascii="Calibri" w:eastAsia="Times New Roman" w:hAnsi="Calibri" w:cs="Calibri"/>
          <w:color w:val="auto"/>
          <w:sz w:val="22"/>
          <w:szCs w:val="22"/>
        </w:rPr>
        <w:t>Uzimajući u obzir situaciju na tržištu elektronskih komunikacija, infrastrukturne resurse u državnom vlasništvu, kao i značajan iznos budžetskih sredstava kojima se različite usluge plaćaju postojećim operatorima, nastaviće se ispitivanje mogućnosti za objedinjavanje elektronske komunikacione infrastrukture u vlasništvu Države.</w:t>
      </w:r>
    </w:p>
    <w:p w:rsidR="00BC1367" w:rsidRPr="0073636F" w:rsidRDefault="00BC1367" w:rsidP="00BC1367">
      <w:pPr>
        <w:spacing w:after="0" w:line="240" w:lineRule="auto"/>
        <w:jc w:val="both"/>
        <w:rPr>
          <w:rFonts w:cs="Calibri"/>
        </w:rPr>
      </w:pPr>
    </w:p>
    <w:p w:rsidR="008B1E97" w:rsidRDefault="00BC1367" w:rsidP="00A83A98">
      <w:pPr>
        <w:pStyle w:val="Default"/>
        <w:tabs>
          <w:tab w:val="left" w:pos="994"/>
        </w:tabs>
        <w:jc w:val="both"/>
        <w:rPr>
          <w:rFonts w:ascii="Calibri" w:hAnsi="Calibri" w:cs="Calibri"/>
          <w:color w:val="auto"/>
          <w:sz w:val="22"/>
          <w:szCs w:val="22"/>
        </w:rPr>
      </w:pPr>
      <w:r w:rsidRPr="0073636F">
        <w:rPr>
          <w:rFonts w:ascii="Calibri" w:hAnsi="Calibri" w:cs="Calibri"/>
          <w:color w:val="auto"/>
          <w:sz w:val="22"/>
          <w:szCs w:val="22"/>
        </w:rPr>
        <w:t>U okviru projekta prelaska sa analognih na digitalne radio-difuzne sisteme, završena je prva faza koju je finansirala Delegacija evropske unije (IPA 2009 – 1,6 mil. €) . Tokom testiranja opreme, uočeni su odredjeni nedostaci koji će biti otklonjeni do juna 2014. godine. U medjuvremenu, izabran je najpovoljniji ponudjač opreme za II fazu digitalizacije koju finansira Crna Gora (Firma Elti iz Slovenije). Za ove namjene potrebno je obezb</w:t>
      </w:r>
      <w:r w:rsidR="00DB7DF0">
        <w:rPr>
          <w:rFonts w:ascii="Calibri" w:hAnsi="Calibri" w:cs="Calibri"/>
          <w:color w:val="auto"/>
          <w:sz w:val="22"/>
          <w:szCs w:val="22"/>
        </w:rPr>
        <w:t>ijediti sredstva u iznosu od 1.1</w:t>
      </w:r>
      <w:r w:rsidR="00DB7DF0" w:rsidRPr="00DB7DF0">
        <w:rPr>
          <w:rFonts w:ascii="Calibri" w:hAnsi="Calibri" w:cs="Calibri"/>
          <w:color w:val="auto"/>
          <w:sz w:val="22"/>
          <w:szCs w:val="22"/>
        </w:rPr>
        <w:t xml:space="preserve"> mil.€</w:t>
      </w:r>
      <w:r w:rsidR="00DB7DF0">
        <w:rPr>
          <w:rFonts w:ascii="Calibri" w:hAnsi="Calibri" w:cs="Calibri"/>
          <w:color w:val="auto"/>
          <w:sz w:val="22"/>
          <w:szCs w:val="22"/>
        </w:rPr>
        <w:t xml:space="preserve">. </w:t>
      </w:r>
      <w:r w:rsidRPr="0073636F">
        <w:rPr>
          <w:rFonts w:ascii="Calibri" w:hAnsi="Calibri" w:cs="Calibri"/>
          <w:color w:val="auto"/>
          <w:sz w:val="22"/>
          <w:szCs w:val="22"/>
        </w:rPr>
        <w:t xml:space="preserve"> Shodno ugovoru koji je propisan Tenderskom dokumentacijom, plan je da se do kraja juna ove godine montira sva Tenderom definisana oprem</w:t>
      </w:r>
      <w:r w:rsidR="00B74D80">
        <w:rPr>
          <w:rFonts w:ascii="Calibri" w:hAnsi="Calibri" w:cs="Calibri"/>
          <w:color w:val="auto"/>
          <w:sz w:val="22"/>
          <w:szCs w:val="22"/>
        </w:rPr>
        <w:t>a i pusti u rad predajnička mrež</w:t>
      </w:r>
      <w:r w:rsidRPr="0073636F">
        <w:rPr>
          <w:rFonts w:ascii="Calibri" w:hAnsi="Calibri" w:cs="Calibri"/>
          <w:color w:val="auto"/>
          <w:sz w:val="22"/>
          <w:szCs w:val="22"/>
        </w:rPr>
        <w:t>a. Planirano je da se kompletan proces</w:t>
      </w:r>
      <w:r w:rsidRPr="002339EB">
        <w:rPr>
          <w:rFonts w:ascii="Calibri" w:hAnsi="Calibri" w:cs="Calibri"/>
          <w:color w:val="00B050"/>
          <w:sz w:val="22"/>
          <w:szCs w:val="22"/>
        </w:rPr>
        <w:t xml:space="preserve"> </w:t>
      </w:r>
      <w:r w:rsidRPr="0073636F">
        <w:rPr>
          <w:rFonts w:ascii="Calibri" w:hAnsi="Calibri" w:cs="Calibri"/>
          <w:color w:val="auto"/>
          <w:sz w:val="22"/>
          <w:szCs w:val="22"/>
        </w:rPr>
        <w:t>završi do juna 2015. godine.</w:t>
      </w:r>
      <w:bookmarkStart w:id="50" w:name="_Toc389745295"/>
    </w:p>
    <w:p w:rsidR="00A83A98" w:rsidRPr="00A83A98" w:rsidRDefault="00A83A98" w:rsidP="00A83A98">
      <w:pPr>
        <w:pStyle w:val="Default"/>
        <w:tabs>
          <w:tab w:val="left" w:pos="994"/>
        </w:tabs>
        <w:jc w:val="both"/>
        <w:rPr>
          <w:rFonts w:ascii="Calibri" w:hAnsi="Calibri" w:cs="Calibri"/>
          <w:color w:val="auto"/>
          <w:sz w:val="22"/>
          <w:szCs w:val="22"/>
        </w:rPr>
      </w:pPr>
    </w:p>
    <w:p w:rsidR="00276884" w:rsidRPr="002B3C21" w:rsidRDefault="00276884" w:rsidP="00D86308">
      <w:pPr>
        <w:pStyle w:val="Heading2"/>
        <w:rPr>
          <w:sz w:val="24"/>
        </w:rPr>
      </w:pPr>
      <w:r w:rsidRPr="002B3C21">
        <w:rPr>
          <w:sz w:val="24"/>
        </w:rPr>
        <w:t>FINANSIJSKI SEKTOR</w:t>
      </w:r>
      <w:bookmarkEnd w:id="50"/>
    </w:p>
    <w:p w:rsidR="00276884" w:rsidRPr="002B3C21" w:rsidRDefault="00276884" w:rsidP="00D86308">
      <w:pPr>
        <w:pStyle w:val="Heading3"/>
        <w:rPr>
          <w:sz w:val="22"/>
        </w:rPr>
      </w:pPr>
      <w:bookmarkStart w:id="51" w:name="_Toc389745296"/>
      <w:r w:rsidRPr="002B3C21">
        <w:rPr>
          <w:sz w:val="22"/>
        </w:rPr>
        <w:t xml:space="preserve">Bankarski </w:t>
      </w:r>
      <w:r w:rsidR="002A72F0" w:rsidRPr="002B3C21">
        <w:rPr>
          <w:sz w:val="22"/>
        </w:rPr>
        <w:t>sektor</w:t>
      </w:r>
      <w:bookmarkEnd w:id="51"/>
    </w:p>
    <w:p w:rsidR="00D86308" w:rsidRDefault="00D86308" w:rsidP="002A72F0">
      <w:pPr>
        <w:spacing w:after="0" w:line="240" w:lineRule="auto"/>
        <w:jc w:val="both"/>
        <w:rPr>
          <w:b/>
        </w:rPr>
      </w:pPr>
    </w:p>
    <w:p w:rsidR="00BC1367" w:rsidRPr="0073636F" w:rsidRDefault="00BC1367" w:rsidP="00BC1367">
      <w:pPr>
        <w:spacing w:after="0" w:line="240" w:lineRule="auto"/>
        <w:jc w:val="both"/>
      </w:pPr>
      <w:r w:rsidRPr="0073636F">
        <w:rPr>
          <w:b/>
        </w:rPr>
        <w:t xml:space="preserve">Bankarski sektor je sačuvao stabilnost u 2013 godini, čemu je, prije svega, doprinio kontinuirani rast depozita, snažan rast likvidnih sredstava i dokapitalizacija jednog broja banaka. </w:t>
      </w:r>
      <w:r w:rsidRPr="0073636F">
        <w:t>Koeficijenti likvidnosti i solventnosti na nivou bankarskog sektora bili su iznad propisanog nivoa, tako da su banke iskazale pozitivan finansijski rezultat. Ipak, potencijalni izvor rizika predstavlja i dalje visok nivo nekvalitetnih kredita i rastuća nelikvidnost realnog sektora.</w:t>
      </w:r>
    </w:p>
    <w:p w:rsidR="00BC1367" w:rsidRPr="0073636F" w:rsidRDefault="00BC1367" w:rsidP="00BC1367">
      <w:pPr>
        <w:spacing w:after="0" w:line="240" w:lineRule="auto"/>
        <w:jc w:val="both"/>
      </w:pPr>
    </w:p>
    <w:p w:rsidR="00BC1367" w:rsidRPr="0073636F" w:rsidRDefault="00BC1367" w:rsidP="00BC1367">
      <w:pPr>
        <w:spacing w:after="0" w:line="240" w:lineRule="auto"/>
        <w:jc w:val="both"/>
      </w:pPr>
      <w:r w:rsidRPr="0073636F">
        <w:lastRenderedPageBreak/>
        <w:t>Posmatrano na godišnjem nivou, svi osnovni monetarni indikatori su ostvarili rast, što je u značajnoj mjeri rezultat implementacije Međunarodnih računovodstvenih standarda (MRS 39), počev od januara 2013. Ukupni krediti i ostala potraživanja su u decembru 2013. povećani za 3,0% na godišnjem nivou, pri čemu su krediti privrede ostvarili rast od 1,9%, a krediti stanovništva 8,9%. U strukturi pasive, dominantno učešće od 70,9 % imaju depoziti, sa rastom od 6,0% u odnosu na decembar 2012. Od ukupnog iznosa depozita, na depozite stanovništva, kao glavnog deponenta bankarskog sistema se odnosilo 1.237,7 mil.€ ili 59,0%, što predstavlja rast od 7,9% na godišnjem nivou.</w:t>
      </w:r>
    </w:p>
    <w:p w:rsidR="00BC1367" w:rsidRPr="0073636F" w:rsidRDefault="00BC1367" w:rsidP="00BC1367">
      <w:pPr>
        <w:spacing w:after="0" w:line="240" w:lineRule="auto"/>
        <w:jc w:val="both"/>
      </w:pPr>
    </w:p>
    <w:p w:rsidR="00BC1367" w:rsidRPr="0073636F" w:rsidRDefault="00BC1367" w:rsidP="00BC1367">
      <w:pPr>
        <w:spacing w:after="0" w:line="240" w:lineRule="auto"/>
        <w:jc w:val="both"/>
      </w:pPr>
      <w:r w:rsidRPr="0073636F">
        <w:t>Akutan problem crnogorskog bankarskog sistema predstavljaju nekvalitetni krediti, sa zabrinjavajućim učešćem od 17,53% u ukupnim kreditima i potraživanjima na kraju decembra 2013. godine.</w:t>
      </w:r>
      <w:r w:rsidR="00B74D80">
        <w:t xml:space="preserve"> </w:t>
      </w:r>
      <w:r w:rsidRPr="0073636F">
        <w:t>Kako je individualni pristup u rješavanju ovog problema dao parcijalne rezultate, akcenat je stavljen na pronalaženje sistemskog rješenja kroz donošenje Zakona o dobrovoljnom finansijskom restrukturiranju, čiji je Nacrt bio na javnoj raspravi u martu ove godine. Benefite od primjene ovog modela će imati banke kroz smanjenje loših potraživanja i poboljšanje kreditne aktivnosti, preduzeća će nastaviti da rade umjesto da idu u stečaj, a Država će imati koristi od servisiranja poreskih obaveza, što će sve doprinijeti održavanju finansijske stabilnosti. Očekuje se da će Zakon biti procesuiran krajem drugog kvartala ove godine, s tim da je njegova primjena privremenog karaktera, odnosno, dvije godine od dana stupanja na snagu.</w:t>
      </w:r>
    </w:p>
    <w:p w:rsidR="00BC1367" w:rsidRPr="0073636F" w:rsidRDefault="00BC1367" w:rsidP="00BC1367">
      <w:pPr>
        <w:spacing w:after="0" w:line="240" w:lineRule="auto"/>
        <w:jc w:val="both"/>
      </w:pPr>
    </w:p>
    <w:p w:rsidR="00BC1367" w:rsidRPr="0073636F" w:rsidRDefault="00BC1367" w:rsidP="00BC1367">
      <w:pPr>
        <w:spacing w:after="0" w:line="240" w:lineRule="auto"/>
        <w:jc w:val="both"/>
      </w:pPr>
      <w:r w:rsidRPr="0073636F">
        <w:t>Ostvarena monetarna kretanja u aprilu ove godine karakteriše rast depozita od 7,3 % i ukupnog kapitala od 5,8%, na godišnjem nivou. Banke su i dalje oprezne i restriktivne u odobravanju novih plasmana ,što je rezultiralo padom kreditne aktivnosti od 0,8% na mjesečnom, odnosno 3,2% na godišnjem nivou Bankarski sektor, u čijoj vlasničkoj strukturi dominira strani kapitali, nije više u mogućnosti da obezbijedi finansijska sredstva, u potrebnom iznosu i pod najpovoljnijim uslovima, od matičnih banaka, već je orjentisan na privlačenje kapitala iz domaćih izvora. Ograničena ponuda i veće kamatne stope na stranim tržištima dovela je banke u poziciju da alternativu traže u domaćim izvorima finansiranja, prije svega, kroz jačanje depozitnog potencijala. Pored toga, rast nekvalitetne aktive produžava proces konsolidacije banaka, što negativno utiče na oživljavanje kreditnih aktivnosti.</w:t>
      </w:r>
    </w:p>
    <w:p w:rsidR="00BC1367" w:rsidRPr="0073636F" w:rsidRDefault="00BC1367" w:rsidP="00BC1367">
      <w:pPr>
        <w:spacing w:after="0" w:line="240" w:lineRule="auto"/>
        <w:jc w:val="both"/>
      </w:pPr>
    </w:p>
    <w:p w:rsidR="00BC1367" w:rsidRDefault="00BC1367" w:rsidP="00BC1367">
      <w:pPr>
        <w:spacing w:after="0" w:line="240" w:lineRule="auto"/>
        <w:jc w:val="both"/>
      </w:pPr>
      <w:r w:rsidRPr="0073636F">
        <w:t xml:space="preserve">Tokom ove godine aktivnosti CBCG biće usmjerene na unapređenje i jačanje supervizorske funkcije, kao i na usklađivanje zakonske regulative sa relevantnim propisima EU. U tom smislu, od 1.februara ove godine u primjeni je novi Zakon o potrošačkim kreditima. Od rezultata </w:t>
      </w:r>
      <w:r w:rsidR="007C2806">
        <w:t>stresnog testiranja banaka, koji</w:t>
      </w:r>
      <w:r w:rsidRPr="0073636F">
        <w:t xml:space="preserve"> će</w:t>
      </w:r>
      <w:r w:rsidR="007C2806">
        <w:t xml:space="preserve"> se</w:t>
      </w:r>
      <w:r w:rsidRPr="0073636F">
        <w:t xml:space="preserve"> realizovati tokom godine, odnosno procjene rizika sa kojima su suočene u svom poslovanju, zavisiće dalje aktivnosti prema bankama, odnosno njihova eventualna dokapitalizacija. U toku su aktivnosti Centralne banke vezane za ispunjenje obaveza na putu pristupanja Crne Gore Evropskoj uniji. S tim u vezi, Evropskoj komisiji je dostavljen Nacrt pregovaračke pozicije za poglavlje 9-Finansijske usluge na razmatranje, a održani su i sastanci radnih grupa za pregovaračka poglavlja 18-Statistika i 32-Finansijski nadzor.</w:t>
      </w:r>
    </w:p>
    <w:p w:rsidR="00153790" w:rsidRPr="002B3C21" w:rsidRDefault="00276884" w:rsidP="00F06FFE">
      <w:pPr>
        <w:pStyle w:val="Heading3"/>
        <w:rPr>
          <w:sz w:val="22"/>
        </w:rPr>
      </w:pPr>
      <w:bookmarkStart w:id="52" w:name="_Toc389745297"/>
      <w:r w:rsidRPr="002B3C21">
        <w:rPr>
          <w:sz w:val="22"/>
        </w:rPr>
        <w:t xml:space="preserve">Nebankarski </w:t>
      </w:r>
      <w:r w:rsidR="00B74D80" w:rsidRPr="002B3C21">
        <w:rPr>
          <w:sz w:val="22"/>
        </w:rPr>
        <w:t>sek</w:t>
      </w:r>
      <w:r w:rsidR="00D80E81" w:rsidRPr="002B3C21">
        <w:rPr>
          <w:sz w:val="22"/>
        </w:rPr>
        <w:t>tor</w:t>
      </w:r>
      <w:bookmarkEnd w:id="52"/>
    </w:p>
    <w:p w:rsidR="00060320" w:rsidRDefault="00060320" w:rsidP="00BC1367">
      <w:pPr>
        <w:spacing w:after="0" w:line="240" w:lineRule="auto"/>
        <w:jc w:val="both"/>
        <w:rPr>
          <w:b/>
        </w:rPr>
      </w:pPr>
    </w:p>
    <w:p w:rsidR="00BC1367" w:rsidRPr="0073636F" w:rsidRDefault="00BC1367" w:rsidP="00BC1367">
      <w:pPr>
        <w:spacing w:after="0" w:line="240" w:lineRule="auto"/>
        <w:jc w:val="both"/>
      </w:pPr>
      <w:r w:rsidRPr="0073636F">
        <w:rPr>
          <w:b/>
        </w:rPr>
        <w:t>Tržište osiguranja karakteriše stabilnost, uz prisutni trend rasta i neadekvatnu strukturu bruto premija.</w:t>
      </w:r>
      <w:r w:rsidRPr="0073636F">
        <w:t xml:space="preserve"> Prema preliminarnim podacima Agencije za nadzor osiguranja, ukupna bruto premija u 2013 godini je iznosila 72,8 mil.€, što predstavlja rast od 8,7% u odnosu na 2012. Pozitivnim kretanjima je doprinio rast grupe životnih osiguranja od 14,8% i neživotnih osiguranja od 7,7%. Pri tome, nije bilo značajnijih promjena u strukturi bruto premije u odnosu na prethodni period. Poslovi neživotnog osiguranja su zadržali izuzetno visoko učešće u ukupnom tržišnom portfelju i na nivou su od 85,06%, dok su poslovi životnog osiguranja učestvuju sa 14,94%.</w:t>
      </w:r>
    </w:p>
    <w:p w:rsidR="00BC1367" w:rsidRPr="0073636F" w:rsidRDefault="00BC1367" w:rsidP="00BC1367">
      <w:pPr>
        <w:spacing w:after="0" w:line="240" w:lineRule="auto"/>
        <w:jc w:val="both"/>
      </w:pPr>
    </w:p>
    <w:p w:rsidR="00BC1367" w:rsidRPr="0073636F" w:rsidRDefault="00BC1367" w:rsidP="00BC1367">
      <w:pPr>
        <w:spacing w:after="0" w:line="240" w:lineRule="auto"/>
        <w:jc w:val="both"/>
      </w:pPr>
      <w:r w:rsidRPr="0073636F">
        <w:lastRenderedPageBreak/>
        <w:t>Ostvarena bruto premija za prva četiri mjeseca 2014. iznosila je 21,7 mil.€ i smanjena je za 1,9% u odnosu na isti period 2013. Posmatrano na mjesečnom nivou, bruto premija je u aprilu iznosila 6,1 mil.€, pri čemu se na neživotna osiguranja odnosi 5,1 mil.€. U strukturi ostvarene bruto premije, mjereno veličinom učešća, lidersku poziciju i dalje drži Lovćen osiguranje sa učešćem od 36 38%. Slijede Sava Montenegro sa 17,29%, Uniqa neživotno osiguranje sa 13,58% i Delta Generali sa 13,53%.</w:t>
      </w:r>
    </w:p>
    <w:p w:rsidR="00BC1367" w:rsidRPr="0073636F" w:rsidRDefault="00BC1367" w:rsidP="00BC1367">
      <w:pPr>
        <w:spacing w:after="0" w:line="240" w:lineRule="auto"/>
        <w:jc w:val="both"/>
      </w:pPr>
    </w:p>
    <w:p w:rsidR="00BC1367" w:rsidRPr="0073636F" w:rsidRDefault="00BC1367" w:rsidP="00BC1367">
      <w:pPr>
        <w:spacing w:after="0" w:line="240" w:lineRule="auto"/>
        <w:jc w:val="both"/>
      </w:pPr>
      <w:r w:rsidRPr="0073636F">
        <w:t>Iako sektor osiguranja, zbog svoje relativne veličine nema značajnijeg uticaja na finansijsku stabilnost, neophodno je intenzivirati aktivnosti u pravcu podsticanja njegovog daljeg rasta U tom smislu, potrebno je intenzivirati edukativne i promotivne aktivnosti sa ciljem boljeg pozicioniranja osiguranja na tržištu finansijskih usluga. Aktivnosti Agencije za nadzor osiguranja u narednom periodu biće usmjerene na izmjenu regulative u sektoru osiguranja i unapređenje kvaliteta sistema supervizije. U okviru navedenih aktivnosti planirano je i donošenje novog Zakona o stečaju i likvidaciji društava za osiguranje, čiji je Nacrt bio na javnoj raspravi do maja ove godine.</w:t>
      </w:r>
    </w:p>
    <w:p w:rsidR="00BC1367" w:rsidRPr="0073636F" w:rsidRDefault="00BC1367" w:rsidP="00BC1367">
      <w:pPr>
        <w:spacing w:after="0" w:line="240" w:lineRule="auto"/>
        <w:jc w:val="both"/>
      </w:pPr>
    </w:p>
    <w:p w:rsidR="00BC1367" w:rsidRPr="0073636F" w:rsidRDefault="00BC1367" w:rsidP="00BC1367">
      <w:pPr>
        <w:spacing w:after="0" w:line="240" w:lineRule="auto"/>
        <w:jc w:val="both"/>
      </w:pPr>
      <w:r w:rsidRPr="0073636F">
        <w:rPr>
          <w:b/>
        </w:rPr>
        <w:t xml:space="preserve">Tržište kapitala pokazuje izvjesne znake oporavka u odnosu na nepovoljna kretanja, ispoljena kroz nizak nivo prometa i likvidnosti, u prethodnoj godini. </w:t>
      </w:r>
      <w:r w:rsidRPr="0073636F">
        <w:t>Ukupan promet na Montenegro berzi</w:t>
      </w:r>
      <w:r w:rsidRPr="0073636F">
        <w:rPr>
          <w:b/>
        </w:rPr>
        <w:t xml:space="preserve"> </w:t>
      </w:r>
      <w:r w:rsidRPr="0073636F">
        <w:t>u</w:t>
      </w:r>
      <w:r w:rsidRPr="0073636F">
        <w:rPr>
          <w:b/>
        </w:rPr>
        <w:t xml:space="preserve"> </w:t>
      </w:r>
      <w:r w:rsidRPr="0073636F">
        <w:t>2013. iznosio je 30,7 mil.€, što predstavlja pad od 5,8% u odnosu na ostvareni promet u 2012. Indeks MONEX 20, koji prati dinamiku 20 najlikvidnijih hartija od vrijednosti, bio je na nivou vrijednosti iz decembra 2012, dok je indeks MONEX PIF, koji prati kretanje fondova smanjen za 0,86%.</w:t>
      </w:r>
    </w:p>
    <w:p w:rsidR="00BC1367" w:rsidRPr="0073636F" w:rsidRDefault="00BC1367" w:rsidP="00BC1367">
      <w:pPr>
        <w:spacing w:after="0" w:line="240" w:lineRule="auto"/>
        <w:jc w:val="both"/>
        <w:rPr>
          <w:b/>
        </w:rPr>
      </w:pPr>
    </w:p>
    <w:p w:rsidR="00BC1367" w:rsidRPr="0073636F" w:rsidRDefault="00BC1367" w:rsidP="00BC1367">
      <w:pPr>
        <w:spacing w:after="0" w:line="240" w:lineRule="auto"/>
        <w:jc w:val="both"/>
      </w:pPr>
      <w:r w:rsidRPr="0073636F">
        <w:t>Ukupan</w:t>
      </w:r>
      <w:r w:rsidRPr="0073636F">
        <w:rPr>
          <w:b/>
        </w:rPr>
        <w:t xml:space="preserve"> </w:t>
      </w:r>
      <w:r w:rsidRPr="0073636F">
        <w:t xml:space="preserve">promet ostvaren na Montenegro berzi za prva četiri mjeseca ove godine je iznosio 56,1 mil.€, što je za oko šest puta više u odnosu na isti period prethodne godine. Ovakvom rastu prometa najviše je doprinio promet državnim obveznicama u martu koji je iznosio 43,1 mil. €, kada je Vlada Crne Gore po prvi put izašla na domaće tržište kapitala, sa ciljem prikupljanja sredstava za finansiranje budžeta. Navedena emisija državnih obveznica imaće višestuku korist za sve učesnike na tržištu kapitala. Od najvećeg značaja je uvođenje nove hartije od vrijednosti, sa kojom će biti uspostavljeno sekundarno tržište u naredne četiri godine. </w:t>
      </w:r>
    </w:p>
    <w:p w:rsidR="00BC1367" w:rsidRPr="0073636F" w:rsidRDefault="00BC1367" w:rsidP="00BC1367">
      <w:pPr>
        <w:spacing w:after="0" w:line="240" w:lineRule="auto"/>
        <w:jc w:val="both"/>
      </w:pPr>
    </w:p>
    <w:p w:rsidR="00BC1367" w:rsidRPr="0073636F" w:rsidRDefault="00BC1367" w:rsidP="00BC1367">
      <w:pPr>
        <w:spacing w:after="0" w:line="240" w:lineRule="auto"/>
        <w:jc w:val="both"/>
      </w:pPr>
      <w:r w:rsidRPr="0073636F">
        <w:t>U aprilu ove godine ostvaren je promet od 1,9 mil.</w:t>
      </w:r>
      <w:r w:rsidRPr="0073636F">
        <w:rPr>
          <w:rFonts w:cs="Calibri"/>
        </w:rPr>
        <w:t>€</w:t>
      </w:r>
      <w:r w:rsidRPr="0073636F">
        <w:t>, kroz 542 transakcije, što predstavlja pad od 51,98%, na godišnjem nivou. Berzanski indeks MONEX 20 dostigao je vrijednost od 10.291,0 indeksnih poena i povećan je za 6,2% na godišnjem nivou. Vrijednost MONEX PIF-a je povećan za 7,5% u odnosu na isti mjesec prethodne godine. Tržišna kapitalizacija u aprilu je iznosila 3,0 mlrd. € i zabilježila je rast od  5,3% u odnosu na isti mjesec prethodne godine.</w:t>
      </w:r>
    </w:p>
    <w:p w:rsidR="00BC1367" w:rsidRPr="0073636F" w:rsidRDefault="00BC1367" w:rsidP="00BC1367">
      <w:pPr>
        <w:spacing w:after="0" w:line="240" w:lineRule="auto"/>
        <w:jc w:val="both"/>
      </w:pPr>
    </w:p>
    <w:p w:rsidR="00BC1367" w:rsidRPr="0073636F" w:rsidRDefault="00BC1367" w:rsidP="00005E1A">
      <w:pPr>
        <w:spacing w:after="0" w:line="240" w:lineRule="auto"/>
        <w:jc w:val="both"/>
      </w:pPr>
      <w:r w:rsidRPr="0073636F">
        <w:t>U narednom periodu inteziviraće se aktivnosti na daljoj harmonizaciji propisa sa regulatornim okvirom EU, pored ostalog, donošenjem novog Zakona o tržištu kapitala (urađen Nacrt), te nastavku međunarodne saradnje u okviru ove oblasti. Istovremeno, radiće se na povećanju likvidnosti tržišta i podsticanju stvaranja složenije tržišne strukture. Nastaviće se aktivnosti na unapređenju zaštite manjinskih akcionara i poštovanju principa korporativnog upravljanja.</w:t>
      </w:r>
    </w:p>
    <w:p w:rsidR="000E6519" w:rsidRPr="00A45AE1" w:rsidRDefault="000E6519" w:rsidP="00005E1A">
      <w:pPr>
        <w:spacing w:after="0" w:line="240" w:lineRule="auto"/>
        <w:jc w:val="both"/>
      </w:pPr>
    </w:p>
    <w:p w:rsidR="00276884" w:rsidRPr="002B3C21" w:rsidRDefault="00276884" w:rsidP="00F06FFE">
      <w:pPr>
        <w:pStyle w:val="Heading2"/>
        <w:rPr>
          <w:bCs/>
          <w:sz w:val="24"/>
        </w:rPr>
      </w:pPr>
      <w:bookmarkStart w:id="53" w:name="_Toc389745298"/>
      <w:r w:rsidRPr="002B3C21">
        <w:rPr>
          <w:bCs/>
          <w:sz w:val="24"/>
        </w:rPr>
        <w:t>TRŽIŠTE RADA I SOCIJALNA ZAŠTITA</w:t>
      </w:r>
      <w:bookmarkEnd w:id="53"/>
    </w:p>
    <w:p w:rsidR="00591EA1" w:rsidRDefault="00276884" w:rsidP="00591EA1">
      <w:pPr>
        <w:pStyle w:val="Heading3"/>
        <w:rPr>
          <w:sz w:val="22"/>
        </w:rPr>
      </w:pPr>
      <w:bookmarkStart w:id="54" w:name="_Toc389745299"/>
      <w:r w:rsidRPr="002B3C21">
        <w:rPr>
          <w:sz w:val="22"/>
        </w:rPr>
        <w:t>Tržište rada</w:t>
      </w:r>
      <w:bookmarkEnd w:id="54"/>
    </w:p>
    <w:p w:rsidR="002B3C21" w:rsidRPr="002B3C21" w:rsidRDefault="002B3C21" w:rsidP="002B3C21">
      <w:pPr>
        <w:spacing w:after="0" w:line="240" w:lineRule="auto"/>
      </w:pPr>
    </w:p>
    <w:p w:rsidR="00591EA1" w:rsidRPr="009C738E" w:rsidRDefault="00591EA1" w:rsidP="00591EA1">
      <w:pPr>
        <w:spacing w:after="0" w:line="240" w:lineRule="auto"/>
        <w:jc w:val="both"/>
        <w:rPr>
          <w:b/>
        </w:rPr>
      </w:pPr>
      <w:r w:rsidRPr="009C738E">
        <w:rPr>
          <w:b/>
        </w:rPr>
        <w:t xml:space="preserve">Visoka nezaposlenost mladih, naročito visokoškolaca, </w:t>
      </w:r>
      <w:r>
        <w:rPr>
          <w:b/>
        </w:rPr>
        <w:t>izražena</w:t>
      </w:r>
      <w:r w:rsidRPr="009C738E">
        <w:rPr>
          <w:b/>
        </w:rPr>
        <w:t xml:space="preserve"> dugoročna nezaposlenost, disproporcija između ponude i tražnje za radnom snagom, </w:t>
      </w:r>
      <w:r>
        <w:rPr>
          <w:b/>
        </w:rPr>
        <w:t>evidentno</w:t>
      </w:r>
      <w:r w:rsidRPr="009C738E">
        <w:rPr>
          <w:b/>
        </w:rPr>
        <w:t xml:space="preserve"> sezonsko zapošljavanje, zapošljavanje strane radne snage u velikom broju, značajne regionalne razlike i veliki broj teže zapošljivih lica dugogodišnje su slabosti koje karakterišu tržište rada.</w:t>
      </w:r>
      <w:r w:rsidRPr="009C738E">
        <w:t xml:space="preserve"> S tim u vezi, osnovni cilj politike tržišta rada je ublažavanje uticaja tranzicionih procesa na tržištu rada, bolja usklađenost tražnje i ponude i reintegracija ranjivih grupa.</w:t>
      </w:r>
    </w:p>
    <w:p w:rsidR="00591EA1" w:rsidRPr="009C738E" w:rsidRDefault="00591EA1" w:rsidP="00591EA1">
      <w:pPr>
        <w:spacing w:after="0" w:line="240" w:lineRule="auto"/>
        <w:jc w:val="both"/>
      </w:pPr>
    </w:p>
    <w:p w:rsidR="00591EA1" w:rsidRPr="009C738E" w:rsidRDefault="00591EA1" w:rsidP="00591EA1">
      <w:pPr>
        <w:spacing w:after="0" w:line="240" w:lineRule="auto"/>
        <w:jc w:val="both"/>
      </w:pPr>
      <w:r w:rsidRPr="009C738E">
        <w:t>Blago prevazilaženje krize u EU utiče na stanje na tržištu rada u Crnoj Gori, što, uz nepovoljne vremenske prilika u okruženju, ima negativan uticaj na obim i strukturu tražnje i zapošljavanja. Ograničenje predstavlja i neizvjesnost u pogledu opstanka nekoliko kompanija (KAP, Solana itd).</w:t>
      </w:r>
    </w:p>
    <w:p w:rsidR="00591EA1" w:rsidRPr="009C738E" w:rsidRDefault="00591EA1" w:rsidP="00591EA1">
      <w:pPr>
        <w:spacing w:after="0" w:line="240" w:lineRule="auto"/>
        <w:jc w:val="both"/>
      </w:pPr>
    </w:p>
    <w:p w:rsidR="00591EA1" w:rsidRPr="009C738E" w:rsidRDefault="00591EA1" w:rsidP="00591EA1">
      <w:pPr>
        <w:spacing w:after="0" w:line="240" w:lineRule="auto"/>
        <w:jc w:val="both"/>
        <w:rPr>
          <w:lang w:val="sr-Latn-CS"/>
        </w:rPr>
      </w:pPr>
      <w:r w:rsidRPr="009C738E">
        <w:t>U 2013. godini, tržište rada karakteriše povećanje zaposlenosti od 3,0%, uz istovremeno povećanje nezaposlenosti za 6,6%, koje je rezultat značajnog povećanja nezaposlen</w:t>
      </w:r>
      <w:r>
        <w:t>osti</w:t>
      </w:r>
      <w:r w:rsidRPr="009C738E">
        <w:t xml:space="preserve"> mladih, naročito visokoškolaca. Broj zaposlenih iznosio je 171.47</w:t>
      </w:r>
      <w:r w:rsidR="00005E1A">
        <w:t>4</w:t>
      </w:r>
      <w:r w:rsidRPr="009C738E">
        <w:t xml:space="preserve">, a prosječan broj nezaposlenih 32.190. Porast zaposlenosti je, uglavnom, rezultat smanjenja sive ekonomije i pozitivnih kretanja u sektoru turizma. </w:t>
      </w:r>
      <w:r w:rsidRPr="00A80B5C">
        <w:t>U periodu januar-april 2014. broj zaposlenih se povećao za 0,9%, a nezaposlenih 6,1%.</w:t>
      </w:r>
      <w:r w:rsidRPr="009C738E">
        <w:t xml:space="preserve"> Značajno je povećan broj lica koja prvi put traže zaposlenje (14,6% na godišnjem nivou). Pozitivno je što je u aprilu 2014, u odnosu na prethodni mjesec, smanjen broj nezaposlenih visokoškolaca ukupno i </w:t>
      </w:r>
      <w:r>
        <w:t xml:space="preserve">onih </w:t>
      </w:r>
      <w:r w:rsidRPr="009C738E">
        <w:t xml:space="preserve">koji prvi put traže zaposlenje. </w:t>
      </w:r>
      <w:r w:rsidRPr="009C738E">
        <w:rPr>
          <w:rFonts w:cs="Arial"/>
          <w:lang w:val="sl-SI"/>
        </w:rPr>
        <w:t xml:space="preserve">Broj slobodnih radnih mjesta u periodu januar-april 2014. je iznosio 10.555 ili 10,2% više nego u istom periodu 2013, a broj izdatih radnih dozvola, u istom periodu, je iznosio 7.697 ili 7,9% više nego u istom periodu </w:t>
      </w:r>
      <w:r>
        <w:rPr>
          <w:rFonts w:cs="Arial"/>
          <w:lang w:val="sl-SI"/>
        </w:rPr>
        <w:t>prethodne</w:t>
      </w:r>
      <w:r w:rsidRPr="009C738E">
        <w:rPr>
          <w:rFonts w:cs="Arial"/>
          <w:lang w:val="sl-SI"/>
        </w:rPr>
        <w:t xml:space="preserve"> godine. Karakteristično je da je u aprilu 2014. godine </w:t>
      </w:r>
      <w:r>
        <w:rPr>
          <w:rFonts w:cs="Arial"/>
          <w:lang w:val="sl-SI"/>
        </w:rPr>
        <w:t>oglašeno</w:t>
      </w:r>
      <w:r w:rsidRPr="009C738E">
        <w:rPr>
          <w:rFonts w:cs="Arial"/>
          <w:lang w:val="sl-SI"/>
        </w:rPr>
        <w:t xml:space="preserve"> 5.399 slobodnih radnih mjesta, što je najveći mjesečni broj unazad nekoliko godina, što ukazuje na moguća pozitivna kretanja u ovoj godini.</w:t>
      </w:r>
    </w:p>
    <w:p w:rsidR="00591EA1" w:rsidRPr="0092195A" w:rsidRDefault="00591EA1" w:rsidP="00591EA1">
      <w:pPr>
        <w:spacing w:after="0" w:line="240" w:lineRule="auto"/>
        <w:jc w:val="both"/>
        <w:rPr>
          <w:lang w:val="sl-SI"/>
        </w:rPr>
      </w:pPr>
    </w:p>
    <w:p w:rsidR="00591EA1" w:rsidRDefault="00591EA1" w:rsidP="00591EA1">
      <w:pPr>
        <w:spacing w:after="0" w:line="240" w:lineRule="auto"/>
        <w:jc w:val="both"/>
        <w:rPr>
          <w:lang w:val="sr-Latn-CS"/>
        </w:rPr>
      </w:pPr>
      <w:r w:rsidRPr="009C738E">
        <w:rPr>
          <w:lang w:val="sr-Latn-CS"/>
        </w:rPr>
        <w:t>U cilju povećanja zapošljavanja mladih, preduzeto je niz mjera:</w:t>
      </w:r>
    </w:p>
    <w:p w:rsidR="00591EA1" w:rsidRPr="009C738E" w:rsidRDefault="00591EA1" w:rsidP="00591EA1">
      <w:pPr>
        <w:spacing w:after="0" w:line="240" w:lineRule="auto"/>
        <w:jc w:val="both"/>
        <w:rPr>
          <w:lang w:val="sr-Latn-CS"/>
        </w:rPr>
      </w:pPr>
    </w:p>
    <w:p w:rsidR="00591EA1" w:rsidRPr="00005E1A" w:rsidRDefault="00591EA1" w:rsidP="00591EA1">
      <w:pPr>
        <w:pStyle w:val="ListParagraph"/>
        <w:numPr>
          <w:ilvl w:val="0"/>
          <w:numId w:val="15"/>
        </w:numPr>
        <w:spacing w:after="0" w:line="240" w:lineRule="auto"/>
        <w:contextualSpacing/>
        <w:jc w:val="both"/>
        <w:rPr>
          <w:rFonts w:cs="Arial"/>
          <w:sz w:val="22"/>
          <w:lang w:val="sl-SI"/>
        </w:rPr>
      </w:pPr>
      <w:r w:rsidRPr="00005E1A">
        <w:rPr>
          <w:sz w:val="22"/>
          <w:lang w:val="sr-Latn-CS"/>
        </w:rPr>
        <w:t>Na osnovu Programa stručnog osposobljavanja lica sa stečenim visokim obrazovanjem u 2013/14 poslodavci su tražili 5.800 lica, a za učešće u ovom programu se prijavilo 4.385 visokoškolaca. S</w:t>
      </w:r>
      <w:r w:rsidRPr="00005E1A">
        <w:rPr>
          <w:rFonts w:cs="Arial"/>
          <w:sz w:val="22"/>
          <w:lang w:val="sl-SI"/>
        </w:rPr>
        <w:t>tručno osposobljavanje, u 2014. godini, u realnom sektoru je obavlja 2.036, a u javnom sektoru 1.568 lica (ukupno 3.604 lica).</w:t>
      </w:r>
    </w:p>
    <w:p w:rsidR="00591EA1" w:rsidRPr="00005E1A" w:rsidRDefault="00591EA1" w:rsidP="00591EA1">
      <w:pPr>
        <w:pStyle w:val="ListParagraph"/>
        <w:numPr>
          <w:ilvl w:val="0"/>
          <w:numId w:val="13"/>
        </w:numPr>
        <w:spacing w:after="0" w:line="240" w:lineRule="auto"/>
        <w:contextualSpacing/>
        <w:jc w:val="both"/>
        <w:rPr>
          <w:sz w:val="22"/>
          <w:lang w:val="sr-Latn-CS"/>
        </w:rPr>
      </w:pPr>
      <w:r w:rsidRPr="00005E1A">
        <w:rPr>
          <w:rFonts w:cs="Arial"/>
          <w:sz w:val="22"/>
          <w:lang w:val="sl-SI"/>
        </w:rPr>
        <w:t xml:space="preserve">Kroz Program </w:t>
      </w:r>
      <w:r w:rsidR="00005E1A">
        <w:rPr>
          <w:rFonts w:cs="Arial"/>
          <w:sz w:val="22"/>
          <w:lang w:val="sl-SI"/>
        </w:rPr>
        <w:t>»</w:t>
      </w:r>
      <w:r w:rsidRPr="002B3C21">
        <w:rPr>
          <w:rFonts w:cs="Arial"/>
          <w:sz w:val="22"/>
          <w:lang w:val="sl-SI"/>
        </w:rPr>
        <w:t>Stimulisanje prvog zapošljavanja lica sa stečenim srednjim obrazovanjem</w:t>
      </w:r>
      <w:r w:rsidRPr="00005E1A">
        <w:rPr>
          <w:rFonts w:cs="Arial"/>
          <w:b/>
          <w:sz w:val="22"/>
          <w:lang w:val="sl-SI"/>
        </w:rPr>
        <w:t>«,</w:t>
      </w:r>
      <w:r w:rsidRPr="00005E1A">
        <w:rPr>
          <w:rFonts w:cs="Arial"/>
          <w:sz w:val="22"/>
          <w:lang w:val="sl-SI"/>
        </w:rPr>
        <w:t xml:space="preserve"> u trajanju od šest mjeseci, u proces rada ukljućena su 332 lica. Od ovog broja, 300 lica je počelo da radi u decembru 2013, a u ovoj godini 32 lica.</w:t>
      </w:r>
    </w:p>
    <w:p w:rsidR="00591EA1" w:rsidRPr="009C738E" w:rsidRDefault="00591EA1" w:rsidP="00591EA1">
      <w:pPr>
        <w:spacing w:after="0" w:line="240" w:lineRule="auto"/>
        <w:jc w:val="both"/>
        <w:rPr>
          <w:sz w:val="20"/>
          <w:szCs w:val="20"/>
          <w:lang w:val="sr-Latn-CS"/>
        </w:rPr>
      </w:pPr>
    </w:p>
    <w:p w:rsidR="00591EA1" w:rsidRPr="009C738E" w:rsidRDefault="00591EA1" w:rsidP="00591EA1">
      <w:pPr>
        <w:spacing w:after="0" w:line="240" w:lineRule="auto"/>
        <w:jc w:val="both"/>
        <w:rPr>
          <w:rFonts w:cs="Arial"/>
          <w:lang w:val="sl-SI"/>
        </w:rPr>
      </w:pPr>
      <w:r w:rsidRPr="009C738E">
        <w:rPr>
          <w:lang w:val="sr-Latn-CS"/>
        </w:rPr>
        <w:t>Mjerama podsticaja, subvencijama, saradnjom nevladinog sektora i turističkih organizacija uticalo se na povećanje sezonskog zapošljavanja. U 2013. godini, zaposleno je 10.542 sezonska radnika, a predviđeno je da se u 2014. zaposli oko 12.000 sezonaca. T</w:t>
      </w:r>
      <w:r w:rsidRPr="009C738E">
        <w:rPr>
          <w:rFonts w:cs="Arial"/>
          <w:lang w:val="sl-SI"/>
        </w:rPr>
        <w:t>ražnja za pojedinim zanimanjima, ukupno, i po stepenima stručne spreme, u oblasti građevinarstva, ugostiteljstva i poljoprivrede, u određenom peri</w:t>
      </w:r>
      <w:r>
        <w:rPr>
          <w:rFonts w:cs="Arial"/>
          <w:lang w:val="sl-SI"/>
        </w:rPr>
        <w:t>odu godine, prevazilazi ponudu.</w:t>
      </w:r>
    </w:p>
    <w:p w:rsidR="00591EA1" w:rsidRPr="009C738E" w:rsidRDefault="00591EA1" w:rsidP="00591EA1">
      <w:pPr>
        <w:spacing w:after="0" w:line="240" w:lineRule="auto"/>
        <w:jc w:val="both"/>
        <w:rPr>
          <w:lang w:val="sr-Latn-CS"/>
        </w:rPr>
      </w:pPr>
    </w:p>
    <w:p w:rsidR="00591EA1" w:rsidRPr="0092195A" w:rsidRDefault="00591EA1" w:rsidP="00591EA1">
      <w:pPr>
        <w:spacing w:after="0" w:line="240" w:lineRule="auto"/>
        <w:jc w:val="both"/>
        <w:rPr>
          <w:lang w:val="sr-Latn-CS"/>
        </w:rPr>
      </w:pPr>
      <w:r w:rsidRPr="0092195A">
        <w:rPr>
          <w:lang w:val="sr-Latn-CS"/>
        </w:rPr>
        <w:t>U cilju povećanja zapošljavanja i jačanja preduzetništva:</w:t>
      </w:r>
    </w:p>
    <w:p w:rsidR="00591EA1" w:rsidRPr="0092195A" w:rsidRDefault="00591EA1" w:rsidP="00591EA1">
      <w:pPr>
        <w:spacing w:after="0" w:line="240" w:lineRule="auto"/>
        <w:jc w:val="both"/>
        <w:rPr>
          <w:lang w:val="sr-Latn-CS"/>
        </w:rPr>
      </w:pPr>
    </w:p>
    <w:p w:rsidR="00591EA1" w:rsidRPr="007C3629" w:rsidRDefault="00591EA1" w:rsidP="007C3629">
      <w:pPr>
        <w:spacing w:after="0" w:line="240" w:lineRule="auto"/>
        <w:ind w:left="360"/>
        <w:contextualSpacing/>
        <w:jc w:val="both"/>
        <w:rPr>
          <w:lang w:val="sr-Latn-CS"/>
        </w:rPr>
      </w:pPr>
      <w:r w:rsidRPr="007C3629">
        <w:rPr>
          <w:lang w:val="sr-Latn-CS"/>
        </w:rPr>
        <w:t>Zavod za zapošljavanje, u 2013, odobrio je 72 kredita (51 nezaposlenim licima, 17 pravnim licima i 4 preduzetnicima), čime je omogućeno otvaranje 87 novih radnih mjesta. Od ovog broja, 66% je usmjereno u sjeverni region Crne Gore, 43,13% kreditne podrške dobile su žene. U 2014. godini, odobren je jedan kredit u iznosu 5.000 €.</w:t>
      </w:r>
    </w:p>
    <w:p w:rsidR="00591EA1" w:rsidRPr="00005E1A" w:rsidRDefault="00591EA1" w:rsidP="00591EA1">
      <w:pPr>
        <w:pStyle w:val="PlainText"/>
        <w:numPr>
          <w:ilvl w:val="0"/>
          <w:numId w:val="16"/>
        </w:numPr>
        <w:jc w:val="both"/>
        <w:rPr>
          <w:rFonts w:asciiTheme="minorHAnsi" w:hAnsiTheme="minorHAnsi"/>
          <w:sz w:val="22"/>
          <w:szCs w:val="20"/>
        </w:rPr>
      </w:pPr>
      <w:r w:rsidRPr="00005E1A">
        <w:rPr>
          <w:rFonts w:asciiTheme="minorHAnsi" w:hAnsiTheme="minorHAnsi"/>
          <w:sz w:val="22"/>
          <w:szCs w:val="20"/>
          <w:lang w:val="sr-Latn-CS"/>
        </w:rPr>
        <w:t xml:space="preserve">Investiciono razvojni fond, u 2014. godini, odobrio je 109 kredita, u ukupnom iznosu od 9,3 mil.€, za sektor malih i srednjih preduzeća, preduzetnika, poljoprivrednika i infrastrukturnih projekata, po osnovu kojih su predviđena </w:t>
      </w:r>
      <w:r w:rsidRPr="0092195A">
        <w:rPr>
          <w:rFonts w:asciiTheme="minorHAnsi" w:hAnsiTheme="minorHAnsi"/>
          <w:sz w:val="22"/>
          <w:szCs w:val="20"/>
          <w:lang w:val="sr-Latn-CS"/>
        </w:rPr>
        <w:t>103 novozaposlena lica.</w:t>
      </w:r>
      <w:r w:rsidRPr="00005E1A">
        <w:rPr>
          <w:rFonts w:asciiTheme="minorHAnsi" w:hAnsiTheme="minorHAnsi"/>
          <w:sz w:val="22"/>
          <w:szCs w:val="20"/>
          <w:lang w:val="sr-Latn-CS"/>
        </w:rPr>
        <w:t xml:space="preserve"> Na centralni region odnosi se 5,4 mil.€ ili 58,0% od ukupnih sredstava, </w:t>
      </w:r>
      <w:r w:rsidRPr="00005E1A">
        <w:rPr>
          <w:rFonts w:asciiTheme="minorHAnsi" w:hAnsiTheme="minorHAnsi"/>
          <w:sz w:val="22"/>
          <w:szCs w:val="20"/>
        </w:rPr>
        <w:t>na sjeverni je plasirano 1,7 mil.€ ili 18,3% i na južni 2,2 mil.€ ili 23,7%.</w:t>
      </w:r>
    </w:p>
    <w:p w:rsidR="00591EA1" w:rsidRPr="009C738E" w:rsidRDefault="00591EA1" w:rsidP="00591EA1">
      <w:pPr>
        <w:pStyle w:val="PlainText"/>
        <w:ind w:left="720"/>
        <w:jc w:val="both"/>
        <w:rPr>
          <w:rFonts w:asciiTheme="minorHAnsi" w:hAnsiTheme="minorHAnsi"/>
          <w:sz w:val="20"/>
          <w:szCs w:val="20"/>
        </w:rPr>
      </w:pPr>
    </w:p>
    <w:p w:rsidR="007C3629" w:rsidRDefault="00591EA1" w:rsidP="00591EA1">
      <w:pPr>
        <w:pStyle w:val="PlainText"/>
        <w:jc w:val="both"/>
        <w:rPr>
          <w:rFonts w:asciiTheme="minorHAnsi" w:hAnsiTheme="minorHAnsi"/>
          <w:sz w:val="22"/>
          <w:szCs w:val="22"/>
        </w:rPr>
      </w:pPr>
      <w:r w:rsidRPr="009C738E">
        <w:rPr>
          <w:rFonts w:asciiTheme="minorHAnsi" w:hAnsiTheme="minorHAnsi"/>
          <w:sz w:val="22"/>
          <w:szCs w:val="22"/>
        </w:rPr>
        <w:t>Smatra se da preko 35% nezaposlenih čine teže zapošljiva lica: starija nezaposlena lica, lica sa različitim oblicima i nivoima invaliditeta, odnosno, zdravstvene ugroženosti, R</w:t>
      </w:r>
      <w:r w:rsidR="00005E1A">
        <w:rPr>
          <w:rFonts w:asciiTheme="minorHAnsi" w:hAnsiTheme="minorHAnsi"/>
          <w:sz w:val="22"/>
          <w:szCs w:val="22"/>
        </w:rPr>
        <w:t>E</w:t>
      </w:r>
      <w:r w:rsidRPr="009C738E">
        <w:rPr>
          <w:rFonts w:asciiTheme="minorHAnsi" w:hAnsiTheme="minorHAnsi"/>
          <w:sz w:val="22"/>
          <w:szCs w:val="22"/>
        </w:rPr>
        <w:t xml:space="preserve"> populacija itd. Radi njihovo</w:t>
      </w:r>
      <w:r w:rsidR="005C59F6">
        <w:rPr>
          <w:rFonts w:asciiTheme="minorHAnsi" w:hAnsiTheme="minorHAnsi"/>
          <w:sz w:val="22"/>
          <w:szCs w:val="22"/>
        </w:rPr>
        <w:t>g zapošljavanja, poslodavcima su date</w:t>
      </w:r>
      <w:r w:rsidRPr="009C738E">
        <w:rPr>
          <w:rFonts w:asciiTheme="minorHAnsi" w:hAnsiTheme="minorHAnsi"/>
          <w:sz w:val="22"/>
          <w:szCs w:val="22"/>
        </w:rPr>
        <w:t xml:space="preserve"> subvencije za zarade u 2013. godini</w:t>
      </w:r>
      <w:r w:rsidR="007C3629">
        <w:rPr>
          <w:rFonts w:asciiTheme="minorHAnsi" w:hAnsiTheme="minorHAnsi"/>
          <w:sz w:val="22"/>
          <w:szCs w:val="22"/>
        </w:rPr>
        <w:t>.</w:t>
      </w:r>
    </w:p>
    <w:p w:rsidR="007C3629" w:rsidRDefault="007C3629" w:rsidP="007C3629">
      <w:pPr>
        <w:pStyle w:val="PlainText"/>
        <w:ind w:left="720"/>
        <w:jc w:val="both"/>
        <w:rPr>
          <w:rFonts w:asciiTheme="minorHAnsi" w:hAnsiTheme="minorHAnsi"/>
          <w:sz w:val="22"/>
          <w:szCs w:val="22"/>
        </w:rPr>
      </w:pPr>
    </w:p>
    <w:p w:rsidR="007C3629" w:rsidRDefault="00591EA1" w:rsidP="007C3629">
      <w:pPr>
        <w:pStyle w:val="PlainText"/>
        <w:numPr>
          <w:ilvl w:val="0"/>
          <w:numId w:val="16"/>
        </w:numPr>
        <w:jc w:val="both"/>
        <w:rPr>
          <w:rFonts w:asciiTheme="minorHAnsi" w:hAnsiTheme="minorHAnsi"/>
          <w:sz w:val="22"/>
          <w:szCs w:val="22"/>
        </w:rPr>
      </w:pPr>
      <w:r w:rsidRPr="009C738E">
        <w:rPr>
          <w:rFonts w:asciiTheme="minorHAnsi" w:hAnsiTheme="minorHAnsi"/>
          <w:sz w:val="22"/>
          <w:szCs w:val="22"/>
        </w:rPr>
        <w:lastRenderedPageBreak/>
        <w:t>39 poslodavaca je ostvarilo pravo na subvenciju, za 61 zaposleno lice sa invaliditetom, od kojih su 38 zaposleni na neodređeno vrijeme</w:t>
      </w:r>
      <w:r w:rsidR="005C59F6">
        <w:rPr>
          <w:rFonts w:asciiTheme="minorHAnsi" w:hAnsiTheme="minorHAnsi"/>
          <w:sz w:val="22"/>
          <w:szCs w:val="22"/>
        </w:rPr>
        <w:t xml:space="preserve">). U </w:t>
      </w:r>
      <w:r w:rsidRPr="009C738E">
        <w:rPr>
          <w:rFonts w:asciiTheme="minorHAnsi" w:hAnsiTheme="minorHAnsi"/>
          <w:sz w:val="22"/>
          <w:szCs w:val="22"/>
        </w:rPr>
        <w:t>2014. godini 18 poslodavca je ostvarilo pravo na subvenciju zarade za 34 zaposlena lica sa invaliditetom, od čega 22 na odre</w:t>
      </w:r>
      <w:r w:rsidR="005C59F6">
        <w:rPr>
          <w:rFonts w:asciiTheme="minorHAnsi" w:hAnsiTheme="minorHAnsi"/>
          <w:sz w:val="22"/>
          <w:szCs w:val="22"/>
        </w:rPr>
        <w:t>đeno i 12 na neodređeno vrijeme</w:t>
      </w:r>
      <w:r w:rsidR="007C3629">
        <w:rPr>
          <w:rFonts w:asciiTheme="minorHAnsi" w:hAnsiTheme="minorHAnsi"/>
          <w:sz w:val="22"/>
          <w:szCs w:val="22"/>
        </w:rPr>
        <w:t xml:space="preserve">. </w:t>
      </w:r>
    </w:p>
    <w:p w:rsidR="007C3629" w:rsidRDefault="00591EA1" w:rsidP="007C3629">
      <w:pPr>
        <w:pStyle w:val="PlainText"/>
        <w:numPr>
          <w:ilvl w:val="0"/>
          <w:numId w:val="16"/>
        </w:numPr>
        <w:jc w:val="both"/>
        <w:rPr>
          <w:rFonts w:asciiTheme="minorHAnsi" w:hAnsiTheme="minorHAnsi"/>
          <w:sz w:val="22"/>
          <w:szCs w:val="22"/>
        </w:rPr>
      </w:pPr>
      <w:r w:rsidRPr="009C738E">
        <w:rPr>
          <w:rFonts w:asciiTheme="minorHAnsi" w:hAnsiTheme="minorHAnsi"/>
          <w:sz w:val="22"/>
          <w:szCs w:val="22"/>
        </w:rPr>
        <w:t xml:space="preserve"> Zavod za zapošljavanje je organizovao javne radove, u 2013. godini za 1.013 teže zapošljivih lica, od kojih je 500 žena, mladih do 24 godine je 129 (12,7%), a preko 50 godina života 156 (15,4%). </w:t>
      </w:r>
      <w:r>
        <w:rPr>
          <w:rFonts w:asciiTheme="minorHAnsi" w:hAnsiTheme="minorHAnsi"/>
          <w:sz w:val="22"/>
          <w:szCs w:val="22"/>
        </w:rPr>
        <w:t>D</w:t>
      </w:r>
      <w:r w:rsidRPr="009C738E">
        <w:rPr>
          <w:rFonts w:asciiTheme="minorHAnsi" w:hAnsiTheme="minorHAnsi"/>
          <w:sz w:val="22"/>
          <w:szCs w:val="22"/>
        </w:rPr>
        <w:t>o sredine maja</w:t>
      </w:r>
      <w:r w:rsidR="005C59F6">
        <w:rPr>
          <w:rFonts w:asciiTheme="minorHAnsi" w:hAnsiTheme="minorHAnsi"/>
          <w:sz w:val="22"/>
          <w:szCs w:val="22"/>
        </w:rPr>
        <w:t xml:space="preserve"> </w:t>
      </w:r>
      <w:r w:rsidRPr="009C738E">
        <w:rPr>
          <w:rFonts w:asciiTheme="minorHAnsi" w:hAnsiTheme="minorHAnsi"/>
          <w:sz w:val="22"/>
          <w:szCs w:val="22"/>
        </w:rPr>
        <w:t>2014, javni radovi su organizovani za 423 nezaposlena lica, prvenstveno teže zapošljiva lica (347).</w:t>
      </w:r>
    </w:p>
    <w:p w:rsidR="007C3629" w:rsidRDefault="007C3629" w:rsidP="007C3629">
      <w:pPr>
        <w:pStyle w:val="PlainText"/>
        <w:jc w:val="both"/>
        <w:rPr>
          <w:rFonts w:asciiTheme="minorHAnsi" w:hAnsiTheme="minorHAnsi"/>
          <w:sz w:val="22"/>
          <w:szCs w:val="22"/>
        </w:rPr>
      </w:pPr>
    </w:p>
    <w:p w:rsidR="00591EA1" w:rsidRPr="007C3629" w:rsidRDefault="007C3629" w:rsidP="003120D7">
      <w:pPr>
        <w:jc w:val="both"/>
        <w:rPr>
          <w:rFonts w:asciiTheme="minorHAnsi" w:hAnsiTheme="minorHAnsi"/>
          <w:lang w:val="sl-SI"/>
        </w:rPr>
      </w:pPr>
      <w:r w:rsidRPr="003120D7">
        <w:rPr>
          <w:rFonts w:cs="Arial"/>
          <w:lang w:val="sl-SI" w:eastAsia="sl-SI"/>
        </w:rPr>
        <w:t>Programi obrazovanja i osp</w:t>
      </w:r>
      <w:r w:rsidR="003120D7">
        <w:rPr>
          <w:rFonts w:cs="Arial"/>
          <w:lang w:val="sl-SI" w:eastAsia="sl-SI"/>
        </w:rPr>
        <w:t>osobljavanja odraslih, u 2014. r</w:t>
      </w:r>
      <w:r w:rsidRPr="003120D7">
        <w:rPr>
          <w:rFonts w:cs="Arial"/>
          <w:lang w:val="sl-SI" w:eastAsia="sl-SI"/>
        </w:rPr>
        <w:t>ealizuju se za 788 lica iz evidencije Zavoda, od kojih su 292 učesnika programa obrazovanja za sticanje stručne kvalifikacije i 496 učesnika programa za sticanje znanja i vještina.</w:t>
      </w:r>
      <w:r w:rsidR="00591EA1" w:rsidRPr="007C3629">
        <w:rPr>
          <w:rFonts w:asciiTheme="minorHAnsi" w:hAnsiTheme="minorHAnsi"/>
          <w:lang w:val="sl-SI"/>
        </w:rPr>
        <w:t xml:space="preserve"> </w:t>
      </w:r>
    </w:p>
    <w:p w:rsidR="00591EA1" w:rsidRDefault="00591EA1" w:rsidP="00591EA1">
      <w:pPr>
        <w:spacing w:after="0" w:line="240" w:lineRule="auto"/>
        <w:jc w:val="both"/>
        <w:rPr>
          <w:rFonts w:cs="Arial"/>
          <w:color w:val="000000"/>
          <w:lang w:val="sl-SI" w:eastAsia="sl-SI"/>
        </w:rPr>
      </w:pPr>
    </w:p>
    <w:p w:rsidR="00591EA1" w:rsidRPr="009C738E" w:rsidRDefault="00591EA1" w:rsidP="00591EA1">
      <w:pPr>
        <w:spacing w:after="0" w:line="240" w:lineRule="auto"/>
        <w:jc w:val="both"/>
        <w:rPr>
          <w:rFonts w:cs="Arial"/>
          <w:color w:val="000000"/>
          <w:lang w:val="sl-SI" w:eastAsia="sl-SI"/>
        </w:rPr>
      </w:pPr>
      <w:r w:rsidRPr="009C738E">
        <w:rPr>
          <w:rFonts w:cs="Arial"/>
          <w:color w:val="000000"/>
          <w:lang w:val="sl-SI" w:eastAsia="sl-SI"/>
        </w:rPr>
        <w:t xml:space="preserve">U skupštinskoj proceduri </w:t>
      </w:r>
      <w:r>
        <w:rPr>
          <w:rFonts w:cs="Arial"/>
          <w:color w:val="000000"/>
          <w:lang w:val="sl-SI" w:eastAsia="sl-SI"/>
        </w:rPr>
        <w:t>je</w:t>
      </w:r>
      <w:r w:rsidRPr="009C738E">
        <w:rPr>
          <w:rFonts w:cs="Arial"/>
          <w:color w:val="000000"/>
          <w:lang w:val="sl-SI" w:eastAsia="sl-SI"/>
        </w:rPr>
        <w:t xml:space="preserve"> Zakon o izmjenama i dopunama Zakona o radu, a u pripremi je Zakon o strancima kojim će na nov način rješavati problematika zapošljavanja stranaca (predviđa se izdavanje jedinstvene dozvole za rad i boravak stranaca). U martu 2014. godine, zaključen je Opšti kolektivni ugovor.</w:t>
      </w:r>
    </w:p>
    <w:p w:rsidR="00276884" w:rsidRPr="002B3C21" w:rsidRDefault="00276884" w:rsidP="00F06FFE">
      <w:pPr>
        <w:pStyle w:val="Heading3"/>
        <w:rPr>
          <w:sz w:val="22"/>
        </w:rPr>
      </w:pPr>
      <w:bookmarkStart w:id="55" w:name="_Toc389745300"/>
      <w:r w:rsidRPr="002B3C21">
        <w:rPr>
          <w:sz w:val="22"/>
        </w:rPr>
        <w:t>Obrazovanje i istraživanje</w:t>
      </w:r>
      <w:bookmarkEnd w:id="55"/>
    </w:p>
    <w:p w:rsidR="00B45FBF" w:rsidRPr="009D407D" w:rsidRDefault="00B45FBF" w:rsidP="00915FA1">
      <w:pPr>
        <w:spacing w:after="0"/>
      </w:pPr>
    </w:p>
    <w:p w:rsidR="00591EA1" w:rsidRPr="00202CFA" w:rsidRDefault="00591EA1" w:rsidP="00591EA1">
      <w:pPr>
        <w:spacing w:after="0" w:line="240" w:lineRule="auto"/>
        <w:jc w:val="both"/>
        <w:rPr>
          <w:lang w:val="sr-Latn-CS"/>
        </w:rPr>
      </w:pPr>
      <w:r w:rsidRPr="00202CFA">
        <w:rPr>
          <w:b/>
          <w:lang w:val="sr-Latn-CS"/>
        </w:rPr>
        <w:t xml:space="preserve">Prevazilaženje problema strukturne nezaposlenosti i, s tim u vezi, usaglašavanje upisne politike sa zahtjevima tržišta rada, jedna je od osnovnih reformskih aktivnosti koje se sprovode u sektoru obrazovanja. </w:t>
      </w:r>
      <w:r w:rsidRPr="00202CFA">
        <w:rPr>
          <w:lang w:val="sr-Latn-CS"/>
        </w:rPr>
        <w:t>U to smislu, vrši se popularizacija stručnog obrazovanja, uz stipendiranje učenika koji se obrazuju za deficitarne kvalifikacije. U skladu sa Protokolom o saradnji, koji su potpisali Ministarstvo prosvete i Privredna komora, dodijeljena je 61 stipendija učenicima prvog razreda stručnih škola koji se obrazuju po obrazovnim programima: kuvar, elektroinstalater, keramičar itd.</w:t>
      </w:r>
    </w:p>
    <w:p w:rsidR="00591EA1" w:rsidRPr="00202CFA" w:rsidRDefault="00591EA1" w:rsidP="00591EA1">
      <w:pPr>
        <w:spacing w:after="0" w:line="240" w:lineRule="auto"/>
        <w:jc w:val="both"/>
        <w:rPr>
          <w:lang w:val="sr-Latn-CS"/>
        </w:rPr>
      </w:pPr>
    </w:p>
    <w:p w:rsidR="00591EA1" w:rsidRPr="00202CFA" w:rsidRDefault="00591EA1" w:rsidP="00591EA1">
      <w:pPr>
        <w:spacing w:after="0" w:line="240" w:lineRule="auto"/>
        <w:jc w:val="both"/>
        <w:rPr>
          <w:rFonts w:eastAsia="Times New Roman"/>
        </w:rPr>
      </w:pPr>
      <w:r w:rsidRPr="0092195A">
        <w:rPr>
          <w:lang w:val="sr-Latn-CS"/>
        </w:rPr>
        <w:t>Kroz primjenu Zakona o nacionalnim stručnim kvalifikacijama,</w:t>
      </w:r>
      <w:r w:rsidRPr="0092195A">
        <w:rPr>
          <w:rFonts w:eastAsia="Times New Roman"/>
          <w:lang w:val="sr-Latn-CS"/>
        </w:rPr>
        <w:t xml:space="preserve"> evropsko iskustvo u oblasti obrazovanja se transponuje u naš sistem obrazovanja. </w:t>
      </w:r>
      <w:r w:rsidRPr="00202CFA">
        <w:rPr>
          <w:rFonts w:eastAsia="Times New Roman"/>
        </w:rPr>
        <w:t xml:space="preserve">Naime, </w:t>
      </w:r>
      <w:r w:rsidRPr="00202CFA">
        <w:t>počela je dodjela sertifikata kojima se potvrđuju nacionalne stručne kvalifikacije (</w:t>
      </w:r>
      <w:r w:rsidRPr="00202CFA">
        <w:rPr>
          <w:rFonts w:eastAsia="Times New Roman"/>
        </w:rPr>
        <w:t>36 kandidata je dobilo sertifikate).</w:t>
      </w:r>
    </w:p>
    <w:p w:rsidR="00591EA1" w:rsidRPr="00202CFA" w:rsidRDefault="00591EA1" w:rsidP="00591EA1">
      <w:pPr>
        <w:spacing w:after="0" w:line="240" w:lineRule="auto"/>
        <w:jc w:val="both"/>
        <w:rPr>
          <w:lang w:val="sr-Latn-CS"/>
        </w:rPr>
      </w:pPr>
    </w:p>
    <w:p w:rsidR="00591EA1" w:rsidRPr="0092195A" w:rsidRDefault="00591EA1" w:rsidP="00591EA1">
      <w:pPr>
        <w:spacing w:after="0" w:line="240" w:lineRule="auto"/>
        <w:jc w:val="both"/>
        <w:rPr>
          <w:lang w:val="sr-Latn-CS"/>
        </w:rPr>
      </w:pPr>
      <w:r w:rsidRPr="0092195A">
        <w:rPr>
          <w:lang w:val="sr-Latn-CS"/>
        </w:rPr>
        <w:t>U cilju povećanja stimulativnosti i dostupnosti obrazovanja, posebno djeci sa razvojnim smetnjama, vrši se prenos udžbenika za osnovnu školu na audio zapis (u ovoj fazi, prenesena je čitanka za IV razred, “Čarolija čitanja“).</w:t>
      </w:r>
    </w:p>
    <w:p w:rsidR="00591EA1" w:rsidRPr="0092195A" w:rsidRDefault="00591EA1" w:rsidP="00591EA1">
      <w:pPr>
        <w:spacing w:after="0" w:line="240" w:lineRule="auto"/>
        <w:jc w:val="both"/>
        <w:rPr>
          <w:lang w:val="sr-Latn-CS"/>
        </w:rPr>
      </w:pPr>
    </w:p>
    <w:p w:rsidR="00591EA1" w:rsidRPr="0092195A" w:rsidRDefault="00591EA1" w:rsidP="00591EA1">
      <w:pPr>
        <w:spacing w:after="0" w:line="240" w:lineRule="auto"/>
        <w:jc w:val="both"/>
        <w:rPr>
          <w:lang w:val="sr-Latn-CS"/>
        </w:rPr>
      </w:pPr>
      <w:r w:rsidRPr="0092195A">
        <w:rPr>
          <w:lang w:val="sr-Latn-CS"/>
        </w:rPr>
        <w:t>Kroz Program donacija za osnovne potrebe stanovništva (POPOS), čiji je cilj podrška ekonomskog i socijalnog razvoja odredjene zemlje, Vlada Japana je usmjerila oko 150,0 hilj.</w:t>
      </w:r>
      <w:r w:rsidRPr="0092195A">
        <w:rPr>
          <w:rFonts w:cs="Calibri"/>
          <w:lang w:val="sr-Latn-CS"/>
        </w:rPr>
        <w:t>€</w:t>
      </w:r>
      <w:r w:rsidRPr="0092195A">
        <w:rPr>
          <w:lang w:val="sr-Latn-CS"/>
        </w:rPr>
        <w:t xml:space="preserve"> za rekonstrukciju dvije škole, u Gusinju i Beranama.</w:t>
      </w:r>
    </w:p>
    <w:p w:rsidR="00591EA1" w:rsidRPr="0092195A" w:rsidRDefault="00591EA1" w:rsidP="00591EA1">
      <w:pPr>
        <w:spacing w:after="0" w:line="240" w:lineRule="auto"/>
        <w:jc w:val="both"/>
        <w:rPr>
          <w:lang w:val="sr-Latn-CS"/>
        </w:rPr>
      </w:pPr>
    </w:p>
    <w:p w:rsidR="00591EA1" w:rsidRPr="0092195A" w:rsidRDefault="00591EA1" w:rsidP="00591EA1">
      <w:pPr>
        <w:spacing w:after="0" w:line="240" w:lineRule="auto"/>
        <w:jc w:val="both"/>
        <w:rPr>
          <w:lang w:val="sr-Latn-CS"/>
        </w:rPr>
      </w:pPr>
      <w:r w:rsidRPr="0092195A">
        <w:rPr>
          <w:lang w:val="sr-Latn-CS"/>
        </w:rPr>
        <w:t>U cilju kreiranja i sprovođenja jedinstvene politike za mlade, odnosno unapređenja individualnog i socijalnog razvoja mladih i sprečavanja njihovog mogućeg zapostavljanja, u pripremi je Zakon o mladima.</w:t>
      </w:r>
    </w:p>
    <w:p w:rsidR="00591EA1" w:rsidRPr="0092195A" w:rsidRDefault="00591EA1" w:rsidP="00591EA1">
      <w:pPr>
        <w:spacing w:after="0" w:line="240" w:lineRule="auto"/>
        <w:jc w:val="both"/>
        <w:rPr>
          <w:lang w:val="sr-Latn-CS"/>
        </w:rPr>
      </w:pPr>
    </w:p>
    <w:p w:rsidR="00591EA1" w:rsidRPr="00202CFA" w:rsidRDefault="00591EA1" w:rsidP="00591EA1">
      <w:pPr>
        <w:spacing w:after="0" w:line="240" w:lineRule="auto"/>
        <w:jc w:val="both"/>
        <w:rPr>
          <w:b/>
          <w:lang w:val="sr-Latn-CS"/>
        </w:rPr>
      </w:pPr>
      <w:r w:rsidRPr="00202CFA">
        <w:rPr>
          <w:b/>
          <w:lang w:val="sr-Latn-CS"/>
        </w:rPr>
        <w:t>Ekonomski rast, uz povećanje konkurentnosti preduzeća, povećanje zaposlenosti i, u krajnjem, poboljšanje kvaliteta života, u mnogome, zavisi od razvoja i primjene nauke i tehnologije, čemu se u Crnoj Gori poklanja velika pažnja.</w:t>
      </w:r>
    </w:p>
    <w:p w:rsidR="00591EA1" w:rsidRPr="00202CFA" w:rsidRDefault="00591EA1" w:rsidP="00591EA1">
      <w:pPr>
        <w:spacing w:after="0" w:line="240" w:lineRule="auto"/>
        <w:jc w:val="both"/>
        <w:rPr>
          <w:b/>
          <w:lang w:val="sr-Latn-CS"/>
        </w:rPr>
      </w:pPr>
    </w:p>
    <w:p w:rsidR="00591EA1" w:rsidRPr="00202CFA" w:rsidRDefault="00591EA1" w:rsidP="00591EA1">
      <w:pPr>
        <w:spacing w:after="0" w:line="240" w:lineRule="auto"/>
        <w:jc w:val="both"/>
        <w:rPr>
          <w:rFonts w:cs="Arial"/>
          <w:lang w:val="bs-Latn-BA"/>
        </w:rPr>
      </w:pPr>
      <w:r w:rsidRPr="00202CFA">
        <w:rPr>
          <w:rFonts w:cs="Arial"/>
          <w:lang w:val="bs-Latn-BA"/>
        </w:rPr>
        <w:t xml:space="preserve">U okviru </w:t>
      </w:r>
      <w:r w:rsidRPr="00202CFA">
        <w:rPr>
          <w:rFonts w:cs="Arial"/>
          <w:noProof/>
          <w:lang w:val="sl-SI"/>
        </w:rPr>
        <w:t xml:space="preserve">projekta </w:t>
      </w:r>
      <w:r w:rsidRPr="00202CFA">
        <w:rPr>
          <w:rFonts w:cs="Arial"/>
          <w:lang w:val="sl-SI"/>
        </w:rPr>
        <w:t>„</w:t>
      </w:r>
      <w:r w:rsidRPr="00202CFA">
        <w:rPr>
          <w:rFonts w:cs="Arial"/>
          <w:noProof/>
          <w:lang w:val="sl-SI"/>
        </w:rPr>
        <w:t>Visoko obrazovanje, istraživanje i inovacije za konkurentnost Crne Gore« (INVO), koji se finansira iz kredita Svjetske banke</w:t>
      </w:r>
      <w:r w:rsidRPr="00202CFA">
        <w:rPr>
          <w:rFonts w:cs="Arial"/>
          <w:lang w:val="bs-Latn-BA"/>
        </w:rPr>
        <w:t xml:space="preserve">, Elektrotehničkom fakultetu UCG, koji je dobio status Centra uspješnosti na prvom Konkursu za istraživačke grantove, za realizaciju naučnoistraživačkog </w:t>
      </w:r>
      <w:r w:rsidRPr="00202CFA">
        <w:rPr>
          <w:rFonts w:cs="Arial"/>
          <w:lang w:val="bs-Latn-BA"/>
        </w:rPr>
        <w:lastRenderedPageBreak/>
        <w:t>projekta „BIO-ICT“ odobrena su grant sredstva u ukupnom iznosu od 3.418,0 hilj.</w:t>
      </w:r>
      <w:r w:rsidRPr="00202CFA">
        <w:rPr>
          <w:rFonts w:cs="Calibri"/>
          <w:lang w:val="bs-Latn-BA"/>
        </w:rPr>
        <w:t>€,</w:t>
      </w:r>
      <w:r w:rsidRPr="00202CFA">
        <w:rPr>
          <w:rFonts w:cs="Arial"/>
          <w:lang w:val="bs-Latn-BA"/>
        </w:rPr>
        <w:t xml:space="preserve"> za period od tri godine. Takođe, u okviru INVO projekta, finansira se i program kolaborativnih istraživačkih grantova. Sredstva u ukupnom iznosu od 1.</w:t>
      </w:r>
      <w:r w:rsidR="00DB7DF0">
        <w:rPr>
          <w:rFonts w:cs="Arial"/>
          <w:lang w:val="bs-Latn-BA"/>
        </w:rPr>
        <w:t>34</w:t>
      </w:r>
      <w:r w:rsidR="00DB7DF0" w:rsidRPr="0092195A">
        <w:rPr>
          <w:rFonts w:eastAsia="Times New Roman" w:cs="Calibri"/>
          <w:lang w:val="bs-Latn-BA"/>
        </w:rPr>
        <w:t xml:space="preserve"> </w:t>
      </w:r>
      <w:r w:rsidR="00DB7DF0">
        <w:rPr>
          <w:rFonts w:eastAsia="Times New Roman" w:cs="Calibri"/>
        </w:rPr>
        <w:t>mil</w:t>
      </w:r>
      <w:r w:rsidR="00DB7DF0" w:rsidRPr="0092195A">
        <w:rPr>
          <w:rFonts w:eastAsia="Times New Roman" w:cs="Calibri"/>
          <w:lang w:val="bs-Latn-BA"/>
        </w:rPr>
        <w:t xml:space="preserve">.€ </w:t>
      </w:r>
      <w:r w:rsidRPr="00202CFA">
        <w:rPr>
          <w:rFonts w:cs="Arial"/>
          <w:lang w:val="bs-Latn-BA"/>
        </w:rPr>
        <w:t>dodijeljena su za četiri naučnoistraživačka granta, za period od 2014-2017. godine. Raspisan je i drugi Konkurs za istraživačke grantove, sa rokom prijave do novembra tekuće godine, sa ukupnim iznosom sredstava do 1.20</w:t>
      </w:r>
      <w:r w:rsidR="00DB7DF0" w:rsidRPr="00DB7DF0">
        <w:rPr>
          <w:rFonts w:eastAsia="Times New Roman" w:cs="Calibri"/>
        </w:rPr>
        <w:t xml:space="preserve"> </w:t>
      </w:r>
      <w:r w:rsidR="00DB7DF0">
        <w:rPr>
          <w:rFonts w:eastAsia="Times New Roman" w:cs="Calibri"/>
        </w:rPr>
        <w:t>mil.</w:t>
      </w:r>
      <w:r w:rsidR="00DB7DF0" w:rsidRPr="0073636F">
        <w:rPr>
          <w:rFonts w:eastAsia="Times New Roman" w:cs="Calibri"/>
        </w:rPr>
        <w:t>€</w:t>
      </w:r>
      <w:r w:rsidRPr="00202CFA">
        <w:rPr>
          <w:rFonts w:cs="Arial"/>
          <w:lang w:val="bs-Latn-BA"/>
        </w:rPr>
        <w:t>. Očekuje se da će rezultat programa grantova za potprojekte istraživanja i razvoja biti povezivanje istraživanja i privrede, jačanje međunarodne saradnje, privlačenje istraživača, eksperata i stvaranje preduslova za formiranje budućih centara uspješnosti.</w:t>
      </w:r>
    </w:p>
    <w:p w:rsidR="00591EA1" w:rsidRPr="00202CFA" w:rsidRDefault="00591EA1" w:rsidP="00591EA1">
      <w:pPr>
        <w:spacing w:after="0" w:line="240" w:lineRule="auto"/>
        <w:jc w:val="both"/>
        <w:rPr>
          <w:rFonts w:cs="Arial"/>
          <w:lang w:val="bs-Latn-BA"/>
        </w:rPr>
      </w:pPr>
    </w:p>
    <w:p w:rsidR="00591EA1" w:rsidRPr="00202CFA" w:rsidRDefault="00591EA1" w:rsidP="00591EA1">
      <w:pPr>
        <w:spacing w:after="0" w:line="240" w:lineRule="auto"/>
        <w:jc w:val="both"/>
        <w:rPr>
          <w:rFonts w:cs="Arial"/>
          <w:lang w:val="bs-Latn-BA"/>
        </w:rPr>
      </w:pPr>
      <w:r w:rsidRPr="00202CFA">
        <w:rPr>
          <w:rFonts w:cs="Arial"/>
          <w:lang w:val="bs-Latn-BA"/>
        </w:rPr>
        <w:t xml:space="preserve">Nakon objavljenog tendera za izradu Glavnog projekta za rekonstrukciju Doma Vojske Crne Gore u Nikšiću, za potrebe smještaja </w:t>
      </w:r>
      <w:r w:rsidRPr="00202CFA">
        <w:rPr>
          <w:rFonts w:cs="Arial"/>
          <w:b/>
          <w:lang w:val="bs-Latn-BA"/>
        </w:rPr>
        <w:t>Inovaciono preduzetničkog centra „Tehnopolis</w:t>
      </w:r>
      <w:r w:rsidRPr="00202CFA">
        <w:rPr>
          <w:rFonts w:cs="Arial"/>
          <w:lang w:val="bs-Latn-BA"/>
        </w:rPr>
        <w:t>“, rekonstruisaće se zgrada Doma Vojske Crne Gore u Nikšiću (potpisan je Ugovor o izradi tehničke dokumentacije sa izabranim konzorcijumom). Ukupna vrijednost projekta uspostavljanja „Tehnopolis“-a je 1.200,0 hilj.</w:t>
      </w:r>
      <w:r w:rsidRPr="00202CFA">
        <w:rPr>
          <w:rFonts w:cs="Calibri"/>
          <w:lang w:val="bs-Latn-BA"/>
        </w:rPr>
        <w:t>€</w:t>
      </w:r>
      <w:r w:rsidRPr="00202CFA">
        <w:rPr>
          <w:rFonts w:cs="Arial"/>
          <w:lang w:val="bs-Latn-BA"/>
        </w:rPr>
        <w:t>. Kapitalnim budžetom za 2014.godinu, za ove namjene opredijeljeno je 585,0 hilj.</w:t>
      </w:r>
      <w:r w:rsidRPr="00202CFA">
        <w:rPr>
          <w:rFonts w:cs="Calibri"/>
          <w:lang w:val="bs-Latn-BA"/>
        </w:rPr>
        <w:t>€</w:t>
      </w:r>
      <w:r w:rsidRPr="00202CFA">
        <w:rPr>
          <w:rFonts w:cs="Arial"/>
          <w:lang w:val="bs-Latn-BA"/>
        </w:rPr>
        <w:t>. Dio sredstava za opremanje „Tehnopolis“ –a obezbijediće se iz međunarodnih fondova.</w:t>
      </w:r>
    </w:p>
    <w:p w:rsidR="00591EA1" w:rsidRPr="00202CFA" w:rsidRDefault="00591EA1" w:rsidP="00591EA1">
      <w:pPr>
        <w:spacing w:after="0" w:line="240" w:lineRule="auto"/>
        <w:jc w:val="both"/>
        <w:rPr>
          <w:lang w:val="sr-Latn-CS"/>
        </w:rPr>
      </w:pPr>
    </w:p>
    <w:p w:rsidR="00591EA1" w:rsidRPr="002B3C21" w:rsidRDefault="00591EA1" w:rsidP="002B3C21">
      <w:pPr>
        <w:spacing w:after="0" w:line="240" w:lineRule="auto"/>
        <w:jc w:val="both"/>
        <w:rPr>
          <w:lang w:val="sr-Latn-CS"/>
        </w:rPr>
      </w:pPr>
      <w:r w:rsidRPr="00202CFA">
        <w:rPr>
          <w:lang w:val="sr-Latn-CS"/>
        </w:rPr>
        <w:t>Radi se na unapređenju naučne i tehnološke saradnje sa drugim zemljama, sve u cilju razvoja istraživačkih mreža, kao i povećanju kompetitivnosti naših istraživača i ustanova u programima međunarodne saradnje. Objavljeni su konkursi za sufinansiranje naučne i tehnološke saradnje između Crne Gore i Republike Turske za period 2015-2016. i Crne Gore i Republike Austrije, kao i Konkurs za sufinansiranje naučne saradnje između Crne Gore i Hrvatske za isti period. Mješovite komisije za naučno-tehnološku saradnju između Crne Gore i Bosne i Hercegovine, kao i Crne Gore i Slovenije odobrile su 13, odnosno 18 projekata koji će biti finansirani u 2014. i 2015. godini (svaka zemlja se obavezala da plaća, godišnje, po 1,5 hilj.</w:t>
      </w:r>
      <w:r w:rsidRPr="00202CFA">
        <w:rPr>
          <w:rFonts w:cs="Calibri"/>
          <w:lang w:val="sr-Latn-CS"/>
        </w:rPr>
        <w:t>€</w:t>
      </w:r>
      <w:r w:rsidRPr="00202CFA">
        <w:rPr>
          <w:lang w:val="sr-Latn-CS"/>
        </w:rPr>
        <w:t xml:space="preserve"> po projektu).</w:t>
      </w:r>
    </w:p>
    <w:p w:rsidR="00276884" w:rsidRPr="002B3C21" w:rsidRDefault="00276884" w:rsidP="00F06FFE">
      <w:pPr>
        <w:pStyle w:val="Heading3"/>
        <w:rPr>
          <w:sz w:val="22"/>
        </w:rPr>
      </w:pPr>
      <w:bookmarkStart w:id="56" w:name="_Toc389745301"/>
      <w:r w:rsidRPr="002B3C21">
        <w:rPr>
          <w:sz w:val="22"/>
        </w:rPr>
        <w:t xml:space="preserve">Penzijski i zdravstveni </w:t>
      </w:r>
      <w:r w:rsidR="00005E1A" w:rsidRPr="002B3C21">
        <w:rPr>
          <w:sz w:val="22"/>
        </w:rPr>
        <w:t>si</w:t>
      </w:r>
      <w:r w:rsidR="0023154E" w:rsidRPr="002B3C21">
        <w:rPr>
          <w:sz w:val="22"/>
        </w:rPr>
        <w:t>stem</w:t>
      </w:r>
      <w:bookmarkEnd w:id="56"/>
    </w:p>
    <w:p w:rsidR="00B45FBF" w:rsidRPr="009D407D" w:rsidRDefault="00B45FBF" w:rsidP="00B45FBF">
      <w:pPr>
        <w:spacing w:after="0" w:line="240" w:lineRule="auto"/>
      </w:pPr>
    </w:p>
    <w:p w:rsidR="00C07874" w:rsidRPr="00202CFA" w:rsidRDefault="00C07874" w:rsidP="00A80B5C">
      <w:pPr>
        <w:spacing w:after="0" w:line="240" w:lineRule="auto"/>
        <w:jc w:val="both"/>
        <w:rPr>
          <w:rFonts w:asciiTheme="minorHAnsi" w:hAnsiTheme="minorHAnsi"/>
        </w:rPr>
      </w:pPr>
      <w:r w:rsidRPr="00202CFA">
        <w:rPr>
          <w:b/>
        </w:rPr>
        <w:t>U cilju poboljšanja materijalnog položaja penzionera</w:t>
      </w:r>
      <w:r w:rsidRPr="00202CFA">
        <w:rPr>
          <w:rFonts w:asciiTheme="minorHAnsi" w:hAnsiTheme="minorHAnsi"/>
          <w:b/>
        </w:rPr>
        <w:t>,</w:t>
      </w:r>
      <w:r w:rsidRPr="00202CFA">
        <w:rPr>
          <w:b/>
        </w:rPr>
        <w:t xml:space="preserve"> u narednom periodu, ukinuće se mjera konsolidacije, koja se odnosi na zamrzavanje penzija.</w:t>
      </w:r>
    </w:p>
    <w:p w:rsidR="00C07874" w:rsidRPr="00202CFA" w:rsidRDefault="00C07874" w:rsidP="00A80B5C">
      <w:pPr>
        <w:spacing w:after="0" w:line="240" w:lineRule="auto"/>
        <w:jc w:val="both"/>
        <w:rPr>
          <w:rFonts w:asciiTheme="minorHAnsi" w:hAnsiTheme="minorHAnsi"/>
          <w:lang w:val="sr-Latn-CS"/>
        </w:rPr>
      </w:pPr>
    </w:p>
    <w:p w:rsidR="00C07874" w:rsidRPr="00202CFA" w:rsidRDefault="00C07874" w:rsidP="00A80B5C">
      <w:pPr>
        <w:spacing w:after="0" w:line="240" w:lineRule="auto"/>
        <w:jc w:val="both"/>
        <w:rPr>
          <w:rFonts w:asciiTheme="minorHAnsi" w:hAnsiTheme="minorHAnsi"/>
        </w:rPr>
      </w:pPr>
      <w:r w:rsidRPr="00202CFA">
        <w:rPr>
          <w:rFonts w:asciiTheme="minorHAnsi" w:hAnsiTheme="minorHAnsi"/>
        </w:rPr>
        <w:t xml:space="preserve">Prosječna penzija za period januar-april iznosila je 275,32 </w:t>
      </w:r>
      <w:r w:rsidRPr="00202CFA">
        <w:rPr>
          <w:rFonts w:asciiTheme="minorHAnsi" w:hAnsiTheme="minorHAnsi" w:cstheme="minorHAnsi"/>
        </w:rPr>
        <w:t>€</w:t>
      </w:r>
      <w:r w:rsidRPr="00202CFA">
        <w:rPr>
          <w:rFonts w:asciiTheme="minorHAnsi" w:hAnsiTheme="minorHAnsi"/>
        </w:rPr>
        <w:t>. Potrebna sredstva za isplatu prava iz penzijskog i invalidskog osiguranja, za april mjesec, iznosila su 32,12 mil.</w:t>
      </w:r>
      <w:r w:rsidRPr="00202CFA">
        <w:rPr>
          <w:rFonts w:asciiTheme="minorHAnsi" w:hAnsiTheme="minorHAnsi" w:cstheme="minorHAnsi"/>
        </w:rPr>
        <w:t>€</w:t>
      </w:r>
      <w:r w:rsidRPr="00202CFA">
        <w:rPr>
          <w:rFonts w:asciiTheme="minorHAnsi" w:hAnsiTheme="minorHAnsi"/>
        </w:rPr>
        <w:t>, a broj korisnika prava iznosio je 124.763, od čega su 109.081 korisnika penzije u Crnoj Gori (57.127 starosnih, 23.024 invalidskih, 28.930 porodičnih) i 7.948 inostranih, dok je 7.734 korisnika ostalih prava iz PIO.</w:t>
      </w:r>
    </w:p>
    <w:p w:rsidR="00C07874" w:rsidRPr="00202CFA" w:rsidRDefault="00C07874" w:rsidP="00A80B5C">
      <w:pPr>
        <w:spacing w:after="0" w:line="240" w:lineRule="auto"/>
        <w:jc w:val="both"/>
        <w:rPr>
          <w:rFonts w:asciiTheme="minorHAnsi" w:hAnsiTheme="minorHAnsi"/>
        </w:rPr>
      </w:pPr>
    </w:p>
    <w:p w:rsidR="00C07874" w:rsidRPr="00202CFA" w:rsidRDefault="00C07874" w:rsidP="00A80B5C">
      <w:pPr>
        <w:spacing w:after="0" w:line="240" w:lineRule="auto"/>
        <w:jc w:val="both"/>
        <w:rPr>
          <w:rFonts w:asciiTheme="minorHAnsi" w:hAnsiTheme="minorHAnsi" w:cs="Arial"/>
          <w:bCs/>
        </w:rPr>
      </w:pPr>
      <w:r w:rsidRPr="00202CFA">
        <w:rPr>
          <w:rFonts w:asciiTheme="minorHAnsi" w:hAnsiTheme="minorHAnsi" w:cs="Arial"/>
        </w:rPr>
        <w:t>Od početka reforme penzijskog sistema, preduzimaju su brojne aktivnosti na poboljšanju materijalnog položaja penzionera, koje se odnose na</w:t>
      </w:r>
      <w:r w:rsidRPr="00202CFA">
        <w:rPr>
          <w:rFonts w:asciiTheme="minorHAnsi" w:hAnsiTheme="minorHAnsi" w:cs="Arial"/>
          <w:bCs/>
        </w:rPr>
        <w:t xml:space="preserve"> jednokratne pomoći penzionerima, subvencije u nabavci prehrambenih namirnica, subvencioniranje odmora i rekreacije u odmaralištima na Žabljaku i Ulcinju, kao i sufinansiranje stambene izgradnje za njihove potrebe.</w:t>
      </w:r>
    </w:p>
    <w:p w:rsidR="00C07874" w:rsidRPr="00202CFA" w:rsidRDefault="00C07874" w:rsidP="00A80B5C">
      <w:pPr>
        <w:spacing w:after="0" w:line="240" w:lineRule="auto"/>
        <w:jc w:val="both"/>
        <w:rPr>
          <w:b/>
          <w:lang w:val="sr-Latn-CS"/>
        </w:rPr>
      </w:pPr>
    </w:p>
    <w:p w:rsidR="00C07874" w:rsidRPr="00202CFA" w:rsidRDefault="00C07874" w:rsidP="00A80B5C">
      <w:pPr>
        <w:spacing w:after="0" w:line="240" w:lineRule="auto"/>
        <w:jc w:val="both"/>
        <w:rPr>
          <w:b/>
          <w:lang w:val="sr-Latn-CS"/>
        </w:rPr>
      </w:pPr>
      <w:r w:rsidRPr="00202CFA">
        <w:rPr>
          <w:b/>
          <w:lang w:val="sr-Latn-CS"/>
        </w:rPr>
        <w:t>Reformske aktivnosti u pravcu vertikalnog povezivanja primarnog, sekundarnog i tercijalnog nivoa zdravstvene zaštite, te povezanosti u odnosu na lokalnu zajednicu (horizontalno), usmjerene su na stvaranju održivog i integrisanog sistema zdravstvene zaštite.</w:t>
      </w:r>
      <w:r w:rsidRPr="00202CFA">
        <w:rPr>
          <w:lang w:val="sr-Latn-CS"/>
        </w:rPr>
        <w:t xml:space="preserve"> Utvrđen je Predlog</w:t>
      </w:r>
      <w:r w:rsidRPr="00202CFA">
        <w:rPr>
          <w:b/>
          <w:lang w:val="sr-Latn-CS"/>
        </w:rPr>
        <w:t xml:space="preserve"> </w:t>
      </w:r>
      <w:r w:rsidR="005520F7">
        <w:rPr>
          <w:lang w:val="sr-Latn-CS"/>
        </w:rPr>
        <w:t>zakona o zdravstvenoj zaštiti</w:t>
      </w:r>
      <w:r w:rsidRPr="00202CFA">
        <w:rPr>
          <w:lang w:val="sr-Latn-CS"/>
        </w:rPr>
        <w:t xml:space="preserve">, čijim donošenjem </w:t>
      </w:r>
      <w:r w:rsidR="005520F7">
        <w:rPr>
          <w:lang w:val="sr-Latn-CS"/>
        </w:rPr>
        <w:t xml:space="preserve">će </w:t>
      </w:r>
      <w:r w:rsidRPr="00202CFA">
        <w:rPr>
          <w:lang w:val="sr-Latn-CS"/>
        </w:rPr>
        <w:t>se stv</w:t>
      </w:r>
      <w:r w:rsidR="005520F7">
        <w:rPr>
          <w:lang w:val="sr-Latn-CS"/>
        </w:rPr>
        <w:t>oriti</w:t>
      </w:r>
      <w:r w:rsidRPr="00202CFA">
        <w:rPr>
          <w:lang w:val="sr-Latn-CS"/>
        </w:rPr>
        <w:t xml:space="preserve"> uslovi za racionalizaciju mreže zdravstvenih ustanova kao optimalnog prostornog rasporeda kapaciteta javnih zdravstvenih institucija</w:t>
      </w:r>
    </w:p>
    <w:p w:rsidR="00C07874" w:rsidRPr="00202CFA" w:rsidRDefault="00C07874" w:rsidP="00A80B5C">
      <w:pPr>
        <w:spacing w:after="0" w:line="240" w:lineRule="auto"/>
        <w:jc w:val="both"/>
        <w:rPr>
          <w:b/>
          <w:lang w:val="sr-Latn-CS"/>
        </w:rPr>
      </w:pPr>
    </w:p>
    <w:p w:rsidR="00C07874" w:rsidRPr="0092195A" w:rsidRDefault="00C07874" w:rsidP="00A80B5C">
      <w:pPr>
        <w:spacing w:after="0" w:line="240" w:lineRule="auto"/>
        <w:jc w:val="both"/>
        <w:rPr>
          <w:lang w:val="sr-Latn-CS"/>
        </w:rPr>
      </w:pPr>
      <w:r w:rsidRPr="0092195A">
        <w:rPr>
          <w:rFonts w:cs="Calibri"/>
          <w:lang w:val="sr-Latn-CS"/>
        </w:rPr>
        <w:t>U</w:t>
      </w:r>
      <w:r w:rsidRPr="0092195A">
        <w:rPr>
          <w:lang w:val="sr-Latn-CS"/>
        </w:rPr>
        <w:t xml:space="preserve">spostavljanjem saradnje sa evropskim i zemljama regiona i angažovanjem eminentnih stručnjaka za pojedine oblasti medicine značajno se doprinosi kvalitetu zdravstvenih usluga. S tim u vezi, uspostavljena je saradnju sa Nacionalnim društvom za onkologiju i palijativnu njegu Hrvatske, što je, uz prikupljene podatke </w:t>
      </w:r>
      <w:r w:rsidR="005520F7" w:rsidRPr="0092195A">
        <w:rPr>
          <w:lang w:val="sr-Latn-CS"/>
        </w:rPr>
        <w:t xml:space="preserve">i </w:t>
      </w:r>
      <w:r w:rsidRPr="0092195A">
        <w:rPr>
          <w:lang w:val="sr-Latn-CS"/>
        </w:rPr>
        <w:t>urađene analize, značajan input za izradu strateškog dokumenta koji tretira ovu oblast.</w:t>
      </w:r>
    </w:p>
    <w:p w:rsidR="00C07874" w:rsidRPr="00202CFA" w:rsidRDefault="00C07874" w:rsidP="00A80B5C">
      <w:pPr>
        <w:spacing w:after="0" w:line="240" w:lineRule="auto"/>
        <w:jc w:val="both"/>
        <w:rPr>
          <w:lang w:val="sr-Latn-CS"/>
        </w:rPr>
      </w:pPr>
    </w:p>
    <w:p w:rsidR="00C07874" w:rsidRPr="0092195A" w:rsidRDefault="00C07874" w:rsidP="00A80B5C">
      <w:pPr>
        <w:spacing w:after="0" w:line="240" w:lineRule="auto"/>
        <w:jc w:val="both"/>
        <w:rPr>
          <w:rFonts w:asciiTheme="minorHAnsi" w:eastAsia="Times New Roman" w:hAnsiTheme="minorHAnsi" w:cstheme="minorHAnsi"/>
          <w:lang w:val="sr-Latn-CS"/>
        </w:rPr>
      </w:pPr>
      <w:r w:rsidRPr="0092195A">
        <w:rPr>
          <w:rFonts w:asciiTheme="minorHAnsi" w:eastAsia="Times New Roman" w:hAnsiTheme="minorHAnsi" w:cstheme="minorHAnsi"/>
          <w:lang w:val="sr-Latn-CS"/>
        </w:rPr>
        <w:lastRenderedPageBreak/>
        <w:t xml:space="preserve">U cilju poboljšanju opšteg zdravstvenog stanja populacije, odnosno unapređenja mentalnog zdravlja, </w:t>
      </w:r>
      <w:r w:rsidRPr="00202CFA">
        <w:rPr>
          <w:rFonts w:asciiTheme="minorHAnsi" w:hAnsiTheme="minorHAnsi" w:cstheme="minorHAnsi"/>
          <w:lang w:val="sr-Latn-CS"/>
        </w:rPr>
        <w:t xml:space="preserve">osnivan je Nacionalni Centar za unapređenje mentalnog zdravlja u Crnoj Gori. Centar, pored </w:t>
      </w:r>
      <w:r w:rsidRPr="0092195A">
        <w:rPr>
          <w:rFonts w:asciiTheme="minorHAnsi" w:eastAsia="Times New Roman" w:hAnsiTheme="minorHAnsi" w:cstheme="minorHAnsi"/>
          <w:lang w:val="sr-Latn-CS"/>
        </w:rPr>
        <w:t xml:space="preserve">pružanja direktne pomoć u rješavanju problema mentalnog zdravlja, sprovodi značajne aktivnosti u </w:t>
      </w:r>
      <w:r w:rsidRPr="0092195A">
        <w:rPr>
          <w:rFonts w:asciiTheme="minorHAnsi" w:hAnsiTheme="minorHAnsi" w:cstheme="minorHAnsi"/>
          <w:lang w:val="sr-Latn-CS"/>
        </w:rPr>
        <w:t>borbi protiv stigmatizacije i učestvuje u kreiranju vizije i politika koje se tiču mentalnog zdravlja.</w:t>
      </w:r>
    </w:p>
    <w:p w:rsidR="00C07874" w:rsidRPr="00202CFA" w:rsidRDefault="00C07874" w:rsidP="00A80B5C">
      <w:pPr>
        <w:spacing w:after="0" w:line="240" w:lineRule="auto"/>
        <w:jc w:val="both"/>
        <w:rPr>
          <w:lang w:val="sr-Latn-CS"/>
        </w:rPr>
      </w:pPr>
    </w:p>
    <w:p w:rsidR="00C07874" w:rsidRPr="00202CFA" w:rsidRDefault="00C07874" w:rsidP="00A80B5C">
      <w:pPr>
        <w:spacing w:after="0" w:line="240" w:lineRule="auto"/>
        <w:jc w:val="both"/>
        <w:rPr>
          <w:lang w:val="sr-Latn-CS"/>
        </w:rPr>
      </w:pPr>
      <w:r w:rsidRPr="0092195A">
        <w:rPr>
          <w:lang w:val="sr-Latn-CS"/>
        </w:rPr>
        <w:t>U cilju lakšeg ostvarivanja zdravstvene zaštite uvedeno je propisivanja višekratnih uputa za određene kategorije pacijenata. Takođe,</w:t>
      </w:r>
      <w:r w:rsidRPr="00202CFA">
        <w:rPr>
          <w:lang w:val="sr-Latn-CS"/>
        </w:rPr>
        <w:t xml:space="preserve"> građanima je omogućeno da direktno, bez potvrde, ostvare besplatnu zdravstvenu zaštitu u privatnim ustanovama sa kojima Fond za zdravstveno osiguranje ima potpisan ugovor, ukoliko tu uslugu ne mogu da ostvare u roku od 30 dana u javnim zdravstvenim ustanovama, kao i operativne procedure ukoliko se one ne mogu obaviti u roku od 90 dana u javnim zdravstvenim ustanovama.</w:t>
      </w:r>
    </w:p>
    <w:p w:rsidR="00276884" w:rsidRPr="002B3C21" w:rsidRDefault="00276884" w:rsidP="00F06FFE">
      <w:pPr>
        <w:pStyle w:val="Heading3"/>
        <w:rPr>
          <w:sz w:val="22"/>
        </w:rPr>
      </w:pPr>
      <w:r w:rsidRPr="002B3C21">
        <w:rPr>
          <w:sz w:val="22"/>
          <w:lang w:val="sr-Latn-CS"/>
        </w:rPr>
        <w:t xml:space="preserve"> </w:t>
      </w:r>
      <w:bookmarkStart w:id="57" w:name="_Toc389745302"/>
      <w:r w:rsidRPr="002B3C21">
        <w:rPr>
          <w:sz w:val="22"/>
        </w:rPr>
        <w:t>Socijalna zaštita</w:t>
      </w:r>
      <w:bookmarkEnd w:id="57"/>
    </w:p>
    <w:p w:rsidR="00332CD0" w:rsidRPr="00332CD0" w:rsidRDefault="00332CD0" w:rsidP="00332CD0"/>
    <w:p w:rsidR="00C07874" w:rsidRDefault="00C07874" w:rsidP="00C07874">
      <w:pPr>
        <w:spacing w:after="0" w:line="240" w:lineRule="auto"/>
        <w:jc w:val="both"/>
        <w:rPr>
          <w:rFonts w:cs="Calibri"/>
          <w:b/>
          <w:lang w:val="sr-Latn-CS"/>
        </w:rPr>
      </w:pPr>
      <w:r w:rsidRPr="00FB0C99">
        <w:rPr>
          <w:rFonts w:cs="Calibri"/>
          <w:b/>
          <w:lang w:val="sr-Latn-CS"/>
        </w:rPr>
        <w:t>U oblasti socijalne i dječje zaštite, u kontinuitetu se implementira niz sistemskih i vaninstitucionalnih mjera i aktivnosti koje treba da doprinesu jačanju socijalne sigurnosti siromašnih i rizičnih djelova stanovništva i, s tim u vezi, ublažavanju negativnih posledica siromaštava.</w:t>
      </w:r>
    </w:p>
    <w:p w:rsidR="00C07874" w:rsidRPr="00FB0C99" w:rsidRDefault="00C07874" w:rsidP="00C07874">
      <w:pPr>
        <w:spacing w:after="0" w:line="240" w:lineRule="auto"/>
        <w:jc w:val="both"/>
        <w:rPr>
          <w:rFonts w:cs="Calibri"/>
          <w:lang w:val="sr-Latn-CS"/>
        </w:rPr>
      </w:pPr>
    </w:p>
    <w:p w:rsidR="00C07874" w:rsidRDefault="00C07874" w:rsidP="00C07874">
      <w:pPr>
        <w:spacing w:after="0" w:line="240" w:lineRule="auto"/>
        <w:jc w:val="both"/>
        <w:rPr>
          <w:rFonts w:cs="Calibri"/>
        </w:rPr>
      </w:pPr>
      <w:r w:rsidRPr="0092195A">
        <w:rPr>
          <w:rFonts w:cs="Calibri"/>
          <w:lang w:val="sr-Latn-CS"/>
        </w:rPr>
        <w:t xml:space="preserve">U 2014. godini, radilo se na stvaranju uslova za potpunu primjenu Zakona o socijalnoj i dječjoj zaštiti. </w:t>
      </w:r>
      <w:r w:rsidRPr="00FB0C99">
        <w:rPr>
          <w:rFonts w:cs="Calibri"/>
        </w:rPr>
        <w:t>U tom smislu:</w:t>
      </w:r>
    </w:p>
    <w:p w:rsidR="00C07874" w:rsidRPr="00A80B5C" w:rsidRDefault="00C07874" w:rsidP="00C07874">
      <w:pPr>
        <w:spacing w:after="0" w:line="240" w:lineRule="auto"/>
        <w:jc w:val="both"/>
        <w:rPr>
          <w:rFonts w:asciiTheme="minorHAnsi" w:hAnsiTheme="minorHAnsi" w:cstheme="minorHAnsi"/>
          <w:sz w:val="24"/>
        </w:rPr>
      </w:pPr>
    </w:p>
    <w:p w:rsidR="00C07874" w:rsidRPr="00A80B5C" w:rsidRDefault="00C07874" w:rsidP="00C07874">
      <w:pPr>
        <w:pStyle w:val="ListParagraph"/>
        <w:numPr>
          <w:ilvl w:val="0"/>
          <w:numId w:val="23"/>
        </w:numPr>
        <w:spacing w:after="0" w:line="240" w:lineRule="auto"/>
        <w:contextualSpacing/>
        <w:jc w:val="both"/>
        <w:rPr>
          <w:rFonts w:asciiTheme="minorHAnsi" w:hAnsiTheme="minorHAnsi" w:cstheme="minorHAnsi"/>
          <w:sz w:val="22"/>
          <w:lang w:val="en-GB"/>
        </w:rPr>
      </w:pPr>
      <w:r w:rsidRPr="00A80B5C">
        <w:rPr>
          <w:rFonts w:asciiTheme="minorHAnsi" w:hAnsiTheme="minorHAnsi" w:cstheme="minorHAnsi"/>
          <w:sz w:val="22"/>
        </w:rPr>
        <w:t>donesen je niz pravilnika (</w:t>
      </w:r>
      <w:r w:rsidRPr="00A80B5C">
        <w:rPr>
          <w:rFonts w:asciiTheme="minorHAnsi" w:hAnsiTheme="minorHAnsi" w:cstheme="minorHAnsi"/>
          <w:bCs/>
          <w:iCs/>
          <w:sz w:val="22"/>
          <w:lang w:val="pl-PL"/>
        </w:rPr>
        <w:t>Pravilnik o sadržini i obliku individualnog plana aktivacije i načinu sprovođenja mjera socijalne uključenosti radno sposobnih korisnika materijalnog obezbjeđenja</w:t>
      </w:r>
      <w:r w:rsidRPr="00A80B5C">
        <w:rPr>
          <w:rFonts w:asciiTheme="minorHAnsi" w:hAnsiTheme="minorHAnsi" w:cstheme="minorHAnsi"/>
          <w:sz w:val="22"/>
        </w:rPr>
        <w:t xml:space="preserve">; </w:t>
      </w:r>
      <w:r w:rsidRPr="00A80B5C">
        <w:rPr>
          <w:rStyle w:val="longtext"/>
          <w:rFonts w:asciiTheme="minorHAnsi" w:hAnsiTheme="minorHAnsi" w:cstheme="minorHAnsi"/>
          <w:bCs/>
          <w:iCs/>
          <w:sz w:val="22"/>
          <w:shd w:val="clear" w:color="auto" w:fill="FFFFFF"/>
        </w:rPr>
        <w:t>Pravilnik</w:t>
      </w:r>
      <w:r w:rsidRPr="00A80B5C">
        <w:rPr>
          <w:rStyle w:val="longtext"/>
          <w:rFonts w:asciiTheme="minorHAnsi" w:hAnsiTheme="minorHAnsi" w:cstheme="minorHAnsi"/>
          <w:bCs/>
          <w:iCs/>
          <w:sz w:val="22"/>
        </w:rPr>
        <w:t xml:space="preserve"> </w:t>
      </w:r>
      <w:r w:rsidRPr="00A80B5C">
        <w:rPr>
          <w:rStyle w:val="longtext"/>
          <w:rFonts w:asciiTheme="minorHAnsi" w:hAnsiTheme="minorHAnsi" w:cstheme="minorHAnsi"/>
          <w:bCs/>
          <w:iCs/>
          <w:sz w:val="22"/>
          <w:shd w:val="clear" w:color="auto" w:fill="FFFFFF"/>
        </w:rPr>
        <w:t>o sadržaju baze podataka i sadržaju i načinu vođenja evidencija u socijalnoj i dječjoj zaštiti</w:t>
      </w:r>
      <w:r w:rsidRPr="00A80B5C">
        <w:rPr>
          <w:rFonts w:asciiTheme="minorHAnsi" w:hAnsiTheme="minorHAnsi" w:cstheme="minorHAnsi"/>
          <w:sz w:val="22"/>
        </w:rPr>
        <w:t xml:space="preserve">; </w:t>
      </w:r>
      <w:r w:rsidRPr="00A80B5C">
        <w:rPr>
          <w:rFonts w:asciiTheme="minorHAnsi" w:hAnsiTheme="minorHAnsi" w:cstheme="minorHAnsi"/>
          <w:bCs/>
          <w:iCs/>
          <w:sz w:val="22"/>
        </w:rPr>
        <w:t>Pravilnik o bližim uslovima i standardima za obavlјanje stručnih poslova u socijalnoj i dječjoj zaštiti</w:t>
      </w:r>
      <w:r w:rsidRPr="00A80B5C">
        <w:rPr>
          <w:rFonts w:asciiTheme="minorHAnsi" w:hAnsiTheme="minorHAnsi" w:cstheme="minorHAnsi"/>
          <w:sz w:val="22"/>
        </w:rPr>
        <w:t xml:space="preserve">; </w:t>
      </w:r>
      <w:r w:rsidRPr="00A80B5C">
        <w:rPr>
          <w:rFonts w:asciiTheme="minorHAnsi" w:hAnsiTheme="minorHAnsi" w:cstheme="minorHAnsi"/>
          <w:iCs/>
          <w:sz w:val="22"/>
          <w:lang w:val="pt-PT"/>
        </w:rPr>
        <w:t xml:space="preserve">Pravilnik </w:t>
      </w:r>
      <w:r w:rsidRPr="00A80B5C">
        <w:rPr>
          <w:rFonts w:asciiTheme="minorHAnsi" w:hAnsiTheme="minorHAnsi" w:cstheme="minorHAnsi"/>
          <w:iCs/>
          <w:sz w:val="22"/>
          <w:lang w:val="pl-PL"/>
        </w:rPr>
        <w:t>o organizaciji, normativima, standardima i načinu rada centara za socijalni rad i</w:t>
      </w:r>
      <w:r w:rsidRPr="00A80B5C">
        <w:rPr>
          <w:rFonts w:asciiTheme="minorHAnsi" w:hAnsiTheme="minorHAnsi" w:cstheme="minorHAnsi"/>
          <w:sz w:val="22"/>
          <w:lang w:val="pl-PL"/>
        </w:rPr>
        <w:t xml:space="preserve"> </w:t>
      </w:r>
      <w:r w:rsidRPr="00A80B5C">
        <w:rPr>
          <w:rFonts w:asciiTheme="minorHAnsi" w:hAnsiTheme="minorHAnsi" w:cstheme="minorHAnsi"/>
          <w:bCs/>
          <w:sz w:val="22"/>
          <w:lang w:val="pl-PL"/>
        </w:rPr>
        <w:t>Pravilnik o bli</w:t>
      </w:r>
      <w:r w:rsidRPr="00A80B5C">
        <w:rPr>
          <w:rFonts w:asciiTheme="minorHAnsi" w:hAnsiTheme="minorHAnsi" w:cstheme="minorHAnsi"/>
          <w:bCs/>
          <w:sz w:val="22"/>
        </w:rPr>
        <w:t>ž</w:t>
      </w:r>
      <w:r w:rsidRPr="00A80B5C">
        <w:rPr>
          <w:rFonts w:asciiTheme="minorHAnsi" w:hAnsiTheme="minorHAnsi" w:cstheme="minorHAnsi"/>
          <w:bCs/>
          <w:sz w:val="22"/>
          <w:lang w:val="pl-PL"/>
        </w:rPr>
        <w:t>im uslovima za pru</w:t>
      </w:r>
      <w:r w:rsidRPr="00A80B5C">
        <w:rPr>
          <w:rFonts w:asciiTheme="minorHAnsi" w:hAnsiTheme="minorHAnsi" w:cstheme="minorHAnsi"/>
          <w:bCs/>
          <w:sz w:val="22"/>
        </w:rPr>
        <w:t>ž</w:t>
      </w:r>
      <w:r w:rsidRPr="00A80B5C">
        <w:rPr>
          <w:rFonts w:asciiTheme="minorHAnsi" w:hAnsiTheme="minorHAnsi" w:cstheme="minorHAnsi"/>
          <w:bCs/>
          <w:sz w:val="22"/>
          <w:lang w:val="pl-PL"/>
        </w:rPr>
        <w:t>anje i kori</w:t>
      </w:r>
      <w:r w:rsidRPr="00A80B5C">
        <w:rPr>
          <w:rFonts w:asciiTheme="minorHAnsi" w:hAnsiTheme="minorHAnsi" w:cstheme="minorHAnsi"/>
          <w:bCs/>
          <w:sz w:val="22"/>
        </w:rPr>
        <w:t>šć</w:t>
      </w:r>
      <w:r w:rsidRPr="00A80B5C">
        <w:rPr>
          <w:rFonts w:asciiTheme="minorHAnsi" w:hAnsiTheme="minorHAnsi" w:cstheme="minorHAnsi"/>
          <w:bCs/>
          <w:sz w:val="22"/>
          <w:lang w:val="pl-PL"/>
        </w:rPr>
        <w:t>enje usluga porodi</w:t>
      </w:r>
      <w:r w:rsidRPr="00A80B5C">
        <w:rPr>
          <w:rFonts w:asciiTheme="minorHAnsi" w:hAnsiTheme="minorHAnsi" w:cstheme="minorHAnsi"/>
          <w:bCs/>
          <w:sz w:val="22"/>
        </w:rPr>
        <w:t>č</w:t>
      </w:r>
      <w:r w:rsidRPr="00A80B5C">
        <w:rPr>
          <w:rFonts w:asciiTheme="minorHAnsi" w:hAnsiTheme="minorHAnsi" w:cstheme="minorHAnsi"/>
          <w:bCs/>
          <w:sz w:val="22"/>
          <w:lang w:val="pl-PL"/>
        </w:rPr>
        <w:t>nog smje</w:t>
      </w:r>
      <w:r w:rsidRPr="00A80B5C">
        <w:rPr>
          <w:rFonts w:asciiTheme="minorHAnsi" w:hAnsiTheme="minorHAnsi" w:cstheme="minorHAnsi"/>
          <w:bCs/>
          <w:sz w:val="22"/>
        </w:rPr>
        <w:t>š</w:t>
      </w:r>
      <w:r w:rsidRPr="00A80B5C">
        <w:rPr>
          <w:rFonts w:asciiTheme="minorHAnsi" w:hAnsiTheme="minorHAnsi" w:cstheme="minorHAnsi"/>
          <w:bCs/>
          <w:sz w:val="22"/>
          <w:lang w:val="pl-PL"/>
        </w:rPr>
        <w:t>taja</w:t>
      </w:r>
      <w:r w:rsidRPr="00A80B5C">
        <w:rPr>
          <w:rFonts w:asciiTheme="minorHAnsi" w:hAnsiTheme="minorHAnsi" w:cstheme="minorHAnsi"/>
          <w:bCs/>
          <w:sz w:val="22"/>
        </w:rPr>
        <w:t>-</w:t>
      </w:r>
      <w:r w:rsidRPr="00A80B5C">
        <w:rPr>
          <w:rFonts w:asciiTheme="minorHAnsi" w:hAnsiTheme="minorHAnsi" w:cstheme="minorHAnsi"/>
          <w:bCs/>
          <w:sz w:val="22"/>
          <w:lang w:val="pl-PL"/>
        </w:rPr>
        <w:t>hraniteljstva i porodi</w:t>
      </w:r>
      <w:r w:rsidRPr="00A80B5C">
        <w:rPr>
          <w:rFonts w:asciiTheme="minorHAnsi" w:hAnsiTheme="minorHAnsi" w:cstheme="minorHAnsi"/>
          <w:bCs/>
          <w:sz w:val="22"/>
        </w:rPr>
        <w:t>č</w:t>
      </w:r>
      <w:r w:rsidRPr="00A80B5C">
        <w:rPr>
          <w:rFonts w:asciiTheme="minorHAnsi" w:hAnsiTheme="minorHAnsi" w:cstheme="minorHAnsi"/>
          <w:bCs/>
          <w:sz w:val="22"/>
          <w:lang w:val="pl-PL"/>
        </w:rPr>
        <w:t>nog smje</w:t>
      </w:r>
      <w:r w:rsidRPr="00A80B5C">
        <w:rPr>
          <w:rFonts w:asciiTheme="minorHAnsi" w:hAnsiTheme="minorHAnsi" w:cstheme="minorHAnsi"/>
          <w:bCs/>
          <w:sz w:val="22"/>
        </w:rPr>
        <w:t>š</w:t>
      </w:r>
      <w:r w:rsidRPr="00A80B5C">
        <w:rPr>
          <w:rFonts w:asciiTheme="minorHAnsi" w:hAnsiTheme="minorHAnsi" w:cstheme="minorHAnsi"/>
          <w:bCs/>
          <w:sz w:val="22"/>
          <w:lang w:val="pl-PL"/>
        </w:rPr>
        <w:t>taja);</w:t>
      </w:r>
    </w:p>
    <w:p w:rsidR="00C07874" w:rsidRPr="00A80B5C" w:rsidRDefault="00C07874" w:rsidP="00C07874">
      <w:pPr>
        <w:pStyle w:val="ListParagraph"/>
        <w:numPr>
          <w:ilvl w:val="0"/>
          <w:numId w:val="23"/>
        </w:numPr>
        <w:spacing w:after="0" w:line="240" w:lineRule="auto"/>
        <w:contextualSpacing/>
        <w:jc w:val="both"/>
        <w:rPr>
          <w:rFonts w:asciiTheme="minorHAnsi" w:hAnsiTheme="minorHAnsi" w:cstheme="minorHAnsi"/>
          <w:sz w:val="22"/>
          <w:lang w:val="sr-Latn-CS"/>
        </w:rPr>
      </w:pPr>
      <w:r w:rsidRPr="00A80B5C">
        <w:rPr>
          <w:rFonts w:asciiTheme="minorHAnsi" w:hAnsiTheme="minorHAnsi" w:cstheme="minorHAnsi"/>
          <w:sz w:val="22"/>
          <w:lang w:val="sr-Latn-CS"/>
        </w:rPr>
        <w:t xml:space="preserve">stvorene su zakonske predpostavke za osnivanje Zavoda za socijalnu i dječju zaštitu u kome će se obavljati </w:t>
      </w:r>
      <w:r w:rsidRPr="00A80B5C">
        <w:rPr>
          <w:rFonts w:asciiTheme="minorHAnsi" w:hAnsiTheme="minorHAnsi" w:cstheme="minorHAnsi"/>
          <w:sz w:val="22"/>
        </w:rPr>
        <w:t>razvojni, savjetodavni, istraživački i drugi stručni poslovi u socijalnoj i dječjoj zaštiti;</w:t>
      </w:r>
    </w:p>
    <w:p w:rsidR="00C07874" w:rsidRPr="00A80B5C" w:rsidRDefault="00C07874" w:rsidP="00C07874">
      <w:pPr>
        <w:pStyle w:val="ListParagraph"/>
        <w:numPr>
          <w:ilvl w:val="0"/>
          <w:numId w:val="23"/>
        </w:numPr>
        <w:spacing w:after="0" w:line="240" w:lineRule="auto"/>
        <w:contextualSpacing/>
        <w:jc w:val="both"/>
        <w:rPr>
          <w:rFonts w:asciiTheme="minorHAnsi" w:hAnsiTheme="minorHAnsi" w:cstheme="minorHAnsi"/>
          <w:sz w:val="22"/>
          <w:lang w:val="sr-Latn-CS"/>
        </w:rPr>
      </w:pPr>
      <w:r w:rsidRPr="0092195A">
        <w:rPr>
          <w:rFonts w:asciiTheme="minorHAnsi" w:hAnsiTheme="minorHAnsi" w:cstheme="minorHAnsi"/>
          <w:sz w:val="22"/>
          <w:lang w:val="sr-Latn-CS"/>
        </w:rPr>
        <w:t xml:space="preserve">u toku je izrada podzakonskih akata vezanih za </w:t>
      </w:r>
      <w:r w:rsidRPr="00A80B5C">
        <w:rPr>
          <w:rFonts w:asciiTheme="minorHAnsi" w:hAnsiTheme="minorHAnsi" w:cstheme="minorHAnsi"/>
          <w:sz w:val="22"/>
          <w:lang w:val="uz-Cyrl-UZ"/>
        </w:rPr>
        <w:t>minimaln</w:t>
      </w:r>
      <w:r w:rsidRPr="00A80B5C">
        <w:rPr>
          <w:rFonts w:asciiTheme="minorHAnsi" w:hAnsiTheme="minorHAnsi" w:cstheme="minorHAnsi"/>
          <w:sz w:val="22"/>
          <w:lang w:val="hr-HR"/>
        </w:rPr>
        <w:t>e</w:t>
      </w:r>
      <w:r w:rsidRPr="00A80B5C">
        <w:rPr>
          <w:rFonts w:asciiTheme="minorHAnsi" w:hAnsiTheme="minorHAnsi" w:cstheme="minorHAnsi"/>
          <w:sz w:val="22"/>
          <w:lang w:val="uz-Cyrl-UZ"/>
        </w:rPr>
        <w:t xml:space="preserve"> standard</w:t>
      </w:r>
      <w:r w:rsidRPr="00A80B5C">
        <w:rPr>
          <w:rFonts w:asciiTheme="minorHAnsi" w:hAnsiTheme="minorHAnsi" w:cstheme="minorHAnsi"/>
          <w:sz w:val="22"/>
          <w:lang w:val="hr-HR"/>
        </w:rPr>
        <w:t>e</w:t>
      </w:r>
      <w:r w:rsidRPr="00A80B5C">
        <w:rPr>
          <w:rFonts w:asciiTheme="minorHAnsi" w:hAnsiTheme="minorHAnsi" w:cstheme="minorHAnsi"/>
          <w:sz w:val="22"/>
          <w:lang w:val="uz-Cyrl-UZ"/>
        </w:rPr>
        <w:t xml:space="preserve"> uslug</w:t>
      </w:r>
      <w:r w:rsidRPr="00A80B5C">
        <w:rPr>
          <w:rFonts w:asciiTheme="minorHAnsi" w:hAnsiTheme="minorHAnsi" w:cstheme="minorHAnsi"/>
          <w:sz w:val="22"/>
          <w:lang w:val="hr-HR"/>
        </w:rPr>
        <w:t>a:</w:t>
      </w:r>
      <w:r w:rsidRPr="00A80B5C">
        <w:rPr>
          <w:rFonts w:asciiTheme="minorHAnsi" w:hAnsiTheme="minorHAnsi" w:cstheme="minorHAnsi"/>
          <w:sz w:val="22"/>
          <w:lang w:val="uz-Cyrl-UZ"/>
        </w:rPr>
        <w:t xml:space="preserve"> smještaja u prihvatilištu-skloništu</w:t>
      </w:r>
      <w:r w:rsidRPr="00A80B5C">
        <w:rPr>
          <w:rFonts w:asciiTheme="minorHAnsi" w:hAnsiTheme="minorHAnsi" w:cstheme="minorHAnsi"/>
          <w:bCs/>
          <w:sz w:val="22"/>
          <w:lang w:val="hr-HR"/>
        </w:rPr>
        <w:t xml:space="preserve">, </w:t>
      </w:r>
      <w:r w:rsidRPr="00A80B5C">
        <w:rPr>
          <w:rFonts w:asciiTheme="minorHAnsi" w:hAnsiTheme="minorHAnsi" w:cstheme="minorHAnsi"/>
          <w:sz w:val="22"/>
          <w:lang w:val="sr-Latn-CS"/>
        </w:rPr>
        <w:t>smještaja djece i mladih u ustanove i smeštaja odraslih lica sa invaliditetom i starih lica u ustanove, kao i podrške za život u zajednici.</w:t>
      </w:r>
    </w:p>
    <w:p w:rsidR="00C07874" w:rsidRPr="00A80B5C" w:rsidRDefault="00C07874" w:rsidP="00C07874">
      <w:pPr>
        <w:pStyle w:val="ListParagraph"/>
        <w:spacing w:after="0" w:line="240" w:lineRule="auto"/>
        <w:jc w:val="both"/>
        <w:rPr>
          <w:rFonts w:asciiTheme="minorHAnsi" w:hAnsiTheme="minorHAnsi" w:cstheme="minorHAnsi"/>
          <w:sz w:val="22"/>
          <w:lang w:val="sr-Latn-CS"/>
        </w:rPr>
      </w:pPr>
    </w:p>
    <w:p w:rsidR="00C07874" w:rsidRDefault="00C07874" w:rsidP="00C07874">
      <w:pPr>
        <w:spacing w:after="0" w:line="240" w:lineRule="auto"/>
        <w:jc w:val="both"/>
        <w:rPr>
          <w:rFonts w:cs="Calibri"/>
          <w:lang w:val="sl-SI"/>
        </w:rPr>
      </w:pPr>
      <w:r w:rsidRPr="00C76A3A">
        <w:rPr>
          <w:rFonts w:cs="Calibri"/>
          <w:lang w:val="sl-SI"/>
        </w:rPr>
        <w:t>Pored aktivnosti na zaokruživanju zakonodavnog okvira:</w:t>
      </w:r>
    </w:p>
    <w:p w:rsidR="00C07874" w:rsidRPr="00C76A3A" w:rsidRDefault="00C07874" w:rsidP="00C07874">
      <w:pPr>
        <w:spacing w:after="0" w:line="240" w:lineRule="auto"/>
        <w:jc w:val="both"/>
        <w:rPr>
          <w:rFonts w:cs="Calibri"/>
          <w:lang w:val="sl-SI"/>
        </w:rPr>
      </w:pPr>
    </w:p>
    <w:p w:rsidR="00C07874" w:rsidRPr="004D6B3B" w:rsidRDefault="00C07874" w:rsidP="004D6B3B">
      <w:pPr>
        <w:pStyle w:val="ListParagraph"/>
        <w:numPr>
          <w:ilvl w:val="0"/>
          <w:numId w:val="23"/>
        </w:numPr>
        <w:spacing w:after="0" w:line="240" w:lineRule="auto"/>
        <w:ind w:left="567" w:hanging="283"/>
        <w:contextualSpacing/>
        <w:jc w:val="both"/>
        <w:rPr>
          <w:rFonts w:cs="Calibri"/>
          <w:sz w:val="22"/>
          <w:lang w:val="sr-Latn-CS"/>
        </w:rPr>
      </w:pPr>
      <w:r w:rsidRPr="00A80B5C">
        <w:rPr>
          <w:rFonts w:cs="Calibri"/>
          <w:sz w:val="22"/>
          <w:lang w:val="sl-SI"/>
        </w:rPr>
        <w:t>sprovode se aktivnosti vezane za reformu centara za socijalni rad. Osnovan je novi Centar za socijalni rad za Prijestonicu Cetinje, organizovane su područne jedinice za gradske opštine Tuzi i Golubovci, u okviru Centra za socijalni rad za Glavni grad Podgorica, područna jedinica za opštinu Gusinje, u okviru Centra za socijalni rad za opštinu Plav i područna jedinica za opštinu Petnjica, u okviru Centra za socijalni rad za opštinu Berane;</w:t>
      </w:r>
    </w:p>
    <w:p w:rsidR="004D6B3B" w:rsidRPr="004D6B3B" w:rsidRDefault="004D6B3B" w:rsidP="004D6B3B">
      <w:pPr>
        <w:pStyle w:val="ListParagraph"/>
        <w:numPr>
          <w:ilvl w:val="0"/>
          <w:numId w:val="23"/>
        </w:numPr>
        <w:spacing w:after="0" w:line="240" w:lineRule="auto"/>
        <w:ind w:left="567" w:hanging="283"/>
        <w:contextualSpacing/>
        <w:jc w:val="both"/>
        <w:rPr>
          <w:rFonts w:cs="Calibri"/>
          <w:sz w:val="22"/>
          <w:szCs w:val="22"/>
          <w:lang w:val="sr-Latn-CS"/>
        </w:rPr>
      </w:pPr>
      <w:r w:rsidRPr="004D6B3B">
        <w:rPr>
          <w:sz w:val="22"/>
          <w:szCs w:val="22"/>
        </w:rPr>
        <w:t>nastavlja se realizacija projekta</w:t>
      </w:r>
      <w:r w:rsidRPr="004D6B3B">
        <w:rPr>
          <w:i/>
          <w:sz w:val="22"/>
          <w:szCs w:val="22"/>
        </w:rPr>
        <w:t xml:space="preserve"> </w:t>
      </w:r>
      <w:r w:rsidRPr="004D6B3B">
        <w:rPr>
          <w:sz w:val="22"/>
          <w:szCs w:val="22"/>
        </w:rPr>
        <w:t xml:space="preserve">”Socijalni karton – Informativni sistem socijalnog staranja” , koji je od strateške važnosti za sistem socijalne zaštite jer predstavlja okosnicu procesa reforme preko koje će se postići veći kredibilitet, efikasniji, efektniji i kvalitetniji sistem socijalne zaštite. </w:t>
      </w:r>
    </w:p>
    <w:p w:rsidR="00C07874" w:rsidRPr="00A80B5C" w:rsidRDefault="00C07874" w:rsidP="004D6B3B">
      <w:pPr>
        <w:pStyle w:val="ListParagraph"/>
        <w:numPr>
          <w:ilvl w:val="0"/>
          <w:numId w:val="23"/>
        </w:numPr>
        <w:spacing w:after="0" w:line="240" w:lineRule="auto"/>
        <w:ind w:left="567" w:hanging="283"/>
        <w:contextualSpacing/>
        <w:jc w:val="both"/>
        <w:rPr>
          <w:rFonts w:cs="Calibri"/>
          <w:sz w:val="22"/>
          <w:lang w:val="sr-Latn-CS"/>
        </w:rPr>
      </w:pPr>
      <w:r w:rsidRPr="00A80B5C">
        <w:rPr>
          <w:rFonts w:cs="Calibri"/>
          <w:sz w:val="22"/>
          <w:lang w:val="sr-Latn-CS"/>
        </w:rPr>
        <w:t>socijalna inspekcija, koja je novina u sistemu Crne Gore, počeće sa radom, do kraja 2014. godine;</w:t>
      </w:r>
    </w:p>
    <w:p w:rsidR="00C07874" w:rsidRPr="0092195A" w:rsidRDefault="00C07874" w:rsidP="004D6B3B">
      <w:pPr>
        <w:pStyle w:val="ListParagraph"/>
        <w:numPr>
          <w:ilvl w:val="0"/>
          <w:numId w:val="24"/>
        </w:numPr>
        <w:spacing w:after="0" w:line="240" w:lineRule="auto"/>
        <w:ind w:left="567" w:hanging="283"/>
        <w:contextualSpacing/>
        <w:jc w:val="both"/>
        <w:rPr>
          <w:rFonts w:cs="Calibri"/>
          <w:b/>
          <w:sz w:val="22"/>
          <w:lang w:val="sr-Latn-CS"/>
        </w:rPr>
      </w:pPr>
      <w:r w:rsidRPr="00A80B5C">
        <w:rPr>
          <w:rFonts w:cs="Calibri"/>
          <w:sz w:val="22"/>
          <w:lang w:val="sr-Latn-CS"/>
        </w:rPr>
        <w:lastRenderedPageBreak/>
        <w:t>kroz projekat „Reforma sistema socijalne i dječje zaštite–unapređenje socijalne inkluzije“, koji se finansira iz sredstava IPA 2010, u periodu jul 2013 - april 2014 godine, u 9 opština, obezbijeđena je podrška lokalnim partnerima sa ciljem unapređenja znanja i vještina vezanih za identifikovanje potreba, kreiranje modela pružanja usluga i njegovu realizaciju;</w:t>
      </w:r>
    </w:p>
    <w:p w:rsidR="00C07874" w:rsidRPr="00A80B5C" w:rsidRDefault="00C07874" w:rsidP="004D6B3B">
      <w:pPr>
        <w:pStyle w:val="ListParagraph"/>
        <w:numPr>
          <w:ilvl w:val="0"/>
          <w:numId w:val="24"/>
        </w:numPr>
        <w:spacing w:after="0" w:line="240" w:lineRule="auto"/>
        <w:ind w:left="567" w:hanging="283"/>
        <w:contextualSpacing/>
        <w:jc w:val="both"/>
        <w:rPr>
          <w:rFonts w:cs="Calibri"/>
          <w:sz w:val="22"/>
        </w:rPr>
      </w:pPr>
      <w:r w:rsidRPr="00A80B5C">
        <w:rPr>
          <w:rFonts w:cs="Calibri"/>
          <w:sz w:val="22"/>
        </w:rPr>
        <w:t>u</w:t>
      </w:r>
      <w:r w:rsidRPr="00A80B5C">
        <w:rPr>
          <w:rFonts w:cs="Calibri"/>
          <w:sz w:val="22"/>
          <w:lang w:val="vi-VN"/>
        </w:rPr>
        <w:t xml:space="preserve"> saradnji sa Zajednicom opština</w:t>
      </w:r>
      <w:r w:rsidRPr="00A80B5C">
        <w:rPr>
          <w:rFonts w:cs="Calibri"/>
          <w:sz w:val="22"/>
        </w:rPr>
        <w:t>,</w:t>
      </w:r>
      <w:r w:rsidRPr="00A80B5C">
        <w:rPr>
          <w:rFonts w:cs="Calibri"/>
          <w:sz w:val="22"/>
          <w:lang w:val="vi-VN"/>
        </w:rPr>
        <w:t xml:space="preserve"> </w:t>
      </w:r>
      <w:r w:rsidRPr="00A80B5C">
        <w:rPr>
          <w:rFonts w:cs="Calibri"/>
          <w:sz w:val="22"/>
        </w:rPr>
        <w:t>urađeno</w:t>
      </w:r>
      <w:r w:rsidRPr="00A80B5C">
        <w:rPr>
          <w:rFonts w:cs="Calibri"/>
          <w:sz w:val="22"/>
          <w:lang w:val="vi-VN"/>
        </w:rPr>
        <w:t xml:space="preserve"> </w:t>
      </w:r>
      <w:r w:rsidRPr="00A80B5C">
        <w:rPr>
          <w:rFonts w:cs="Calibri"/>
          <w:sz w:val="22"/>
          <w:lang w:val="sr-Latn-CS"/>
        </w:rPr>
        <w:t xml:space="preserve">je </w:t>
      </w:r>
      <w:r w:rsidRPr="00A80B5C">
        <w:rPr>
          <w:rFonts w:cs="Calibri"/>
          <w:sz w:val="22"/>
          <w:lang w:val="vi-VN"/>
        </w:rPr>
        <w:t>Uputstvo o jedinstvenom postupanju u procesu izrade, usvajanja i implementacije lokalnih planova</w:t>
      </w:r>
      <w:r w:rsidRPr="00A80B5C">
        <w:rPr>
          <w:rFonts w:cs="Calibri"/>
          <w:sz w:val="22"/>
        </w:rPr>
        <w:t xml:space="preserve"> socijalnih </w:t>
      </w:r>
      <w:r w:rsidRPr="00A80B5C">
        <w:rPr>
          <w:rFonts w:cs="Calibri"/>
          <w:sz w:val="22"/>
          <w:lang w:val="sr-Latn-CS"/>
        </w:rPr>
        <w:t xml:space="preserve">usluga, u skladu sa kojim su </w:t>
      </w:r>
      <w:r w:rsidRPr="00A80B5C">
        <w:rPr>
          <w:rFonts w:cs="Calibri"/>
          <w:sz w:val="22"/>
        </w:rPr>
        <w:t>u sedam opština (Bar, Bijelo Polje, Nikšić, Plužine, Šavnik, Mojkovac i Glavni grad Podgorica) usvojeni lokalni planovi za unapređenje socijalne inkluzije – razvoj usluga socijalne zaštite. P</w:t>
      </w:r>
      <w:r w:rsidRPr="00A80B5C">
        <w:rPr>
          <w:rFonts w:cs="Calibri"/>
          <w:sz w:val="22"/>
          <w:lang w:val="vi-VN"/>
        </w:rPr>
        <w:t xml:space="preserve">održana </w:t>
      </w:r>
      <w:r w:rsidRPr="00A80B5C">
        <w:rPr>
          <w:rFonts w:cs="Calibri"/>
          <w:sz w:val="22"/>
          <w:lang w:val="sr-Latn-CS"/>
        </w:rPr>
        <w:t xml:space="preserve">je </w:t>
      </w:r>
      <w:r w:rsidRPr="00A80B5C">
        <w:rPr>
          <w:rFonts w:cs="Calibri"/>
          <w:sz w:val="22"/>
          <w:lang w:val="vi-VN"/>
        </w:rPr>
        <w:t>izrada opštinskih planova za razvoj usluga socijalne zaštite na nivou lokalne zajednice u 15 opština</w:t>
      </w:r>
      <w:r w:rsidRPr="00A80B5C">
        <w:rPr>
          <w:rFonts w:cs="Calibri"/>
          <w:sz w:val="22"/>
        </w:rPr>
        <w:t>;</w:t>
      </w:r>
    </w:p>
    <w:p w:rsidR="00C07874" w:rsidRPr="00A80B5C" w:rsidRDefault="00C07874" w:rsidP="004D6B3B">
      <w:pPr>
        <w:pStyle w:val="ListParagraph"/>
        <w:numPr>
          <w:ilvl w:val="0"/>
          <w:numId w:val="24"/>
        </w:numPr>
        <w:spacing w:after="0" w:line="240" w:lineRule="auto"/>
        <w:ind w:left="567" w:hanging="283"/>
        <w:contextualSpacing/>
        <w:jc w:val="both"/>
        <w:rPr>
          <w:rFonts w:cs="Calibri"/>
          <w:bCs/>
          <w:sz w:val="22"/>
          <w:lang w:val="sr-Latn-CS"/>
        </w:rPr>
      </w:pPr>
      <w:r w:rsidRPr="00A80B5C">
        <w:rPr>
          <w:rFonts w:cs="Calibri"/>
          <w:sz w:val="22"/>
        </w:rPr>
        <w:t xml:space="preserve">otvaranjem dnevnih centra za djecu sa smetnjama i teškoćama u razvoju, proširuje se obim usluga dostupnih toj populaciji. Do sada su stavljeni u funkciju dnevni centri u Bijelom Polju, Nikšiću, Pljevljima, Herceg Novom, Plavu, Ulcinju, Cetinju i Beranama, a radi se na opremanju Dnevnog centra u Mojkovcu. </w:t>
      </w:r>
      <w:r w:rsidRPr="00A80B5C">
        <w:rPr>
          <w:rFonts w:cs="Calibri"/>
          <w:sz w:val="22"/>
          <w:lang w:val="sr-Latn-CS"/>
        </w:rPr>
        <w:t>U toku su pripreme za izgradnju objekata u Budvi, Podgorici i Rožajama;</w:t>
      </w:r>
    </w:p>
    <w:p w:rsidR="00C07874" w:rsidRPr="00A80B5C" w:rsidRDefault="00C07874" w:rsidP="004D6B3B">
      <w:pPr>
        <w:pStyle w:val="ListParagraph"/>
        <w:numPr>
          <w:ilvl w:val="0"/>
          <w:numId w:val="24"/>
        </w:numPr>
        <w:spacing w:after="0" w:line="240" w:lineRule="auto"/>
        <w:ind w:left="567" w:hanging="283"/>
        <w:contextualSpacing/>
        <w:jc w:val="both"/>
        <w:rPr>
          <w:rFonts w:cs="Calibri"/>
          <w:bCs/>
          <w:sz w:val="22"/>
          <w:lang w:val="sr-Latn-CS"/>
        </w:rPr>
      </w:pPr>
      <w:r w:rsidRPr="0092195A">
        <w:rPr>
          <w:rFonts w:cs="Calibri"/>
          <w:sz w:val="22"/>
          <w:lang w:val="sr-Latn-CS"/>
        </w:rPr>
        <w:t>izgrađena je prva mala grupna kuća u Bijelom Polju, uz donaciju ambasade SAD-a (u toku je opremanje objekta);</w:t>
      </w:r>
    </w:p>
    <w:p w:rsidR="00C07874" w:rsidRPr="00A80B5C" w:rsidRDefault="00C07874" w:rsidP="004D6B3B">
      <w:pPr>
        <w:pStyle w:val="ListParagraph"/>
        <w:numPr>
          <w:ilvl w:val="0"/>
          <w:numId w:val="24"/>
        </w:numPr>
        <w:spacing w:after="0" w:line="240" w:lineRule="auto"/>
        <w:ind w:left="567" w:hanging="283"/>
        <w:contextualSpacing/>
        <w:jc w:val="both"/>
        <w:rPr>
          <w:rFonts w:cs="Calibri"/>
          <w:bCs/>
          <w:sz w:val="22"/>
          <w:lang w:val="sr-Latn-CS"/>
        </w:rPr>
      </w:pPr>
      <w:r w:rsidRPr="00A80B5C">
        <w:rPr>
          <w:rFonts w:cs="Calibri"/>
          <w:sz w:val="22"/>
        </w:rPr>
        <w:t>Sprovedena je kampanja „Svako dijete treba porodicu“. Inače, u Crnoj Gori imamo 21 nesrodničku hraniteljsku porodicu, što je tri puta više nego na kraju 2010.godine.</w:t>
      </w:r>
    </w:p>
    <w:p w:rsidR="00C07874" w:rsidRPr="00FB0C99" w:rsidRDefault="00C07874" w:rsidP="004D6B3B">
      <w:pPr>
        <w:pStyle w:val="ListParagraph"/>
        <w:spacing w:after="0" w:line="240" w:lineRule="auto"/>
        <w:ind w:left="567" w:hanging="283"/>
        <w:contextualSpacing/>
        <w:jc w:val="both"/>
        <w:rPr>
          <w:rFonts w:cs="Calibri"/>
          <w:bCs/>
          <w:lang w:val="sr-Latn-CS"/>
        </w:rPr>
      </w:pPr>
    </w:p>
    <w:p w:rsidR="00C07874" w:rsidRDefault="00C07874" w:rsidP="00C07874">
      <w:pPr>
        <w:spacing w:after="0" w:line="240" w:lineRule="auto"/>
        <w:jc w:val="both"/>
        <w:rPr>
          <w:rFonts w:cs="Calibri"/>
        </w:rPr>
      </w:pPr>
      <w:r w:rsidRPr="00FB0C99">
        <w:rPr>
          <w:rFonts w:cs="Calibri"/>
        </w:rPr>
        <w:t>U period</w:t>
      </w:r>
      <w:r w:rsidR="00A83A98">
        <w:rPr>
          <w:rFonts w:cs="Calibri"/>
        </w:rPr>
        <w:t>u</w:t>
      </w:r>
      <w:r w:rsidRPr="00FB0C99">
        <w:rPr>
          <w:rFonts w:cs="Calibri"/>
        </w:rPr>
        <w:t xml:space="preserve"> od jula 2014. do decembra 2015. godine, realizovaće se projekat “Nastavak reforme sistema socijalne zaštite“, sredstvima iz budžeta, donacijama UNDP-a i UNICEF-a, kao i sredstvima iz IPA fondova (vrijednost Projekta je oko 850</w:t>
      </w:r>
      <w:r>
        <w:rPr>
          <w:rFonts w:cs="Calibri"/>
        </w:rPr>
        <w:t>,0</w:t>
      </w:r>
      <w:r w:rsidRPr="00FB0C99">
        <w:rPr>
          <w:rFonts w:cs="Calibri"/>
        </w:rPr>
        <w:t xml:space="preserve"> hilj.€).</w:t>
      </w:r>
    </w:p>
    <w:p w:rsidR="004D6B3B" w:rsidRDefault="004D6B3B" w:rsidP="00C07874">
      <w:pPr>
        <w:spacing w:after="0" w:line="240" w:lineRule="auto"/>
        <w:jc w:val="both"/>
        <w:rPr>
          <w:rFonts w:cs="Calibri"/>
        </w:rPr>
      </w:pPr>
    </w:p>
    <w:p w:rsidR="004D6B3B" w:rsidRDefault="004D6B3B" w:rsidP="00C07874">
      <w:pPr>
        <w:spacing w:after="0" w:line="240" w:lineRule="auto"/>
        <w:jc w:val="both"/>
        <w:rPr>
          <w:rFonts w:cs="Calibri"/>
        </w:rPr>
      </w:pPr>
      <w:r w:rsidRPr="00640F0D">
        <w:t>Ovaj projekat je od strateške važnosti za sistem socijalne zaštite jer predstavlja okosnicu procesa reforme preko koje će se postići veći kredibilitet, efikasniji, efektniji i kvalitetniji sistem socijalne zaštite.</w:t>
      </w:r>
    </w:p>
    <w:p w:rsidR="004D6B3B" w:rsidRPr="00FB0C99" w:rsidRDefault="004D6B3B" w:rsidP="00C07874">
      <w:pPr>
        <w:spacing w:after="0" w:line="240" w:lineRule="auto"/>
        <w:jc w:val="both"/>
        <w:rPr>
          <w:rFonts w:cs="Calibri"/>
        </w:rPr>
      </w:pPr>
    </w:p>
    <w:p w:rsidR="00C07874" w:rsidRPr="00FB0C99" w:rsidRDefault="00C07874" w:rsidP="00C07874">
      <w:pPr>
        <w:spacing w:after="0" w:line="240" w:lineRule="auto"/>
        <w:jc w:val="both"/>
        <w:rPr>
          <w:rFonts w:cs="Calibri"/>
          <w:sz w:val="10"/>
          <w:szCs w:val="10"/>
        </w:rPr>
      </w:pPr>
      <w:r w:rsidRPr="00FB0C99">
        <w:rPr>
          <w:rFonts w:cs="Calibri"/>
        </w:rPr>
        <w:t xml:space="preserve"> </w:t>
      </w:r>
    </w:p>
    <w:p w:rsidR="00C07874" w:rsidRDefault="00C07874" w:rsidP="00C07874">
      <w:pPr>
        <w:spacing w:after="0" w:line="240" w:lineRule="auto"/>
        <w:jc w:val="both"/>
        <w:rPr>
          <w:rFonts w:eastAsia="MS Mincho" w:cs="Calibri"/>
          <w:lang w:val="sr-Latn-CS" w:eastAsia="ja-JP"/>
        </w:rPr>
      </w:pPr>
      <w:r w:rsidRPr="00FB0C99">
        <w:rPr>
          <w:rFonts w:eastAsia="MS Mincho" w:cs="Calibri"/>
          <w:lang w:val="sr-Latn-CS" w:eastAsia="ja-JP"/>
        </w:rPr>
        <w:t>U okviru pripreme i implementacije IPA projekta: sprovode se aktivnosti za rješavanje stambenih pitanja raseljenih i interno raseljenih lica, sa posebnim osvrtom na kamp Konik (u toku je procedura izdava</w:t>
      </w:r>
      <w:r>
        <w:rPr>
          <w:rFonts w:eastAsia="MS Mincho" w:cs="Calibri"/>
          <w:lang w:val="sr-Latn-CS" w:eastAsia="ja-JP"/>
        </w:rPr>
        <w:t>n</w:t>
      </w:r>
      <w:r w:rsidRPr="00FB0C99">
        <w:rPr>
          <w:rFonts w:eastAsia="MS Mincho" w:cs="Calibri"/>
          <w:lang w:val="sr-Latn-CS" w:eastAsia="ja-JP"/>
        </w:rPr>
        <w:t>ja građevinske dozvole); u</w:t>
      </w:r>
      <w:r w:rsidRPr="00FB0C99">
        <w:rPr>
          <w:rFonts w:cs="Calibri"/>
        </w:rPr>
        <w:t xml:space="preserve">rađen je </w:t>
      </w:r>
      <w:r w:rsidRPr="00FB0C99">
        <w:rPr>
          <w:rFonts w:eastAsia="MS Mincho" w:cs="Calibri"/>
          <w:lang w:val="sr-Latn-CS" w:eastAsia="ja-JP"/>
        </w:rPr>
        <w:t>„Projekat izgradnje Doma za stare“ Pljevljima, čija ukupna vrijednost iznosi 2.</w:t>
      </w:r>
      <w:r w:rsidR="00DB7DF0">
        <w:rPr>
          <w:rFonts w:eastAsia="MS Mincho" w:cs="Calibri"/>
          <w:lang w:val="sr-Latn-CS" w:eastAsia="ja-JP"/>
        </w:rPr>
        <w:t>61</w:t>
      </w:r>
      <w:r w:rsidR="00DB7DF0" w:rsidRPr="00DB7DF0">
        <w:rPr>
          <w:rFonts w:eastAsia="Times New Roman" w:cs="Calibri"/>
        </w:rPr>
        <w:t xml:space="preserve"> </w:t>
      </w:r>
      <w:r w:rsidR="00DB7DF0">
        <w:rPr>
          <w:rFonts w:eastAsia="Times New Roman" w:cs="Calibri"/>
        </w:rPr>
        <w:t>mil.</w:t>
      </w:r>
      <w:r w:rsidR="00DB7DF0" w:rsidRPr="0073636F">
        <w:rPr>
          <w:rFonts w:eastAsia="Times New Roman" w:cs="Calibri"/>
        </w:rPr>
        <w:t>€</w:t>
      </w:r>
      <w:r w:rsidRPr="00FB0C99">
        <w:rPr>
          <w:rFonts w:eastAsia="MS Mincho" w:cs="Calibri"/>
          <w:lang w:val="sr-Latn-CS" w:eastAsia="ja-JP"/>
        </w:rPr>
        <w:t>, od čega su donatorska sredstva 2.08</w:t>
      </w:r>
      <w:r w:rsidR="00DB7DF0" w:rsidRPr="00DB7DF0">
        <w:rPr>
          <w:rFonts w:eastAsia="Times New Roman" w:cs="Calibri"/>
        </w:rPr>
        <w:t xml:space="preserve"> </w:t>
      </w:r>
      <w:r w:rsidR="00DB7DF0">
        <w:rPr>
          <w:rFonts w:eastAsia="Times New Roman" w:cs="Calibri"/>
        </w:rPr>
        <w:t>mil.</w:t>
      </w:r>
      <w:r w:rsidR="00DB7DF0" w:rsidRPr="0073636F">
        <w:rPr>
          <w:rFonts w:eastAsia="Times New Roman" w:cs="Calibri"/>
        </w:rPr>
        <w:t>€</w:t>
      </w:r>
      <w:r w:rsidRPr="00FB0C99">
        <w:rPr>
          <w:rFonts w:eastAsia="MS Mincho" w:cs="Calibri"/>
          <w:lang w:val="sr-Latn-CS" w:eastAsia="ja-JP"/>
        </w:rPr>
        <w:t xml:space="preserve"> (u toku je procedura izdava</w:t>
      </w:r>
      <w:r>
        <w:rPr>
          <w:rFonts w:eastAsia="MS Mincho" w:cs="Calibri"/>
          <w:lang w:val="sr-Latn-CS" w:eastAsia="ja-JP"/>
        </w:rPr>
        <w:t>n</w:t>
      </w:r>
      <w:r w:rsidRPr="00FB0C99">
        <w:rPr>
          <w:rFonts w:eastAsia="MS Mincho" w:cs="Calibri"/>
          <w:lang w:val="sr-Latn-CS" w:eastAsia="ja-JP"/>
        </w:rPr>
        <w:t>ja građevinske dozvole).</w:t>
      </w:r>
    </w:p>
    <w:p w:rsidR="007C3629" w:rsidRDefault="007C3629" w:rsidP="00C07874">
      <w:pPr>
        <w:spacing w:after="0" w:line="240" w:lineRule="auto"/>
        <w:jc w:val="both"/>
        <w:rPr>
          <w:rFonts w:eastAsia="MS Mincho" w:cs="Calibri"/>
          <w:lang w:val="sr-Latn-CS" w:eastAsia="ja-JP"/>
        </w:rPr>
      </w:pPr>
    </w:p>
    <w:p w:rsidR="007C3629" w:rsidRDefault="007C3629" w:rsidP="00C07874">
      <w:pPr>
        <w:spacing w:after="0" w:line="240" w:lineRule="auto"/>
        <w:jc w:val="both"/>
        <w:rPr>
          <w:rFonts w:eastAsia="MS Mincho" w:cs="Calibri"/>
          <w:lang w:val="sr-Latn-CS" w:eastAsia="ja-JP"/>
        </w:rPr>
      </w:pPr>
    </w:p>
    <w:p w:rsidR="00276884" w:rsidRPr="002B3C21" w:rsidRDefault="00276884" w:rsidP="00F06FFE">
      <w:pPr>
        <w:pStyle w:val="Heading2"/>
        <w:rPr>
          <w:sz w:val="24"/>
        </w:rPr>
      </w:pPr>
      <w:bookmarkStart w:id="58" w:name="_Toc389745303"/>
      <w:r w:rsidRPr="002B3C21">
        <w:rPr>
          <w:sz w:val="24"/>
        </w:rPr>
        <w:t>POLJOPRIVREDA I RURALNI RAZVOJ</w:t>
      </w:r>
      <w:bookmarkEnd w:id="58"/>
    </w:p>
    <w:p w:rsidR="00B45FBF" w:rsidRPr="009D407D" w:rsidRDefault="00B45FBF" w:rsidP="00B45FBF">
      <w:pPr>
        <w:spacing w:after="0" w:line="240" w:lineRule="auto"/>
      </w:pPr>
    </w:p>
    <w:p w:rsidR="00C07874" w:rsidRPr="00202CFA" w:rsidRDefault="00C07874" w:rsidP="00C07874">
      <w:pPr>
        <w:spacing w:after="0" w:line="240" w:lineRule="auto"/>
        <w:jc w:val="both"/>
        <w:rPr>
          <w:rStyle w:val="Emphasis"/>
          <w:rFonts w:cs="Calibri"/>
          <w:b/>
          <w:i w:val="0"/>
        </w:rPr>
      </w:pPr>
      <w:r w:rsidRPr="00202CFA">
        <w:rPr>
          <w:rStyle w:val="Emphasis"/>
          <w:rFonts w:cs="Calibri"/>
          <w:b/>
        </w:rPr>
        <w:t>Podsticajne mjere i aktivnosti rezultirale su povećanom konkurentnošću agrarnog sektora i, s tim u vezi, smanjenjem uvoza, odnosno povećanjem izvoza poljoprivrednih proizvoda.</w:t>
      </w:r>
    </w:p>
    <w:p w:rsidR="00C07874" w:rsidRPr="00202CFA" w:rsidRDefault="00C07874" w:rsidP="00C07874">
      <w:pPr>
        <w:spacing w:after="0" w:line="240" w:lineRule="auto"/>
        <w:jc w:val="both"/>
        <w:rPr>
          <w:rFonts w:cs="Calibri"/>
        </w:rPr>
      </w:pPr>
    </w:p>
    <w:p w:rsidR="00C07874" w:rsidRPr="00202CFA" w:rsidRDefault="00C07874" w:rsidP="00C07874">
      <w:pPr>
        <w:pStyle w:val="colorfullist-accent11"/>
        <w:spacing w:before="0" w:beforeAutospacing="0" w:after="0" w:afterAutospacing="0"/>
        <w:jc w:val="both"/>
        <w:rPr>
          <w:rFonts w:ascii="Calibri" w:hAnsi="Calibri" w:cs="Calibri"/>
          <w:sz w:val="22"/>
          <w:szCs w:val="22"/>
          <w:lang w:val="it-IT"/>
        </w:rPr>
      </w:pPr>
      <w:r w:rsidRPr="00202CFA">
        <w:rPr>
          <w:rFonts w:ascii="Calibri" w:hAnsi="Calibri" w:cs="Calibri"/>
          <w:sz w:val="22"/>
          <w:szCs w:val="22"/>
        </w:rPr>
        <w:t xml:space="preserve">Ovogodišnji agrobudžet usvojen je u januaru, tako da su proizvođači na vrijeme upoznati sa visinom podrške i kriterijumima i uslovima za njeno ostvarivanje i, time, bili u mogućnosti da pravovremeno planiraju svoju proizvodnju. U odnosu na prethodne, u Agrobudžetu za 2014. godinu ima niz novina. U stočarskoj proizvodnji uvedena je veća podrška za tov junadi iz sopstvene reprodukcije, kako bi se smanjio uvoz junadi. Nov je i način podrške mljekarstvu, u cilju povećanja kvaliteta sirovog mlijeka. Farmeri koji mljekarama budu predavali veću količinu kvalitetnijeg mlijeka imaće i veću premiju, u odnosu na prošlu godinu. Obezbijedjena je i podrška za nabavku aparata i opreme neophodne za unapređenje kvaliteta mlijeka, kao što su laktofrizi. </w:t>
      </w:r>
      <w:r w:rsidRPr="00202CFA">
        <w:rPr>
          <w:rFonts w:ascii="Calibri" w:hAnsi="Calibri" w:cs="Calibri"/>
          <w:sz w:val="22"/>
          <w:szCs w:val="22"/>
          <w:lang w:val="it-IT"/>
        </w:rPr>
        <w:t xml:space="preserve">Uvedena je i nova vrsta podrške investicijama za vinogradare, voćare, maslinare, a po prvi put se podržava proizvodnja povrća i ljekovitog bilja. Povećan je iznos sredstava za podršku investicija u preradu na porodičnim gazdinstvima, organsku </w:t>
      </w:r>
      <w:r w:rsidRPr="00202CFA">
        <w:rPr>
          <w:rFonts w:ascii="Calibri" w:hAnsi="Calibri" w:cs="Calibri"/>
          <w:sz w:val="22"/>
          <w:szCs w:val="22"/>
          <w:lang w:val="it-IT"/>
        </w:rPr>
        <w:lastRenderedPageBreak/>
        <w:t>proizvodnju, ulazak u postupak zaštite proizvoda oznakama, kao i uvođenje HACCP-a i standarda kvaliteta. Obezbijedjena je i podrška za osnivanje kooperativa, kao i učešće Ministarstva sa 50% u osiguranju objekata, usjeva i stoke.</w:t>
      </w:r>
    </w:p>
    <w:p w:rsidR="00C07874" w:rsidRPr="00202CFA" w:rsidRDefault="00C07874" w:rsidP="00C07874">
      <w:pPr>
        <w:pStyle w:val="colorfullist-accent11"/>
        <w:spacing w:before="0" w:beforeAutospacing="0" w:after="0" w:afterAutospacing="0"/>
        <w:jc w:val="both"/>
        <w:rPr>
          <w:rFonts w:ascii="Calibri" w:hAnsi="Calibri" w:cs="Calibri"/>
          <w:sz w:val="22"/>
          <w:szCs w:val="22"/>
          <w:lang w:val="it-IT"/>
        </w:rPr>
      </w:pPr>
    </w:p>
    <w:p w:rsidR="00C07874" w:rsidRPr="00202CFA" w:rsidRDefault="00C07874" w:rsidP="00C07874">
      <w:pPr>
        <w:spacing w:after="0" w:line="240" w:lineRule="auto"/>
        <w:jc w:val="both"/>
        <w:rPr>
          <w:rStyle w:val="Emphasis"/>
          <w:rFonts w:cs="Calibri"/>
          <w:i w:val="0"/>
          <w:lang w:val="it-IT"/>
        </w:rPr>
      </w:pPr>
      <w:r w:rsidRPr="00202CFA">
        <w:rPr>
          <w:rStyle w:val="Emphasis"/>
          <w:rFonts w:cs="Calibri"/>
          <w:lang w:val="it-IT"/>
        </w:rPr>
        <w:t>U skladu sa Agrobudžetom za 2014. godinu, odnosno odgovarajućim budžetskim linijama, realizuje se niz podsticajnih mjera:</w:t>
      </w:r>
    </w:p>
    <w:p w:rsidR="00C07874" w:rsidRPr="00202CFA" w:rsidRDefault="00C07874" w:rsidP="00C07874">
      <w:pPr>
        <w:spacing w:after="0" w:line="240" w:lineRule="auto"/>
        <w:jc w:val="both"/>
        <w:rPr>
          <w:rStyle w:val="Emphasis"/>
          <w:rFonts w:cs="Calibri"/>
          <w:i w:val="0"/>
          <w:lang w:val="it-IT"/>
        </w:rPr>
      </w:pPr>
    </w:p>
    <w:p w:rsidR="00C07874" w:rsidRPr="00A80B5C" w:rsidRDefault="00C07874" w:rsidP="00C07874">
      <w:pPr>
        <w:pStyle w:val="ListParagraph"/>
        <w:numPr>
          <w:ilvl w:val="0"/>
          <w:numId w:val="25"/>
        </w:numPr>
        <w:spacing w:after="0" w:line="240" w:lineRule="auto"/>
        <w:contextualSpacing/>
        <w:jc w:val="both"/>
        <w:rPr>
          <w:rFonts w:cs="Calibri"/>
          <w:sz w:val="22"/>
        </w:rPr>
      </w:pPr>
      <w:r w:rsidRPr="00A80B5C">
        <w:rPr>
          <w:rFonts w:cs="Calibri"/>
          <w:sz w:val="22"/>
        </w:rPr>
        <w:t>podrška stočarskoj proizvodnji;</w:t>
      </w:r>
    </w:p>
    <w:p w:rsidR="00C07874" w:rsidRPr="00A80B5C" w:rsidRDefault="00C07874" w:rsidP="00C07874">
      <w:pPr>
        <w:pStyle w:val="ListParagraph"/>
        <w:numPr>
          <w:ilvl w:val="0"/>
          <w:numId w:val="25"/>
        </w:numPr>
        <w:spacing w:after="0" w:line="240" w:lineRule="auto"/>
        <w:contextualSpacing/>
        <w:jc w:val="both"/>
        <w:rPr>
          <w:rFonts w:cs="Calibri"/>
          <w:sz w:val="22"/>
        </w:rPr>
      </w:pPr>
      <w:r w:rsidRPr="00A80B5C">
        <w:rPr>
          <w:rFonts w:cs="Calibri"/>
          <w:sz w:val="22"/>
        </w:rPr>
        <w:t>podrška ratarskoj proizvodnji;</w:t>
      </w:r>
    </w:p>
    <w:p w:rsidR="00C07874" w:rsidRPr="00A80B5C" w:rsidRDefault="00C07874" w:rsidP="00C07874">
      <w:pPr>
        <w:pStyle w:val="ListParagraph"/>
        <w:numPr>
          <w:ilvl w:val="0"/>
          <w:numId w:val="25"/>
        </w:numPr>
        <w:spacing w:after="0" w:line="240" w:lineRule="auto"/>
        <w:contextualSpacing/>
        <w:jc w:val="both"/>
        <w:rPr>
          <w:rFonts w:cs="Calibri"/>
          <w:sz w:val="22"/>
          <w:lang w:val="it-IT"/>
        </w:rPr>
      </w:pPr>
      <w:r w:rsidRPr="00A80B5C">
        <w:rPr>
          <w:rFonts w:cs="Calibri"/>
          <w:sz w:val="22"/>
          <w:lang w:val="it-IT"/>
        </w:rPr>
        <w:t>podrška za podizanje proizvodnih zasada vinove loze;</w:t>
      </w:r>
    </w:p>
    <w:p w:rsidR="00C07874" w:rsidRPr="00A80B5C" w:rsidRDefault="00C07874" w:rsidP="00C07874">
      <w:pPr>
        <w:pStyle w:val="ListParagraph"/>
        <w:numPr>
          <w:ilvl w:val="0"/>
          <w:numId w:val="25"/>
        </w:numPr>
        <w:spacing w:after="0" w:line="240" w:lineRule="auto"/>
        <w:contextualSpacing/>
        <w:jc w:val="both"/>
        <w:rPr>
          <w:rFonts w:cs="Calibri"/>
          <w:sz w:val="22"/>
          <w:lang w:val="it-IT"/>
        </w:rPr>
      </w:pPr>
      <w:r w:rsidRPr="00A80B5C">
        <w:rPr>
          <w:rFonts w:cs="Calibri"/>
          <w:bCs/>
          <w:sz w:val="22"/>
          <w:lang w:val="it-IT"/>
        </w:rPr>
        <w:t>podrška za podizanje i modernizaciju proizvodnih voćnih zasada;</w:t>
      </w:r>
    </w:p>
    <w:p w:rsidR="00C07874" w:rsidRPr="00A80B5C" w:rsidRDefault="00C07874" w:rsidP="00C07874">
      <w:pPr>
        <w:pStyle w:val="ListParagraph"/>
        <w:numPr>
          <w:ilvl w:val="0"/>
          <w:numId w:val="25"/>
        </w:numPr>
        <w:spacing w:after="0" w:line="240" w:lineRule="auto"/>
        <w:contextualSpacing/>
        <w:jc w:val="both"/>
        <w:rPr>
          <w:rFonts w:cs="Calibri"/>
          <w:sz w:val="22"/>
          <w:lang w:val="it-IT"/>
        </w:rPr>
      </w:pPr>
      <w:r w:rsidRPr="00A80B5C">
        <w:rPr>
          <w:rFonts w:cs="Calibri"/>
          <w:noProof/>
          <w:sz w:val="22"/>
          <w:lang w:val="it-IT"/>
        </w:rPr>
        <w:t>podrška za unapređenje kvaliteta sirovog mlijeka;</w:t>
      </w:r>
    </w:p>
    <w:p w:rsidR="00C07874" w:rsidRPr="00A80B5C" w:rsidRDefault="00C07874" w:rsidP="00C07874">
      <w:pPr>
        <w:pStyle w:val="ListParagraph"/>
        <w:numPr>
          <w:ilvl w:val="0"/>
          <w:numId w:val="25"/>
        </w:numPr>
        <w:spacing w:after="0" w:line="240" w:lineRule="auto"/>
        <w:contextualSpacing/>
        <w:jc w:val="both"/>
        <w:rPr>
          <w:rFonts w:cs="Calibri"/>
          <w:sz w:val="22"/>
          <w:lang w:val="it-IT"/>
        </w:rPr>
      </w:pPr>
      <w:r w:rsidRPr="00A80B5C">
        <w:rPr>
          <w:rFonts w:cs="Calibri"/>
          <w:sz w:val="22"/>
          <w:lang w:val="it-IT"/>
        </w:rPr>
        <w:t>podrška investicijama u preradu na porodičnim gazdinstvima;</w:t>
      </w:r>
    </w:p>
    <w:p w:rsidR="00C07874" w:rsidRPr="00A80B5C" w:rsidRDefault="00C07874" w:rsidP="00C07874">
      <w:pPr>
        <w:pStyle w:val="ListParagraph"/>
        <w:numPr>
          <w:ilvl w:val="0"/>
          <w:numId w:val="25"/>
        </w:numPr>
        <w:spacing w:after="0" w:line="240" w:lineRule="auto"/>
        <w:contextualSpacing/>
        <w:jc w:val="both"/>
        <w:rPr>
          <w:rFonts w:cs="Calibri"/>
          <w:sz w:val="22"/>
          <w:lang w:val="it-IT"/>
        </w:rPr>
      </w:pPr>
      <w:r w:rsidRPr="00A80B5C">
        <w:rPr>
          <w:rFonts w:cs="Calibri"/>
          <w:sz w:val="22"/>
        </w:rPr>
        <w:t>d</w:t>
      </w:r>
      <w:r w:rsidRPr="00A80B5C">
        <w:rPr>
          <w:rFonts w:cs="Calibri"/>
          <w:sz w:val="22"/>
          <w:lang w:val="sr-Cyrl-CS"/>
        </w:rPr>
        <w:t>iver</w:t>
      </w:r>
      <w:r w:rsidRPr="00A80B5C">
        <w:rPr>
          <w:rFonts w:cs="Calibri"/>
          <w:sz w:val="22"/>
          <w:lang w:val="uz-Cyrl-UZ"/>
        </w:rPr>
        <w:t>z</w:t>
      </w:r>
      <w:r w:rsidRPr="00A80B5C">
        <w:rPr>
          <w:rFonts w:cs="Calibri"/>
          <w:sz w:val="22"/>
          <w:lang w:val="sr-Cyrl-CS"/>
        </w:rPr>
        <w:t>ifikacija ekonomskih aktivnosti u ruralnim sredinama</w:t>
      </w:r>
      <w:r w:rsidRPr="00A80B5C">
        <w:rPr>
          <w:rFonts w:cs="Calibri"/>
          <w:sz w:val="22"/>
        </w:rPr>
        <w:t>.</w:t>
      </w:r>
    </w:p>
    <w:p w:rsidR="00C07874" w:rsidRPr="00202CFA" w:rsidRDefault="00C07874" w:rsidP="00C07874">
      <w:pPr>
        <w:pStyle w:val="ListParagraph"/>
        <w:spacing w:after="0" w:line="240" w:lineRule="auto"/>
        <w:contextualSpacing/>
        <w:jc w:val="both"/>
        <w:rPr>
          <w:rFonts w:cs="Calibri"/>
          <w:i/>
          <w:lang w:val="it-IT"/>
        </w:rPr>
      </w:pPr>
    </w:p>
    <w:p w:rsidR="00C07874" w:rsidRPr="00202CFA" w:rsidRDefault="00C07874" w:rsidP="00C07874">
      <w:pPr>
        <w:pStyle w:val="NormalWeb"/>
        <w:spacing w:before="0" w:beforeAutospacing="0" w:after="0"/>
        <w:jc w:val="both"/>
        <w:rPr>
          <w:rFonts w:ascii="Calibri" w:hAnsi="Calibri" w:cs="Calibri"/>
          <w:sz w:val="22"/>
          <w:szCs w:val="22"/>
        </w:rPr>
      </w:pPr>
      <w:r w:rsidRPr="00202CFA">
        <w:rPr>
          <w:rFonts w:ascii="Calibri" w:hAnsi="Calibri" w:cs="Calibri"/>
          <w:sz w:val="22"/>
          <w:szCs w:val="22"/>
        </w:rPr>
        <w:t xml:space="preserve">Nastavljena je realizacija MIDAS projekta. Potpisani su ugovori o bespovratnoj podršci, u okviru IV MIDAS poziva, sa 21 poljoprivrednim proizvodjačem (vrijednost projekata je </w:t>
      </w:r>
      <w:r w:rsidRPr="00202CFA">
        <w:rPr>
          <w:rStyle w:val="Strong"/>
          <w:rFonts w:ascii="Calibri" w:hAnsi="Calibri" w:cs="Calibri"/>
          <w:sz w:val="22"/>
          <w:szCs w:val="22"/>
        </w:rPr>
        <w:t>650.000 €)</w:t>
      </w:r>
      <w:r w:rsidRPr="00202CFA">
        <w:rPr>
          <w:rFonts w:ascii="Calibri" w:hAnsi="Calibri" w:cs="Calibri"/>
          <w:b/>
          <w:sz w:val="22"/>
          <w:szCs w:val="22"/>
        </w:rPr>
        <w:t>.</w:t>
      </w:r>
      <w:r w:rsidRPr="00202CFA">
        <w:rPr>
          <w:rFonts w:ascii="Calibri" w:hAnsi="Calibri" w:cs="Calibri"/>
          <w:sz w:val="22"/>
          <w:szCs w:val="22"/>
        </w:rPr>
        <w:t xml:space="preserve"> Objavljen je </w:t>
      </w:r>
      <w:r w:rsidRPr="00202CFA">
        <w:rPr>
          <w:rStyle w:val="Emphasis"/>
          <w:rFonts w:ascii="Calibri" w:hAnsi="Calibri" w:cs="Calibri"/>
          <w:sz w:val="22"/>
          <w:szCs w:val="22"/>
        </w:rPr>
        <w:t>Peti javni poziv za dodjelu bespovratne (grant) podrške za investicije u poljoprivredna gazdinstva</w:t>
      </w:r>
      <w:r w:rsidRPr="00202CFA">
        <w:rPr>
          <w:rFonts w:ascii="Calibri" w:hAnsi="Calibri" w:cs="Calibri"/>
          <w:i/>
          <w:sz w:val="22"/>
          <w:szCs w:val="22"/>
        </w:rPr>
        <w:t xml:space="preserve"> </w:t>
      </w:r>
      <w:r w:rsidRPr="00202CFA">
        <w:rPr>
          <w:rFonts w:ascii="Calibri" w:hAnsi="Calibri" w:cs="Calibri"/>
          <w:sz w:val="22"/>
          <w:szCs w:val="22"/>
        </w:rPr>
        <w:t>u okviru mjere</w:t>
      </w:r>
      <w:r w:rsidRPr="00202CFA">
        <w:rPr>
          <w:rFonts w:ascii="Calibri" w:hAnsi="Calibri" w:cs="Calibri"/>
          <w:i/>
          <w:sz w:val="22"/>
          <w:szCs w:val="22"/>
        </w:rPr>
        <w:t xml:space="preserve"> </w:t>
      </w:r>
      <w:r w:rsidRPr="00202CFA">
        <w:rPr>
          <w:rStyle w:val="Emphasis"/>
          <w:rFonts w:ascii="Calibri" w:hAnsi="Calibri" w:cs="Calibri"/>
          <w:sz w:val="22"/>
          <w:szCs w:val="22"/>
        </w:rPr>
        <w:t>“Upravljanje stajskim đubrivom</w:t>
      </w:r>
      <w:r w:rsidRPr="00202CFA">
        <w:rPr>
          <w:rFonts w:ascii="Calibri" w:hAnsi="Calibri" w:cs="Calibri"/>
          <w:i/>
          <w:sz w:val="22"/>
          <w:szCs w:val="22"/>
        </w:rPr>
        <w:t xml:space="preserve">”. </w:t>
      </w:r>
      <w:r w:rsidRPr="00202CFA">
        <w:rPr>
          <w:rFonts w:ascii="Calibri" w:hAnsi="Calibri" w:cs="Calibri"/>
          <w:sz w:val="22"/>
          <w:szCs w:val="22"/>
        </w:rPr>
        <w:t>Predvidjeni budžet iznosi 0,5 mil.€.</w:t>
      </w:r>
    </w:p>
    <w:p w:rsidR="00C07874" w:rsidRPr="00202CFA" w:rsidRDefault="00C07874" w:rsidP="00C07874">
      <w:pPr>
        <w:pStyle w:val="NormalWeb"/>
        <w:spacing w:before="0" w:beforeAutospacing="0" w:after="0"/>
        <w:jc w:val="both"/>
        <w:rPr>
          <w:rFonts w:ascii="Calibri" w:hAnsi="Calibri" w:cs="Calibri"/>
          <w:sz w:val="22"/>
          <w:szCs w:val="22"/>
        </w:rPr>
      </w:pPr>
    </w:p>
    <w:p w:rsidR="00C07874" w:rsidRPr="0092195A" w:rsidRDefault="00C07874" w:rsidP="00C07874">
      <w:pPr>
        <w:spacing w:after="0" w:line="240" w:lineRule="auto"/>
        <w:jc w:val="both"/>
        <w:rPr>
          <w:rFonts w:cs="Calibri"/>
          <w:lang w:val="sr-Latn-CS"/>
        </w:rPr>
      </w:pPr>
      <w:r w:rsidRPr="0092195A">
        <w:rPr>
          <w:rFonts w:cs="Calibri"/>
          <w:lang w:val="sr-Latn-CS"/>
        </w:rPr>
        <w:t xml:space="preserve">Imajući u vidu da velike površine zemljišta u državnom vlasništvu nijesu obrađene, u cilju njihovog stavljanja u funkciju razvoja, potpisani su ugovori o zakupu poljoprivrednog zemljišta koje je u vlasništvu Države na lokacijama Krnovo i Grahovsko i Šasko polje. Zakupci će imati mogućnost da konkurišu za dobijanje finansijskih sredstava kod banaka i fondova, kao i za podrške Ministarstva koje su predviđene Agrobudžetom. </w:t>
      </w:r>
    </w:p>
    <w:p w:rsidR="00C07874" w:rsidRPr="0092195A" w:rsidRDefault="00C07874" w:rsidP="00C07874">
      <w:pPr>
        <w:spacing w:after="0" w:line="240" w:lineRule="auto"/>
        <w:jc w:val="both"/>
        <w:rPr>
          <w:rFonts w:cs="Calibri"/>
          <w:lang w:val="sr-Latn-CS"/>
        </w:rPr>
      </w:pPr>
    </w:p>
    <w:p w:rsidR="00C07874" w:rsidRDefault="00C07874" w:rsidP="00C07874">
      <w:pPr>
        <w:pStyle w:val="NormalWeb"/>
        <w:spacing w:before="0" w:beforeAutospacing="0" w:after="0"/>
        <w:jc w:val="both"/>
        <w:rPr>
          <w:rFonts w:ascii="Calibri" w:hAnsi="Calibri" w:cs="Calibri"/>
          <w:sz w:val="22"/>
          <w:szCs w:val="22"/>
        </w:rPr>
      </w:pPr>
      <w:r w:rsidRPr="00202CFA">
        <w:rPr>
          <w:rFonts w:ascii="Calibri" w:hAnsi="Calibri" w:cs="Calibri"/>
          <w:sz w:val="22"/>
          <w:szCs w:val="22"/>
        </w:rPr>
        <w:t xml:space="preserve">Počela je realizacija projekta </w:t>
      </w:r>
      <w:r w:rsidRPr="00202CFA">
        <w:rPr>
          <w:rFonts w:ascii="Calibri" w:hAnsi="Calibri" w:cs="Calibri"/>
          <w:i/>
          <w:sz w:val="22"/>
          <w:szCs w:val="22"/>
        </w:rPr>
        <w:t>“</w:t>
      </w:r>
      <w:r w:rsidRPr="00202CFA">
        <w:rPr>
          <w:rStyle w:val="Emphasis"/>
          <w:rFonts w:ascii="Calibri" w:hAnsi="Calibri" w:cs="Calibri"/>
          <w:sz w:val="22"/>
          <w:szCs w:val="22"/>
        </w:rPr>
        <w:t>Jačanje veterinarskih službi</w:t>
      </w:r>
      <w:r w:rsidRPr="00202CFA">
        <w:rPr>
          <w:rFonts w:ascii="Calibri" w:hAnsi="Calibri" w:cs="Calibri"/>
          <w:i/>
          <w:sz w:val="22"/>
          <w:szCs w:val="22"/>
        </w:rPr>
        <w:t>“,</w:t>
      </w:r>
      <w:r w:rsidRPr="00202CFA">
        <w:rPr>
          <w:rFonts w:ascii="Calibri" w:hAnsi="Calibri" w:cs="Calibri"/>
          <w:sz w:val="22"/>
          <w:szCs w:val="22"/>
        </w:rPr>
        <w:t xml:space="preserve"> koji finansira EU iz sredstava pretpristupne pomoći (vrijednost projekta je oko 700,0 hilj. €). Cilj projekta je da</w:t>
      </w:r>
      <w:r w:rsidRPr="00202CFA">
        <w:rPr>
          <w:rFonts w:ascii="Calibri" w:hAnsi="Calibri" w:cs="Calibri"/>
          <w:spacing w:val="8"/>
          <w:sz w:val="22"/>
          <w:szCs w:val="22"/>
        </w:rPr>
        <w:t xml:space="preserve"> se unaprijedi bezbjednost hrane i da crnogorski poljoprivredni proizvođači, ispunjavajući evropske standarde, postanu konkuretniji na domaćem i međunarodnom tržištu. Istovremeno, r</w:t>
      </w:r>
      <w:r w:rsidRPr="00202CFA">
        <w:rPr>
          <w:rFonts w:ascii="Calibri" w:hAnsi="Calibri" w:cs="Calibri"/>
          <w:sz w:val="22"/>
          <w:szCs w:val="22"/>
        </w:rPr>
        <w:t xml:space="preserve">ealizacijom ovoga projekta, unaprijediće se kapaciteti Veterinarske uprave i veterinarske inspekcije Crne Gore i osposobiti za </w:t>
      </w:r>
      <w:r w:rsidRPr="00202CFA">
        <w:rPr>
          <w:rFonts w:ascii="Calibri" w:hAnsi="Calibri" w:cs="Calibri"/>
          <w:spacing w:val="-5"/>
          <w:sz w:val="22"/>
          <w:szCs w:val="22"/>
        </w:rPr>
        <w:t xml:space="preserve">prenošenje i primjenu </w:t>
      </w:r>
      <w:r w:rsidRPr="00202CFA">
        <w:rPr>
          <w:rFonts w:ascii="Calibri" w:hAnsi="Calibri" w:cs="Calibri"/>
          <w:spacing w:val="-7"/>
          <w:sz w:val="22"/>
          <w:szCs w:val="22"/>
        </w:rPr>
        <w:t xml:space="preserve">pravne tekovine </w:t>
      </w:r>
      <w:r w:rsidRPr="00202CFA">
        <w:rPr>
          <w:rFonts w:ascii="Calibri" w:hAnsi="Calibri" w:cs="Calibri"/>
          <w:sz w:val="22"/>
          <w:szCs w:val="22"/>
        </w:rPr>
        <w:t>EU</w:t>
      </w:r>
      <w:r w:rsidRPr="00202CFA">
        <w:rPr>
          <w:rFonts w:ascii="Calibri" w:hAnsi="Calibri" w:cs="Calibri"/>
          <w:spacing w:val="-8"/>
          <w:sz w:val="22"/>
          <w:szCs w:val="22"/>
        </w:rPr>
        <w:t xml:space="preserve"> vezane za poglavlje 12 - </w:t>
      </w:r>
      <w:r w:rsidRPr="00202CFA">
        <w:rPr>
          <w:rFonts w:ascii="Calibri" w:hAnsi="Calibri" w:cs="Calibri"/>
          <w:sz w:val="22"/>
          <w:szCs w:val="22"/>
        </w:rPr>
        <w:t>Bezbjednost hrane, veterinarska i fitosanitarna politika.</w:t>
      </w:r>
    </w:p>
    <w:p w:rsidR="00C07874" w:rsidRPr="00202CFA" w:rsidRDefault="00C07874" w:rsidP="00C07874">
      <w:pPr>
        <w:pStyle w:val="NormalWeb"/>
        <w:spacing w:before="0" w:beforeAutospacing="0" w:after="0"/>
        <w:jc w:val="both"/>
        <w:rPr>
          <w:rFonts w:ascii="Calibri" w:hAnsi="Calibri" w:cs="Calibri"/>
          <w:sz w:val="22"/>
          <w:szCs w:val="22"/>
        </w:rPr>
      </w:pPr>
    </w:p>
    <w:p w:rsidR="00C07874" w:rsidRPr="00202CFA" w:rsidRDefault="00C07874" w:rsidP="00C07874">
      <w:pPr>
        <w:pStyle w:val="NormalWeb"/>
        <w:spacing w:before="0" w:beforeAutospacing="0" w:after="0"/>
        <w:jc w:val="both"/>
        <w:rPr>
          <w:rFonts w:ascii="Calibri" w:hAnsi="Calibri" w:cs="Calibri"/>
          <w:sz w:val="22"/>
          <w:szCs w:val="22"/>
          <w:lang w:val="it-IT"/>
        </w:rPr>
      </w:pPr>
      <w:r w:rsidRPr="00202CFA">
        <w:rPr>
          <w:rFonts w:ascii="Calibri" w:hAnsi="Calibri" w:cs="Calibri"/>
          <w:sz w:val="22"/>
          <w:szCs w:val="22"/>
        </w:rPr>
        <w:t xml:space="preserve">Od posebnog značaja je projekat uspostavljanja Registra poljoprivrednih gazdinstava (počeće krajem ljeta/početkom jeseni ove godine). </w:t>
      </w:r>
      <w:r w:rsidRPr="00202CFA">
        <w:rPr>
          <w:rFonts w:ascii="Calibri" w:hAnsi="Calibri" w:cs="Calibri"/>
          <w:sz w:val="22"/>
          <w:szCs w:val="22"/>
          <w:lang w:val="it-IT"/>
        </w:rPr>
        <w:t>Na bazi ovoga registra kreiraće se mjere podrške u okviru agrobudžeta za 2015. Isti će biti neophodan za ostvarivanje prava, odnosno povlačenje sredstava iz fondova EU. Inače, intenzivno se radi na stvaranju institucionalnih pretpostavki za povlačenje sredstava EU, u prvom redu IPARD sredstava.</w:t>
      </w:r>
    </w:p>
    <w:p w:rsidR="00C07874" w:rsidRPr="00202CFA" w:rsidRDefault="00C07874" w:rsidP="00C07874">
      <w:pPr>
        <w:pStyle w:val="NormalWeb"/>
        <w:spacing w:before="0" w:beforeAutospacing="0" w:after="0"/>
        <w:jc w:val="both"/>
        <w:rPr>
          <w:rFonts w:ascii="Calibri" w:hAnsi="Calibri" w:cs="Calibri"/>
          <w:sz w:val="22"/>
          <w:szCs w:val="22"/>
          <w:lang w:val="it-IT"/>
        </w:rPr>
      </w:pPr>
    </w:p>
    <w:p w:rsidR="00C07874" w:rsidRPr="00202CFA" w:rsidRDefault="00C07874" w:rsidP="00C07874">
      <w:pPr>
        <w:pStyle w:val="NormalWeb"/>
        <w:spacing w:before="0" w:beforeAutospacing="0" w:after="0"/>
        <w:jc w:val="both"/>
        <w:rPr>
          <w:rFonts w:ascii="Calibri" w:hAnsi="Calibri" w:cs="Calibri"/>
          <w:sz w:val="22"/>
          <w:szCs w:val="22"/>
          <w:lang w:val="it-IT"/>
        </w:rPr>
      </w:pPr>
      <w:r w:rsidRPr="00202CFA">
        <w:rPr>
          <w:rFonts w:ascii="Calibri" w:hAnsi="Calibri" w:cs="Calibri"/>
          <w:sz w:val="22"/>
          <w:szCs w:val="22"/>
          <w:lang w:val="it-IT"/>
        </w:rPr>
        <w:t>Ministarstvo poljoprivrede i ruralnog razvoja posebnu pažnju posvećuje podizanju nivoa znanja i informisanosi poljoprivrednih proizvodjača. U tom smislu, u kontinuitetu se organizuju radionice, kao dio edukatvno-informativne kampanje u raznim oblastima (npr. organska proizvodnja, geografska zaštita proizvoda, registar poljoprivrednih gazdinstava i dr.).</w:t>
      </w:r>
    </w:p>
    <w:p w:rsidR="00C07874" w:rsidRPr="00202CFA" w:rsidRDefault="00C07874" w:rsidP="00C07874">
      <w:pPr>
        <w:spacing w:after="0" w:line="240" w:lineRule="auto"/>
        <w:jc w:val="both"/>
        <w:rPr>
          <w:rFonts w:cs="Calibri"/>
          <w:lang w:val="it-IT"/>
        </w:rPr>
      </w:pPr>
    </w:p>
    <w:p w:rsidR="00C07874" w:rsidRDefault="00C07874" w:rsidP="00C07874">
      <w:pPr>
        <w:spacing w:after="0" w:line="240" w:lineRule="auto"/>
        <w:jc w:val="both"/>
        <w:rPr>
          <w:rFonts w:cs="Calibri"/>
          <w:lang w:val="it-IT"/>
        </w:rPr>
      </w:pPr>
      <w:r w:rsidRPr="00202CFA">
        <w:rPr>
          <w:rFonts w:cs="Calibri"/>
          <w:lang w:val="it-IT"/>
        </w:rPr>
        <w:t>Nastavljene su aktivnosti na usklađivanju agrarne politike sa Zajedničkom poljoprivrednom politikom EU, kao i aktivnosti na pripremi i donošenju novih strateških razvojnih dokumenata u agraru. Cilj njihovog donošenja je poboljšanje agrarne strukture, povećanje konkurentnosti, ostvarivanje boljih izvoznih rezultata, uz prevazilaženje niza razvojnih problema.</w:t>
      </w:r>
    </w:p>
    <w:p w:rsidR="007C3629" w:rsidRDefault="007C3629" w:rsidP="00C07874">
      <w:pPr>
        <w:spacing w:after="0" w:line="240" w:lineRule="auto"/>
        <w:jc w:val="both"/>
        <w:rPr>
          <w:rFonts w:cs="Calibri"/>
          <w:lang w:val="it-IT"/>
        </w:rPr>
      </w:pPr>
    </w:p>
    <w:p w:rsidR="007C3629" w:rsidRPr="00202CFA" w:rsidRDefault="007C3629" w:rsidP="00C07874">
      <w:pPr>
        <w:spacing w:after="0" w:line="240" w:lineRule="auto"/>
        <w:jc w:val="both"/>
        <w:rPr>
          <w:rFonts w:cs="Calibri"/>
          <w:lang w:val="it-IT"/>
        </w:rPr>
      </w:pPr>
    </w:p>
    <w:p w:rsidR="00276884" w:rsidRPr="002B3C21" w:rsidRDefault="00276884" w:rsidP="00F06FFE">
      <w:pPr>
        <w:pStyle w:val="Heading2"/>
        <w:rPr>
          <w:sz w:val="24"/>
        </w:rPr>
      </w:pPr>
      <w:bookmarkStart w:id="59" w:name="_Toc389745304"/>
      <w:r w:rsidRPr="002B3C21">
        <w:rPr>
          <w:sz w:val="24"/>
        </w:rPr>
        <w:lastRenderedPageBreak/>
        <w:t>ZAŠTITA ŽIVOTNE SREDINE</w:t>
      </w:r>
      <w:bookmarkEnd w:id="59"/>
    </w:p>
    <w:p w:rsidR="00B45FBF" w:rsidRPr="009D407D" w:rsidRDefault="00B45FBF" w:rsidP="00B45FBF">
      <w:pPr>
        <w:spacing w:after="0" w:line="240" w:lineRule="auto"/>
      </w:pPr>
    </w:p>
    <w:p w:rsidR="00C07874" w:rsidRPr="00202CFA" w:rsidRDefault="00C07874" w:rsidP="00C07874">
      <w:pPr>
        <w:spacing w:after="0" w:line="240" w:lineRule="auto"/>
        <w:jc w:val="both"/>
        <w:rPr>
          <w:rStyle w:val="Strong"/>
          <w:rFonts w:asciiTheme="minorHAnsi" w:hAnsiTheme="minorHAnsi" w:cstheme="minorHAnsi"/>
          <w:b w:val="0"/>
        </w:rPr>
      </w:pPr>
      <w:r w:rsidRPr="00202CFA">
        <w:rPr>
          <w:rFonts w:cstheme="minorHAnsi"/>
          <w:b/>
        </w:rPr>
        <w:t xml:space="preserve">Realizacija aktivnosti u oblati zaštite životne sredine usmjerena je, prije svega, na </w:t>
      </w:r>
      <w:r w:rsidRPr="00202CFA">
        <w:rPr>
          <w:rFonts w:cs="Calibri"/>
          <w:b/>
        </w:rPr>
        <w:t>ostvarivanje nacionalnih ciljeva i prioriteta</w:t>
      </w:r>
      <w:r w:rsidRPr="00202CFA">
        <w:rPr>
          <w:rFonts w:asciiTheme="minorHAnsi" w:hAnsiTheme="minorHAnsi" w:cstheme="minorHAnsi"/>
          <w:b/>
        </w:rPr>
        <w:t>, uz poštovanja visokih i strogih ekoloških EU standarda.</w:t>
      </w:r>
    </w:p>
    <w:p w:rsidR="00C07874" w:rsidRPr="00202CFA" w:rsidRDefault="00C07874" w:rsidP="00C07874">
      <w:pPr>
        <w:pStyle w:val="Default"/>
        <w:jc w:val="both"/>
        <w:rPr>
          <w:rStyle w:val="Strong"/>
          <w:rFonts w:asciiTheme="minorHAnsi" w:hAnsiTheme="minorHAnsi" w:cstheme="minorHAnsi"/>
          <w:color w:val="auto"/>
          <w:sz w:val="22"/>
          <w:szCs w:val="22"/>
        </w:rPr>
      </w:pPr>
    </w:p>
    <w:p w:rsidR="00C07874" w:rsidRPr="00202CFA" w:rsidRDefault="00C07874" w:rsidP="00C07874">
      <w:pPr>
        <w:pStyle w:val="Default"/>
        <w:jc w:val="both"/>
        <w:rPr>
          <w:rFonts w:asciiTheme="minorHAnsi" w:hAnsiTheme="minorHAnsi" w:cstheme="minorHAnsi"/>
          <w:iCs/>
          <w:color w:val="auto"/>
          <w:sz w:val="22"/>
          <w:szCs w:val="22"/>
        </w:rPr>
      </w:pPr>
      <w:r w:rsidRPr="00202CFA">
        <w:rPr>
          <w:rStyle w:val="Strong"/>
          <w:rFonts w:asciiTheme="minorHAnsi" w:hAnsiTheme="minorHAnsi" w:cstheme="minorHAnsi"/>
          <w:color w:val="auto"/>
          <w:sz w:val="22"/>
          <w:szCs w:val="22"/>
        </w:rPr>
        <w:t>U cilju unapređenja zakonske regulative i usaglašavanje iste sa pravnom tekovinom EU, donesen je Zakon o izmjenama i dopunama Zakona o ratifikaciji Sporazuma o zaštiti kitova i delfina (Cetacea) u Crnom moru, Sredozemnom moru i pripadajućoj zoni Atlanskog okeana (ACCOBAMS), a u skupštinskoj proceduri je Predlog zakona o nacionalnim parkovima i Predlog zakona o odgovornosti za štetu u životnoj sredini. Takođe, u</w:t>
      </w:r>
      <w:r w:rsidRPr="00202CFA">
        <w:rPr>
          <w:rFonts w:asciiTheme="minorHAnsi" w:hAnsiTheme="minorHAnsi" w:cstheme="minorHAnsi"/>
          <w:iCs/>
          <w:color w:val="auto"/>
          <w:sz w:val="22"/>
          <w:szCs w:val="22"/>
        </w:rPr>
        <w:t xml:space="preserve"> toku su aktivnosti na izradi Predloga zakona o izmjenama i dopunama Zakona o zaštiti vazduha, Predloga zakona o biocidnim proizvodima, Nacrta zakona o životnoj sredini i Zakona o izmjenama i dopunama Zakona o upravljanju otpadom, kao i izrada Predloga nacionalne strategije upravljanja hemikalijama, Državnog plana upravljanja otpadom i Strategije upravljanja otpadom.</w:t>
      </w:r>
    </w:p>
    <w:p w:rsidR="00C07874" w:rsidRPr="00202CFA" w:rsidRDefault="00C07874" w:rsidP="00C07874">
      <w:pPr>
        <w:pStyle w:val="Default"/>
        <w:jc w:val="both"/>
        <w:rPr>
          <w:rFonts w:asciiTheme="minorHAnsi" w:hAnsiTheme="minorHAnsi" w:cstheme="minorHAnsi"/>
          <w:iCs/>
          <w:color w:val="auto"/>
          <w:sz w:val="22"/>
          <w:szCs w:val="22"/>
        </w:rPr>
      </w:pPr>
    </w:p>
    <w:p w:rsidR="00C07874" w:rsidRPr="00202CFA" w:rsidRDefault="00C07874" w:rsidP="00C07874">
      <w:pPr>
        <w:pStyle w:val="Default"/>
        <w:jc w:val="both"/>
        <w:rPr>
          <w:rFonts w:asciiTheme="minorHAnsi" w:hAnsiTheme="minorHAnsi" w:cstheme="minorHAnsi"/>
          <w:iCs/>
          <w:color w:val="auto"/>
          <w:sz w:val="22"/>
          <w:szCs w:val="22"/>
        </w:rPr>
      </w:pPr>
      <w:r w:rsidRPr="00202CFA">
        <w:rPr>
          <w:rFonts w:asciiTheme="minorHAnsi" w:hAnsiTheme="minorHAnsi" w:cstheme="minorHAnsi"/>
          <w:iCs/>
          <w:color w:val="auto"/>
          <w:sz w:val="22"/>
          <w:szCs w:val="22"/>
        </w:rPr>
        <w:t>Usvojen je Treći izvještaj o implementaciji Nacionalne strategije biodiverziteta (2010-2015.). Tokom 2013. godine aktivnosti su bile usmjerene na realizaciju 44, od 54 definisane mjere. Usljed nedostatka finansijskih i kadrovskih kapaciteta, kao i problema podjele nadležnosti, ostale mjere nijesu implementirane.</w:t>
      </w:r>
    </w:p>
    <w:p w:rsidR="00C07874" w:rsidRPr="00202CFA" w:rsidRDefault="00C07874" w:rsidP="00C07874">
      <w:pPr>
        <w:pStyle w:val="Default"/>
        <w:jc w:val="both"/>
        <w:rPr>
          <w:rFonts w:asciiTheme="minorHAnsi" w:hAnsiTheme="minorHAnsi" w:cstheme="minorHAnsi"/>
          <w:iCs/>
          <w:color w:val="auto"/>
          <w:sz w:val="22"/>
          <w:szCs w:val="22"/>
        </w:rPr>
      </w:pPr>
    </w:p>
    <w:p w:rsidR="00C07874" w:rsidRPr="00202CFA" w:rsidRDefault="00C07874" w:rsidP="00C07874">
      <w:pPr>
        <w:pStyle w:val="Default"/>
        <w:jc w:val="both"/>
        <w:rPr>
          <w:rFonts w:asciiTheme="minorHAnsi" w:hAnsiTheme="minorHAnsi" w:cstheme="minorHAnsi"/>
          <w:iCs/>
          <w:color w:val="auto"/>
          <w:sz w:val="22"/>
          <w:szCs w:val="22"/>
        </w:rPr>
      </w:pPr>
      <w:r w:rsidRPr="00202CFA">
        <w:rPr>
          <w:rFonts w:asciiTheme="minorHAnsi" w:hAnsiTheme="minorHAnsi" w:cstheme="minorHAnsi"/>
          <w:iCs/>
          <w:color w:val="auto"/>
          <w:sz w:val="22"/>
          <w:szCs w:val="22"/>
        </w:rPr>
        <w:t>Usvojen je Program monitoring životne sredine Crne Gore za 2014. godinu, koji će biti osnov za uvođenje nacionalnih indikatora životne sredine, usklađenih sa normama evropske prakse, i izvještavanje prema međunarodnim institucijama.</w:t>
      </w:r>
    </w:p>
    <w:p w:rsidR="00C07874" w:rsidRPr="00202CFA" w:rsidRDefault="00C07874" w:rsidP="00C07874">
      <w:pPr>
        <w:pStyle w:val="Default"/>
        <w:jc w:val="both"/>
        <w:rPr>
          <w:rFonts w:asciiTheme="minorHAnsi" w:hAnsiTheme="minorHAnsi" w:cstheme="minorHAnsi"/>
          <w:iCs/>
          <w:color w:val="auto"/>
          <w:sz w:val="22"/>
          <w:szCs w:val="22"/>
        </w:rPr>
      </w:pPr>
    </w:p>
    <w:p w:rsidR="00C07874" w:rsidRPr="00202CFA" w:rsidRDefault="00C07874" w:rsidP="00C07874">
      <w:pPr>
        <w:pStyle w:val="Default"/>
        <w:jc w:val="both"/>
        <w:rPr>
          <w:rFonts w:asciiTheme="minorHAnsi" w:hAnsiTheme="minorHAnsi" w:cstheme="minorHAnsi"/>
          <w:iCs/>
          <w:color w:val="auto"/>
          <w:sz w:val="22"/>
          <w:szCs w:val="22"/>
        </w:rPr>
      </w:pPr>
      <w:r w:rsidRPr="00202CFA">
        <w:rPr>
          <w:rFonts w:asciiTheme="minorHAnsi" w:hAnsiTheme="minorHAnsi" w:cstheme="minorHAnsi"/>
          <w:iCs/>
          <w:color w:val="auto"/>
          <w:sz w:val="22"/>
          <w:szCs w:val="22"/>
        </w:rPr>
        <w:t>Urađen je prvi indikatorski izvještaj o stanju životne sredine za period od 2009. do 2012. kojim je, na osnovu podataka i stručnih analiza, dat uticaj ekonomskog razvoja na životnu sredinu, kao i mjere za smanjenje zagađenja.</w:t>
      </w:r>
    </w:p>
    <w:p w:rsidR="00C07874" w:rsidRPr="00202CFA" w:rsidRDefault="00C07874" w:rsidP="00C07874">
      <w:pPr>
        <w:pStyle w:val="Default"/>
        <w:jc w:val="both"/>
        <w:rPr>
          <w:rFonts w:asciiTheme="minorHAnsi" w:hAnsiTheme="minorHAnsi" w:cstheme="minorHAnsi"/>
          <w:iCs/>
          <w:color w:val="auto"/>
          <w:sz w:val="22"/>
          <w:szCs w:val="22"/>
        </w:rPr>
      </w:pPr>
    </w:p>
    <w:p w:rsidR="00C07874" w:rsidRPr="00202CFA" w:rsidRDefault="00C07874" w:rsidP="00C07874">
      <w:pPr>
        <w:spacing w:after="0" w:line="240" w:lineRule="auto"/>
        <w:jc w:val="both"/>
        <w:rPr>
          <w:rFonts w:asciiTheme="minorHAnsi" w:hAnsiTheme="minorHAnsi" w:cstheme="minorHAnsi"/>
        </w:rPr>
      </w:pPr>
      <w:r w:rsidRPr="00202CFA">
        <w:rPr>
          <w:rFonts w:asciiTheme="minorHAnsi" w:hAnsiTheme="minorHAnsi" w:cstheme="minorHAnsi"/>
        </w:rPr>
        <w:t xml:space="preserve">Na osnovu analize stanja životne sredine za teritoriju opštine Nikšić, gdje je </w:t>
      </w:r>
      <w:r w:rsidRPr="00202CFA">
        <w:rPr>
          <w:rFonts w:asciiTheme="minorHAnsi" w:hAnsiTheme="minorHAnsi" w:cstheme="minorHAnsi"/>
          <w:iCs/>
        </w:rPr>
        <w:t>registrovana koncentracija zagađujućih materija iznad graničnih vrijednosti, donesen je Plan kvaliteta vazduha za navedenu opštinu, kojim su</w:t>
      </w:r>
      <w:r w:rsidRPr="00202CFA">
        <w:rPr>
          <w:rFonts w:asciiTheme="minorHAnsi" w:hAnsiTheme="minorHAnsi" w:cstheme="minorHAnsi"/>
        </w:rPr>
        <w:t xml:space="preserve"> utvrđene mjere kojima će se prekoračenja propisanih graničnih vrijednosti svesti na najmanju moguću mjeru i, u krajnjem, eliminisati.</w:t>
      </w:r>
    </w:p>
    <w:p w:rsidR="00C07874" w:rsidRPr="00202CFA" w:rsidRDefault="00C07874" w:rsidP="00C07874">
      <w:pPr>
        <w:spacing w:after="0" w:line="240" w:lineRule="auto"/>
        <w:jc w:val="both"/>
        <w:rPr>
          <w:rFonts w:asciiTheme="minorHAnsi" w:hAnsiTheme="minorHAnsi" w:cstheme="minorHAnsi"/>
          <w:iCs/>
        </w:rPr>
      </w:pPr>
    </w:p>
    <w:p w:rsidR="00C07874" w:rsidRPr="00202CFA" w:rsidRDefault="00C07874" w:rsidP="00C07874">
      <w:pPr>
        <w:pStyle w:val="Default"/>
        <w:jc w:val="both"/>
        <w:rPr>
          <w:rFonts w:asciiTheme="minorHAnsi" w:hAnsiTheme="minorHAnsi" w:cstheme="minorHAnsi"/>
          <w:iCs/>
          <w:color w:val="auto"/>
          <w:sz w:val="22"/>
          <w:szCs w:val="22"/>
        </w:rPr>
      </w:pPr>
      <w:r w:rsidRPr="00202CFA">
        <w:rPr>
          <w:rFonts w:asciiTheme="minorHAnsi" w:hAnsiTheme="minorHAnsi" w:cstheme="minorHAnsi"/>
          <w:iCs/>
          <w:color w:val="auto"/>
          <w:sz w:val="22"/>
          <w:szCs w:val="22"/>
        </w:rPr>
        <w:t>Utvrđena je lista prioritetnih projekata iz oblasti komunalne infrastrukture i životne sredine. U okviru Projekta vodosnadbijevanja i odvođenja otpadnih voda u Crnoj Gori odobren je transfer sredstava iz EIB (Evropska investiciona banka) za opštinu Pljevlja. Potpisan je Ugovor za projektovanje i izgradnju zajedničkog postrojenja za prečišćavanje otpadnih voda za opštine Kotor i Tivat, a. raspisan je Javni poziv za izgradnju prve faze kanalizacione mreže i postrojenja za prečišćavanje otpadnih voda u Bijelom Polju.</w:t>
      </w:r>
    </w:p>
    <w:p w:rsidR="00C07874" w:rsidRPr="00202CFA" w:rsidRDefault="00C07874" w:rsidP="00C07874">
      <w:pPr>
        <w:pStyle w:val="Default"/>
        <w:jc w:val="both"/>
        <w:rPr>
          <w:rFonts w:asciiTheme="minorHAnsi" w:hAnsiTheme="minorHAnsi" w:cstheme="minorHAnsi"/>
          <w:iCs/>
          <w:color w:val="auto"/>
          <w:sz w:val="22"/>
          <w:szCs w:val="22"/>
        </w:rPr>
      </w:pPr>
    </w:p>
    <w:p w:rsidR="00C07874" w:rsidRPr="00202CFA" w:rsidRDefault="00C07874" w:rsidP="00C07874">
      <w:pPr>
        <w:pStyle w:val="Default"/>
        <w:jc w:val="both"/>
        <w:rPr>
          <w:color w:val="auto"/>
        </w:rPr>
      </w:pPr>
      <w:r w:rsidRPr="00202CFA">
        <w:rPr>
          <w:rFonts w:asciiTheme="minorHAnsi" w:hAnsiTheme="minorHAnsi" w:cstheme="minorHAnsi"/>
          <w:iCs/>
          <w:color w:val="auto"/>
          <w:sz w:val="22"/>
          <w:szCs w:val="22"/>
        </w:rPr>
        <w:t>Realizovan je projekat “Upravljanje zatvorenim radioaktivnim izvorima uključujući radioaktivne gromobrane i jačanje efikasnosti regulatorne infrastrukture u oblasti zaštite od zračenja u Crnoj Gori, Makedoniji i Kosovu”, čime su stvoreni uslovi za uklanjanje, transport i bezbjednosno skladištenje iskorišćenih radioaktivnih zatvorenih izvora, uključujući radioaktivne gromobrane.</w:t>
      </w:r>
    </w:p>
    <w:p w:rsidR="00C07874" w:rsidRPr="00202CFA" w:rsidRDefault="00C07874" w:rsidP="00C07874">
      <w:pPr>
        <w:pStyle w:val="Default"/>
        <w:jc w:val="both"/>
        <w:rPr>
          <w:rFonts w:asciiTheme="minorHAnsi" w:hAnsiTheme="minorHAnsi" w:cstheme="minorHAnsi"/>
          <w:iCs/>
          <w:color w:val="auto"/>
          <w:sz w:val="22"/>
          <w:szCs w:val="22"/>
        </w:rPr>
      </w:pPr>
    </w:p>
    <w:p w:rsidR="00C07874" w:rsidRDefault="00C07874" w:rsidP="00C07874">
      <w:pPr>
        <w:pStyle w:val="Default"/>
        <w:jc w:val="both"/>
        <w:rPr>
          <w:rFonts w:asciiTheme="minorHAnsi" w:hAnsiTheme="minorHAnsi" w:cstheme="minorHAnsi"/>
          <w:color w:val="auto"/>
          <w:sz w:val="22"/>
          <w:szCs w:val="22"/>
        </w:rPr>
      </w:pPr>
      <w:r w:rsidRPr="00202CFA">
        <w:rPr>
          <w:rFonts w:asciiTheme="minorHAnsi" w:hAnsiTheme="minorHAnsi" w:cstheme="minorHAnsi"/>
          <w:color w:val="auto"/>
          <w:sz w:val="22"/>
          <w:szCs w:val="22"/>
        </w:rPr>
        <w:t xml:space="preserve">Regionalne saradnja </w:t>
      </w:r>
      <w:r w:rsidRPr="00202CFA">
        <w:rPr>
          <w:rFonts w:asciiTheme="minorHAnsi" w:hAnsiTheme="minorHAnsi" w:cstheme="minorHAnsi"/>
          <w:iCs/>
          <w:color w:val="auto"/>
          <w:sz w:val="22"/>
          <w:szCs w:val="22"/>
        </w:rPr>
        <w:t>u oblasti životne sredine i klimatskih promjena realizuje se</w:t>
      </w:r>
      <w:r w:rsidRPr="00202CFA">
        <w:rPr>
          <w:rFonts w:asciiTheme="minorHAnsi" w:hAnsiTheme="minorHAnsi" w:cstheme="minorHAnsi"/>
          <w:color w:val="auto"/>
          <w:sz w:val="22"/>
          <w:szCs w:val="22"/>
        </w:rPr>
        <w:t xml:space="preserve"> kroz RENA platformu, a dalja saradnja je podržana kroz novi program</w:t>
      </w:r>
      <w:r w:rsidRPr="00202CFA">
        <w:rPr>
          <w:rFonts w:asciiTheme="minorHAnsi" w:hAnsiTheme="minorHAnsi" w:cstheme="minorHAnsi"/>
          <w:iCs/>
          <w:color w:val="auto"/>
          <w:sz w:val="22"/>
          <w:szCs w:val="22"/>
        </w:rPr>
        <w:t xml:space="preserve"> “ECRAN”, sa ciljem </w:t>
      </w:r>
      <w:r w:rsidRPr="00202CFA">
        <w:rPr>
          <w:rFonts w:asciiTheme="minorHAnsi" w:hAnsiTheme="minorHAnsi" w:cstheme="minorHAnsi"/>
          <w:color w:val="auto"/>
          <w:sz w:val="22"/>
          <w:szCs w:val="22"/>
        </w:rPr>
        <w:t>usklađivanja zakonodavstva u ovoj oblasti.</w:t>
      </w:r>
    </w:p>
    <w:p w:rsidR="00C07874" w:rsidRDefault="00C07874" w:rsidP="00C07874">
      <w:pPr>
        <w:pStyle w:val="Default"/>
        <w:jc w:val="both"/>
        <w:rPr>
          <w:rFonts w:asciiTheme="minorHAnsi" w:hAnsiTheme="minorHAnsi" w:cstheme="minorHAnsi"/>
          <w:color w:val="auto"/>
          <w:sz w:val="22"/>
          <w:szCs w:val="22"/>
        </w:rPr>
      </w:pPr>
    </w:p>
    <w:p w:rsidR="00C07874" w:rsidRPr="00202CFA" w:rsidRDefault="00C07874" w:rsidP="00C07874">
      <w:pPr>
        <w:pStyle w:val="Default"/>
        <w:jc w:val="both"/>
        <w:rPr>
          <w:rFonts w:asciiTheme="minorHAnsi" w:hAnsiTheme="minorHAnsi" w:cstheme="minorHAnsi"/>
          <w:iCs/>
          <w:color w:val="auto"/>
          <w:sz w:val="22"/>
          <w:szCs w:val="22"/>
        </w:rPr>
      </w:pPr>
    </w:p>
    <w:p w:rsidR="00276884" w:rsidRPr="002B3C21" w:rsidRDefault="00276884" w:rsidP="00D80E81">
      <w:pPr>
        <w:pStyle w:val="Heading2"/>
        <w:rPr>
          <w:bCs/>
          <w:sz w:val="24"/>
        </w:rPr>
      </w:pPr>
      <w:bookmarkStart w:id="60" w:name="_Toc389745305"/>
      <w:r w:rsidRPr="002B3C21">
        <w:rPr>
          <w:bCs/>
          <w:sz w:val="24"/>
        </w:rPr>
        <w:lastRenderedPageBreak/>
        <w:t>UPRAVLJANJE PROSTOROM</w:t>
      </w:r>
      <w:bookmarkEnd w:id="60"/>
    </w:p>
    <w:p w:rsidR="00B45FBF" w:rsidRPr="009D407D" w:rsidRDefault="00B45FBF" w:rsidP="00B45FBF">
      <w:pPr>
        <w:spacing w:after="0" w:line="240" w:lineRule="auto"/>
      </w:pPr>
    </w:p>
    <w:p w:rsidR="00513B88" w:rsidRPr="00202CFA" w:rsidRDefault="00513B88" w:rsidP="00513B88">
      <w:pPr>
        <w:pStyle w:val="BodyText"/>
        <w:jc w:val="both"/>
        <w:rPr>
          <w:rStyle w:val="Strong"/>
          <w:rFonts w:ascii="Calibri" w:hAnsi="Calibri" w:cs="Calibri"/>
          <w:sz w:val="22"/>
          <w:szCs w:val="22"/>
        </w:rPr>
      </w:pPr>
      <w:r w:rsidRPr="00202CFA">
        <w:rPr>
          <w:rStyle w:val="Strong"/>
          <w:rFonts w:ascii="Calibri" w:hAnsi="Calibri" w:cs="Calibri"/>
          <w:sz w:val="22"/>
          <w:szCs w:val="22"/>
        </w:rPr>
        <w:t xml:space="preserve">Sprovode se intenzivne aktivnosti na prilagođavanju koncepta ekonomskog i prostornog razvoja, koje su utemelje u godišnjim programima uređenja prostora. U toku je izrada značajnog broja </w:t>
      </w:r>
      <w:r w:rsidRPr="00202CFA">
        <w:rPr>
          <w:rFonts w:ascii="Calibri" w:hAnsi="Calibri" w:cs="Calibri"/>
          <w:b/>
          <w:sz w:val="22"/>
          <w:szCs w:val="22"/>
        </w:rPr>
        <w:t>planskih dokumenata, kao i</w:t>
      </w:r>
      <w:r w:rsidRPr="00202CFA">
        <w:rPr>
          <w:rFonts w:ascii="Calibri" w:hAnsi="Calibri" w:cs="Calibri"/>
          <w:sz w:val="22"/>
          <w:szCs w:val="22"/>
        </w:rPr>
        <w:t xml:space="preserve"> </w:t>
      </w:r>
      <w:r w:rsidRPr="00202CFA">
        <w:rPr>
          <w:rStyle w:val="Strong"/>
          <w:rFonts w:ascii="Calibri" w:hAnsi="Calibri" w:cs="Calibri"/>
          <w:sz w:val="22"/>
          <w:szCs w:val="22"/>
        </w:rPr>
        <w:t>procjena potrebe izrade novih, odnosno izmjene i dopune postojećih planskih dokumenata.</w:t>
      </w:r>
    </w:p>
    <w:p w:rsidR="00513B88" w:rsidRPr="00202CFA" w:rsidRDefault="00513B88" w:rsidP="00513B88">
      <w:pPr>
        <w:pStyle w:val="BodyText"/>
        <w:jc w:val="both"/>
        <w:rPr>
          <w:rStyle w:val="Strong"/>
          <w:rFonts w:ascii="Calibri" w:hAnsi="Calibri" w:cs="Calibri"/>
          <w:sz w:val="22"/>
          <w:szCs w:val="22"/>
        </w:rPr>
      </w:pPr>
    </w:p>
    <w:p w:rsidR="00513B88" w:rsidRPr="00202CFA" w:rsidRDefault="00513B88" w:rsidP="00513B88">
      <w:pPr>
        <w:pStyle w:val="BodyText"/>
        <w:jc w:val="both"/>
        <w:rPr>
          <w:rFonts w:ascii="Calibri" w:hAnsi="Calibri" w:cs="Calibri"/>
          <w:sz w:val="22"/>
          <w:szCs w:val="22"/>
        </w:rPr>
      </w:pPr>
      <w:r w:rsidRPr="00202CFA">
        <w:rPr>
          <w:rFonts w:ascii="Calibri" w:hAnsi="Calibri" w:cs="Calibri"/>
          <w:sz w:val="22"/>
          <w:szCs w:val="22"/>
        </w:rPr>
        <w:t>S tim u vezi:</w:t>
      </w:r>
    </w:p>
    <w:p w:rsidR="00513B88" w:rsidRPr="00202CFA" w:rsidRDefault="00513B88" w:rsidP="00513B88">
      <w:pPr>
        <w:pStyle w:val="BodyText"/>
        <w:jc w:val="both"/>
        <w:rPr>
          <w:rFonts w:ascii="Calibri" w:hAnsi="Calibri" w:cs="Calibri"/>
          <w:sz w:val="22"/>
          <w:szCs w:val="22"/>
        </w:rPr>
      </w:pPr>
    </w:p>
    <w:p w:rsidR="00513B88" w:rsidRPr="00A80B5C" w:rsidRDefault="00513B88" w:rsidP="00513B88">
      <w:pPr>
        <w:pStyle w:val="BodyText"/>
        <w:numPr>
          <w:ilvl w:val="0"/>
          <w:numId w:val="26"/>
        </w:numPr>
        <w:jc w:val="both"/>
        <w:rPr>
          <w:rFonts w:ascii="Calibri" w:hAnsi="Calibri" w:cs="Calibri"/>
          <w:sz w:val="22"/>
          <w:szCs w:val="20"/>
        </w:rPr>
      </w:pPr>
      <w:r w:rsidRPr="00A80B5C">
        <w:rPr>
          <w:rFonts w:ascii="Calibri" w:hAnsi="Calibri" w:cs="Calibri"/>
          <w:sz w:val="22"/>
          <w:szCs w:val="20"/>
        </w:rPr>
        <w:t>utvrđen je Predlog odluke o donošenju PPPN za NP Lovćen (proslijeđen Skupštini CG na donošenje);</w:t>
      </w:r>
    </w:p>
    <w:p w:rsidR="00513B88" w:rsidRPr="00A80B5C" w:rsidRDefault="00513B88" w:rsidP="00513B88">
      <w:pPr>
        <w:pStyle w:val="BodyText"/>
        <w:numPr>
          <w:ilvl w:val="0"/>
          <w:numId w:val="26"/>
        </w:numPr>
        <w:jc w:val="both"/>
        <w:rPr>
          <w:rFonts w:ascii="Calibri" w:hAnsi="Calibri" w:cs="Calibri"/>
          <w:sz w:val="22"/>
          <w:szCs w:val="20"/>
        </w:rPr>
      </w:pPr>
      <w:r w:rsidRPr="00A80B5C">
        <w:rPr>
          <w:rFonts w:ascii="Calibri" w:hAnsi="Calibri" w:cs="Calibri"/>
          <w:sz w:val="22"/>
          <w:szCs w:val="20"/>
        </w:rPr>
        <w:t xml:space="preserve">utvrđen je Predlog odluke o donošenju </w:t>
      </w:r>
      <w:r w:rsidRPr="00A80B5C">
        <w:rPr>
          <w:rFonts w:ascii="Calibri" w:hAnsi="Calibri" w:cs="Calibri"/>
          <w:sz w:val="22"/>
          <w:szCs w:val="20"/>
          <w:lang w:val="pl-PL"/>
        </w:rPr>
        <w:t>Izmjena i dopuna DSL "Sektor 5"</w:t>
      </w:r>
      <w:r w:rsidRPr="00A80B5C">
        <w:rPr>
          <w:rFonts w:ascii="Calibri" w:hAnsi="Calibri" w:cs="Calibri"/>
          <w:bCs/>
          <w:sz w:val="22"/>
          <w:szCs w:val="20"/>
        </w:rPr>
        <w:t xml:space="preserve"> (za dio bivše kasarne Orijenski bataljon);</w:t>
      </w:r>
    </w:p>
    <w:p w:rsidR="00513B88" w:rsidRPr="00A80B5C" w:rsidRDefault="00513B88" w:rsidP="00513B88">
      <w:pPr>
        <w:pStyle w:val="BodyText"/>
        <w:numPr>
          <w:ilvl w:val="0"/>
          <w:numId w:val="26"/>
        </w:numPr>
        <w:jc w:val="both"/>
        <w:rPr>
          <w:rFonts w:ascii="Calibri" w:hAnsi="Calibri" w:cs="Calibri"/>
          <w:sz w:val="22"/>
          <w:szCs w:val="20"/>
        </w:rPr>
      </w:pPr>
      <w:r w:rsidRPr="00A80B5C">
        <w:rPr>
          <w:rFonts w:ascii="Calibri" w:hAnsi="Calibri" w:cs="Calibri"/>
          <w:sz w:val="22"/>
          <w:szCs w:val="20"/>
        </w:rPr>
        <w:t>u toku su aktivnosti na pripremi Predloga PPPN za Durmitorsko područje, uz obavezu pribavljanja Mišljenja od strane UNESCO—a;</w:t>
      </w:r>
    </w:p>
    <w:p w:rsidR="00513B88" w:rsidRPr="00A80B5C" w:rsidRDefault="00513B88" w:rsidP="00513B88">
      <w:pPr>
        <w:pStyle w:val="BodyText"/>
        <w:numPr>
          <w:ilvl w:val="0"/>
          <w:numId w:val="26"/>
        </w:numPr>
        <w:jc w:val="both"/>
        <w:rPr>
          <w:rFonts w:ascii="Calibri" w:hAnsi="Calibri" w:cs="Calibri"/>
          <w:sz w:val="22"/>
          <w:szCs w:val="20"/>
        </w:rPr>
      </w:pPr>
      <w:r w:rsidRPr="00A80B5C">
        <w:rPr>
          <w:rFonts w:ascii="Calibri" w:hAnsi="Calibri" w:cs="Calibri"/>
          <w:sz w:val="22"/>
          <w:szCs w:val="20"/>
        </w:rPr>
        <w:t>intenzivirane su aktivnosti na izradi PPPN za Obalno područje Crne Gore (urađena VI faza- Prednacrt Plana);</w:t>
      </w:r>
    </w:p>
    <w:p w:rsidR="00513B88" w:rsidRPr="0092195A" w:rsidRDefault="00513B88" w:rsidP="00513B88">
      <w:pPr>
        <w:pStyle w:val="NoSpacing"/>
        <w:numPr>
          <w:ilvl w:val="0"/>
          <w:numId w:val="26"/>
        </w:numPr>
        <w:jc w:val="both"/>
        <w:rPr>
          <w:rFonts w:cs="Calibri"/>
          <w:szCs w:val="20"/>
          <w:lang w:val="sr-Latn-CS"/>
        </w:rPr>
      </w:pPr>
      <w:r w:rsidRPr="0092195A">
        <w:rPr>
          <w:rFonts w:cs="Calibri"/>
          <w:szCs w:val="20"/>
          <w:lang w:val="sr-Latn-CS"/>
        </w:rPr>
        <w:t>pripremljeni su predlozi DPP za višenamjenske akumulacije na Komarnici i DPP za Jadransko-jonski autoput;</w:t>
      </w:r>
    </w:p>
    <w:p w:rsidR="00513B88" w:rsidRPr="00A80B5C" w:rsidRDefault="00513B88" w:rsidP="00513B88">
      <w:pPr>
        <w:pStyle w:val="BodyText"/>
        <w:numPr>
          <w:ilvl w:val="0"/>
          <w:numId w:val="26"/>
        </w:numPr>
        <w:jc w:val="both"/>
        <w:rPr>
          <w:rFonts w:ascii="Calibri" w:hAnsi="Calibri" w:cs="Calibri"/>
          <w:sz w:val="22"/>
          <w:szCs w:val="20"/>
        </w:rPr>
      </w:pPr>
      <w:r w:rsidRPr="00A80B5C">
        <w:rPr>
          <w:rFonts w:ascii="Calibri" w:hAnsi="Calibri" w:cs="Calibri"/>
          <w:sz w:val="22"/>
          <w:szCs w:val="20"/>
        </w:rPr>
        <w:t>u toku je izrada Nacrta DPP za Termoelektranu Pljevlja;</w:t>
      </w:r>
    </w:p>
    <w:p w:rsidR="00513B88" w:rsidRPr="00A80B5C" w:rsidRDefault="00513B88" w:rsidP="00513B88">
      <w:pPr>
        <w:pStyle w:val="BodyText"/>
        <w:numPr>
          <w:ilvl w:val="0"/>
          <w:numId w:val="26"/>
        </w:numPr>
        <w:jc w:val="both"/>
        <w:rPr>
          <w:rFonts w:ascii="Calibri" w:hAnsi="Calibri" w:cs="Calibri"/>
          <w:sz w:val="22"/>
          <w:szCs w:val="20"/>
        </w:rPr>
      </w:pPr>
      <w:r w:rsidRPr="00A80B5C">
        <w:rPr>
          <w:rFonts w:ascii="Calibri" w:hAnsi="Calibri" w:cs="Calibri"/>
          <w:sz w:val="22"/>
          <w:szCs w:val="20"/>
        </w:rPr>
        <w:t xml:space="preserve">urađen je Nacrt DPP za prostor višenamjenskih akumulacija na rijeci Morači za drugu varijantu visine brane Andrijevo i Studija </w:t>
      </w:r>
      <w:r w:rsidRPr="00A80B5C">
        <w:rPr>
          <w:rFonts w:ascii="Calibri" w:hAnsi="Calibri" w:cs="Calibri"/>
          <w:bCs/>
          <w:sz w:val="22"/>
          <w:szCs w:val="20"/>
        </w:rPr>
        <w:t>„Dopunska istraživanja za prostor višenamjenskih akumulacija na rijeci Morači“;</w:t>
      </w:r>
    </w:p>
    <w:p w:rsidR="00513B88" w:rsidRPr="0092195A" w:rsidRDefault="00513B88" w:rsidP="00513B88">
      <w:pPr>
        <w:pStyle w:val="NoSpacing"/>
        <w:numPr>
          <w:ilvl w:val="0"/>
          <w:numId w:val="26"/>
        </w:numPr>
        <w:jc w:val="both"/>
        <w:rPr>
          <w:rFonts w:cs="Calibri"/>
          <w:szCs w:val="20"/>
          <w:lang w:val="sr-Latn-CS"/>
        </w:rPr>
      </w:pPr>
      <w:r w:rsidRPr="0092195A">
        <w:rPr>
          <w:rFonts w:cs="Calibri"/>
          <w:szCs w:val="20"/>
          <w:lang w:val="sr-Latn-CS"/>
        </w:rPr>
        <w:t xml:space="preserve">pripremljeni su predlozi </w:t>
      </w:r>
      <w:r w:rsidRPr="00A80B5C">
        <w:rPr>
          <w:rFonts w:cs="Calibri"/>
          <w:szCs w:val="20"/>
          <w:lang w:val="pl-PL"/>
        </w:rPr>
        <w:t>DSL "Dio sektora 46 - Kamenovo" – Budva, DSL "Mihailovići" i LSL „Trešanjski Mlin”;</w:t>
      </w:r>
    </w:p>
    <w:p w:rsidR="00513B88" w:rsidRPr="00A80B5C" w:rsidRDefault="00513B88" w:rsidP="00513B88">
      <w:pPr>
        <w:pStyle w:val="BodyText"/>
        <w:numPr>
          <w:ilvl w:val="0"/>
          <w:numId w:val="26"/>
        </w:numPr>
        <w:ind w:left="714" w:hanging="357"/>
        <w:jc w:val="both"/>
        <w:rPr>
          <w:rFonts w:ascii="Calibri" w:hAnsi="Calibri" w:cs="Calibri"/>
          <w:sz w:val="22"/>
          <w:szCs w:val="20"/>
        </w:rPr>
      </w:pPr>
      <w:r w:rsidRPr="00A80B5C">
        <w:rPr>
          <w:rFonts w:ascii="Calibri" w:hAnsi="Calibri" w:cs="Calibri"/>
          <w:sz w:val="22"/>
          <w:szCs w:val="20"/>
        </w:rPr>
        <w:t>u toku je izrada Predloga LSL „Dubovica I“;</w:t>
      </w:r>
    </w:p>
    <w:p w:rsidR="00513B88" w:rsidRPr="00A80B5C" w:rsidRDefault="00513B88" w:rsidP="00513B88">
      <w:pPr>
        <w:pStyle w:val="BodyText"/>
        <w:numPr>
          <w:ilvl w:val="0"/>
          <w:numId w:val="26"/>
        </w:numPr>
        <w:ind w:left="714" w:hanging="357"/>
        <w:jc w:val="both"/>
        <w:rPr>
          <w:rFonts w:ascii="Calibri" w:hAnsi="Calibri" w:cs="Calibri"/>
          <w:sz w:val="22"/>
          <w:szCs w:val="20"/>
        </w:rPr>
      </w:pPr>
      <w:r w:rsidRPr="00A80B5C">
        <w:rPr>
          <w:rFonts w:ascii="Calibri" w:hAnsi="Calibri" w:cs="Calibri"/>
          <w:sz w:val="22"/>
          <w:szCs w:val="20"/>
        </w:rPr>
        <w:t>urađen je Nacrt PUP opštine Ulcinj;</w:t>
      </w:r>
    </w:p>
    <w:p w:rsidR="00513B88" w:rsidRPr="00A80B5C" w:rsidRDefault="00513B88" w:rsidP="00513B88">
      <w:pPr>
        <w:pStyle w:val="BodyText"/>
        <w:numPr>
          <w:ilvl w:val="0"/>
          <w:numId w:val="26"/>
        </w:numPr>
        <w:ind w:left="714" w:hanging="357"/>
        <w:jc w:val="both"/>
        <w:rPr>
          <w:rFonts w:ascii="Calibri" w:hAnsi="Calibri" w:cs="Calibri"/>
          <w:sz w:val="22"/>
          <w:szCs w:val="20"/>
        </w:rPr>
      </w:pPr>
      <w:r w:rsidRPr="00A80B5C">
        <w:rPr>
          <w:rFonts w:ascii="Calibri" w:hAnsi="Calibri" w:cs="Calibri"/>
          <w:sz w:val="22"/>
          <w:szCs w:val="20"/>
        </w:rPr>
        <w:t>u toku je izrada Nacrta</w:t>
      </w:r>
      <w:r w:rsidRPr="00A80B5C">
        <w:rPr>
          <w:rFonts w:ascii="Calibri" w:hAnsi="Calibri" w:cs="Calibri"/>
          <w:sz w:val="22"/>
          <w:szCs w:val="20"/>
          <w:lang w:val="pl-PL"/>
        </w:rPr>
        <w:t xml:space="preserve"> DSL za djelove sektora </w:t>
      </w:r>
      <w:r w:rsidRPr="00A80B5C">
        <w:rPr>
          <w:rFonts w:ascii="Calibri" w:hAnsi="Calibri" w:cs="Calibri"/>
          <w:sz w:val="22"/>
          <w:szCs w:val="20"/>
        </w:rPr>
        <w:t xml:space="preserve">43 i 45, </w:t>
      </w:r>
      <w:r w:rsidRPr="00A80B5C">
        <w:rPr>
          <w:rFonts w:ascii="Calibri" w:hAnsi="Calibri" w:cs="Calibri"/>
          <w:sz w:val="22"/>
          <w:szCs w:val="20"/>
          <w:lang w:val="pl-PL"/>
        </w:rPr>
        <w:t xml:space="preserve">DSL za djelove sektora </w:t>
      </w:r>
      <w:r w:rsidRPr="00A80B5C">
        <w:rPr>
          <w:rFonts w:ascii="Calibri" w:hAnsi="Calibri" w:cs="Calibri"/>
          <w:sz w:val="22"/>
          <w:szCs w:val="20"/>
        </w:rPr>
        <w:t xml:space="preserve">47 i 48 </w:t>
      </w:r>
      <w:r w:rsidRPr="00A80B5C">
        <w:rPr>
          <w:rFonts w:ascii="Calibri" w:hAnsi="Calibri" w:cs="Calibri"/>
          <w:sz w:val="22"/>
          <w:szCs w:val="20"/>
          <w:lang w:val="pl-PL"/>
        </w:rPr>
        <w:t xml:space="preserve">– Budva i DSL </w:t>
      </w:r>
      <w:r w:rsidRPr="00A80B5C">
        <w:rPr>
          <w:rFonts w:ascii="Calibri" w:hAnsi="Calibri" w:cs="Calibri"/>
          <w:sz w:val="22"/>
          <w:szCs w:val="20"/>
        </w:rPr>
        <w:t>"Virpazar";</w:t>
      </w:r>
    </w:p>
    <w:p w:rsidR="00513B88" w:rsidRPr="00A80B5C" w:rsidRDefault="00513B88" w:rsidP="00513B88">
      <w:pPr>
        <w:pStyle w:val="ListParagraph"/>
        <w:numPr>
          <w:ilvl w:val="0"/>
          <w:numId w:val="26"/>
        </w:numPr>
        <w:spacing w:after="0" w:line="240" w:lineRule="auto"/>
        <w:contextualSpacing/>
        <w:rPr>
          <w:rFonts w:cs="Calibri"/>
          <w:b/>
          <w:sz w:val="22"/>
          <w:lang w:val="sr-Latn-CS"/>
        </w:rPr>
      </w:pPr>
      <w:r w:rsidRPr="00A80B5C">
        <w:rPr>
          <w:rFonts w:cs="Calibri"/>
          <w:sz w:val="22"/>
        </w:rPr>
        <w:t>donesene su odluke o izradi PPPN NP „Prokletije“,</w:t>
      </w:r>
      <w:r w:rsidRPr="00A80B5C">
        <w:rPr>
          <w:rFonts w:cs="Calibri"/>
          <w:sz w:val="22"/>
          <w:lang w:val="pl-PL"/>
        </w:rPr>
        <w:t xml:space="preserve"> DSL „Sektor 20 i sektor 21”, DSL „Dio sektora 22” i LSL "Dubovica II".</w:t>
      </w:r>
    </w:p>
    <w:p w:rsidR="00513B88" w:rsidRPr="00A80B5C" w:rsidRDefault="00513B88" w:rsidP="00513B88">
      <w:pPr>
        <w:pStyle w:val="ListParagraph"/>
        <w:spacing w:after="0" w:line="240" w:lineRule="auto"/>
        <w:contextualSpacing/>
        <w:rPr>
          <w:rFonts w:cs="Calibri"/>
          <w:b/>
          <w:sz w:val="22"/>
          <w:lang w:val="sr-Latn-CS"/>
        </w:rPr>
      </w:pPr>
    </w:p>
    <w:p w:rsidR="00513B88" w:rsidRPr="00202CFA" w:rsidRDefault="00513B88" w:rsidP="00513B88">
      <w:pPr>
        <w:spacing w:after="0" w:line="240" w:lineRule="auto"/>
        <w:jc w:val="both"/>
        <w:rPr>
          <w:rFonts w:cs="Calibri"/>
          <w:lang w:val="sr-Latn-CS"/>
        </w:rPr>
      </w:pPr>
      <w:r w:rsidRPr="00202CFA">
        <w:rPr>
          <w:rFonts w:cs="Calibri"/>
          <w:bCs/>
          <w:lang w:val="sr-Latn-CS"/>
        </w:rPr>
        <w:t>Pored navedenog, u narednom periodu aktivnosti će biti usmerene na izradu</w:t>
      </w:r>
      <w:r w:rsidRPr="00202CFA">
        <w:rPr>
          <w:rFonts w:cs="Calibri"/>
          <w:lang w:val="sr-Latn-CS"/>
        </w:rPr>
        <w:t xml:space="preserve"> PPPN za NP Skadarsko jezero, </w:t>
      </w:r>
      <w:r w:rsidRPr="00202CFA">
        <w:rPr>
          <w:rFonts w:cs="Calibri"/>
          <w:lang w:val="pl-PL"/>
        </w:rPr>
        <w:t xml:space="preserve">DSL </w:t>
      </w:r>
      <w:r w:rsidRPr="00202CFA">
        <w:rPr>
          <w:rFonts w:cs="Calibri"/>
          <w:lang w:val="sr-Latn-CS"/>
        </w:rPr>
        <w:t xml:space="preserve">u okviru PPPN za morsko dobro, DPP za valorizaciju hidropotencijala i DPP za koncesije, DPP za infrastrukturne projekte i elektroenergetske objekte, izmjene Prostornog plana Crne Gore i Bazne studije za PP Države i druga planska dokumenta. Takođe, pristupiće se izmjenama i dopunama prostorno planske dokumentacije po skraćenom postupku, izradi prostorno planske dokumentacije kojoj je istekao rok, određivanju lokacija </w:t>
      </w:r>
      <w:r w:rsidRPr="0092195A">
        <w:rPr>
          <w:rFonts w:cs="Calibri"/>
          <w:lang w:val="sr-Latn-CS"/>
        </w:rPr>
        <w:t xml:space="preserve">za objekte od opšteg interesa u skladu s namjenom prostora </w:t>
      </w:r>
      <w:r w:rsidRPr="00202CFA">
        <w:rPr>
          <w:rFonts w:cs="Calibri"/>
          <w:lang w:val="sr-Latn-CS"/>
        </w:rPr>
        <w:t>šire teritorijalne cjeline.</w:t>
      </w:r>
    </w:p>
    <w:p w:rsidR="00513B88" w:rsidRPr="00202CFA" w:rsidRDefault="00513B88" w:rsidP="00513B88">
      <w:pPr>
        <w:pStyle w:val="BodyText"/>
        <w:jc w:val="both"/>
        <w:rPr>
          <w:rFonts w:ascii="Calibri" w:hAnsi="Calibri" w:cs="Calibri"/>
          <w:sz w:val="22"/>
          <w:szCs w:val="22"/>
        </w:rPr>
      </w:pPr>
    </w:p>
    <w:p w:rsidR="00513B88" w:rsidRPr="00202CFA" w:rsidRDefault="00513B88" w:rsidP="00513B88">
      <w:pPr>
        <w:pStyle w:val="BodyText"/>
        <w:jc w:val="both"/>
        <w:rPr>
          <w:rFonts w:ascii="Calibri" w:hAnsi="Calibri" w:cs="Calibri"/>
          <w:sz w:val="22"/>
          <w:szCs w:val="22"/>
        </w:rPr>
      </w:pPr>
      <w:r w:rsidRPr="00202CFA">
        <w:rPr>
          <w:rFonts w:ascii="Calibri" w:hAnsi="Calibri" w:cs="Calibri"/>
          <w:sz w:val="22"/>
          <w:szCs w:val="22"/>
        </w:rPr>
        <w:t>Reforma sistema prostornog uređenja i izgradnje objekata daje pozitivne rezultate. Obezbjeđenje zakonskih i administrativnih uslova za kvalitetniju valorizaciju prostora, pretpostavka su za podsticanje preduzetničke inicijative i ulaganje stranog kapitala i, u konačnom, cjelovit razvoj Države u skladu sa identitetom prostora. S tim u vezi, u skupštinskoj proceduri je Predlog zakona o legalizaciji neformalnih objekata, a započete su i aktivnosti na izradi novog Zakona o uređenju prostora i izgradnji objekata</w:t>
      </w:r>
      <w:r>
        <w:rPr>
          <w:rFonts w:ascii="Calibri" w:hAnsi="Calibri" w:cs="Calibri"/>
          <w:sz w:val="22"/>
          <w:szCs w:val="22"/>
        </w:rPr>
        <w:t>.</w:t>
      </w:r>
    </w:p>
    <w:p w:rsidR="00513B88" w:rsidRPr="00202CFA" w:rsidRDefault="00513B88" w:rsidP="00513B88">
      <w:pPr>
        <w:pStyle w:val="BodyText"/>
        <w:jc w:val="both"/>
        <w:rPr>
          <w:rFonts w:ascii="Calibri" w:hAnsi="Calibri" w:cs="Calibri"/>
          <w:sz w:val="22"/>
          <w:szCs w:val="22"/>
        </w:rPr>
      </w:pPr>
    </w:p>
    <w:p w:rsidR="00795433" w:rsidRDefault="00795433" w:rsidP="00795433">
      <w:pPr>
        <w:spacing w:after="0"/>
        <w:rPr>
          <w:lang w:val="sr-Latn-CS"/>
        </w:rPr>
      </w:pPr>
    </w:p>
    <w:p w:rsidR="002B3C21" w:rsidRDefault="002B3C21" w:rsidP="00795433">
      <w:pPr>
        <w:spacing w:after="0"/>
        <w:rPr>
          <w:lang w:val="sr-Latn-CS"/>
        </w:rPr>
      </w:pPr>
    </w:p>
    <w:p w:rsidR="002B3C21" w:rsidRPr="0092195A" w:rsidRDefault="002B3C21" w:rsidP="00795433">
      <w:pPr>
        <w:spacing w:after="0"/>
        <w:rPr>
          <w:lang w:val="sr-Latn-CS"/>
        </w:rPr>
      </w:pPr>
    </w:p>
    <w:p w:rsidR="00276884" w:rsidRPr="002B3C21" w:rsidRDefault="00276884" w:rsidP="00F06FFE">
      <w:pPr>
        <w:pStyle w:val="Heading2"/>
        <w:rPr>
          <w:sz w:val="24"/>
        </w:rPr>
      </w:pPr>
      <w:bookmarkStart w:id="61" w:name="_Toc389745306"/>
      <w:r w:rsidRPr="002B3C21">
        <w:rPr>
          <w:sz w:val="24"/>
        </w:rPr>
        <w:lastRenderedPageBreak/>
        <w:t>REGIONALNI RAZVOJ</w:t>
      </w:r>
      <w:bookmarkEnd w:id="61"/>
    </w:p>
    <w:p w:rsidR="0031786E" w:rsidRDefault="0031786E" w:rsidP="0031786E">
      <w:pPr>
        <w:widowControl w:val="0"/>
        <w:autoSpaceDE w:val="0"/>
        <w:autoSpaceDN w:val="0"/>
        <w:adjustRightInd w:val="0"/>
        <w:spacing w:after="0" w:line="240" w:lineRule="auto"/>
        <w:jc w:val="both"/>
        <w:rPr>
          <w:rFonts w:asciiTheme="minorHAnsi" w:hAnsiTheme="minorHAnsi" w:cstheme="minorHAnsi"/>
        </w:rPr>
      </w:pPr>
      <w:r w:rsidRPr="00202CFA">
        <w:rPr>
          <w:rFonts w:asciiTheme="minorHAnsi" w:hAnsiTheme="minorHAnsi" w:cstheme="minorHAnsi"/>
          <w:b/>
          <w:bCs/>
        </w:rPr>
        <w:t xml:space="preserve">Program podsticanja razvoja klastera u Sjevernom regionu i manje razvijenim opštinama Crne Gore za 2012-2016. godinu, u cilju postizanja boljih efekata, u 2014. godini, je </w:t>
      </w:r>
      <w:r w:rsidRPr="00202CFA">
        <w:rPr>
          <w:rFonts w:cs="Calibri"/>
          <w:b/>
        </w:rPr>
        <w:t>proširen i preimenovan u Program podsticanja</w:t>
      </w:r>
      <w:r w:rsidRPr="00202CFA">
        <w:rPr>
          <w:rFonts w:asciiTheme="minorHAnsi" w:hAnsiTheme="minorHAnsi" w:cstheme="minorHAnsi"/>
          <w:b/>
        </w:rPr>
        <w:t xml:space="preserve"> razvoja klastera u Crnoj Gori. Osim proširenja primjene na cijelu teritoriju Crne Gore, </w:t>
      </w:r>
      <w:r w:rsidRPr="00202CFA">
        <w:rPr>
          <w:rFonts w:cs="Calibri"/>
          <w:b/>
        </w:rPr>
        <w:t xml:space="preserve">finansijska podrška za preduzetnike, mikro, mala i srednja preduzeća koji su dio klastera je povećana sa 7.000 </w:t>
      </w:r>
      <w:r w:rsidRPr="00202CFA">
        <w:rPr>
          <w:rFonts w:asciiTheme="minorHAnsi" w:hAnsiTheme="minorHAnsi" w:cstheme="minorHAnsi"/>
          <w:b/>
        </w:rPr>
        <w:t>€ na</w:t>
      </w:r>
      <w:r w:rsidRPr="00202CFA">
        <w:rPr>
          <w:rFonts w:cs="Calibri"/>
          <w:b/>
        </w:rPr>
        <w:t xml:space="preserve"> 10.000 </w:t>
      </w:r>
      <w:r w:rsidRPr="00202CFA">
        <w:rPr>
          <w:rFonts w:asciiTheme="minorHAnsi" w:hAnsiTheme="minorHAnsi" w:cstheme="minorHAnsi"/>
          <w:b/>
        </w:rPr>
        <w:t xml:space="preserve">€ </w:t>
      </w:r>
      <w:r w:rsidRPr="00202CFA">
        <w:rPr>
          <w:rFonts w:cs="Calibri"/>
          <w:b/>
        </w:rPr>
        <w:t>po jednom aplikantu.</w:t>
      </w:r>
      <w:r w:rsidRPr="00202CFA">
        <w:rPr>
          <w:rFonts w:cs="Calibri"/>
        </w:rPr>
        <w:t xml:space="preserve"> Inače, u 2013. godini</w:t>
      </w:r>
      <w:r w:rsidRPr="00202CFA">
        <w:rPr>
          <w:rFonts w:asciiTheme="minorHAnsi" w:hAnsiTheme="minorHAnsi" w:cstheme="minorHAnsi"/>
        </w:rPr>
        <w:t xml:space="preserve">, po osnovu četiri javna poziva, odobrena je refundacija sredstava u iznosu od 35.000 € za 5 klastera, a ukupno raspoloživa sredstva </w:t>
      </w:r>
      <w:r w:rsidRPr="00202CFA">
        <w:rPr>
          <w:rFonts w:cs="Calibri"/>
        </w:rPr>
        <w:t xml:space="preserve">za 2014. godinu </w:t>
      </w:r>
      <w:r w:rsidRPr="00202CFA">
        <w:rPr>
          <w:rFonts w:asciiTheme="minorHAnsi" w:hAnsiTheme="minorHAnsi" w:cstheme="minorHAnsi"/>
        </w:rPr>
        <w:t>iznose</w:t>
      </w:r>
      <w:r w:rsidRPr="00202CFA">
        <w:rPr>
          <w:rFonts w:cs="Calibri"/>
        </w:rPr>
        <w:t xml:space="preserve"> 50.000 </w:t>
      </w:r>
      <w:r w:rsidRPr="00202CFA">
        <w:rPr>
          <w:rFonts w:asciiTheme="minorHAnsi" w:hAnsiTheme="minorHAnsi" w:cstheme="minorHAnsi"/>
        </w:rPr>
        <w:t>€</w:t>
      </w:r>
      <w:r w:rsidRPr="00202CFA">
        <w:rPr>
          <w:rFonts w:cs="Calibri"/>
        </w:rPr>
        <w:t xml:space="preserve"> (</w:t>
      </w:r>
      <w:r w:rsidRPr="00202CFA">
        <w:rPr>
          <w:rFonts w:asciiTheme="minorHAnsi" w:hAnsiTheme="minorHAnsi" w:cstheme="minorHAnsi"/>
        </w:rPr>
        <w:t xml:space="preserve">završen je Prvi javni poziv i očekuje se donošenje Odluke </w:t>
      </w:r>
      <w:r w:rsidRPr="00202CFA">
        <w:rPr>
          <w:rFonts w:cs="Calibri"/>
        </w:rPr>
        <w:t>o dodjeli državne pomoći)</w:t>
      </w:r>
      <w:r w:rsidRPr="00202CFA">
        <w:rPr>
          <w:rFonts w:asciiTheme="minorHAnsi" w:hAnsiTheme="minorHAnsi" w:cstheme="minorHAnsi"/>
        </w:rPr>
        <w:t>.</w:t>
      </w:r>
    </w:p>
    <w:p w:rsidR="002060B7" w:rsidRPr="00202CFA" w:rsidRDefault="002060B7" w:rsidP="0031786E">
      <w:pPr>
        <w:widowControl w:val="0"/>
        <w:autoSpaceDE w:val="0"/>
        <w:autoSpaceDN w:val="0"/>
        <w:adjustRightInd w:val="0"/>
        <w:spacing w:after="0" w:line="240" w:lineRule="auto"/>
        <w:jc w:val="both"/>
        <w:rPr>
          <w:rFonts w:asciiTheme="minorHAnsi" w:hAnsiTheme="minorHAnsi" w:cstheme="minorHAnsi"/>
        </w:rPr>
      </w:pPr>
    </w:p>
    <w:p w:rsidR="0031786E" w:rsidRDefault="0031786E" w:rsidP="0031786E">
      <w:pPr>
        <w:spacing w:after="0" w:line="240" w:lineRule="auto"/>
        <w:jc w:val="both"/>
        <w:rPr>
          <w:rFonts w:cs="Calibri"/>
        </w:rPr>
      </w:pPr>
      <w:r w:rsidRPr="00202CFA">
        <w:rPr>
          <w:rFonts w:asciiTheme="minorHAnsi" w:hAnsiTheme="minorHAnsi" w:cstheme="minorHAnsi"/>
        </w:rPr>
        <w:t>U okviru Projekta „</w:t>
      </w:r>
      <w:r w:rsidRPr="00202CFA">
        <w:rPr>
          <w:rFonts w:asciiTheme="minorHAnsi" w:hAnsiTheme="minorHAnsi" w:cstheme="minorHAnsi"/>
          <w:bCs/>
        </w:rPr>
        <w:t>Jačanje kapaciteta za regionalni i lokalni ekonomski razvoj”</w:t>
      </w:r>
      <w:r w:rsidRPr="00202CFA">
        <w:rPr>
          <w:rFonts w:asciiTheme="minorHAnsi" w:hAnsiTheme="minorHAnsi" w:cstheme="minorHAnsi"/>
        </w:rPr>
        <w:t>, uz tehničku i finansijsku podršku Njemačka agencija za međunarodnu saradnju (GIZ-a), p</w:t>
      </w:r>
      <w:r w:rsidRPr="00202CFA">
        <w:rPr>
          <w:rFonts w:cs="Calibri"/>
        </w:rPr>
        <w:t>riprem</w:t>
      </w:r>
      <w:r w:rsidRPr="00202CFA">
        <w:rPr>
          <w:rFonts w:asciiTheme="minorHAnsi" w:hAnsiTheme="minorHAnsi" w:cstheme="minorHAnsi"/>
        </w:rPr>
        <w:t>ljen je</w:t>
      </w:r>
      <w:r w:rsidRPr="00202CFA">
        <w:rPr>
          <w:rFonts w:cs="Calibri"/>
        </w:rPr>
        <w:t xml:space="preserve"> Nacrt strategije regionalnog razvoja Crne Gore, 2014-2020</w:t>
      </w:r>
      <w:r w:rsidRPr="00202CFA">
        <w:rPr>
          <w:rFonts w:asciiTheme="minorHAnsi" w:hAnsiTheme="minorHAnsi" w:cstheme="minorHAnsi"/>
        </w:rPr>
        <w:t xml:space="preserve"> ( u toku </w:t>
      </w:r>
      <w:r w:rsidRPr="00202CFA">
        <w:rPr>
          <w:rFonts w:cs="Calibri"/>
        </w:rPr>
        <w:t>je javna rasprava).</w:t>
      </w:r>
    </w:p>
    <w:p w:rsidR="002060B7" w:rsidRPr="00202CFA" w:rsidRDefault="002060B7" w:rsidP="0031786E">
      <w:pPr>
        <w:spacing w:after="0" w:line="240" w:lineRule="auto"/>
        <w:jc w:val="both"/>
        <w:rPr>
          <w:rFonts w:cs="Calibri"/>
        </w:rPr>
      </w:pPr>
    </w:p>
    <w:p w:rsidR="0031786E" w:rsidRDefault="0031786E" w:rsidP="0031786E">
      <w:pPr>
        <w:spacing w:after="0" w:line="240" w:lineRule="auto"/>
        <w:jc w:val="both"/>
        <w:rPr>
          <w:rFonts w:cs="Calibri"/>
        </w:rPr>
      </w:pPr>
      <w:r w:rsidRPr="00202CFA">
        <w:rPr>
          <w:rFonts w:asciiTheme="minorHAnsi" w:hAnsiTheme="minorHAnsi" w:cstheme="minorHAnsi"/>
        </w:rPr>
        <w:t>U skladu sa Zakonom o regionalnom razvoju, obavezu koja se odnosi na donošenje strateških planova razvoja na lokalnom nivou, do sada, je realizovalo 17 opština. D</w:t>
      </w:r>
      <w:r w:rsidRPr="00202CFA">
        <w:rPr>
          <w:rFonts w:cs="Calibri"/>
        </w:rPr>
        <w:t>a</w:t>
      </w:r>
      <w:r w:rsidRPr="00202CFA">
        <w:rPr>
          <w:rFonts w:asciiTheme="minorHAnsi" w:hAnsiTheme="minorHAnsi" w:cstheme="minorHAnsi"/>
        </w:rPr>
        <w:t>ta</w:t>
      </w:r>
      <w:r w:rsidRPr="00202CFA">
        <w:rPr>
          <w:rFonts w:cs="Calibri"/>
        </w:rPr>
        <w:t xml:space="preserve"> </w:t>
      </w:r>
      <w:r w:rsidRPr="00202CFA">
        <w:rPr>
          <w:rFonts w:asciiTheme="minorHAnsi" w:hAnsiTheme="minorHAnsi" w:cstheme="minorHAnsi"/>
        </w:rPr>
        <w:t xml:space="preserve">je </w:t>
      </w:r>
      <w:r w:rsidRPr="00202CFA">
        <w:rPr>
          <w:rFonts w:cs="Calibri"/>
        </w:rPr>
        <w:t xml:space="preserve">saglasnost na </w:t>
      </w:r>
      <w:r w:rsidRPr="00202CFA">
        <w:rPr>
          <w:rFonts w:asciiTheme="minorHAnsi" w:hAnsiTheme="minorHAnsi" w:cstheme="minorHAnsi"/>
        </w:rPr>
        <w:t>P</w:t>
      </w:r>
      <w:r w:rsidRPr="00202CFA">
        <w:rPr>
          <w:rFonts w:cs="Calibri"/>
        </w:rPr>
        <w:t>redlog stratešk</w:t>
      </w:r>
      <w:r w:rsidRPr="00202CFA">
        <w:rPr>
          <w:rFonts w:asciiTheme="minorHAnsi" w:hAnsiTheme="minorHAnsi" w:cstheme="minorHAnsi"/>
        </w:rPr>
        <w:t>og</w:t>
      </w:r>
      <w:r w:rsidRPr="00202CFA">
        <w:rPr>
          <w:rFonts w:cs="Calibri"/>
        </w:rPr>
        <w:t xml:space="preserve"> plana razvoja za opštin</w:t>
      </w:r>
      <w:r w:rsidRPr="00202CFA">
        <w:rPr>
          <w:rFonts w:asciiTheme="minorHAnsi" w:hAnsiTheme="minorHAnsi" w:cstheme="minorHAnsi"/>
        </w:rPr>
        <w:t>u</w:t>
      </w:r>
      <w:r w:rsidRPr="00202CFA">
        <w:rPr>
          <w:rFonts w:cs="Calibri"/>
        </w:rPr>
        <w:t xml:space="preserve"> Budva, a opštine Herceg Novi, Bar i Ulcinj još uvijek nijesu realizovale navedenu zakonsku obavezu.</w:t>
      </w:r>
    </w:p>
    <w:p w:rsidR="002060B7" w:rsidRPr="00202CFA" w:rsidRDefault="002060B7" w:rsidP="0031786E">
      <w:pPr>
        <w:spacing w:after="0" w:line="240" w:lineRule="auto"/>
        <w:jc w:val="both"/>
        <w:rPr>
          <w:rFonts w:asciiTheme="minorHAnsi" w:hAnsiTheme="minorHAnsi" w:cstheme="minorHAnsi"/>
          <w:b/>
        </w:rPr>
      </w:pPr>
    </w:p>
    <w:p w:rsidR="0031786E" w:rsidRPr="00202CFA" w:rsidRDefault="0031786E" w:rsidP="0031786E">
      <w:pPr>
        <w:spacing w:after="0" w:line="240" w:lineRule="auto"/>
        <w:jc w:val="both"/>
        <w:rPr>
          <w:rFonts w:asciiTheme="minorHAnsi" w:hAnsiTheme="minorHAnsi" w:cstheme="minorHAnsi"/>
        </w:rPr>
      </w:pPr>
      <w:r w:rsidRPr="00202CFA">
        <w:rPr>
          <w:rFonts w:asciiTheme="minorHAnsi" w:hAnsiTheme="minorHAnsi" w:cstheme="minorHAnsi"/>
        </w:rPr>
        <w:t xml:space="preserve">Urađen je </w:t>
      </w:r>
      <w:r w:rsidRPr="00202CFA">
        <w:rPr>
          <w:rFonts w:cs="Calibri"/>
        </w:rPr>
        <w:t>Pravilnik o uspostavljanju i korišćenju Elektronske baze podataka o razvojnim projektima</w:t>
      </w:r>
      <w:r w:rsidRPr="00202CFA">
        <w:rPr>
          <w:rFonts w:asciiTheme="minorHAnsi" w:hAnsiTheme="minorHAnsi" w:cstheme="minorHAnsi"/>
        </w:rPr>
        <w:t xml:space="preserve">, kojim je uređen sadržaj, način unošenja i korišćenja podataka, te ostale pojedinosti za njenu primjenu. </w:t>
      </w:r>
      <w:r w:rsidRPr="00202CFA">
        <w:rPr>
          <w:rFonts w:cs="Calibri"/>
        </w:rPr>
        <w:t>Elektronska baza je stavljena u funkciju</w:t>
      </w:r>
      <w:r w:rsidRPr="00202CFA">
        <w:rPr>
          <w:rFonts w:asciiTheme="minorHAnsi" w:hAnsiTheme="minorHAnsi" w:cstheme="minorHAnsi"/>
        </w:rPr>
        <w:t xml:space="preserve">, a </w:t>
      </w:r>
      <w:r w:rsidRPr="00202CFA">
        <w:rPr>
          <w:rFonts w:cs="Calibri"/>
        </w:rPr>
        <w:t xml:space="preserve">održane su dvije obuke za </w:t>
      </w:r>
      <w:r w:rsidRPr="00202CFA">
        <w:rPr>
          <w:rFonts w:asciiTheme="minorHAnsi" w:hAnsiTheme="minorHAnsi" w:cstheme="minorHAnsi"/>
        </w:rPr>
        <w:t xml:space="preserve">njeno </w:t>
      </w:r>
      <w:r w:rsidRPr="00202CFA">
        <w:rPr>
          <w:rFonts w:cs="Calibri"/>
        </w:rPr>
        <w:t xml:space="preserve">korišćenje </w:t>
      </w:r>
      <w:r w:rsidRPr="00202CFA">
        <w:rPr>
          <w:rFonts w:asciiTheme="minorHAnsi" w:hAnsiTheme="minorHAnsi" w:cstheme="minorHAnsi"/>
        </w:rPr>
        <w:t xml:space="preserve">za </w:t>
      </w:r>
      <w:r w:rsidRPr="00202CFA">
        <w:rPr>
          <w:rFonts w:cs="Calibri"/>
        </w:rPr>
        <w:t>predstavnike svih jednica lokalne samouprave</w:t>
      </w:r>
      <w:r w:rsidRPr="00202CFA">
        <w:rPr>
          <w:rFonts w:asciiTheme="minorHAnsi" w:hAnsiTheme="minorHAnsi" w:cstheme="minorHAnsi"/>
        </w:rPr>
        <w:t xml:space="preserve">. </w:t>
      </w:r>
    </w:p>
    <w:p w:rsidR="0031786E" w:rsidRPr="00202CFA" w:rsidRDefault="0031786E" w:rsidP="0031786E">
      <w:pPr>
        <w:spacing w:after="0" w:line="240" w:lineRule="auto"/>
        <w:jc w:val="both"/>
        <w:rPr>
          <w:rFonts w:cs="Calibri"/>
        </w:rPr>
      </w:pPr>
    </w:p>
    <w:p w:rsidR="0031786E" w:rsidRPr="00202CFA" w:rsidRDefault="0031786E" w:rsidP="0031786E">
      <w:pPr>
        <w:spacing w:after="0" w:line="240" w:lineRule="auto"/>
        <w:jc w:val="both"/>
        <w:rPr>
          <w:rFonts w:asciiTheme="minorHAnsi" w:hAnsiTheme="minorHAnsi" w:cstheme="minorHAnsi"/>
        </w:rPr>
      </w:pPr>
      <w:r w:rsidRPr="00202CFA">
        <w:rPr>
          <w:rFonts w:asciiTheme="minorHAnsi" w:hAnsiTheme="minorHAnsi" w:cstheme="minorHAnsi"/>
        </w:rPr>
        <w:t>Investiciono-razvojni fond (IRF), u saradnji sa poslovnim bankama, u kontinuitetu kreditno podržava mali i srednji biznis. Pri tome, prioritet i posebne olakšice imaju projekti koji doprinose bržem razvoju manje razvijenih regiona. U 2013. godini, IRF je na sjever Crne Gore plasirao 32,94% ukupnih kreditnih sredstava, kojima je podržana realizacija 55 projekata. Takođe, u toku ove godine realizovano je 40 zahtjeva za kreditiranjem iz sjevernih opština u vrijednosti od 1,73 mil.€, što čini 18,63% ukupnih kreditnih sredstava.</w:t>
      </w:r>
    </w:p>
    <w:p w:rsidR="0031786E" w:rsidRPr="00202CFA" w:rsidRDefault="0031786E" w:rsidP="0031786E">
      <w:pPr>
        <w:spacing w:after="0" w:line="240" w:lineRule="auto"/>
        <w:jc w:val="both"/>
        <w:rPr>
          <w:rFonts w:asciiTheme="minorHAnsi" w:hAnsiTheme="minorHAnsi" w:cstheme="minorHAnsi"/>
        </w:rPr>
      </w:pPr>
    </w:p>
    <w:p w:rsidR="0031786E" w:rsidRPr="00202CFA" w:rsidRDefault="0031786E" w:rsidP="0031786E">
      <w:pPr>
        <w:spacing w:after="0" w:line="240" w:lineRule="auto"/>
        <w:jc w:val="both"/>
        <w:rPr>
          <w:rFonts w:asciiTheme="minorHAnsi" w:hAnsiTheme="minorHAnsi" w:cstheme="minorHAnsi"/>
        </w:rPr>
      </w:pPr>
      <w:r w:rsidRPr="00202CFA">
        <w:rPr>
          <w:rFonts w:asciiTheme="minorHAnsi" w:hAnsiTheme="minorHAnsi" w:cstheme="minorHAnsi"/>
        </w:rPr>
        <w:t xml:space="preserve">Kreditna aktivnost Zavoda za zapošljavanje se kontinuirano smanjuje. U toku 2014. nije podržan ni jedan projekat </w:t>
      </w:r>
      <w:r w:rsidRPr="00202CFA">
        <w:rPr>
          <w:rFonts w:asciiTheme="minorHAnsi" w:hAnsiTheme="minorHAnsi" w:cstheme="minorHAnsi"/>
          <w:lang w:val="sr-Latn-CS"/>
        </w:rPr>
        <w:t xml:space="preserve">iz nedovoljno razvijenih područja Crne Gore, pa je </w:t>
      </w:r>
      <w:r w:rsidRPr="00202CFA">
        <w:rPr>
          <w:rFonts w:asciiTheme="minorHAnsi" w:hAnsiTheme="minorHAnsi" w:cstheme="minorHAnsi"/>
        </w:rPr>
        <w:t>neophodno preispitati opravdanost ove njegove funkcije i sagledati mogućnosti i posljedice njenog ukidanja.</w:t>
      </w:r>
    </w:p>
    <w:p w:rsidR="0031786E" w:rsidRDefault="0031786E" w:rsidP="00B45FBF">
      <w:pPr>
        <w:spacing w:after="0" w:line="240" w:lineRule="auto"/>
        <w:jc w:val="both"/>
        <w:rPr>
          <w:rFonts w:cs="Calibri"/>
        </w:rPr>
      </w:pPr>
    </w:p>
    <w:p w:rsidR="0031786E" w:rsidRPr="009D407D" w:rsidRDefault="0031786E" w:rsidP="00B45FBF">
      <w:pPr>
        <w:spacing w:after="0" w:line="240" w:lineRule="auto"/>
        <w:jc w:val="both"/>
        <w:rPr>
          <w:rFonts w:cs="Calibri"/>
        </w:rPr>
      </w:pPr>
    </w:p>
    <w:p w:rsidR="00B45FBF" w:rsidRPr="002060B7" w:rsidRDefault="00276884" w:rsidP="002060B7">
      <w:pPr>
        <w:pStyle w:val="Heading2"/>
        <w:rPr>
          <w:sz w:val="24"/>
        </w:rPr>
      </w:pPr>
      <w:bookmarkStart w:id="62" w:name="_Toc389745307"/>
      <w:r w:rsidRPr="002060B7">
        <w:rPr>
          <w:sz w:val="24"/>
        </w:rPr>
        <w:t>ADMINISTRATIVNA REFORMA</w:t>
      </w:r>
      <w:bookmarkEnd w:id="62"/>
    </w:p>
    <w:p w:rsidR="0031786E" w:rsidRPr="00202CFA" w:rsidRDefault="0031786E" w:rsidP="0031786E">
      <w:pPr>
        <w:spacing w:after="0" w:line="240" w:lineRule="auto"/>
        <w:jc w:val="both"/>
        <w:rPr>
          <w:rFonts w:asciiTheme="minorHAnsi" w:hAnsiTheme="minorHAnsi" w:cstheme="minorHAnsi"/>
          <w:b/>
        </w:rPr>
      </w:pPr>
      <w:r w:rsidRPr="00202CFA">
        <w:rPr>
          <w:rFonts w:asciiTheme="minorHAnsi" w:hAnsiTheme="minorHAnsi" w:cstheme="minorHAnsi"/>
          <w:b/>
        </w:rPr>
        <w:t>U cilju stvaranja efikasne, profesionalne i servisno orijentisane javne uprave, usklađene sa međunarodnim standardima i praksom, nastavljene su aktivnosti usmjerene na reorganizaciju javne uprave, stabilizaciju javnih finansija, unapređenje službeničkog i inspekcijskog sistema, unapređenje sistema e-uprave, te dostizanje većeg kvaliteta propisa i strateških dokumenata.</w:t>
      </w:r>
    </w:p>
    <w:p w:rsidR="0031786E" w:rsidRPr="00202CFA" w:rsidRDefault="0031786E" w:rsidP="0031786E">
      <w:pPr>
        <w:spacing w:after="0" w:line="240" w:lineRule="auto"/>
        <w:jc w:val="both"/>
        <w:rPr>
          <w:rFonts w:asciiTheme="minorHAnsi" w:hAnsiTheme="minorHAnsi" w:cstheme="minorHAnsi"/>
          <w:b/>
        </w:rPr>
      </w:pPr>
    </w:p>
    <w:p w:rsidR="0031786E" w:rsidRPr="00202CFA" w:rsidRDefault="0031786E" w:rsidP="0031786E">
      <w:pPr>
        <w:spacing w:after="0" w:line="240" w:lineRule="auto"/>
        <w:jc w:val="both"/>
        <w:rPr>
          <w:rFonts w:asciiTheme="minorHAnsi" w:hAnsiTheme="minorHAnsi" w:cstheme="minorHAnsi"/>
        </w:rPr>
      </w:pPr>
      <w:r w:rsidRPr="00202CFA">
        <w:rPr>
          <w:rStyle w:val="Emphasis"/>
          <w:rFonts w:asciiTheme="minorHAnsi" w:hAnsiTheme="minorHAnsi" w:cstheme="minorHAnsi"/>
          <w:bdr w:val="none" w:sz="0" w:space="0" w:color="auto" w:frame="1"/>
          <w:shd w:val="clear" w:color="auto" w:fill="FFFFFF"/>
        </w:rPr>
        <w:t>Kroz dvije faze realizacije Plana unutrašnje reorganizacije javnog sektora</w:t>
      </w:r>
      <w:r w:rsidRPr="00202CFA">
        <w:rPr>
          <w:rFonts w:asciiTheme="minorHAnsi" w:hAnsiTheme="minorHAnsi" w:cstheme="minorHAnsi"/>
        </w:rPr>
        <w:t xml:space="preserve"> za period 2013-2017. godine, uspostaviće se balans između smanjenja izdataka budžeta, s jedne, i servisiranja obaveza koje proističu iz procesa pridruživanja EU, s druge strane. S tim u vezi, o</w:t>
      </w:r>
      <w:r w:rsidRPr="00202CFA">
        <w:rPr>
          <w:rFonts w:asciiTheme="minorHAnsi" w:hAnsiTheme="minorHAnsi" w:cstheme="minorHAnsi"/>
          <w:lang w:val="sr-Latn-CS"/>
        </w:rPr>
        <w:t>brazovana je posebna grupa za praćenje realizacije Plana, sa definisanim zadacima u sprovođenju pratećeg Akcionog plana, kojim je predviđeno smanjenje</w:t>
      </w:r>
      <w:r w:rsidRPr="00202CFA">
        <w:rPr>
          <w:rFonts w:asciiTheme="minorHAnsi" w:hAnsiTheme="minorHAnsi" w:cstheme="minorHAnsi"/>
        </w:rPr>
        <w:t xml:space="preserve"> potrošnje javnog sektora za oko 64,0 mil. €, do kraja 2017. godine.</w:t>
      </w:r>
    </w:p>
    <w:p w:rsidR="0031786E" w:rsidRPr="00202CFA" w:rsidRDefault="0031786E" w:rsidP="0031786E">
      <w:pPr>
        <w:spacing w:after="0" w:line="240" w:lineRule="auto"/>
        <w:jc w:val="both"/>
        <w:rPr>
          <w:rFonts w:asciiTheme="minorHAnsi" w:hAnsiTheme="minorHAnsi" w:cstheme="minorHAnsi"/>
        </w:rPr>
      </w:pPr>
    </w:p>
    <w:p w:rsidR="0031786E" w:rsidRPr="005A5703" w:rsidRDefault="0031786E" w:rsidP="0031786E">
      <w:pPr>
        <w:spacing w:after="0" w:line="240" w:lineRule="auto"/>
        <w:jc w:val="both"/>
        <w:rPr>
          <w:rFonts w:asciiTheme="minorHAnsi" w:hAnsiTheme="minorHAnsi" w:cstheme="minorHAnsi"/>
          <w:strike/>
        </w:rPr>
      </w:pPr>
      <w:r w:rsidRPr="005A5703">
        <w:rPr>
          <w:rFonts w:asciiTheme="minorHAnsi" w:hAnsiTheme="minorHAnsi" w:cstheme="minorHAnsi"/>
        </w:rPr>
        <w:lastRenderedPageBreak/>
        <w:t xml:space="preserve">Na osnovu novog Zakona o državnim službenicima i namještenicima, koji je u primjeni od početka 2013, donesena su prateća podzakonska akta, čime je omogućena efikasnija imlementacija reformskih rješenja sadržanih u navedenom zakonu. Takođe, usvojena je Informaciju o implementaciji navedenog zakona, kojom su </w:t>
      </w:r>
      <w:r w:rsidRPr="005A5703">
        <w:t>prepoznate ocjene u oblasti nje</w:t>
      </w:r>
      <w:r w:rsidRPr="005A5703">
        <w:rPr>
          <w:rFonts w:asciiTheme="minorHAnsi" w:hAnsiTheme="minorHAnsi" w:cstheme="minorHAnsi"/>
        </w:rPr>
        <w:t xml:space="preserve">gove primjene, sa </w:t>
      </w:r>
      <w:r w:rsidRPr="005A5703">
        <w:rPr>
          <w:bCs/>
        </w:rPr>
        <w:t>predlogom mjera za unapređenje stanja u oblasti</w:t>
      </w:r>
      <w:r w:rsidRPr="005A5703">
        <w:t>.</w:t>
      </w:r>
    </w:p>
    <w:p w:rsidR="0031786E" w:rsidRPr="00202CFA" w:rsidRDefault="0031786E" w:rsidP="0031786E">
      <w:pPr>
        <w:spacing w:after="0" w:line="240" w:lineRule="auto"/>
        <w:jc w:val="both"/>
        <w:rPr>
          <w:rFonts w:asciiTheme="minorHAnsi" w:hAnsiTheme="minorHAnsi" w:cstheme="minorHAnsi"/>
        </w:rPr>
      </w:pPr>
    </w:p>
    <w:p w:rsidR="0031786E" w:rsidRPr="00202CFA" w:rsidRDefault="0031786E" w:rsidP="0031786E">
      <w:pPr>
        <w:spacing w:after="0" w:line="240" w:lineRule="auto"/>
        <w:jc w:val="both"/>
        <w:rPr>
          <w:rFonts w:asciiTheme="minorHAnsi" w:hAnsiTheme="minorHAnsi" w:cstheme="minorHAnsi"/>
        </w:rPr>
      </w:pPr>
      <w:r w:rsidRPr="00202CFA">
        <w:rPr>
          <w:rFonts w:asciiTheme="minorHAnsi" w:hAnsiTheme="minorHAnsi" w:cstheme="minorHAnsi"/>
        </w:rPr>
        <w:t xml:space="preserve">U cilju pružanja kvalitetnijih usluga građanima, preduzetnicima i drugim subjektima od strane organa javne uprave, koje se, prije svega, odnose na pojednostavljivanje i skraćivanje upravnih postupaka, veći stepen pravne zaštite stranaka, uvođenje e-uprave, </w:t>
      </w:r>
      <w:r>
        <w:rPr>
          <w:rFonts w:asciiTheme="minorHAnsi" w:hAnsiTheme="minorHAnsi" w:cstheme="minorHAnsi"/>
        </w:rPr>
        <w:t>u toku je izrada Z</w:t>
      </w:r>
      <w:r w:rsidRPr="00202CFA">
        <w:rPr>
          <w:rFonts w:asciiTheme="minorHAnsi" w:hAnsiTheme="minorHAnsi" w:cstheme="minorHAnsi"/>
        </w:rPr>
        <w:t>akona o upravnom postupku</w:t>
      </w:r>
      <w:r>
        <w:rPr>
          <w:rFonts w:asciiTheme="minorHAnsi" w:hAnsiTheme="minorHAnsi" w:cstheme="minorHAnsi"/>
        </w:rPr>
        <w:t xml:space="preserve"> (</w:t>
      </w:r>
      <w:r w:rsidRPr="00202CFA">
        <w:rPr>
          <w:rFonts w:asciiTheme="minorHAnsi" w:hAnsiTheme="minorHAnsi" w:cstheme="minorHAnsi"/>
        </w:rPr>
        <w:t>pripremljen tekst Predloga</w:t>
      </w:r>
      <w:r>
        <w:rPr>
          <w:rFonts w:asciiTheme="minorHAnsi" w:hAnsiTheme="minorHAnsi" w:cstheme="minorHAnsi"/>
        </w:rPr>
        <w:t>)</w:t>
      </w:r>
      <w:r w:rsidRPr="00202CFA">
        <w:rPr>
          <w:rFonts w:asciiTheme="minorHAnsi" w:hAnsiTheme="minorHAnsi" w:cstheme="minorHAnsi"/>
        </w:rPr>
        <w:t>, a njegovo usvajanje u Skupštini očekuje se tokom godine.</w:t>
      </w:r>
    </w:p>
    <w:p w:rsidR="0031786E" w:rsidRPr="00202CFA" w:rsidRDefault="0031786E" w:rsidP="0031786E">
      <w:pPr>
        <w:spacing w:after="0" w:line="240" w:lineRule="auto"/>
        <w:jc w:val="both"/>
        <w:rPr>
          <w:rFonts w:asciiTheme="minorHAnsi" w:hAnsiTheme="minorHAnsi" w:cstheme="minorHAnsi"/>
        </w:rPr>
      </w:pPr>
    </w:p>
    <w:p w:rsidR="0031786E" w:rsidRPr="00202CFA" w:rsidRDefault="0031786E" w:rsidP="0031786E">
      <w:pPr>
        <w:spacing w:after="0" w:line="240" w:lineRule="auto"/>
        <w:jc w:val="both"/>
        <w:rPr>
          <w:rFonts w:asciiTheme="minorHAnsi" w:hAnsiTheme="minorHAnsi" w:cstheme="minorHAnsi"/>
          <w:lang w:val="sr-Latn-CS"/>
        </w:rPr>
      </w:pPr>
      <w:r w:rsidRPr="00202CFA">
        <w:rPr>
          <w:rFonts w:asciiTheme="minorHAnsi" w:hAnsiTheme="minorHAnsi" w:cstheme="minorHAnsi"/>
          <w:lang w:val="sr-Latn-CS"/>
        </w:rPr>
        <w:t>Usvojen je Akcioni plan za implementaciju Strategije reforme javne uprave za period 2014-2015. godine. U cilju cjelovitog i kontinuiranog sprovođenja navedene strategije, formirano je Koordinaciono tijelo za oblast državne uprave koje, uz postojeći Koordinacioni odbor za reformu lokalne samouprave, treba da prati i usmjerava reforme u ovoj oblasti. Formirana je i posebna radna grupa za reformu javne uprave, od predstavnika državnih organa i predstavnika Evropske komisije u cilju obezbjeđenja većeg stepena razumijevanja i koordinacije u ovom procesu. Navedenim akcionim planom predviđena je izrada Analize položaja organizacija sa javnim ovlašćenjima i zakona kojim će se urediti položaj javnih agencija i službi.</w:t>
      </w:r>
    </w:p>
    <w:p w:rsidR="0031786E" w:rsidRPr="0092195A" w:rsidRDefault="0031786E" w:rsidP="0031786E">
      <w:pPr>
        <w:spacing w:after="0" w:line="240" w:lineRule="auto"/>
        <w:jc w:val="both"/>
        <w:rPr>
          <w:rFonts w:asciiTheme="minorHAnsi" w:hAnsiTheme="minorHAnsi" w:cstheme="minorHAnsi"/>
          <w:lang w:val="sr-Latn-CS"/>
        </w:rPr>
      </w:pPr>
    </w:p>
    <w:p w:rsidR="0031786E" w:rsidRPr="00202CFA" w:rsidRDefault="0031786E" w:rsidP="0031786E">
      <w:pPr>
        <w:pStyle w:val="Default"/>
        <w:jc w:val="both"/>
        <w:rPr>
          <w:rFonts w:asciiTheme="minorHAnsi" w:hAnsiTheme="minorHAnsi" w:cstheme="minorHAnsi"/>
          <w:color w:val="auto"/>
          <w:sz w:val="22"/>
          <w:szCs w:val="22"/>
        </w:rPr>
      </w:pPr>
      <w:r w:rsidRPr="00202CFA">
        <w:rPr>
          <w:rFonts w:asciiTheme="minorHAnsi" w:hAnsiTheme="minorHAnsi" w:cstheme="minorHAnsi"/>
          <w:color w:val="auto"/>
          <w:sz w:val="22"/>
          <w:szCs w:val="22"/>
        </w:rPr>
        <w:t xml:space="preserve">Polazeći od </w:t>
      </w:r>
      <w:r w:rsidRPr="00202CFA">
        <w:rPr>
          <w:rFonts w:asciiTheme="minorHAnsi" w:hAnsiTheme="minorHAnsi" w:cstheme="minorHAnsi"/>
          <w:bCs/>
          <w:color w:val="auto"/>
          <w:sz w:val="22"/>
          <w:szCs w:val="22"/>
        </w:rPr>
        <w:t>Analize funkcionisanja lokalne samouprave, donesen je Zakon o</w:t>
      </w:r>
      <w:r w:rsidRPr="00202CFA">
        <w:rPr>
          <w:rFonts w:asciiTheme="minorHAnsi" w:hAnsiTheme="minorHAnsi" w:cstheme="minorHAnsi"/>
          <w:color w:val="auto"/>
          <w:sz w:val="22"/>
          <w:szCs w:val="22"/>
        </w:rPr>
        <w:t xml:space="preserve"> izmjenama i dopunama Zakona o lokalnoj samoupravi, sa ciljem unaprjeđenja pravnog okvira za uspješno funkcionisanje lokalne samouprave, odnosno potpunijeg i preciznijeg regulisanja normativnih pretpostavki za ostvarivanje prava građana na lokalnu samoupravu. Istovremeno, donesen je Zakon o izmjenama i dopunama Zakona o teritorijalnoj organizaciji Crne Gore kojim je izvršena teritorijalna promjena i osnovana nova opština Gusinje.</w:t>
      </w:r>
    </w:p>
    <w:p w:rsidR="0031786E" w:rsidRPr="00202CFA" w:rsidRDefault="0031786E" w:rsidP="0031786E">
      <w:pPr>
        <w:pStyle w:val="Default"/>
        <w:jc w:val="both"/>
        <w:rPr>
          <w:rFonts w:asciiTheme="minorHAnsi" w:hAnsiTheme="minorHAnsi" w:cstheme="minorHAnsi"/>
          <w:color w:val="auto"/>
          <w:sz w:val="22"/>
          <w:szCs w:val="22"/>
        </w:rPr>
      </w:pPr>
    </w:p>
    <w:p w:rsidR="00A80B5C" w:rsidRDefault="0031786E" w:rsidP="0031786E">
      <w:pPr>
        <w:pStyle w:val="Default"/>
        <w:jc w:val="both"/>
        <w:rPr>
          <w:rFonts w:asciiTheme="minorHAnsi" w:hAnsiTheme="minorHAnsi" w:cstheme="minorHAnsi"/>
          <w:color w:val="auto"/>
          <w:sz w:val="22"/>
          <w:szCs w:val="22"/>
        </w:rPr>
      </w:pPr>
      <w:r w:rsidRPr="00202CFA">
        <w:rPr>
          <w:rFonts w:asciiTheme="minorHAnsi" w:hAnsiTheme="minorHAnsi" w:cstheme="minorHAnsi"/>
          <w:color w:val="auto"/>
          <w:sz w:val="22"/>
          <w:szCs w:val="22"/>
        </w:rPr>
        <w:t xml:space="preserve">Daljom implementacijom rješenja iz </w:t>
      </w:r>
      <w:r w:rsidRPr="00202CFA">
        <w:rPr>
          <w:rStyle w:val="Emphasis"/>
          <w:rFonts w:asciiTheme="minorHAnsi" w:hAnsiTheme="minorHAnsi" w:cstheme="minorHAnsi"/>
          <w:color w:val="auto"/>
          <w:sz w:val="22"/>
          <w:szCs w:val="22"/>
          <w:bdr w:val="none" w:sz="0" w:space="0" w:color="auto" w:frame="1"/>
          <w:shd w:val="clear" w:color="auto" w:fill="FFFFFF"/>
        </w:rPr>
        <w:t>Plana unutrašnje reorganizacije javnog sektora,</w:t>
      </w:r>
      <w:r w:rsidRPr="00202CFA">
        <w:rPr>
          <w:rFonts w:asciiTheme="minorHAnsi" w:hAnsiTheme="minorHAnsi" w:cstheme="minorHAnsi"/>
          <w:i/>
          <w:color w:val="auto"/>
          <w:sz w:val="22"/>
          <w:szCs w:val="22"/>
        </w:rPr>
        <w:t xml:space="preserve"> </w:t>
      </w:r>
      <w:r w:rsidRPr="00202CFA">
        <w:rPr>
          <w:rFonts w:asciiTheme="minorHAnsi" w:hAnsiTheme="minorHAnsi" w:cstheme="minorHAnsi"/>
          <w:color w:val="auto"/>
          <w:sz w:val="22"/>
          <w:szCs w:val="22"/>
        </w:rPr>
        <w:t>obezbijediće se kontinuirano prilagođavanje sistema javne uprave aktuelnim društveno-ekonomskim uslovima.</w:t>
      </w:r>
    </w:p>
    <w:p w:rsidR="00A80B5C" w:rsidRDefault="00A80B5C" w:rsidP="0031786E">
      <w:pPr>
        <w:pStyle w:val="Default"/>
        <w:jc w:val="both"/>
        <w:rPr>
          <w:rFonts w:asciiTheme="minorHAnsi" w:hAnsiTheme="minorHAnsi" w:cstheme="minorHAnsi"/>
          <w:color w:val="auto"/>
          <w:sz w:val="22"/>
          <w:szCs w:val="22"/>
        </w:rPr>
      </w:pPr>
    </w:p>
    <w:p w:rsidR="0031786E" w:rsidRDefault="0031786E" w:rsidP="008B1E97">
      <w:pPr>
        <w:spacing w:after="0" w:line="240" w:lineRule="auto"/>
        <w:jc w:val="both"/>
        <w:rPr>
          <w:rFonts w:asciiTheme="minorHAnsi" w:hAnsiTheme="minorHAnsi" w:cstheme="minorHAnsi"/>
        </w:rPr>
      </w:pPr>
      <w:r w:rsidRPr="00202CFA">
        <w:rPr>
          <w:rFonts w:asciiTheme="minorHAnsi" w:hAnsiTheme="minorHAnsi" w:cstheme="minorHAnsi"/>
        </w:rPr>
        <w:t>Takođe,</w:t>
      </w:r>
      <w:r w:rsidR="00A80B5C">
        <w:rPr>
          <w:rFonts w:asciiTheme="minorHAnsi" w:hAnsiTheme="minorHAnsi" w:cstheme="minorHAnsi"/>
        </w:rPr>
        <w:t xml:space="preserve"> </w:t>
      </w:r>
      <w:r w:rsidRPr="00202CFA">
        <w:rPr>
          <w:rFonts w:asciiTheme="minorHAnsi" w:hAnsiTheme="minorHAnsi" w:cstheme="minorHAnsi"/>
        </w:rPr>
        <w:t>nova sistemska rješenja sadržana u Izmjenama i dopunama Zakona o lokalnoj samoupravi treba da doprinesu unapređenju rada lokalnih samouprava. Donošenjem i implementacijom Zakona o komunalnoj policiji, koji je u Vladinoj proceduri, obezbijediće se efikasnije sprovođenje propisa iz nadležnosti opština i obezbijediti efikasniji rad komunalne policije.</w:t>
      </w: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8B1E97">
      <w:pPr>
        <w:spacing w:after="0" w:line="240" w:lineRule="auto"/>
        <w:jc w:val="both"/>
        <w:rPr>
          <w:rFonts w:asciiTheme="minorHAnsi" w:hAnsiTheme="minorHAnsi" w:cstheme="minorHAnsi"/>
        </w:rPr>
      </w:pPr>
    </w:p>
    <w:p w:rsidR="002060B7" w:rsidRDefault="002060B7" w:rsidP="00101CCD">
      <w:pPr>
        <w:spacing w:after="240" w:line="240" w:lineRule="auto"/>
        <w:outlineLvl w:val="0"/>
        <w:rPr>
          <w:rFonts w:asciiTheme="minorHAnsi" w:hAnsiTheme="minorHAnsi" w:cstheme="minorHAnsi"/>
        </w:rPr>
      </w:pPr>
    </w:p>
    <w:sectPr w:rsidR="002060B7" w:rsidSect="0019699B">
      <w:footerReference w:type="default" r:id="rId15"/>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2FF" w:rsidRDefault="006012FF" w:rsidP="004A4439">
      <w:pPr>
        <w:spacing w:after="0" w:line="240" w:lineRule="auto"/>
      </w:pPr>
      <w:r>
        <w:separator/>
      </w:r>
    </w:p>
  </w:endnote>
  <w:endnote w:type="continuationSeparator" w:id="1">
    <w:p w:rsidR="006012FF" w:rsidRDefault="006012FF" w:rsidP="004A4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Times New Roman YU">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Arial-ItalicMT">
    <w:altName w:val="Arial"/>
    <w:panose1 w:val="00000000000000000000"/>
    <w:charset w:val="00"/>
    <w:family w:val="swiss"/>
    <w:notTrueType/>
    <w:pitch w:val="default"/>
    <w:sig w:usb0="00000007" w:usb1="00000000" w:usb2="00000000" w:usb3="00000000" w:csb0="00000003" w:csb1="00000000"/>
  </w:font>
  <w:font w:name="MinionPro-Disp">
    <w:panose1 w:val="00000000000000000000"/>
    <w:charset w:val="EE"/>
    <w:family w:val="roman"/>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37" w:rsidRDefault="00B33D37">
    <w:pPr>
      <w:pStyle w:val="Footer"/>
      <w:jc w:val="right"/>
    </w:pPr>
  </w:p>
  <w:p w:rsidR="00B33D37" w:rsidRDefault="00B33D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78394"/>
      <w:docPartObj>
        <w:docPartGallery w:val="Page Numbers (Bottom of Page)"/>
        <w:docPartUnique/>
      </w:docPartObj>
    </w:sdtPr>
    <w:sdtContent>
      <w:p w:rsidR="00B33D37" w:rsidRDefault="004C2077">
        <w:pPr>
          <w:pStyle w:val="Footer"/>
          <w:jc w:val="right"/>
        </w:pPr>
        <w:r w:rsidRPr="0092195A">
          <w:rPr>
            <w:rFonts w:asciiTheme="minorHAnsi" w:hAnsiTheme="minorHAnsi"/>
          </w:rPr>
          <w:fldChar w:fldCharType="begin"/>
        </w:r>
        <w:r w:rsidR="00B33D37" w:rsidRPr="0092195A">
          <w:rPr>
            <w:rFonts w:asciiTheme="minorHAnsi" w:hAnsiTheme="minorHAnsi"/>
          </w:rPr>
          <w:instrText xml:space="preserve"> PAGE   \* MERGEFORMAT </w:instrText>
        </w:r>
        <w:r w:rsidRPr="0092195A">
          <w:rPr>
            <w:rFonts w:asciiTheme="minorHAnsi" w:hAnsiTheme="minorHAnsi"/>
          </w:rPr>
          <w:fldChar w:fldCharType="separate"/>
        </w:r>
        <w:r w:rsidR="00101CCD">
          <w:rPr>
            <w:rFonts w:asciiTheme="minorHAnsi" w:hAnsiTheme="minorHAnsi"/>
            <w:noProof/>
          </w:rPr>
          <w:t>39</w:t>
        </w:r>
        <w:r w:rsidRPr="0092195A">
          <w:rPr>
            <w:rFonts w:asciiTheme="minorHAnsi" w:hAnsiTheme="minorHAnsi"/>
          </w:rPr>
          <w:fldChar w:fldCharType="end"/>
        </w:r>
      </w:p>
    </w:sdtContent>
  </w:sdt>
  <w:p w:rsidR="00B33D37" w:rsidRDefault="00B33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2FF" w:rsidRDefault="006012FF" w:rsidP="004A4439">
      <w:pPr>
        <w:spacing w:after="0" w:line="240" w:lineRule="auto"/>
      </w:pPr>
      <w:r>
        <w:separator/>
      </w:r>
    </w:p>
  </w:footnote>
  <w:footnote w:type="continuationSeparator" w:id="1">
    <w:p w:rsidR="006012FF" w:rsidRDefault="006012FF" w:rsidP="004A4439">
      <w:pPr>
        <w:spacing w:after="0" w:line="240" w:lineRule="auto"/>
      </w:pPr>
      <w:r>
        <w:continuationSeparator/>
      </w:r>
    </w:p>
  </w:footnote>
  <w:footnote w:id="2">
    <w:p w:rsidR="00B33D37" w:rsidRPr="006A3E54" w:rsidRDefault="00B33D37" w:rsidP="00942280">
      <w:pPr>
        <w:pStyle w:val="FootnoteText"/>
        <w:rPr>
          <w:rFonts w:asciiTheme="minorHAnsi" w:hAnsiTheme="minorHAnsi" w:cstheme="minorHAnsi"/>
          <w:sz w:val="18"/>
        </w:rPr>
      </w:pPr>
      <w:r w:rsidRPr="006A3E54">
        <w:rPr>
          <w:rStyle w:val="FootnoteReference"/>
          <w:rFonts w:asciiTheme="minorHAnsi" w:hAnsiTheme="minorHAnsi" w:cstheme="minorHAnsi"/>
          <w:sz w:val="18"/>
        </w:rPr>
        <w:footnoteRef/>
      </w:r>
      <w:r w:rsidRPr="006A3E54">
        <w:rPr>
          <w:rFonts w:asciiTheme="minorHAnsi" w:hAnsiTheme="minorHAnsi" w:cstheme="minorHAnsi"/>
          <w:sz w:val="18"/>
        </w:rPr>
        <w:t xml:space="preserve"> </w:t>
      </w:r>
      <w:r w:rsidRPr="006A3E54">
        <w:rPr>
          <w:rStyle w:val="hps"/>
          <w:rFonts w:asciiTheme="minorHAnsi" w:hAnsiTheme="minorHAnsi" w:cstheme="minorHAnsi"/>
          <w:bCs/>
          <w:sz w:val="18"/>
        </w:rPr>
        <w:t>Svaka vrijednost preko 100 indeksnih poena ukazuje na pozitivna očekivanja.</w:t>
      </w:r>
    </w:p>
  </w:footnote>
  <w:footnote w:id="3">
    <w:p w:rsidR="00B33D37" w:rsidRPr="0084733E" w:rsidRDefault="00B33D37" w:rsidP="00942280">
      <w:pPr>
        <w:pStyle w:val="FootnoteText"/>
        <w:rPr>
          <w:rFonts w:asciiTheme="minorHAnsi" w:hAnsiTheme="minorHAnsi" w:cstheme="minorHAnsi"/>
        </w:rPr>
      </w:pPr>
      <w:r w:rsidRPr="006A3E54">
        <w:rPr>
          <w:rStyle w:val="FootnoteReference"/>
          <w:rFonts w:asciiTheme="minorHAnsi" w:hAnsiTheme="minorHAnsi" w:cstheme="minorHAnsi"/>
          <w:sz w:val="18"/>
        </w:rPr>
        <w:footnoteRef/>
      </w:r>
      <w:r w:rsidRPr="006A3E54">
        <w:rPr>
          <w:rFonts w:asciiTheme="minorHAnsi" w:hAnsiTheme="minorHAnsi" w:cstheme="minorHAnsi"/>
          <w:sz w:val="18"/>
        </w:rPr>
        <w:t xml:space="preserve"> Podaci o rastu ekonomske aktivnosti rade se na osnovu sezonski prilagođenih podataka.</w:t>
      </w:r>
    </w:p>
  </w:footnote>
  <w:footnote w:id="4">
    <w:p w:rsidR="00B33D37" w:rsidRPr="0084733E" w:rsidRDefault="00B33D37">
      <w:pPr>
        <w:pStyle w:val="FootnoteText"/>
        <w:rPr>
          <w:rFonts w:asciiTheme="minorHAnsi" w:hAnsiTheme="minorHAnsi" w:cstheme="minorHAnsi"/>
        </w:rPr>
      </w:pPr>
      <w:r w:rsidRPr="007B2573">
        <w:rPr>
          <w:rStyle w:val="FootnoteReference"/>
          <w:rFonts w:asciiTheme="minorHAnsi" w:hAnsiTheme="minorHAnsi" w:cstheme="minorHAnsi"/>
          <w:sz w:val="18"/>
        </w:rPr>
        <w:sym w:font="Symbol" w:char="F02A"/>
      </w:r>
      <w:r w:rsidRPr="007B2573">
        <w:rPr>
          <w:rStyle w:val="FootnoteReference"/>
          <w:rFonts w:asciiTheme="minorHAnsi" w:hAnsiTheme="minorHAnsi" w:cstheme="minorHAnsi"/>
          <w:sz w:val="18"/>
        </w:rPr>
        <w:footnoteRef/>
      </w:r>
      <w:r w:rsidRPr="007B2573">
        <w:rPr>
          <w:rFonts w:asciiTheme="minorHAnsi" w:hAnsiTheme="minorHAnsi" w:cstheme="minorHAnsi"/>
          <w:sz w:val="18"/>
        </w:rPr>
        <w:t xml:space="preserve"> Godišnja promjena, prvi kvartal 2014. u odnosu na  prvi kvartal 2013. </w:t>
      </w:r>
    </w:p>
  </w:footnote>
  <w:footnote w:id="5">
    <w:p w:rsidR="00B33D37" w:rsidRPr="00185099" w:rsidRDefault="00B33D37">
      <w:pPr>
        <w:pStyle w:val="FootnoteText"/>
      </w:pPr>
      <w:r>
        <w:rPr>
          <w:rStyle w:val="FootnoteReference"/>
        </w:rPr>
        <w:footnoteRef/>
      </w:r>
      <w:r>
        <w:t xml:space="preserve"> </w:t>
      </w:r>
      <w:r w:rsidRPr="005D2F54">
        <w:rPr>
          <w:rFonts w:asciiTheme="minorHAnsi" w:hAnsiTheme="minorHAnsi" w:cstheme="minorHAnsi"/>
        </w:rPr>
        <w:t>Osnovna stopa PDV je 1.jula 2013. povećana sa 17 na 19%.</w:t>
      </w:r>
    </w:p>
  </w:footnote>
  <w:footnote w:id="6">
    <w:p w:rsidR="00B33D37" w:rsidRPr="00A83559" w:rsidRDefault="00B33D37">
      <w:pPr>
        <w:pStyle w:val="FootnoteText"/>
      </w:pPr>
      <w:r>
        <w:rPr>
          <w:rStyle w:val="FootnoteReference"/>
        </w:rPr>
        <w:footnoteRef/>
      </w:r>
      <w:r>
        <w:t xml:space="preserve"> </w:t>
      </w:r>
      <w:r w:rsidRPr="00C8677B">
        <w:rPr>
          <w:rFonts w:ascii="Calibri" w:hAnsi="Calibri" w:cs="Calibri"/>
          <w:sz w:val="18"/>
        </w:rPr>
        <w:t>Vrijednost minimalne potrošačke korpe obuhvata obuhvata 130 prehrambenih artikala, minimalno potrebne neprehrambene artikle i imputiranu rentu (</w:t>
      </w:r>
      <w:r w:rsidRPr="00C8677B">
        <w:rPr>
          <w:rFonts w:ascii="Calibri" w:hAnsi="Calibri"/>
          <w:sz w:val="18"/>
        </w:rPr>
        <w:t>Procijenjena vrijednost zakupnine za domaćinstvo koje stanuje u vlastitom stanu).</w:t>
      </w:r>
    </w:p>
  </w:footnote>
  <w:footnote w:id="7">
    <w:p w:rsidR="00B33D37" w:rsidRPr="001E36C3" w:rsidRDefault="00B33D37" w:rsidP="008E3726">
      <w:pPr>
        <w:pStyle w:val="FootnoteText"/>
        <w:rPr>
          <w:rFonts w:asciiTheme="minorHAnsi" w:hAnsiTheme="minorHAnsi"/>
        </w:rPr>
      </w:pPr>
      <w:r w:rsidRPr="001E36C3">
        <w:rPr>
          <w:rStyle w:val="FootnoteReference"/>
          <w:rFonts w:asciiTheme="minorHAnsi" w:hAnsiTheme="minorHAnsi"/>
          <w:sz w:val="14"/>
        </w:rPr>
        <w:footnoteRef/>
      </w:r>
      <w:r w:rsidRPr="001E36C3">
        <w:rPr>
          <w:rFonts w:asciiTheme="minorHAnsi" w:hAnsiTheme="minorHAnsi"/>
          <w:sz w:val="14"/>
        </w:rPr>
        <w:t xml:space="preserve"> Usvojen je u aprilu 2014. godine</w:t>
      </w:r>
    </w:p>
  </w:footnote>
  <w:footnote w:id="8">
    <w:p w:rsidR="00B33D37" w:rsidRPr="00B171F2" w:rsidRDefault="00B33D37">
      <w:pPr>
        <w:pStyle w:val="FootnoteText"/>
      </w:pPr>
      <w:r>
        <w:rPr>
          <w:rStyle w:val="FootnoteReference"/>
        </w:rPr>
        <w:footnoteRef/>
      </w:r>
      <w:r>
        <w:t xml:space="preserve"> </w:t>
      </w:r>
      <w:r w:rsidRPr="008B1E97">
        <w:rPr>
          <w:rFonts w:asciiTheme="minorHAnsi" w:hAnsiTheme="minorHAnsi"/>
          <w:sz w:val="16"/>
        </w:rPr>
        <w:t>Shodno novoj klasifikaciji i obračunu prihoda koji uključuju iznos donacija.</w:t>
      </w:r>
    </w:p>
  </w:footnote>
  <w:footnote w:id="9">
    <w:p w:rsidR="00B33D37" w:rsidRPr="00C24077" w:rsidRDefault="00B33D37" w:rsidP="002A685B">
      <w:pPr>
        <w:pStyle w:val="FootnoteText"/>
      </w:pPr>
      <w:r w:rsidRPr="00C24077">
        <w:rPr>
          <w:rStyle w:val="FootnoteReference"/>
        </w:rPr>
        <w:footnoteRef/>
      </w:r>
      <w:r w:rsidRPr="00C24077">
        <w:t xml:space="preserve"> </w:t>
      </w:r>
      <w:r w:rsidRPr="00C24077">
        <w:rPr>
          <w:rFonts w:asciiTheme="minorHAnsi" w:hAnsiTheme="minorHAnsi" w:cstheme="minorHAnsi"/>
          <w:sz w:val="18"/>
          <w:szCs w:val="18"/>
        </w:rPr>
        <w:t>Ministartstva finansija</w:t>
      </w:r>
      <w:r w:rsidRPr="00C24077">
        <w:rPr>
          <w:rFonts w:asciiTheme="minorHAnsi" w:hAnsiTheme="minorHAnsi" w:cstheme="minorHAnsi"/>
          <w:sz w:val="18"/>
          <w:szCs w:val="18"/>
          <w:lang w:val="sr-Latn-CS"/>
        </w:rPr>
        <w:t xml:space="preserve"> je, </w:t>
      </w:r>
      <w:r w:rsidRPr="00C24077">
        <w:rPr>
          <w:rFonts w:asciiTheme="minorHAnsi" w:hAnsiTheme="minorHAnsi" w:cstheme="minorHAnsi"/>
          <w:sz w:val="18"/>
          <w:szCs w:val="18"/>
        </w:rPr>
        <w:t xml:space="preserve">od početka 2013. do </w:t>
      </w:r>
      <w:r w:rsidRPr="00C24077">
        <w:rPr>
          <w:rFonts w:asciiTheme="minorHAnsi" w:hAnsiTheme="minorHAnsi" w:cstheme="minorHAnsi"/>
          <w:sz w:val="18"/>
          <w:szCs w:val="18"/>
          <w:lang w:val="sr-Latn-CS"/>
        </w:rPr>
        <w:t>aprila</w:t>
      </w:r>
      <w:r w:rsidRPr="00C24077">
        <w:rPr>
          <w:rFonts w:asciiTheme="minorHAnsi" w:hAnsiTheme="minorHAnsi" w:cstheme="minorHAnsi"/>
          <w:sz w:val="18"/>
          <w:szCs w:val="18"/>
        </w:rPr>
        <w:t xml:space="preserve"> 2014, </w:t>
      </w:r>
      <w:r w:rsidRPr="00C24077">
        <w:rPr>
          <w:rFonts w:asciiTheme="minorHAnsi" w:hAnsiTheme="minorHAnsi" w:cstheme="minorHAnsi"/>
          <w:sz w:val="18"/>
          <w:szCs w:val="18"/>
          <w:lang w:val="sr-Latn-CS"/>
        </w:rPr>
        <w:t xml:space="preserve">dalo </w:t>
      </w:r>
      <w:r w:rsidRPr="00C24077">
        <w:rPr>
          <w:rFonts w:asciiTheme="minorHAnsi" w:hAnsiTheme="minorHAnsi" w:cstheme="minorHAnsi"/>
          <w:sz w:val="18"/>
          <w:szCs w:val="18"/>
        </w:rPr>
        <w:t>29</w:t>
      </w:r>
      <w:r w:rsidRPr="00C24077">
        <w:rPr>
          <w:rFonts w:asciiTheme="minorHAnsi" w:hAnsiTheme="minorHAnsi" w:cstheme="minorHAnsi"/>
          <w:sz w:val="18"/>
          <w:szCs w:val="18"/>
          <w:lang w:val="sr-Latn-CS"/>
        </w:rPr>
        <w:t>1</w:t>
      </w:r>
      <w:r w:rsidRPr="00C24077">
        <w:rPr>
          <w:rFonts w:asciiTheme="minorHAnsi" w:hAnsiTheme="minorHAnsi" w:cstheme="minorHAnsi"/>
          <w:sz w:val="18"/>
          <w:szCs w:val="18"/>
        </w:rPr>
        <w:t xml:space="preserve"> mišljenj</w:t>
      </w:r>
      <w:r w:rsidRPr="00C24077">
        <w:rPr>
          <w:rFonts w:asciiTheme="minorHAnsi" w:hAnsiTheme="minorHAnsi" w:cstheme="minorHAnsi"/>
          <w:sz w:val="18"/>
          <w:szCs w:val="18"/>
          <w:lang w:val="sr-Latn-CS"/>
        </w:rPr>
        <w: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069"/>
    <w:multiLevelType w:val="hybridMultilevel"/>
    <w:tmpl w:val="1C02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54A5C"/>
    <w:multiLevelType w:val="hybridMultilevel"/>
    <w:tmpl w:val="B8E0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C737C"/>
    <w:multiLevelType w:val="hybridMultilevel"/>
    <w:tmpl w:val="7548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6017C"/>
    <w:multiLevelType w:val="hybridMultilevel"/>
    <w:tmpl w:val="2F6240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20B16D02"/>
    <w:multiLevelType w:val="hybridMultilevel"/>
    <w:tmpl w:val="70E4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67AD0"/>
    <w:multiLevelType w:val="hybridMultilevel"/>
    <w:tmpl w:val="B76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069CD"/>
    <w:multiLevelType w:val="hybridMultilevel"/>
    <w:tmpl w:val="347E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83071"/>
    <w:multiLevelType w:val="hybridMultilevel"/>
    <w:tmpl w:val="E31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D2547"/>
    <w:multiLevelType w:val="hybridMultilevel"/>
    <w:tmpl w:val="ACB8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128FF"/>
    <w:multiLevelType w:val="multilevel"/>
    <w:tmpl w:val="081A001D"/>
    <w:styleLink w:val="Radovan"/>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00C49CC"/>
    <w:multiLevelType w:val="hybridMultilevel"/>
    <w:tmpl w:val="E00A7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47DB6A70"/>
    <w:multiLevelType w:val="hybridMultilevel"/>
    <w:tmpl w:val="2894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F4787"/>
    <w:multiLevelType w:val="hybridMultilevel"/>
    <w:tmpl w:val="7E5A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B625A"/>
    <w:multiLevelType w:val="hybridMultilevel"/>
    <w:tmpl w:val="F940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3063B5"/>
    <w:multiLevelType w:val="multilevel"/>
    <w:tmpl w:val="9850CC9C"/>
    <w:styleLink w:val="Style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1."/>
      <w:lvlJc w:val="left"/>
      <w:pPr>
        <w:ind w:left="1440" w:hanging="360"/>
      </w:pPr>
      <w:rPr>
        <w:rFonts w:hint="default"/>
      </w:rPr>
    </w:lvl>
    <w:lvl w:ilvl="4">
      <w:start w:val="1"/>
      <w:numFmt w:val="none"/>
      <w:lvlText w:val="1.1.1.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D15F38"/>
    <w:multiLevelType w:val="hybridMultilevel"/>
    <w:tmpl w:val="588C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44A2B"/>
    <w:multiLevelType w:val="hybridMultilevel"/>
    <w:tmpl w:val="F3EADB5E"/>
    <w:lvl w:ilvl="0" w:tplc="4E50A864">
      <w:start w:val="1"/>
      <w:numFmt w:val="decimal"/>
      <w:lvlText w:val="%1."/>
      <w:lvlJc w:val="left"/>
      <w:pPr>
        <w:tabs>
          <w:tab w:val="num" w:pos="360"/>
        </w:tabs>
        <w:ind w:left="360" w:hanging="360"/>
      </w:pPr>
      <w:rPr>
        <w:rFonts w:ascii="Calibri" w:hAnsi="Calibri" w:hint="default"/>
        <w:sz w:val="22"/>
        <w:szCs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54503C2B"/>
    <w:multiLevelType w:val="hybridMultilevel"/>
    <w:tmpl w:val="D59C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F01C5D"/>
    <w:multiLevelType w:val="hybridMultilevel"/>
    <w:tmpl w:val="BDE8FBEC"/>
    <w:lvl w:ilvl="0" w:tplc="D97C0B80">
      <w:start w:val="1"/>
      <w:numFmt w:val="bullet"/>
      <w:lvlText w:val=""/>
      <w:lvlJc w:val="left"/>
      <w:pPr>
        <w:ind w:left="754" w:hanging="360"/>
      </w:pPr>
      <w:rPr>
        <w:rFonts w:ascii="Symbol" w:hAnsi="Symbol" w:hint="default"/>
        <w:color w:val="auto"/>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nsid w:val="57AC3B97"/>
    <w:multiLevelType w:val="hybridMultilevel"/>
    <w:tmpl w:val="7E00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639F8"/>
    <w:multiLevelType w:val="hybridMultilevel"/>
    <w:tmpl w:val="11E8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74CC8"/>
    <w:multiLevelType w:val="multilevel"/>
    <w:tmpl w:val="9F588BFC"/>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D567E07"/>
    <w:multiLevelType w:val="hybridMultilevel"/>
    <w:tmpl w:val="BC08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9E2EEE"/>
    <w:multiLevelType w:val="hybridMultilevel"/>
    <w:tmpl w:val="19E8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45A83"/>
    <w:multiLevelType w:val="hybridMultilevel"/>
    <w:tmpl w:val="24BC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E932E7"/>
    <w:multiLevelType w:val="hybridMultilevel"/>
    <w:tmpl w:val="2F74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F169CE"/>
    <w:multiLevelType w:val="multilevel"/>
    <w:tmpl w:val="24985ADE"/>
    <w:styleLink w:val="Style1"/>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8B92883"/>
    <w:multiLevelType w:val="hybridMultilevel"/>
    <w:tmpl w:val="C12C5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900B70"/>
    <w:multiLevelType w:val="hybridMultilevel"/>
    <w:tmpl w:val="E8BA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C04E9A"/>
    <w:multiLevelType w:val="hybridMultilevel"/>
    <w:tmpl w:val="7628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8"/>
  </w:num>
  <w:num w:numId="4">
    <w:abstractNumId w:val="22"/>
  </w:num>
  <w:num w:numId="5">
    <w:abstractNumId w:val="9"/>
  </w:num>
  <w:num w:numId="6">
    <w:abstractNumId w:val="26"/>
  </w:num>
  <w:num w:numId="7">
    <w:abstractNumId w:val="14"/>
  </w:num>
  <w:num w:numId="8">
    <w:abstractNumId w:val="21"/>
  </w:num>
  <w:num w:numId="9">
    <w:abstractNumId w:val="1"/>
  </w:num>
  <w:num w:numId="10">
    <w:abstractNumId w:val="27"/>
  </w:num>
  <w:num w:numId="11">
    <w:abstractNumId w:val="7"/>
  </w:num>
  <w:num w:numId="12">
    <w:abstractNumId w:val="8"/>
  </w:num>
  <w:num w:numId="13">
    <w:abstractNumId w:val="29"/>
  </w:num>
  <w:num w:numId="14">
    <w:abstractNumId w:val="20"/>
  </w:num>
  <w:num w:numId="15">
    <w:abstractNumId w:val="0"/>
  </w:num>
  <w:num w:numId="16">
    <w:abstractNumId w:val="23"/>
  </w:num>
  <w:num w:numId="17">
    <w:abstractNumId w:val="13"/>
  </w:num>
  <w:num w:numId="18">
    <w:abstractNumId w:val="19"/>
  </w:num>
  <w:num w:numId="19">
    <w:abstractNumId w:val="21"/>
  </w:num>
  <w:num w:numId="20">
    <w:abstractNumId w:val="21"/>
  </w:num>
  <w:num w:numId="21">
    <w:abstractNumId w:val="6"/>
  </w:num>
  <w:num w:numId="22">
    <w:abstractNumId w:val="21"/>
  </w:num>
  <w:num w:numId="23">
    <w:abstractNumId w:val="11"/>
  </w:num>
  <w:num w:numId="24">
    <w:abstractNumId w:val="3"/>
  </w:num>
  <w:num w:numId="25">
    <w:abstractNumId w:val="15"/>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num>
  <w:num w:numId="31">
    <w:abstractNumId w:val="4"/>
  </w:num>
  <w:num w:numId="32">
    <w:abstractNumId w:val="18"/>
  </w:num>
  <w:num w:numId="33">
    <w:abstractNumId w:val="2"/>
  </w:num>
  <w:num w:numId="34">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96610"/>
  </w:hdrShapeDefaults>
  <w:footnotePr>
    <w:footnote w:id="0"/>
    <w:footnote w:id="1"/>
  </w:footnotePr>
  <w:endnotePr>
    <w:endnote w:id="0"/>
    <w:endnote w:id="1"/>
  </w:endnotePr>
  <w:compat/>
  <w:rsids>
    <w:rsidRoot w:val="00FF4923"/>
    <w:rsid w:val="000037BF"/>
    <w:rsid w:val="00005E1A"/>
    <w:rsid w:val="00007042"/>
    <w:rsid w:val="0001091E"/>
    <w:rsid w:val="00015E51"/>
    <w:rsid w:val="00016F43"/>
    <w:rsid w:val="00021555"/>
    <w:rsid w:val="00022F64"/>
    <w:rsid w:val="00023722"/>
    <w:rsid w:val="00025F27"/>
    <w:rsid w:val="00026C0B"/>
    <w:rsid w:val="00033BED"/>
    <w:rsid w:val="00034433"/>
    <w:rsid w:val="000376B4"/>
    <w:rsid w:val="0004094B"/>
    <w:rsid w:val="00041769"/>
    <w:rsid w:val="00041BB3"/>
    <w:rsid w:val="00051341"/>
    <w:rsid w:val="00060320"/>
    <w:rsid w:val="0006037B"/>
    <w:rsid w:val="00061358"/>
    <w:rsid w:val="00062DD1"/>
    <w:rsid w:val="000659C1"/>
    <w:rsid w:val="00076E47"/>
    <w:rsid w:val="00082313"/>
    <w:rsid w:val="000849EB"/>
    <w:rsid w:val="0009023D"/>
    <w:rsid w:val="000927D7"/>
    <w:rsid w:val="000A44C2"/>
    <w:rsid w:val="000B0C2D"/>
    <w:rsid w:val="000B21DF"/>
    <w:rsid w:val="000B2C03"/>
    <w:rsid w:val="000B4DAC"/>
    <w:rsid w:val="000C5730"/>
    <w:rsid w:val="000C7776"/>
    <w:rsid w:val="000D0454"/>
    <w:rsid w:val="000D0D63"/>
    <w:rsid w:val="000D1450"/>
    <w:rsid w:val="000E1126"/>
    <w:rsid w:val="000E2475"/>
    <w:rsid w:val="000E5658"/>
    <w:rsid w:val="000E6519"/>
    <w:rsid w:val="000F131E"/>
    <w:rsid w:val="000F40EA"/>
    <w:rsid w:val="000F4E54"/>
    <w:rsid w:val="0010106D"/>
    <w:rsid w:val="001016D6"/>
    <w:rsid w:val="0010175F"/>
    <w:rsid w:val="00101766"/>
    <w:rsid w:val="00101CCD"/>
    <w:rsid w:val="00104FF5"/>
    <w:rsid w:val="001170FA"/>
    <w:rsid w:val="00126701"/>
    <w:rsid w:val="00126B32"/>
    <w:rsid w:val="00134D0C"/>
    <w:rsid w:val="001374BF"/>
    <w:rsid w:val="00140D77"/>
    <w:rsid w:val="00152AF2"/>
    <w:rsid w:val="00153790"/>
    <w:rsid w:val="00160BED"/>
    <w:rsid w:val="00164BE2"/>
    <w:rsid w:val="001652CF"/>
    <w:rsid w:val="0016740F"/>
    <w:rsid w:val="00172A8E"/>
    <w:rsid w:val="00176C4A"/>
    <w:rsid w:val="001823BC"/>
    <w:rsid w:val="001833C5"/>
    <w:rsid w:val="00185099"/>
    <w:rsid w:val="00191082"/>
    <w:rsid w:val="001927F3"/>
    <w:rsid w:val="00196064"/>
    <w:rsid w:val="0019699B"/>
    <w:rsid w:val="00197792"/>
    <w:rsid w:val="00197F76"/>
    <w:rsid w:val="001A1F56"/>
    <w:rsid w:val="001A4882"/>
    <w:rsid w:val="001A7DEA"/>
    <w:rsid w:val="001B06FC"/>
    <w:rsid w:val="001B6571"/>
    <w:rsid w:val="001B663C"/>
    <w:rsid w:val="001C30ED"/>
    <w:rsid w:val="001C3381"/>
    <w:rsid w:val="001C46E9"/>
    <w:rsid w:val="001D10B2"/>
    <w:rsid w:val="001D58B9"/>
    <w:rsid w:val="001E0379"/>
    <w:rsid w:val="001E36C3"/>
    <w:rsid w:val="001E5443"/>
    <w:rsid w:val="001E5665"/>
    <w:rsid w:val="001E6868"/>
    <w:rsid w:val="001F0448"/>
    <w:rsid w:val="001F2F3C"/>
    <w:rsid w:val="0020186F"/>
    <w:rsid w:val="002060B7"/>
    <w:rsid w:val="00211205"/>
    <w:rsid w:val="0023154E"/>
    <w:rsid w:val="00231DDB"/>
    <w:rsid w:val="00231F5E"/>
    <w:rsid w:val="00234A54"/>
    <w:rsid w:val="0023506D"/>
    <w:rsid w:val="00236580"/>
    <w:rsid w:val="00236E3A"/>
    <w:rsid w:val="00242DA5"/>
    <w:rsid w:val="00246D2D"/>
    <w:rsid w:val="00247A14"/>
    <w:rsid w:val="002613CD"/>
    <w:rsid w:val="002621A9"/>
    <w:rsid w:val="00267665"/>
    <w:rsid w:val="00275A9D"/>
    <w:rsid w:val="00276884"/>
    <w:rsid w:val="002833E1"/>
    <w:rsid w:val="00286FDF"/>
    <w:rsid w:val="0028748B"/>
    <w:rsid w:val="00291800"/>
    <w:rsid w:val="002966CF"/>
    <w:rsid w:val="0029749D"/>
    <w:rsid w:val="002A0D12"/>
    <w:rsid w:val="002A2C93"/>
    <w:rsid w:val="002A685B"/>
    <w:rsid w:val="002A6DEA"/>
    <w:rsid w:val="002A72F0"/>
    <w:rsid w:val="002B1B44"/>
    <w:rsid w:val="002B2915"/>
    <w:rsid w:val="002B3C21"/>
    <w:rsid w:val="002C02D0"/>
    <w:rsid w:val="002C0750"/>
    <w:rsid w:val="002C756F"/>
    <w:rsid w:val="002D436D"/>
    <w:rsid w:val="002D60EF"/>
    <w:rsid w:val="002E015F"/>
    <w:rsid w:val="002E3C2D"/>
    <w:rsid w:val="002F079D"/>
    <w:rsid w:val="002F4C61"/>
    <w:rsid w:val="002F6E8E"/>
    <w:rsid w:val="002F720D"/>
    <w:rsid w:val="0030612A"/>
    <w:rsid w:val="00307A14"/>
    <w:rsid w:val="00310B75"/>
    <w:rsid w:val="00311F48"/>
    <w:rsid w:val="003120D7"/>
    <w:rsid w:val="0031786E"/>
    <w:rsid w:val="00317D5C"/>
    <w:rsid w:val="003200E4"/>
    <w:rsid w:val="003204E3"/>
    <w:rsid w:val="00325017"/>
    <w:rsid w:val="00327ED6"/>
    <w:rsid w:val="00332CD0"/>
    <w:rsid w:val="0033378F"/>
    <w:rsid w:val="00333E11"/>
    <w:rsid w:val="00335109"/>
    <w:rsid w:val="00335504"/>
    <w:rsid w:val="003375C3"/>
    <w:rsid w:val="00340918"/>
    <w:rsid w:val="0034236A"/>
    <w:rsid w:val="00344A22"/>
    <w:rsid w:val="00345042"/>
    <w:rsid w:val="003464D1"/>
    <w:rsid w:val="00347407"/>
    <w:rsid w:val="00357A96"/>
    <w:rsid w:val="00361E0D"/>
    <w:rsid w:val="00363C77"/>
    <w:rsid w:val="0036593D"/>
    <w:rsid w:val="00372643"/>
    <w:rsid w:val="00374F8E"/>
    <w:rsid w:val="003751F4"/>
    <w:rsid w:val="0038119F"/>
    <w:rsid w:val="0038214A"/>
    <w:rsid w:val="00383D11"/>
    <w:rsid w:val="0038573D"/>
    <w:rsid w:val="003901D4"/>
    <w:rsid w:val="00391429"/>
    <w:rsid w:val="0039188D"/>
    <w:rsid w:val="00391DA1"/>
    <w:rsid w:val="00392E39"/>
    <w:rsid w:val="00397D80"/>
    <w:rsid w:val="003A0E8B"/>
    <w:rsid w:val="003A15B2"/>
    <w:rsid w:val="003A2403"/>
    <w:rsid w:val="003A6A27"/>
    <w:rsid w:val="003B52FB"/>
    <w:rsid w:val="003B72D0"/>
    <w:rsid w:val="003D1A38"/>
    <w:rsid w:val="003D1BED"/>
    <w:rsid w:val="003D48A4"/>
    <w:rsid w:val="003D4DC6"/>
    <w:rsid w:val="003E053E"/>
    <w:rsid w:val="003E4876"/>
    <w:rsid w:val="003E6554"/>
    <w:rsid w:val="003F1969"/>
    <w:rsid w:val="003F21E8"/>
    <w:rsid w:val="003F4593"/>
    <w:rsid w:val="003F61F0"/>
    <w:rsid w:val="00403C18"/>
    <w:rsid w:val="004050DF"/>
    <w:rsid w:val="00407950"/>
    <w:rsid w:val="00414D6F"/>
    <w:rsid w:val="004150A8"/>
    <w:rsid w:val="00416893"/>
    <w:rsid w:val="0041735D"/>
    <w:rsid w:val="004202E3"/>
    <w:rsid w:val="00420DAB"/>
    <w:rsid w:val="00423EEF"/>
    <w:rsid w:val="00431343"/>
    <w:rsid w:val="00433BB8"/>
    <w:rsid w:val="00437D68"/>
    <w:rsid w:val="00442ECD"/>
    <w:rsid w:val="004468ED"/>
    <w:rsid w:val="004476E9"/>
    <w:rsid w:val="00455E58"/>
    <w:rsid w:val="0047177D"/>
    <w:rsid w:val="00473C0D"/>
    <w:rsid w:val="0048052F"/>
    <w:rsid w:val="00486EDF"/>
    <w:rsid w:val="0049430B"/>
    <w:rsid w:val="004A058E"/>
    <w:rsid w:val="004A06A0"/>
    <w:rsid w:val="004A105D"/>
    <w:rsid w:val="004A362C"/>
    <w:rsid w:val="004A4439"/>
    <w:rsid w:val="004A480B"/>
    <w:rsid w:val="004A701B"/>
    <w:rsid w:val="004B1B65"/>
    <w:rsid w:val="004B391B"/>
    <w:rsid w:val="004C2077"/>
    <w:rsid w:val="004D4BD3"/>
    <w:rsid w:val="004D5846"/>
    <w:rsid w:val="004D6B3B"/>
    <w:rsid w:val="004D77BE"/>
    <w:rsid w:val="004F049B"/>
    <w:rsid w:val="004F1921"/>
    <w:rsid w:val="004F639D"/>
    <w:rsid w:val="00506F14"/>
    <w:rsid w:val="00510F39"/>
    <w:rsid w:val="00512460"/>
    <w:rsid w:val="0051294B"/>
    <w:rsid w:val="00512CC4"/>
    <w:rsid w:val="005137CD"/>
    <w:rsid w:val="00513AB4"/>
    <w:rsid w:val="00513B88"/>
    <w:rsid w:val="0051709E"/>
    <w:rsid w:val="00517682"/>
    <w:rsid w:val="005177DC"/>
    <w:rsid w:val="00523A62"/>
    <w:rsid w:val="005245F5"/>
    <w:rsid w:val="00532B70"/>
    <w:rsid w:val="00534C69"/>
    <w:rsid w:val="00542C5D"/>
    <w:rsid w:val="00544930"/>
    <w:rsid w:val="005503A6"/>
    <w:rsid w:val="00550F1A"/>
    <w:rsid w:val="00551171"/>
    <w:rsid w:val="005518F2"/>
    <w:rsid w:val="005520F7"/>
    <w:rsid w:val="005527B4"/>
    <w:rsid w:val="00556430"/>
    <w:rsid w:val="00556EF3"/>
    <w:rsid w:val="00557214"/>
    <w:rsid w:val="00560B5D"/>
    <w:rsid w:val="00561AB6"/>
    <w:rsid w:val="005664C0"/>
    <w:rsid w:val="005701A2"/>
    <w:rsid w:val="00571B54"/>
    <w:rsid w:val="00575493"/>
    <w:rsid w:val="005754FB"/>
    <w:rsid w:val="00576694"/>
    <w:rsid w:val="00577678"/>
    <w:rsid w:val="0058505B"/>
    <w:rsid w:val="00591EA1"/>
    <w:rsid w:val="00592547"/>
    <w:rsid w:val="00592F91"/>
    <w:rsid w:val="00593FED"/>
    <w:rsid w:val="0059709C"/>
    <w:rsid w:val="005A1BE9"/>
    <w:rsid w:val="005A27BD"/>
    <w:rsid w:val="005A6A88"/>
    <w:rsid w:val="005B1127"/>
    <w:rsid w:val="005B13E5"/>
    <w:rsid w:val="005B7C3D"/>
    <w:rsid w:val="005C0FE9"/>
    <w:rsid w:val="005C196A"/>
    <w:rsid w:val="005C2A83"/>
    <w:rsid w:val="005C2D62"/>
    <w:rsid w:val="005C3129"/>
    <w:rsid w:val="005C598F"/>
    <w:rsid w:val="005C59F6"/>
    <w:rsid w:val="005D2F54"/>
    <w:rsid w:val="005D37F9"/>
    <w:rsid w:val="005D5D4B"/>
    <w:rsid w:val="005D66DD"/>
    <w:rsid w:val="005E3C7B"/>
    <w:rsid w:val="005E41BB"/>
    <w:rsid w:val="005E660F"/>
    <w:rsid w:val="005F036F"/>
    <w:rsid w:val="005F0468"/>
    <w:rsid w:val="005F3E73"/>
    <w:rsid w:val="005F4D24"/>
    <w:rsid w:val="005F550E"/>
    <w:rsid w:val="006012FF"/>
    <w:rsid w:val="00601670"/>
    <w:rsid w:val="00604E41"/>
    <w:rsid w:val="00612EC7"/>
    <w:rsid w:val="006239D3"/>
    <w:rsid w:val="00633537"/>
    <w:rsid w:val="006410E0"/>
    <w:rsid w:val="0064308E"/>
    <w:rsid w:val="00645E2F"/>
    <w:rsid w:val="006462BF"/>
    <w:rsid w:val="0064648F"/>
    <w:rsid w:val="00646D58"/>
    <w:rsid w:val="00650983"/>
    <w:rsid w:val="00652D32"/>
    <w:rsid w:val="00654317"/>
    <w:rsid w:val="00654F0A"/>
    <w:rsid w:val="00655C6A"/>
    <w:rsid w:val="00656B58"/>
    <w:rsid w:val="00663260"/>
    <w:rsid w:val="006647B6"/>
    <w:rsid w:val="0067288F"/>
    <w:rsid w:val="00672DC8"/>
    <w:rsid w:val="006736A2"/>
    <w:rsid w:val="00685DD8"/>
    <w:rsid w:val="00694120"/>
    <w:rsid w:val="00696A03"/>
    <w:rsid w:val="006A2A49"/>
    <w:rsid w:val="006A38C7"/>
    <w:rsid w:val="006A3E54"/>
    <w:rsid w:val="006B1C5F"/>
    <w:rsid w:val="006B1E2C"/>
    <w:rsid w:val="006B4616"/>
    <w:rsid w:val="006B56CC"/>
    <w:rsid w:val="006B7B04"/>
    <w:rsid w:val="006C35F4"/>
    <w:rsid w:val="006C3CB0"/>
    <w:rsid w:val="006D7EE5"/>
    <w:rsid w:val="006E0FEF"/>
    <w:rsid w:val="006E3DB3"/>
    <w:rsid w:val="006E79BC"/>
    <w:rsid w:val="0070177A"/>
    <w:rsid w:val="007035A2"/>
    <w:rsid w:val="0070518B"/>
    <w:rsid w:val="007110C0"/>
    <w:rsid w:val="007110CA"/>
    <w:rsid w:val="00725A22"/>
    <w:rsid w:val="007471D1"/>
    <w:rsid w:val="00750AAE"/>
    <w:rsid w:val="00752A20"/>
    <w:rsid w:val="00753CC7"/>
    <w:rsid w:val="00763A98"/>
    <w:rsid w:val="00763F70"/>
    <w:rsid w:val="00766D09"/>
    <w:rsid w:val="00786C65"/>
    <w:rsid w:val="00787ABF"/>
    <w:rsid w:val="00790CE2"/>
    <w:rsid w:val="00791296"/>
    <w:rsid w:val="00793DE3"/>
    <w:rsid w:val="00794244"/>
    <w:rsid w:val="00795433"/>
    <w:rsid w:val="007A1BCD"/>
    <w:rsid w:val="007B1A0B"/>
    <w:rsid w:val="007B2573"/>
    <w:rsid w:val="007B4A1E"/>
    <w:rsid w:val="007B52CA"/>
    <w:rsid w:val="007B6C22"/>
    <w:rsid w:val="007C2806"/>
    <w:rsid w:val="007C3629"/>
    <w:rsid w:val="007D1275"/>
    <w:rsid w:val="007D21FD"/>
    <w:rsid w:val="007D3F75"/>
    <w:rsid w:val="007D5A44"/>
    <w:rsid w:val="007D6AA1"/>
    <w:rsid w:val="007E0244"/>
    <w:rsid w:val="007E0B1C"/>
    <w:rsid w:val="007E430E"/>
    <w:rsid w:val="007F1D45"/>
    <w:rsid w:val="007F565C"/>
    <w:rsid w:val="007F6F31"/>
    <w:rsid w:val="008021CD"/>
    <w:rsid w:val="0080426E"/>
    <w:rsid w:val="00806E64"/>
    <w:rsid w:val="00807A20"/>
    <w:rsid w:val="00807E14"/>
    <w:rsid w:val="00813EBC"/>
    <w:rsid w:val="0081511E"/>
    <w:rsid w:val="0081518B"/>
    <w:rsid w:val="00815204"/>
    <w:rsid w:val="00832B9A"/>
    <w:rsid w:val="008357B4"/>
    <w:rsid w:val="00835A5C"/>
    <w:rsid w:val="0084078A"/>
    <w:rsid w:val="008411F6"/>
    <w:rsid w:val="00841AC4"/>
    <w:rsid w:val="0084733E"/>
    <w:rsid w:val="00856C4E"/>
    <w:rsid w:val="008570EF"/>
    <w:rsid w:val="00861F95"/>
    <w:rsid w:val="00862878"/>
    <w:rsid w:val="00862E32"/>
    <w:rsid w:val="008650A0"/>
    <w:rsid w:val="0086653D"/>
    <w:rsid w:val="00876BA8"/>
    <w:rsid w:val="00877651"/>
    <w:rsid w:val="00877911"/>
    <w:rsid w:val="00880D3E"/>
    <w:rsid w:val="00886531"/>
    <w:rsid w:val="00891931"/>
    <w:rsid w:val="0089292B"/>
    <w:rsid w:val="008950AE"/>
    <w:rsid w:val="008A1012"/>
    <w:rsid w:val="008A5004"/>
    <w:rsid w:val="008A6FA2"/>
    <w:rsid w:val="008B1E97"/>
    <w:rsid w:val="008B6B5A"/>
    <w:rsid w:val="008C252A"/>
    <w:rsid w:val="008C330A"/>
    <w:rsid w:val="008C7514"/>
    <w:rsid w:val="008D590C"/>
    <w:rsid w:val="008E0F0C"/>
    <w:rsid w:val="008E3726"/>
    <w:rsid w:val="008E3DD9"/>
    <w:rsid w:val="008F54D5"/>
    <w:rsid w:val="008F7E1B"/>
    <w:rsid w:val="00900079"/>
    <w:rsid w:val="009007E3"/>
    <w:rsid w:val="00915898"/>
    <w:rsid w:val="00915FA1"/>
    <w:rsid w:val="00916443"/>
    <w:rsid w:val="0092195A"/>
    <w:rsid w:val="009246A8"/>
    <w:rsid w:val="00926154"/>
    <w:rsid w:val="0092786C"/>
    <w:rsid w:val="009324D0"/>
    <w:rsid w:val="00935BA5"/>
    <w:rsid w:val="00941608"/>
    <w:rsid w:val="00942280"/>
    <w:rsid w:val="009438E7"/>
    <w:rsid w:val="00943DDA"/>
    <w:rsid w:val="009440FB"/>
    <w:rsid w:val="00944546"/>
    <w:rsid w:val="00945B5D"/>
    <w:rsid w:val="00953AFB"/>
    <w:rsid w:val="00956D94"/>
    <w:rsid w:val="0096169C"/>
    <w:rsid w:val="009640BF"/>
    <w:rsid w:val="00965DB0"/>
    <w:rsid w:val="009661DD"/>
    <w:rsid w:val="00966304"/>
    <w:rsid w:val="00970FBB"/>
    <w:rsid w:val="00973A19"/>
    <w:rsid w:val="0097527F"/>
    <w:rsid w:val="00975BBB"/>
    <w:rsid w:val="0098055A"/>
    <w:rsid w:val="00981C32"/>
    <w:rsid w:val="00982C66"/>
    <w:rsid w:val="0098310A"/>
    <w:rsid w:val="009834F4"/>
    <w:rsid w:val="009843B5"/>
    <w:rsid w:val="009867DF"/>
    <w:rsid w:val="00994469"/>
    <w:rsid w:val="00995304"/>
    <w:rsid w:val="009955B5"/>
    <w:rsid w:val="00995F0A"/>
    <w:rsid w:val="009978CC"/>
    <w:rsid w:val="009B2859"/>
    <w:rsid w:val="009B346C"/>
    <w:rsid w:val="009B596C"/>
    <w:rsid w:val="009B7C46"/>
    <w:rsid w:val="009C047C"/>
    <w:rsid w:val="009C2E8B"/>
    <w:rsid w:val="009C3C71"/>
    <w:rsid w:val="009C58BF"/>
    <w:rsid w:val="009D26E5"/>
    <w:rsid w:val="009D407D"/>
    <w:rsid w:val="009D558A"/>
    <w:rsid w:val="009D6ED4"/>
    <w:rsid w:val="009D79A6"/>
    <w:rsid w:val="009D79C8"/>
    <w:rsid w:val="009E08CA"/>
    <w:rsid w:val="009E2FA5"/>
    <w:rsid w:val="009E33C0"/>
    <w:rsid w:val="009F0E4C"/>
    <w:rsid w:val="009F5E7A"/>
    <w:rsid w:val="009F6885"/>
    <w:rsid w:val="00A0405C"/>
    <w:rsid w:val="00A04A73"/>
    <w:rsid w:val="00A06BE1"/>
    <w:rsid w:val="00A14A52"/>
    <w:rsid w:val="00A14FB9"/>
    <w:rsid w:val="00A15BD1"/>
    <w:rsid w:val="00A21636"/>
    <w:rsid w:val="00A31E2B"/>
    <w:rsid w:val="00A37A96"/>
    <w:rsid w:val="00A425DD"/>
    <w:rsid w:val="00A432BF"/>
    <w:rsid w:val="00A45FFD"/>
    <w:rsid w:val="00A507A4"/>
    <w:rsid w:val="00A52839"/>
    <w:rsid w:val="00A52B64"/>
    <w:rsid w:val="00A533BB"/>
    <w:rsid w:val="00A5533C"/>
    <w:rsid w:val="00A80B5C"/>
    <w:rsid w:val="00A83559"/>
    <w:rsid w:val="00A83A98"/>
    <w:rsid w:val="00A84CDC"/>
    <w:rsid w:val="00A87C2C"/>
    <w:rsid w:val="00A90D3D"/>
    <w:rsid w:val="00AB20D5"/>
    <w:rsid w:val="00AB3FB6"/>
    <w:rsid w:val="00AB5195"/>
    <w:rsid w:val="00AB573B"/>
    <w:rsid w:val="00AC54E2"/>
    <w:rsid w:val="00AC72DC"/>
    <w:rsid w:val="00AD0980"/>
    <w:rsid w:val="00AD1209"/>
    <w:rsid w:val="00AD3FF8"/>
    <w:rsid w:val="00AE12A7"/>
    <w:rsid w:val="00AE2EA2"/>
    <w:rsid w:val="00AF18DB"/>
    <w:rsid w:val="00AF1A2A"/>
    <w:rsid w:val="00AF1FCB"/>
    <w:rsid w:val="00AF523E"/>
    <w:rsid w:val="00B01108"/>
    <w:rsid w:val="00B01304"/>
    <w:rsid w:val="00B043C1"/>
    <w:rsid w:val="00B05F4F"/>
    <w:rsid w:val="00B12497"/>
    <w:rsid w:val="00B12F38"/>
    <w:rsid w:val="00B16712"/>
    <w:rsid w:val="00B171F2"/>
    <w:rsid w:val="00B232AA"/>
    <w:rsid w:val="00B312BE"/>
    <w:rsid w:val="00B33D37"/>
    <w:rsid w:val="00B3468C"/>
    <w:rsid w:val="00B409B0"/>
    <w:rsid w:val="00B40F6D"/>
    <w:rsid w:val="00B4121D"/>
    <w:rsid w:val="00B429C9"/>
    <w:rsid w:val="00B4306D"/>
    <w:rsid w:val="00B45FBF"/>
    <w:rsid w:val="00B629AB"/>
    <w:rsid w:val="00B64DC7"/>
    <w:rsid w:val="00B653E5"/>
    <w:rsid w:val="00B66176"/>
    <w:rsid w:val="00B71769"/>
    <w:rsid w:val="00B71E6A"/>
    <w:rsid w:val="00B74D80"/>
    <w:rsid w:val="00B80D76"/>
    <w:rsid w:val="00B81619"/>
    <w:rsid w:val="00B82E44"/>
    <w:rsid w:val="00BA007A"/>
    <w:rsid w:val="00BA10A9"/>
    <w:rsid w:val="00BA6040"/>
    <w:rsid w:val="00BA6D4E"/>
    <w:rsid w:val="00BA6FA4"/>
    <w:rsid w:val="00BB4E1A"/>
    <w:rsid w:val="00BB729C"/>
    <w:rsid w:val="00BC1367"/>
    <w:rsid w:val="00BC1410"/>
    <w:rsid w:val="00BC2838"/>
    <w:rsid w:val="00BC3647"/>
    <w:rsid w:val="00BD3D01"/>
    <w:rsid w:val="00BD4020"/>
    <w:rsid w:val="00BD5BDC"/>
    <w:rsid w:val="00BD61AB"/>
    <w:rsid w:val="00BE4D9C"/>
    <w:rsid w:val="00BE584E"/>
    <w:rsid w:val="00BF2F7E"/>
    <w:rsid w:val="00BF4077"/>
    <w:rsid w:val="00BF73DF"/>
    <w:rsid w:val="00C01C9F"/>
    <w:rsid w:val="00C05B93"/>
    <w:rsid w:val="00C06122"/>
    <w:rsid w:val="00C06675"/>
    <w:rsid w:val="00C07874"/>
    <w:rsid w:val="00C11452"/>
    <w:rsid w:val="00C11B89"/>
    <w:rsid w:val="00C126F2"/>
    <w:rsid w:val="00C20480"/>
    <w:rsid w:val="00C21A01"/>
    <w:rsid w:val="00C21E86"/>
    <w:rsid w:val="00C26D8D"/>
    <w:rsid w:val="00C324DF"/>
    <w:rsid w:val="00C32563"/>
    <w:rsid w:val="00C4126B"/>
    <w:rsid w:val="00C62D65"/>
    <w:rsid w:val="00C649BD"/>
    <w:rsid w:val="00C656BC"/>
    <w:rsid w:val="00C7132A"/>
    <w:rsid w:val="00C716D6"/>
    <w:rsid w:val="00C768A8"/>
    <w:rsid w:val="00C8048E"/>
    <w:rsid w:val="00C80F5E"/>
    <w:rsid w:val="00C8677B"/>
    <w:rsid w:val="00C8695F"/>
    <w:rsid w:val="00C90858"/>
    <w:rsid w:val="00C91756"/>
    <w:rsid w:val="00C94530"/>
    <w:rsid w:val="00C9752A"/>
    <w:rsid w:val="00C97DA0"/>
    <w:rsid w:val="00CA3819"/>
    <w:rsid w:val="00CA6A9D"/>
    <w:rsid w:val="00CA7992"/>
    <w:rsid w:val="00CB00ED"/>
    <w:rsid w:val="00CB0BD3"/>
    <w:rsid w:val="00CB494C"/>
    <w:rsid w:val="00CB61E6"/>
    <w:rsid w:val="00CC2537"/>
    <w:rsid w:val="00CC752F"/>
    <w:rsid w:val="00CE36A6"/>
    <w:rsid w:val="00CF0421"/>
    <w:rsid w:val="00CF7452"/>
    <w:rsid w:val="00D00BDE"/>
    <w:rsid w:val="00D0120B"/>
    <w:rsid w:val="00D07D24"/>
    <w:rsid w:val="00D158D9"/>
    <w:rsid w:val="00D162C5"/>
    <w:rsid w:val="00D23113"/>
    <w:rsid w:val="00D2436A"/>
    <w:rsid w:val="00D2489D"/>
    <w:rsid w:val="00D26813"/>
    <w:rsid w:val="00D34FA3"/>
    <w:rsid w:val="00D352B1"/>
    <w:rsid w:val="00D370D1"/>
    <w:rsid w:val="00D45AA3"/>
    <w:rsid w:val="00D507E2"/>
    <w:rsid w:val="00D51360"/>
    <w:rsid w:val="00D6038A"/>
    <w:rsid w:val="00D64750"/>
    <w:rsid w:val="00D6789A"/>
    <w:rsid w:val="00D7160A"/>
    <w:rsid w:val="00D74015"/>
    <w:rsid w:val="00D76A2C"/>
    <w:rsid w:val="00D80E81"/>
    <w:rsid w:val="00D83C6D"/>
    <w:rsid w:val="00D8542F"/>
    <w:rsid w:val="00D86308"/>
    <w:rsid w:val="00D907AE"/>
    <w:rsid w:val="00D91A5D"/>
    <w:rsid w:val="00D92E05"/>
    <w:rsid w:val="00DA2574"/>
    <w:rsid w:val="00DA2AE7"/>
    <w:rsid w:val="00DA3B7A"/>
    <w:rsid w:val="00DA4180"/>
    <w:rsid w:val="00DA6930"/>
    <w:rsid w:val="00DA6E39"/>
    <w:rsid w:val="00DB2FEC"/>
    <w:rsid w:val="00DB3087"/>
    <w:rsid w:val="00DB70FD"/>
    <w:rsid w:val="00DB7DF0"/>
    <w:rsid w:val="00DC04C9"/>
    <w:rsid w:val="00DC5109"/>
    <w:rsid w:val="00DC7499"/>
    <w:rsid w:val="00DD361D"/>
    <w:rsid w:val="00DD444C"/>
    <w:rsid w:val="00DD6BF3"/>
    <w:rsid w:val="00DD6C8D"/>
    <w:rsid w:val="00DD739E"/>
    <w:rsid w:val="00DE073C"/>
    <w:rsid w:val="00DE0CC3"/>
    <w:rsid w:val="00DE7B41"/>
    <w:rsid w:val="00DF0055"/>
    <w:rsid w:val="00DF1BD4"/>
    <w:rsid w:val="00DF48D9"/>
    <w:rsid w:val="00DF577E"/>
    <w:rsid w:val="00E01CD4"/>
    <w:rsid w:val="00E12501"/>
    <w:rsid w:val="00E20402"/>
    <w:rsid w:val="00E215E6"/>
    <w:rsid w:val="00E25CD1"/>
    <w:rsid w:val="00E3120E"/>
    <w:rsid w:val="00E3158F"/>
    <w:rsid w:val="00E40DCA"/>
    <w:rsid w:val="00E43909"/>
    <w:rsid w:val="00E44803"/>
    <w:rsid w:val="00E47DB6"/>
    <w:rsid w:val="00E53604"/>
    <w:rsid w:val="00E61C66"/>
    <w:rsid w:val="00E620B9"/>
    <w:rsid w:val="00E64E0C"/>
    <w:rsid w:val="00E653CC"/>
    <w:rsid w:val="00E65811"/>
    <w:rsid w:val="00E662EC"/>
    <w:rsid w:val="00E66E8A"/>
    <w:rsid w:val="00E7232A"/>
    <w:rsid w:val="00E73EC1"/>
    <w:rsid w:val="00E92809"/>
    <w:rsid w:val="00E93E38"/>
    <w:rsid w:val="00E94C2E"/>
    <w:rsid w:val="00EA0DCF"/>
    <w:rsid w:val="00EA19A8"/>
    <w:rsid w:val="00EA227C"/>
    <w:rsid w:val="00EA33D4"/>
    <w:rsid w:val="00EA65EA"/>
    <w:rsid w:val="00EB196B"/>
    <w:rsid w:val="00EB5EE0"/>
    <w:rsid w:val="00EB750C"/>
    <w:rsid w:val="00EC06FC"/>
    <w:rsid w:val="00EC1C05"/>
    <w:rsid w:val="00ED64C7"/>
    <w:rsid w:val="00ED650A"/>
    <w:rsid w:val="00ED6A86"/>
    <w:rsid w:val="00EE12DF"/>
    <w:rsid w:val="00EE4039"/>
    <w:rsid w:val="00EE5C3F"/>
    <w:rsid w:val="00EE620E"/>
    <w:rsid w:val="00EF1DE4"/>
    <w:rsid w:val="00EF6B58"/>
    <w:rsid w:val="00F0159A"/>
    <w:rsid w:val="00F06FFE"/>
    <w:rsid w:val="00F078A9"/>
    <w:rsid w:val="00F26A73"/>
    <w:rsid w:val="00F30D37"/>
    <w:rsid w:val="00F30F9F"/>
    <w:rsid w:val="00F43818"/>
    <w:rsid w:val="00F4427C"/>
    <w:rsid w:val="00F44616"/>
    <w:rsid w:val="00F44633"/>
    <w:rsid w:val="00F44D3F"/>
    <w:rsid w:val="00F44F68"/>
    <w:rsid w:val="00F50542"/>
    <w:rsid w:val="00F52555"/>
    <w:rsid w:val="00F5256D"/>
    <w:rsid w:val="00F54677"/>
    <w:rsid w:val="00F61B5B"/>
    <w:rsid w:val="00F71040"/>
    <w:rsid w:val="00F72905"/>
    <w:rsid w:val="00F8379F"/>
    <w:rsid w:val="00F83B29"/>
    <w:rsid w:val="00F85F2F"/>
    <w:rsid w:val="00F9554F"/>
    <w:rsid w:val="00F96218"/>
    <w:rsid w:val="00F96661"/>
    <w:rsid w:val="00FA3377"/>
    <w:rsid w:val="00FA58B3"/>
    <w:rsid w:val="00FB0BCB"/>
    <w:rsid w:val="00FB4460"/>
    <w:rsid w:val="00FB4E69"/>
    <w:rsid w:val="00FB78AA"/>
    <w:rsid w:val="00FC2BE7"/>
    <w:rsid w:val="00FC3857"/>
    <w:rsid w:val="00FC7AFF"/>
    <w:rsid w:val="00FD11AB"/>
    <w:rsid w:val="00FD2467"/>
    <w:rsid w:val="00FD3685"/>
    <w:rsid w:val="00FD6336"/>
    <w:rsid w:val="00FD72E1"/>
    <w:rsid w:val="00FE07D6"/>
    <w:rsid w:val="00FE0DA5"/>
    <w:rsid w:val="00FE2E63"/>
    <w:rsid w:val="00FE4BA3"/>
    <w:rsid w:val="00FE5006"/>
    <w:rsid w:val="00FF1FA7"/>
    <w:rsid w:val="00FF22FD"/>
    <w:rsid w:val="00FF4923"/>
    <w:rsid w:val="00FF5B0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F4923"/>
    <w:pPr>
      <w:spacing w:after="200" w:line="276" w:lineRule="auto"/>
    </w:pPr>
    <w:rPr>
      <w:sz w:val="22"/>
      <w:szCs w:val="22"/>
    </w:rPr>
  </w:style>
  <w:style w:type="paragraph" w:styleId="Heading1">
    <w:name w:val="heading 1"/>
    <w:basedOn w:val="Normal"/>
    <w:next w:val="Normal"/>
    <w:link w:val="Heading1Char"/>
    <w:qFormat/>
    <w:rsid w:val="00A04A73"/>
    <w:pPr>
      <w:keepNext/>
      <w:keepLines/>
      <w:numPr>
        <w:numId w:val="8"/>
      </w:numPr>
      <w:spacing w:after="240" w:line="240" w:lineRule="auto"/>
      <w:jc w:val="both"/>
      <w:outlineLvl w:val="0"/>
    </w:pPr>
    <w:rPr>
      <w:rFonts w:eastAsia="Times New Roman"/>
      <w:bCs/>
      <w:i/>
      <w:color w:val="984806" w:themeColor="accent6" w:themeShade="80"/>
      <w:sz w:val="40"/>
      <w:szCs w:val="28"/>
    </w:rPr>
  </w:style>
  <w:style w:type="paragraph" w:styleId="Heading2">
    <w:name w:val="heading 2"/>
    <w:basedOn w:val="Normal"/>
    <w:next w:val="Normal"/>
    <w:link w:val="Heading2Char"/>
    <w:uiPriority w:val="9"/>
    <w:qFormat/>
    <w:rsid w:val="00A52839"/>
    <w:pPr>
      <w:numPr>
        <w:ilvl w:val="1"/>
        <w:numId w:val="8"/>
      </w:numPr>
      <w:outlineLvl w:val="1"/>
    </w:pPr>
    <w:rPr>
      <w:i/>
      <w:color w:val="984806" w:themeColor="accent6" w:themeShade="80"/>
      <w:sz w:val="32"/>
    </w:rPr>
  </w:style>
  <w:style w:type="paragraph" w:styleId="Heading3">
    <w:name w:val="heading 3"/>
    <w:basedOn w:val="Normal"/>
    <w:next w:val="Normal"/>
    <w:link w:val="Heading3Char"/>
    <w:qFormat/>
    <w:rsid w:val="00A04A73"/>
    <w:pPr>
      <w:keepNext/>
      <w:keepLines/>
      <w:numPr>
        <w:ilvl w:val="2"/>
        <w:numId w:val="8"/>
      </w:numPr>
      <w:spacing w:before="200" w:after="0" w:line="240" w:lineRule="auto"/>
      <w:jc w:val="both"/>
      <w:outlineLvl w:val="2"/>
    </w:pPr>
    <w:rPr>
      <w:rFonts w:asciiTheme="minorHAnsi" w:eastAsia="Times New Roman" w:hAnsiTheme="minorHAnsi"/>
      <w:bCs/>
      <w:i/>
      <w:color w:val="984806" w:themeColor="accent6" w:themeShade="80"/>
      <w:sz w:val="28"/>
      <w:szCs w:val="24"/>
    </w:rPr>
  </w:style>
  <w:style w:type="paragraph" w:styleId="Heading4">
    <w:name w:val="heading 4"/>
    <w:basedOn w:val="Normal"/>
    <w:next w:val="Normal"/>
    <w:link w:val="Heading4Char"/>
    <w:qFormat/>
    <w:rsid w:val="00211205"/>
    <w:pPr>
      <w:keepNext/>
      <w:numPr>
        <w:ilvl w:val="3"/>
        <w:numId w:val="8"/>
      </w:numPr>
      <w:spacing w:after="0" w:line="240" w:lineRule="auto"/>
      <w:jc w:val="both"/>
      <w:outlineLvl w:val="3"/>
    </w:pPr>
    <w:rPr>
      <w:rFonts w:eastAsia="Times New Roman" w:cs="Tahoma"/>
      <w:bCs/>
      <w:i/>
      <w:color w:val="984806" w:themeColor="accent6" w:themeShade="80"/>
      <w:sz w:val="24"/>
      <w:szCs w:val="24"/>
      <w:lang w:val="sl-SI"/>
    </w:rPr>
  </w:style>
  <w:style w:type="paragraph" w:styleId="Heading5">
    <w:name w:val="heading 5"/>
    <w:basedOn w:val="Normal"/>
    <w:next w:val="Normal"/>
    <w:link w:val="Heading5Char"/>
    <w:qFormat/>
    <w:rsid w:val="00104FF5"/>
    <w:pPr>
      <w:keepNext/>
      <w:numPr>
        <w:ilvl w:val="4"/>
        <w:numId w:val="8"/>
      </w:numPr>
      <w:spacing w:after="0" w:line="240" w:lineRule="auto"/>
      <w:outlineLvl w:val="4"/>
    </w:pPr>
    <w:rPr>
      <w:rFonts w:ascii="Tahoma" w:eastAsia="Times New Roman" w:hAnsi="Tahoma" w:cs="Tahoma"/>
      <w:b/>
      <w:bCs/>
      <w:i/>
      <w:shadow/>
      <w:color w:val="984806" w:themeColor="accent6" w:themeShade="80"/>
      <w:sz w:val="28"/>
      <w:szCs w:val="24"/>
      <w:lang w:val="sl-SI"/>
    </w:rPr>
  </w:style>
  <w:style w:type="paragraph" w:styleId="Heading6">
    <w:name w:val="heading 6"/>
    <w:basedOn w:val="Normal"/>
    <w:next w:val="Normal"/>
    <w:link w:val="Heading6Char"/>
    <w:qFormat/>
    <w:rsid w:val="00A52839"/>
    <w:pPr>
      <w:keepNext/>
      <w:numPr>
        <w:ilvl w:val="5"/>
        <w:numId w:val="8"/>
      </w:numPr>
      <w:spacing w:after="0" w:line="240" w:lineRule="auto"/>
      <w:jc w:val="center"/>
      <w:outlineLvl w:val="5"/>
    </w:pPr>
    <w:rPr>
      <w:rFonts w:eastAsia="Times New Roman"/>
      <w:shadow/>
      <w:color w:val="984806" w:themeColor="accent6" w:themeShade="80"/>
      <w:sz w:val="24"/>
      <w:szCs w:val="24"/>
      <w:lang w:val="sl-SI"/>
    </w:rPr>
  </w:style>
  <w:style w:type="paragraph" w:styleId="Heading7">
    <w:name w:val="heading 7"/>
    <w:basedOn w:val="Normal"/>
    <w:next w:val="Normal"/>
    <w:link w:val="Heading7Char"/>
    <w:qFormat/>
    <w:rsid w:val="00FF4923"/>
    <w:pPr>
      <w:keepNext/>
      <w:numPr>
        <w:ilvl w:val="6"/>
        <w:numId w:val="8"/>
      </w:numPr>
      <w:spacing w:after="0" w:line="240" w:lineRule="auto"/>
      <w:jc w:val="center"/>
      <w:outlineLvl w:val="6"/>
    </w:pPr>
    <w:rPr>
      <w:rFonts w:ascii="Book Antiqua" w:eastAsia="Times New Roman" w:hAnsi="Book Antiqua"/>
      <w:b/>
      <w:noProof/>
      <w:sz w:val="52"/>
      <w:szCs w:val="24"/>
    </w:rPr>
  </w:style>
  <w:style w:type="paragraph" w:styleId="Heading8">
    <w:name w:val="heading 8"/>
    <w:basedOn w:val="Normal"/>
    <w:next w:val="Normal"/>
    <w:link w:val="Heading8Char"/>
    <w:qFormat/>
    <w:rsid w:val="00FF4923"/>
    <w:pPr>
      <w:keepNext/>
      <w:numPr>
        <w:ilvl w:val="7"/>
        <w:numId w:val="8"/>
      </w:numPr>
      <w:spacing w:after="0" w:line="240" w:lineRule="auto"/>
      <w:ind w:right="-91"/>
      <w:jc w:val="both"/>
      <w:outlineLvl w:val="7"/>
    </w:pPr>
    <w:rPr>
      <w:rFonts w:ascii="Times New Roman" w:eastAsia="Times New Roman" w:hAnsi="Times New Roman"/>
      <w:b/>
      <w:shadow/>
      <w:sz w:val="24"/>
      <w:szCs w:val="24"/>
      <w:lang w:val="en-GB"/>
    </w:rPr>
  </w:style>
  <w:style w:type="paragraph" w:styleId="Heading9">
    <w:name w:val="heading 9"/>
    <w:basedOn w:val="Normal"/>
    <w:next w:val="Normal"/>
    <w:link w:val="Heading9Char"/>
    <w:rsid w:val="00FF4923"/>
    <w:pPr>
      <w:keepNext/>
      <w:numPr>
        <w:ilvl w:val="8"/>
        <w:numId w:val="8"/>
      </w:numPr>
      <w:spacing w:after="0" w:line="240" w:lineRule="auto"/>
      <w:jc w:val="both"/>
      <w:outlineLvl w:val="8"/>
    </w:pPr>
    <w:rPr>
      <w:rFonts w:ascii="Times New Roman YU" w:eastAsia="Times New Roman" w:hAnsi="Times New Roman YU"/>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A73"/>
    <w:rPr>
      <w:rFonts w:eastAsia="Times New Roman"/>
      <w:bCs/>
      <w:i/>
      <w:color w:val="984806" w:themeColor="accent6" w:themeShade="80"/>
      <w:sz w:val="40"/>
      <w:szCs w:val="28"/>
    </w:rPr>
  </w:style>
  <w:style w:type="character" w:customStyle="1" w:styleId="Heading2Char">
    <w:name w:val="Heading 2 Char"/>
    <w:basedOn w:val="DefaultParagraphFont"/>
    <w:link w:val="Heading2"/>
    <w:uiPriority w:val="9"/>
    <w:rsid w:val="00A52839"/>
    <w:rPr>
      <w:i/>
      <w:color w:val="984806" w:themeColor="accent6" w:themeShade="80"/>
      <w:sz w:val="32"/>
      <w:szCs w:val="22"/>
    </w:rPr>
  </w:style>
  <w:style w:type="character" w:customStyle="1" w:styleId="Heading3Char">
    <w:name w:val="Heading 3 Char"/>
    <w:basedOn w:val="DefaultParagraphFont"/>
    <w:link w:val="Heading3"/>
    <w:rsid w:val="00A04A73"/>
    <w:rPr>
      <w:rFonts w:asciiTheme="minorHAnsi" w:eastAsia="Times New Roman" w:hAnsiTheme="minorHAnsi"/>
      <w:bCs/>
      <w:i/>
      <w:color w:val="984806" w:themeColor="accent6" w:themeShade="80"/>
      <w:sz w:val="28"/>
      <w:szCs w:val="24"/>
    </w:rPr>
  </w:style>
  <w:style w:type="character" w:customStyle="1" w:styleId="Heading4Char">
    <w:name w:val="Heading 4 Char"/>
    <w:basedOn w:val="DefaultParagraphFont"/>
    <w:link w:val="Heading4"/>
    <w:rsid w:val="00211205"/>
    <w:rPr>
      <w:rFonts w:eastAsia="Times New Roman" w:cs="Tahoma"/>
      <w:bCs/>
      <w:i/>
      <w:color w:val="984806" w:themeColor="accent6" w:themeShade="80"/>
      <w:sz w:val="24"/>
      <w:szCs w:val="24"/>
      <w:lang w:val="sl-SI"/>
    </w:rPr>
  </w:style>
  <w:style w:type="character" w:customStyle="1" w:styleId="Heading5Char">
    <w:name w:val="Heading 5 Char"/>
    <w:basedOn w:val="DefaultParagraphFont"/>
    <w:link w:val="Heading5"/>
    <w:rsid w:val="00104FF5"/>
    <w:rPr>
      <w:rFonts w:ascii="Tahoma" w:eastAsia="Times New Roman" w:hAnsi="Tahoma" w:cs="Tahoma"/>
      <w:b/>
      <w:bCs/>
      <w:i/>
      <w:shadow/>
      <w:color w:val="984806" w:themeColor="accent6" w:themeShade="80"/>
      <w:sz w:val="28"/>
      <w:szCs w:val="24"/>
      <w:lang w:val="sl-SI"/>
    </w:rPr>
  </w:style>
  <w:style w:type="character" w:customStyle="1" w:styleId="Heading6Char">
    <w:name w:val="Heading 6 Char"/>
    <w:basedOn w:val="DefaultParagraphFont"/>
    <w:link w:val="Heading6"/>
    <w:rsid w:val="00A52839"/>
    <w:rPr>
      <w:rFonts w:eastAsia="Times New Roman"/>
      <w:shadow/>
      <w:color w:val="984806" w:themeColor="accent6" w:themeShade="80"/>
      <w:sz w:val="24"/>
      <w:szCs w:val="24"/>
      <w:lang w:val="sl-SI"/>
    </w:rPr>
  </w:style>
  <w:style w:type="character" w:customStyle="1" w:styleId="Heading7Char">
    <w:name w:val="Heading 7 Char"/>
    <w:basedOn w:val="DefaultParagraphFont"/>
    <w:link w:val="Heading7"/>
    <w:rsid w:val="00FF4923"/>
    <w:rPr>
      <w:rFonts w:ascii="Book Antiqua" w:eastAsia="Times New Roman" w:hAnsi="Book Antiqua"/>
      <w:b/>
      <w:noProof/>
      <w:sz w:val="52"/>
      <w:szCs w:val="24"/>
    </w:rPr>
  </w:style>
  <w:style w:type="character" w:customStyle="1" w:styleId="Heading8Char">
    <w:name w:val="Heading 8 Char"/>
    <w:basedOn w:val="DefaultParagraphFont"/>
    <w:link w:val="Heading8"/>
    <w:rsid w:val="00FF4923"/>
    <w:rPr>
      <w:rFonts w:ascii="Times New Roman" w:eastAsia="Times New Roman" w:hAnsi="Times New Roman"/>
      <w:b/>
      <w:shadow/>
      <w:sz w:val="24"/>
      <w:szCs w:val="24"/>
      <w:lang w:val="en-GB"/>
    </w:rPr>
  </w:style>
  <w:style w:type="character" w:customStyle="1" w:styleId="Heading9Char">
    <w:name w:val="Heading 9 Char"/>
    <w:basedOn w:val="DefaultParagraphFont"/>
    <w:link w:val="Heading9"/>
    <w:rsid w:val="00FF4923"/>
    <w:rPr>
      <w:rFonts w:ascii="Times New Roman YU" w:eastAsia="Times New Roman" w:hAnsi="Times New Roman YU"/>
      <w:b/>
      <w:bCs/>
      <w:sz w:val="24"/>
      <w:szCs w:val="24"/>
      <w:lang w:val="sr-Latn-CS"/>
    </w:rPr>
  </w:style>
  <w:style w:type="paragraph" w:styleId="ListParagraph">
    <w:name w:val="List Paragraph"/>
    <w:basedOn w:val="Normal"/>
    <w:link w:val="ListParagraphChar"/>
    <w:uiPriority w:val="34"/>
    <w:qFormat/>
    <w:rsid w:val="00FF4923"/>
    <w:pPr>
      <w:ind w:left="720"/>
    </w:pPr>
    <w:rPr>
      <w:rFonts w:eastAsia="PMingLiU"/>
      <w:sz w:val="20"/>
      <w:szCs w:val="20"/>
      <w:lang w:eastAsia="zh-TW"/>
    </w:rPr>
  </w:style>
  <w:style w:type="character" w:customStyle="1" w:styleId="ListParagraphChar">
    <w:name w:val="List Paragraph Char"/>
    <w:link w:val="ListParagraph"/>
    <w:uiPriority w:val="34"/>
    <w:locked/>
    <w:rsid w:val="00FF4923"/>
    <w:rPr>
      <w:rFonts w:ascii="Calibri" w:eastAsia="PMingLiU" w:hAnsi="Calibri" w:cs="Arial"/>
      <w:lang w:eastAsia="zh-TW"/>
    </w:rPr>
  </w:style>
  <w:style w:type="character" w:styleId="FootnoteReference">
    <w:name w:val="footnote reference"/>
    <w:aliases w:val="BVI fnr,Footnote symbol"/>
    <w:basedOn w:val="DefaultParagraphFont"/>
    <w:uiPriority w:val="99"/>
    <w:unhideWhenUsed/>
    <w:rsid w:val="00FF4923"/>
    <w:rPr>
      <w:vertAlign w:val="superscript"/>
    </w:rPr>
  </w:style>
  <w:style w:type="paragraph" w:styleId="NormalWeb">
    <w:name w:val="Normal (Web)"/>
    <w:basedOn w:val="Normal"/>
    <w:uiPriority w:val="99"/>
    <w:rsid w:val="00FF4923"/>
    <w:pPr>
      <w:spacing w:before="100" w:beforeAutospacing="1" w:after="119" w:line="240" w:lineRule="auto"/>
    </w:pPr>
    <w:rPr>
      <w:rFonts w:ascii="Times New Roman" w:eastAsia="Times New Roman" w:hAnsi="Times New Roman"/>
      <w:sz w:val="24"/>
      <w:szCs w:val="24"/>
      <w:lang w:val="sr-Latn-CS" w:eastAsia="sr-Latn-CS"/>
    </w:rPr>
  </w:style>
  <w:style w:type="paragraph" w:styleId="NoSpacing">
    <w:name w:val="No Spacing"/>
    <w:link w:val="NoSpacingChar"/>
    <w:qFormat/>
    <w:rsid w:val="00FF4923"/>
    <w:rPr>
      <w:sz w:val="22"/>
      <w:szCs w:val="22"/>
    </w:rPr>
  </w:style>
  <w:style w:type="character" w:customStyle="1" w:styleId="NoSpacingChar">
    <w:name w:val="No Spacing Char"/>
    <w:basedOn w:val="DefaultParagraphFont"/>
    <w:link w:val="NoSpacing"/>
    <w:rsid w:val="00FF4923"/>
    <w:rPr>
      <w:sz w:val="22"/>
      <w:szCs w:val="22"/>
      <w:lang w:val="en-US" w:eastAsia="en-US" w:bidi="ar-SA"/>
    </w:rPr>
  </w:style>
  <w:style w:type="character" w:customStyle="1" w:styleId="hps">
    <w:name w:val="hps"/>
    <w:basedOn w:val="DefaultParagraphFont"/>
    <w:rsid w:val="00FF4923"/>
  </w:style>
  <w:style w:type="table" w:customStyle="1" w:styleId="LightShading-Accent11">
    <w:name w:val="Light Shading - Accent 11"/>
    <w:basedOn w:val="TableNormal"/>
    <w:uiPriority w:val="60"/>
    <w:rsid w:val="00FF4923"/>
    <w:rPr>
      <w:rFonts w:eastAsia="Times New Roman"/>
      <w:color w:val="365F91"/>
      <w:lang w:val="sr-Latn-CS" w:eastAsia="sr-Latn-C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link w:val="DefaultChar"/>
    <w:rsid w:val="00FF4923"/>
    <w:pPr>
      <w:autoSpaceDE w:val="0"/>
      <w:autoSpaceDN w:val="0"/>
      <w:adjustRightInd w:val="0"/>
    </w:pPr>
    <w:rPr>
      <w:rFonts w:ascii="Tahoma" w:hAnsi="Tahoma"/>
      <w:color w:val="000000"/>
      <w:sz w:val="24"/>
      <w:szCs w:val="24"/>
    </w:rPr>
  </w:style>
  <w:style w:type="character" w:customStyle="1" w:styleId="DefaultChar">
    <w:name w:val="Default Char"/>
    <w:link w:val="Default"/>
    <w:locked/>
    <w:rsid w:val="00FF4923"/>
    <w:rPr>
      <w:rFonts w:ascii="Tahoma" w:hAnsi="Tahoma"/>
      <w:color w:val="000000"/>
      <w:sz w:val="24"/>
      <w:szCs w:val="24"/>
      <w:lang w:bidi="ar-SA"/>
    </w:rPr>
  </w:style>
  <w:style w:type="character" w:styleId="PageNumber">
    <w:name w:val="page number"/>
    <w:basedOn w:val="DefaultParagraphFont"/>
    <w:rsid w:val="00FF4923"/>
  </w:style>
  <w:style w:type="paragraph" w:styleId="Caption">
    <w:name w:val="caption"/>
    <w:basedOn w:val="Normal"/>
    <w:next w:val="Normal"/>
    <w:autoRedefine/>
    <w:uiPriority w:val="99"/>
    <w:qFormat/>
    <w:rsid w:val="004050DF"/>
    <w:pPr>
      <w:framePr w:w="7601" w:h="284" w:hRule="exact" w:wrap="notBeside" w:vAnchor="text" w:hAnchor="text" w:y="3" w:anchorLock="1"/>
      <w:spacing w:after="0" w:line="240" w:lineRule="auto"/>
    </w:pPr>
    <w:rPr>
      <w:rFonts w:eastAsia="Times New Roman" w:cs="Calibri"/>
      <w:b/>
      <w:bCs/>
      <w:color w:val="7E0000"/>
      <w:sz w:val="16"/>
      <w:szCs w:val="20"/>
      <w:lang w:val="en-IE"/>
    </w:rPr>
  </w:style>
  <w:style w:type="paragraph" w:styleId="TOC2">
    <w:name w:val="toc 2"/>
    <w:basedOn w:val="Normal"/>
    <w:next w:val="Normal"/>
    <w:autoRedefine/>
    <w:uiPriority w:val="39"/>
    <w:qFormat/>
    <w:rsid w:val="00B66176"/>
    <w:pPr>
      <w:tabs>
        <w:tab w:val="right" w:leader="dot" w:pos="9014"/>
      </w:tabs>
      <w:spacing w:after="0" w:line="240" w:lineRule="auto"/>
      <w:ind w:left="144"/>
      <w:jc w:val="both"/>
    </w:pPr>
    <w:rPr>
      <w:rFonts w:eastAsia="Times New Roman"/>
      <w:sz w:val="18"/>
      <w:szCs w:val="24"/>
      <w:lang w:val="sr-Latn-CS"/>
    </w:rPr>
  </w:style>
  <w:style w:type="paragraph" w:styleId="TOC1">
    <w:name w:val="toc 1"/>
    <w:basedOn w:val="Normal"/>
    <w:next w:val="Normal"/>
    <w:autoRedefine/>
    <w:uiPriority w:val="39"/>
    <w:unhideWhenUsed/>
    <w:qFormat/>
    <w:rsid w:val="00B66176"/>
    <w:pPr>
      <w:tabs>
        <w:tab w:val="right" w:leader="dot" w:pos="9019"/>
      </w:tabs>
      <w:spacing w:before="120" w:after="80" w:line="240" w:lineRule="auto"/>
      <w:jc w:val="both"/>
    </w:pPr>
    <w:rPr>
      <w:rFonts w:eastAsia="Times New Roman"/>
      <w:b/>
      <w:sz w:val="20"/>
      <w:szCs w:val="24"/>
    </w:rPr>
  </w:style>
  <w:style w:type="character" w:styleId="Hyperlink">
    <w:name w:val="Hyperlink"/>
    <w:basedOn w:val="DefaultParagraphFont"/>
    <w:uiPriority w:val="99"/>
    <w:unhideWhenUsed/>
    <w:rsid w:val="00FF4923"/>
    <w:rPr>
      <w:color w:val="0000FF"/>
      <w:u w:val="single"/>
    </w:rPr>
  </w:style>
  <w:style w:type="paragraph" w:styleId="Header">
    <w:name w:val="header"/>
    <w:basedOn w:val="Normal"/>
    <w:link w:val="HeaderChar"/>
    <w:uiPriority w:val="99"/>
    <w:unhideWhenUsed/>
    <w:rsid w:val="00FF4923"/>
    <w:pPr>
      <w:tabs>
        <w:tab w:val="center" w:pos="4680"/>
        <w:tab w:val="right" w:pos="9360"/>
      </w:tabs>
      <w:spacing w:after="0" w:line="240" w:lineRule="auto"/>
      <w:jc w:val="both"/>
    </w:pPr>
    <w:rPr>
      <w:rFonts w:ascii="Century Gothic" w:eastAsia="Times New Roman" w:hAnsi="Century Gothic"/>
      <w:sz w:val="20"/>
      <w:szCs w:val="24"/>
    </w:rPr>
  </w:style>
  <w:style w:type="character" w:customStyle="1" w:styleId="HeaderChar">
    <w:name w:val="Header Char"/>
    <w:basedOn w:val="DefaultParagraphFont"/>
    <w:link w:val="Header"/>
    <w:uiPriority w:val="99"/>
    <w:rsid w:val="00FF4923"/>
    <w:rPr>
      <w:rFonts w:ascii="Century Gothic" w:eastAsia="Times New Roman" w:hAnsi="Century Gothic" w:cs="Times New Roman"/>
      <w:sz w:val="20"/>
      <w:szCs w:val="24"/>
    </w:rPr>
  </w:style>
  <w:style w:type="paragraph" w:styleId="Footer">
    <w:name w:val="footer"/>
    <w:basedOn w:val="Normal"/>
    <w:link w:val="FooterChar"/>
    <w:uiPriority w:val="99"/>
    <w:unhideWhenUsed/>
    <w:rsid w:val="00FF4923"/>
    <w:pPr>
      <w:tabs>
        <w:tab w:val="center" w:pos="4680"/>
        <w:tab w:val="right" w:pos="9360"/>
      </w:tabs>
      <w:spacing w:after="0" w:line="240" w:lineRule="auto"/>
      <w:jc w:val="both"/>
    </w:pPr>
    <w:rPr>
      <w:rFonts w:ascii="Century Gothic" w:eastAsia="Times New Roman" w:hAnsi="Century Gothic"/>
      <w:sz w:val="20"/>
      <w:szCs w:val="24"/>
    </w:rPr>
  </w:style>
  <w:style w:type="character" w:customStyle="1" w:styleId="FooterChar">
    <w:name w:val="Footer Char"/>
    <w:basedOn w:val="DefaultParagraphFont"/>
    <w:link w:val="Footer"/>
    <w:uiPriority w:val="99"/>
    <w:rsid w:val="00FF4923"/>
    <w:rPr>
      <w:rFonts w:ascii="Century Gothic" w:eastAsia="Times New Roman" w:hAnsi="Century Gothic" w:cs="Times New Roman"/>
      <w:sz w:val="20"/>
      <w:szCs w:val="24"/>
    </w:rPr>
  </w:style>
  <w:style w:type="paragraph" w:customStyle="1" w:styleId="CharCharCharCharCharCharCharCharCharCharCharCharCharCharChar">
    <w:name w:val="Char Char Char Char Char Char Char Char Char Char Char Char Char Char Char"/>
    <w:basedOn w:val="Normal"/>
    <w:rsid w:val="00FF4923"/>
    <w:pPr>
      <w:widowControl w:val="0"/>
      <w:autoSpaceDE w:val="0"/>
      <w:autoSpaceDN w:val="0"/>
      <w:adjustRightInd w:val="0"/>
      <w:spacing w:after="160" w:line="240" w:lineRule="exact"/>
      <w:jc w:val="both"/>
    </w:pPr>
    <w:rPr>
      <w:rFonts w:ascii="Arial" w:eastAsia="Times New Roman" w:hAnsi="Arial" w:cs="Arial"/>
      <w:sz w:val="20"/>
      <w:szCs w:val="20"/>
    </w:rPr>
  </w:style>
  <w:style w:type="paragraph" w:styleId="TOC3">
    <w:name w:val="toc 3"/>
    <w:basedOn w:val="Normal"/>
    <w:next w:val="Normal"/>
    <w:autoRedefine/>
    <w:uiPriority w:val="39"/>
    <w:unhideWhenUsed/>
    <w:qFormat/>
    <w:rsid w:val="00B66176"/>
    <w:pPr>
      <w:spacing w:after="100"/>
      <w:ind w:left="440"/>
    </w:pPr>
    <w:rPr>
      <w:rFonts w:eastAsia="Times New Roman"/>
      <w:sz w:val="18"/>
    </w:rPr>
  </w:style>
  <w:style w:type="paragraph" w:styleId="TOC4">
    <w:name w:val="toc 4"/>
    <w:basedOn w:val="Normal"/>
    <w:next w:val="Normal"/>
    <w:autoRedefine/>
    <w:uiPriority w:val="39"/>
    <w:unhideWhenUsed/>
    <w:rsid w:val="00B66176"/>
    <w:pPr>
      <w:spacing w:after="100"/>
      <w:ind w:left="660"/>
    </w:pPr>
    <w:rPr>
      <w:rFonts w:eastAsia="Times New Roman"/>
      <w:sz w:val="18"/>
    </w:rPr>
  </w:style>
  <w:style w:type="paragraph" w:styleId="TOC5">
    <w:name w:val="toc 5"/>
    <w:basedOn w:val="Normal"/>
    <w:next w:val="Normal"/>
    <w:autoRedefine/>
    <w:uiPriority w:val="39"/>
    <w:unhideWhenUsed/>
    <w:rsid w:val="00FF4923"/>
    <w:pPr>
      <w:spacing w:after="100"/>
      <w:ind w:left="880"/>
    </w:pPr>
    <w:rPr>
      <w:rFonts w:eastAsia="Times New Roman"/>
    </w:rPr>
  </w:style>
  <w:style w:type="paragraph" w:styleId="TOC6">
    <w:name w:val="toc 6"/>
    <w:basedOn w:val="Normal"/>
    <w:next w:val="Normal"/>
    <w:autoRedefine/>
    <w:uiPriority w:val="39"/>
    <w:unhideWhenUsed/>
    <w:rsid w:val="00FF4923"/>
    <w:pPr>
      <w:spacing w:after="100"/>
      <w:ind w:left="1100"/>
    </w:pPr>
    <w:rPr>
      <w:rFonts w:eastAsia="Times New Roman"/>
    </w:rPr>
  </w:style>
  <w:style w:type="paragraph" w:styleId="TOC7">
    <w:name w:val="toc 7"/>
    <w:basedOn w:val="Normal"/>
    <w:next w:val="Normal"/>
    <w:autoRedefine/>
    <w:uiPriority w:val="39"/>
    <w:unhideWhenUsed/>
    <w:rsid w:val="00FF4923"/>
    <w:pPr>
      <w:spacing w:after="100"/>
      <w:ind w:left="1320"/>
    </w:pPr>
    <w:rPr>
      <w:rFonts w:eastAsia="Times New Roman"/>
    </w:rPr>
  </w:style>
  <w:style w:type="paragraph" w:styleId="TOC8">
    <w:name w:val="toc 8"/>
    <w:basedOn w:val="Normal"/>
    <w:next w:val="Normal"/>
    <w:autoRedefine/>
    <w:uiPriority w:val="39"/>
    <w:unhideWhenUsed/>
    <w:rsid w:val="00FF4923"/>
    <w:pPr>
      <w:spacing w:after="100"/>
      <w:ind w:left="1540"/>
    </w:pPr>
    <w:rPr>
      <w:rFonts w:eastAsia="Times New Roman"/>
    </w:rPr>
  </w:style>
  <w:style w:type="paragraph" w:styleId="TOC9">
    <w:name w:val="toc 9"/>
    <w:basedOn w:val="Normal"/>
    <w:next w:val="Normal"/>
    <w:autoRedefine/>
    <w:uiPriority w:val="39"/>
    <w:unhideWhenUsed/>
    <w:rsid w:val="00FF4923"/>
    <w:pPr>
      <w:spacing w:after="100"/>
      <w:ind w:left="1760"/>
    </w:pPr>
    <w:rPr>
      <w:rFonts w:eastAsia="Times New Roman"/>
    </w:rPr>
  </w:style>
  <w:style w:type="character" w:customStyle="1" w:styleId="BalloonTextChar">
    <w:name w:val="Balloon Text Char"/>
    <w:basedOn w:val="DefaultParagraphFont"/>
    <w:link w:val="BalloonText"/>
    <w:uiPriority w:val="99"/>
    <w:semiHidden/>
    <w:rsid w:val="00FF492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F4923"/>
    <w:pPr>
      <w:spacing w:after="0" w:line="240" w:lineRule="auto"/>
      <w:jc w:val="both"/>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FF4923"/>
    <w:rPr>
      <w:rFonts w:ascii="Tahoma" w:hAnsi="Tahoma" w:cs="Tahoma"/>
      <w:sz w:val="16"/>
      <w:szCs w:val="16"/>
    </w:rPr>
  </w:style>
  <w:style w:type="paragraph" w:customStyle="1" w:styleId="Char">
    <w:name w:val="Char"/>
    <w:basedOn w:val="Normal"/>
    <w:rsid w:val="00FF4923"/>
    <w:pPr>
      <w:widowControl w:val="0"/>
      <w:autoSpaceDE w:val="0"/>
      <w:autoSpaceDN w:val="0"/>
      <w:adjustRightInd w:val="0"/>
      <w:spacing w:after="160" w:line="240" w:lineRule="exact"/>
      <w:jc w:val="both"/>
    </w:pPr>
    <w:rPr>
      <w:rFonts w:ascii="Arial" w:eastAsia="Times New Roman" w:hAnsi="Arial" w:cs="Arial"/>
      <w:sz w:val="20"/>
      <w:szCs w:val="20"/>
    </w:rPr>
  </w:style>
  <w:style w:type="paragraph" w:customStyle="1" w:styleId="CharCharCharChar">
    <w:name w:val="Char Char Char Char"/>
    <w:basedOn w:val="Normal"/>
    <w:rsid w:val="00FF4923"/>
    <w:pPr>
      <w:spacing w:after="160" w:line="240" w:lineRule="exact"/>
    </w:pPr>
    <w:rPr>
      <w:rFonts w:ascii="Verdana" w:eastAsia="Times New Roman" w:hAnsi="Verdana"/>
      <w:b/>
      <w:bCs/>
      <w:sz w:val="20"/>
      <w:szCs w:val="20"/>
    </w:rPr>
  </w:style>
  <w:style w:type="paragraph" w:customStyle="1" w:styleId="msonospacing0">
    <w:name w:val="msonospacing"/>
    <w:basedOn w:val="Normal"/>
    <w:rsid w:val="00FF4923"/>
    <w:pPr>
      <w:spacing w:after="0" w:line="240" w:lineRule="auto"/>
    </w:pPr>
    <w:rPr>
      <w:lang w:eastAsia="ja-JP"/>
    </w:rPr>
  </w:style>
  <w:style w:type="paragraph" w:styleId="BodyText">
    <w:name w:val="Body Text"/>
    <w:aliases w:val="Body Text Char Char Char Char,Body Text Char Char,Body Text Char Char Char,Body Text Char Char Char Char1 Char,Body Text Char Char Char Char Char Char,Body Text Char Char Char Char Char Char Char,Body Text Char Char Char Char Char,Body Text1"/>
    <w:basedOn w:val="Normal"/>
    <w:link w:val="BodyTextChar"/>
    <w:uiPriority w:val="99"/>
    <w:rsid w:val="00FF4923"/>
    <w:pPr>
      <w:spacing w:after="0" w:line="240" w:lineRule="auto"/>
      <w:jc w:val="center"/>
    </w:pPr>
    <w:rPr>
      <w:rFonts w:ascii="Times New Roman" w:eastAsia="Times New Roman" w:hAnsi="Times New Roman"/>
      <w:sz w:val="24"/>
      <w:szCs w:val="24"/>
      <w:lang w:val="sr-Latn-CS"/>
    </w:rPr>
  </w:style>
  <w:style w:type="character" w:customStyle="1" w:styleId="BodyTextChar">
    <w:name w:val="Body Text Char"/>
    <w:aliases w:val="Body Text Char Char Char Char Char1,Body Text Char Char Char1,Body Text Char Char Char Char1,Body Text Char Char Char Char1 Char Char,Body Text Char Char Char Char Char Char Char1,Body Text Char Char Char Char Char Char Char Char"/>
    <w:basedOn w:val="DefaultParagraphFont"/>
    <w:link w:val="BodyText"/>
    <w:uiPriority w:val="99"/>
    <w:rsid w:val="00FF4923"/>
    <w:rPr>
      <w:rFonts w:ascii="Times New Roman" w:eastAsia="Times New Roman" w:hAnsi="Times New Roman" w:cs="Times New Roman"/>
      <w:sz w:val="24"/>
      <w:szCs w:val="24"/>
      <w:lang w:val="sr-Latn-CS"/>
    </w:rPr>
  </w:style>
  <w:style w:type="character" w:customStyle="1" w:styleId="CommentTextChar">
    <w:name w:val="Comment Text Char"/>
    <w:basedOn w:val="DefaultParagraphFont"/>
    <w:link w:val="CommentText"/>
    <w:uiPriority w:val="99"/>
    <w:semiHidden/>
    <w:rsid w:val="00FF4923"/>
    <w:rPr>
      <w:rFonts w:ascii="Times New Roman" w:eastAsia="Times New Roman" w:hAnsi="Times New Roman"/>
    </w:rPr>
  </w:style>
  <w:style w:type="paragraph" w:styleId="CommentText">
    <w:name w:val="annotation text"/>
    <w:basedOn w:val="Normal"/>
    <w:link w:val="CommentTextChar"/>
    <w:uiPriority w:val="99"/>
    <w:semiHidden/>
    <w:rsid w:val="00FF4923"/>
    <w:pPr>
      <w:spacing w:after="0" w:line="240" w:lineRule="auto"/>
    </w:pPr>
    <w:rPr>
      <w:rFonts w:ascii="Times New Roman" w:eastAsia="Times New Roman" w:hAnsi="Times New Roman"/>
    </w:rPr>
  </w:style>
  <w:style w:type="character" w:customStyle="1" w:styleId="CommentTextChar1">
    <w:name w:val="Comment Text Char1"/>
    <w:basedOn w:val="DefaultParagraphFont"/>
    <w:link w:val="CommentText"/>
    <w:uiPriority w:val="99"/>
    <w:semiHidden/>
    <w:rsid w:val="00FF4923"/>
    <w:rPr>
      <w:sz w:val="20"/>
      <w:szCs w:val="20"/>
    </w:rPr>
  </w:style>
  <w:style w:type="character" w:customStyle="1" w:styleId="CommentSubjectChar">
    <w:name w:val="Comment Subject Char"/>
    <w:basedOn w:val="CommentTextChar"/>
    <w:link w:val="CommentSubject"/>
    <w:uiPriority w:val="99"/>
    <w:semiHidden/>
    <w:rsid w:val="00FF4923"/>
    <w:rPr>
      <w:b/>
      <w:bCs/>
    </w:rPr>
  </w:style>
  <w:style w:type="paragraph" w:styleId="CommentSubject">
    <w:name w:val="annotation subject"/>
    <w:basedOn w:val="CommentText"/>
    <w:next w:val="CommentText"/>
    <w:link w:val="CommentSubjectChar"/>
    <w:uiPriority w:val="99"/>
    <w:semiHidden/>
    <w:rsid w:val="00FF4923"/>
    <w:rPr>
      <w:b/>
      <w:bCs/>
    </w:rPr>
  </w:style>
  <w:style w:type="character" w:customStyle="1" w:styleId="CommentSubjectChar1">
    <w:name w:val="Comment Subject Char1"/>
    <w:basedOn w:val="CommentTextChar1"/>
    <w:link w:val="CommentSubject"/>
    <w:uiPriority w:val="99"/>
    <w:semiHidden/>
    <w:rsid w:val="00FF4923"/>
    <w:rPr>
      <w:b/>
      <w:bCs/>
    </w:rPr>
  </w:style>
  <w:style w:type="paragraph" w:styleId="BodyText2">
    <w:name w:val="Body Text 2"/>
    <w:basedOn w:val="Normal"/>
    <w:link w:val="BodyText2Char"/>
    <w:rsid w:val="00FF492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FF4923"/>
    <w:rPr>
      <w:rFonts w:ascii="Times New Roman" w:eastAsia="Times New Roman" w:hAnsi="Times New Roman" w:cs="Times New Roman"/>
      <w:sz w:val="24"/>
      <w:szCs w:val="24"/>
    </w:rPr>
  </w:style>
  <w:style w:type="paragraph" w:styleId="BodyTextIndent">
    <w:name w:val="Body Text Indent"/>
    <w:basedOn w:val="Normal"/>
    <w:link w:val="BodyTextIndentChar"/>
    <w:rsid w:val="00FF4923"/>
    <w:pPr>
      <w:spacing w:after="0" w:line="240" w:lineRule="auto"/>
      <w:ind w:left="360"/>
      <w:jc w:val="both"/>
    </w:pPr>
    <w:rPr>
      <w:rFonts w:ascii="Times New Roman" w:eastAsia="Times New Roman" w:hAnsi="Times New Roman"/>
      <w:sz w:val="28"/>
      <w:szCs w:val="24"/>
      <w:lang w:val="sl-SI"/>
    </w:rPr>
  </w:style>
  <w:style w:type="character" w:customStyle="1" w:styleId="BodyTextIndentChar">
    <w:name w:val="Body Text Indent Char"/>
    <w:basedOn w:val="DefaultParagraphFont"/>
    <w:link w:val="BodyTextIndent"/>
    <w:rsid w:val="00FF4923"/>
    <w:rPr>
      <w:rFonts w:ascii="Times New Roman" w:eastAsia="Times New Roman" w:hAnsi="Times New Roman" w:cs="Times New Roman"/>
      <w:sz w:val="28"/>
      <w:szCs w:val="24"/>
      <w:lang w:val="sl-SI"/>
    </w:rPr>
  </w:style>
  <w:style w:type="paragraph" w:styleId="Title">
    <w:name w:val="Title"/>
    <w:basedOn w:val="Normal"/>
    <w:link w:val="TitleChar"/>
    <w:qFormat/>
    <w:rsid w:val="00FF4923"/>
    <w:pPr>
      <w:spacing w:after="0" w:line="240" w:lineRule="auto"/>
      <w:jc w:val="center"/>
    </w:pPr>
    <w:rPr>
      <w:rFonts w:ascii="Bookman Old Style" w:eastAsia="Times New Roman" w:hAnsi="Bookman Old Style"/>
      <w:i/>
      <w:sz w:val="32"/>
      <w:szCs w:val="24"/>
      <w:lang w:val="sl-SI"/>
    </w:rPr>
  </w:style>
  <w:style w:type="character" w:customStyle="1" w:styleId="TitleChar">
    <w:name w:val="Title Char"/>
    <w:basedOn w:val="DefaultParagraphFont"/>
    <w:link w:val="Title"/>
    <w:rsid w:val="00FF4923"/>
    <w:rPr>
      <w:rFonts w:ascii="Bookman Old Style" w:eastAsia="Times New Roman" w:hAnsi="Bookman Old Style" w:cs="Times New Roman"/>
      <w:i/>
      <w:sz w:val="32"/>
      <w:szCs w:val="24"/>
      <w:lang w:val="sl-SI"/>
    </w:rPr>
  </w:style>
  <w:style w:type="paragraph" w:styleId="BodyText3">
    <w:name w:val="Body Text 3"/>
    <w:basedOn w:val="Normal"/>
    <w:link w:val="BodyText3Char"/>
    <w:rsid w:val="00FF4923"/>
    <w:pPr>
      <w:spacing w:after="0" w:line="240" w:lineRule="auto"/>
      <w:ind w:right="-14"/>
      <w:jc w:val="both"/>
    </w:pPr>
    <w:rPr>
      <w:rFonts w:ascii="Times New Roman" w:eastAsia="Times New Roman" w:hAnsi="Times New Roman"/>
      <w:b/>
      <w:bCs/>
      <w:shadow/>
      <w:sz w:val="24"/>
      <w:szCs w:val="24"/>
      <w:lang w:val="sl-SI"/>
    </w:rPr>
  </w:style>
  <w:style w:type="character" w:customStyle="1" w:styleId="BodyText3Char">
    <w:name w:val="Body Text 3 Char"/>
    <w:basedOn w:val="DefaultParagraphFont"/>
    <w:link w:val="BodyText3"/>
    <w:rsid w:val="00FF4923"/>
    <w:rPr>
      <w:rFonts w:ascii="Times New Roman" w:eastAsia="Times New Roman" w:hAnsi="Times New Roman" w:cs="Times New Roman"/>
      <w:b/>
      <w:bCs/>
      <w:shadow/>
      <w:sz w:val="24"/>
      <w:szCs w:val="24"/>
      <w:lang w:val="sl-SI"/>
    </w:rPr>
  </w:style>
  <w:style w:type="paragraph" w:styleId="BodyTextIndent2">
    <w:name w:val="Body Text Indent 2"/>
    <w:basedOn w:val="Normal"/>
    <w:link w:val="BodyTextIndent2Char"/>
    <w:rsid w:val="00FF4923"/>
    <w:pPr>
      <w:spacing w:after="0" w:line="240" w:lineRule="auto"/>
      <w:ind w:right="-14" w:firstLine="720"/>
      <w:jc w:val="both"/>
    </w:pPr>
    <w:rPr>
      <w:rFonts w:ascii="Times New Roman" w:eastAsia="Times New Roman" w:hAnsi="Times New Roman"/>
      <w:sz w:val="24"/>
      <w:szCs w:val="24"/>
      <w:lang w:val="sl-SI"/>
    </w:rPr>
  </w:style>
  <w:style w:type="character" w:customStyle="1" w:styleId="BodyTextIndent2Char">
    <w:name w:val="Body Text Indent 2 Char"/>
    <w:basedOn w:val="DefaultParagraphFont"/>
    <w:link w:val="BodyTextIndent2"/>
    <w:rsid w:val="00FF4923"/>
    <w:rPr>
      <w:rFonts w:ascii="Times New Roman" w:eastAsia="Times New Roman" w:hAnsi="Times New Roman" w:cs="Times New Roman"/>
      <w:sz w:val="24"/>
      <w:szCs w:val="24"/>
      <w:lang w:val="sl-SI"/>
    </w:rPr>
  </w:style>
  <w:style w:type="paragraph" w:styleId="BodyTextIndent3">
    <w:name w:val="Body Text Indent 3"/>
    <w:basedOn w:val="Normal"/>
    <w:link w:val="BodyTextIndent3Char"/>
    <w:rsid w:val="00FF4923"/>
    <w:pPr>
      <w:spacing w:after="0" w:line="240" w:lineRule="auto"/>
      <w:ind w:left="1260" w:hanging="360"/>
      <w:jc w:val="both"/>
    </w:pPr>
    <w:rPr>
      <w:rFonts w:ascii="Times New Roman" w:eastAsia="Times New Roman" w:hAnsi="Times New Roman"/>
      <w:shadow/>
      <w:sz w:val="24"/>
      <w:szCs w:val="24"/>
      <w:lang w:val="sl-SI"/>
    </w:rPr>
  </w:style>
  <w:style w:type="character" w:customStyle="1" w:styleId="BodyTextIndent3Char">
    <w:name w:val="Body Text Indent 3 Char"/>
    <w:basedOn w:val="DefaultParagraphFont"/>
    <w:link w:val="BodyTextIndent3"/>
    <w:rsid w:val="00FF4923"/>
    <w:rPr>
      <w:rFonts w:ascii="Times New Roman" w:eastAsia="Times New Roman" w:hAnsi="Times New Roman" w:cs="Times New Roman"/>
      <w:shadow/>
      <w:sz w:val="24"/>
      <w:szCs w:val="24"/>
      <w:lang w:val="sl-SI"/>
    </w:rPr>
  </w:style>
  <w:style w:type="paragraph" w:styleId="FootnoteText">
    <w:name w:val="footnote text"/>
    <w:aliases w:val="single space,footnote text,Footnote Text Char Char,Footnote Text Char Char Char,FOOTNOTES,fn,Fußnotentextf,ALTS FOOTNOTE,Footnote,Footnote Text qer,Fußnotentext Char,Footnote Text Char2 Char,Fußnote"/>
    <w:basedOn w:val="Normal"/>
    <w:link w:val="FootnoteTextChar"/>
    <w:uiPriority w:val="99"/>
    <w:rsid w:val="00FF4923"/>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single space Char,footnote text Char,Footnote Text Char Char Char1,Footnote Text Char Char Char Char,FOOTNOTES Char,fn Char,Fußnotentextf Char,ALTS FOOTNOTE Char,Footnote Char,Footnote Text qer Char,Fußnotentext Char Char,Fußnote Char"/>
    <w:basedOn w:val="DefaultParagraphFont"/>
    <w:link w:val="FootnoteText"/>
    <w:uiPriority w:val="99"/>
    <w:rsid w:val="00FF4923"/>
    <w:rPr>
      <w:rFonts w:ascii="Times New Roman" w:eastAsia="Times New Roman" w:hAnsi="Times New Roman" w:cs="Times New Roman"/>
      <w:sz w:val="20"/>
      <w:szCs w:val="20"/>
      <w:lang w:val="en-GB"/>
    </w:rPr>
  </w:style>
  <w:style w:type="character" w:customStyle="1" w:styleId="DocumentMapChar">
    <w:name w:val="Document Map Char"/>
    <w:basedOn w:val="DefaultParagraphFont"/>
    <w:link w:val="DocumentMap"/>
    <w:semiHidden/>
    <w:rsid w:val="00FF4923"/>
    <w:rPr>
      <w:rFonts w:ascii="Tahoma" w:eastAsia="Times New Roman" w:hAnsi="Tahoma" w:cs="Tahoma"/>
      <w:shd w:val="clear" w:color="auto" w:fill="000080"/>
      <w:lang w:val="en-GB"/>
    </w:rPr>
  </w:style>
  <w:style w:type="paragraph" w:styleId="DocumentMap">
    <w:name w:val="Document Map"/>
    <w:basedOn w:val="Normal"/>
    <w:link w:val="DocumentMapChar"/>
    <w:semiHidden/>
    <w:rsid w:val="00FF4923"/>
    <w:pPr>
      <w:shd w:val="clear" w:color="auto" w:fill="000080"/>
      <w:spacing w:after="0" w:line="240" w:lineRule="auto"/>
    </w:pPr>
    <w:rPr>
      <w:rFonts w:ascii="Tahoma" w:eastAsia="Times New Roman" w:hAnsi="Tahoma" w:cs="Tahoma"/>
      <w:lang w:val="en-GB"/>
    </w:rPr>
  </w:style>
  <w:style w:type="character" w:customStyle="1" w:styleId="DocumentMapChar1">
    <w:name w:val="Document Map Char1"/>
    <w:basedOn w:val="DefaultParagraphFont"/>
    <w:link w:val="DocumentMap"/>
    <w:uiPriority w:val="99"/>
    <w:semiHidden/>
    <w:rsid w:val="00FF4923"/>
    <w:rPr>
      <w:rFonts w:ascii="Tahoma" w:hAnsi="Tahoma" w:cs="Tahoma"/>
      <w:sz w:val="16"/>
      <w:szCs w:val="16"/>
    </w:rPr>
  </w:style>
  <w:style w:type="paragraph" w:styleId="BlockText">
    <w:name w:val="Block Text"/>
    <w:basedOn w:val="Normal"/>
    <w:rsid w:val="00FF4923"/>
    <w:pPr>
      <w:spacing w:after="0" w:line="240" w:lineRule="auto"/>
      <w:ind w:left="1800" w:right="2438"/>
      <w:jc w:val="both"/>
    </w:pPr>
    <w:rPr>
      <w:rFonts w:ascii="Times New Roman" w:eastAsia="Times New Roman" w:hAnsi="Times New Roman"/>
      <w:sz w:val="24"/>
      <w:szCs w:val="24"/>
    </w:rPr>
  </w:style>
  <w:style w:type="paragraph" w:styleId="ListBullet">
    <w:name w:val="List Bullet"/>
    <w:basedOn w:val="Normal"/>
    <w:autoRedefine/>
    <w:rsid w:val="00FF4923"/>
    <w:pPr>
      <w:spacing w:after="0" w:line="240" w:lineRule="auto"/>
      <w:ind w:left="732" w:hanging="360"/>
      <w:jc w:val="both"/>
    </w:pPr>
    <w:rPr>
      <w:rFonts w:ascii="Arial" w:eastAsia="Times New Roman" w:hAnsi="Arial" w:cs="Arial"/>
      <w:sz w:val="18"/>
      <w:szCs w:val="18"/>
      <w:lang w:val="es-ES"/>
    </w:rPr>
  </w:style>
  <w:style w:type="character" w:customStyle="1" w:styleId="CharCharChar">
    <w:name w:val="Char Char Char"/>
    <w:basedOn w:val="DefaultParagraphFont"/>
    <w:rsid w:val="00FF4923"/>
    <w:rPr>
      <w:b/>
      <w:bCs/>
      <w:sz w:val="24"/>
      <w:szCs w:val="24"/>
      <w:lang w:val="sl-SI" w:eastAsia="en-US" w:bidi="ar-SA"/>
    </w:rPr>
  </w:style>
  <w:style w:type="paragraph" w:customStyle="1" w:styleId="Prioritybullet1">
    <w:name w:val="Priority bullet 1"/>
    <w:basedOn w:val="Normal"/>
    <w:rsid w:val="00FF4923"/>
    <w:pPr>
      <w:tabs>
        <w:tab w:val="left" w:pos="1125"/>
      </w:tabs>
      <w:suppressAutoHyphens/>
      <w:spacing w:before="180" w:after="0" w:line="240" w:lineRule="auto"/>
    </w:pPr>
    <w:rPr>
      <w:rFonts w:ascii="Arial Narrow" w:eastAsia="Times New Roman" w:hAnsi="Arial Narrow"/>
      <w:color w:val="000000"/>
      <w:sz w:val="24"/>
      <w:szCs w:val="20"/>
      <w:lang w:eastAsia="ar-SA"/>
    </w:rPr>
  </w:style>
  <w:style w:type="paragraph" w:customStyle="1" w:styleId="Char1">
    <w:name w:val="Char1"/>
    <w:basedOn w:val="Normal"/>
    <w:rsid w:val="00FF4923"/>
    <w:pPr>
      <w:spacing w:after="160" w:line="240" w:lineRule="exact"/>
    </w:pPr>
    <w:rPr>
      <w:rFonts w:ascii="Tahoma" w:eastAsia="Times New Roman" w:hAnsi="Tahoma"/>
      <w:sz w:val="20"/>
      <w:szCs w:val="20"/>
    </w:rPr>
  </w:style>
  <w:style w:type="paragraph" w:customStyle="1" w:styleId="CharCharCharCharCharChar1CharCharCharChar">
    <w:name w:val="Char Char Char Char Char Char1 Char Char Char Char"/>
    <w:basedOn w:val="Normal"/>
    <w:rsid w:val="00FF4923"/>
    <w:pPr>
      <w:spacing w:after="160" w:line="240" w:lineRule="exact"/>
    </w:pPr>
    <w:rPr>
      <w:rFonts w:ascii="Tahoma" w:eastAsia="Times New Roman" w:hAnsi="Tahoma"/>
      <w:sz w:val="20"/>
      <w:szCs w:val="20"/>
    </w:rPr>
  </w:style>
  <w:style w:type="character" w:customStyle="1" w:styleId="CharChar">
    <w:name w:val="Char Char"/>
    <w:basedOn w:val="DefaultParagraphFont"/>
    <w:locked/>
    <w:rsid w:val="00FF4923"/>
    <w:rPr>
      <w:b/>
      <w:bCs/>
      <w:sz w:val="24"/>
      <w:szCs w:val="24"/>
      <w:lang w:val="sr-Latn-CS" w:eastAsia="en-US" w:bidi="ar-SA"/>
    </w:rPr>
  </w:style>
  <w:style w:type="paragraph" w:customStyle="1" w:styleId="CharCharCharCharCharCharChar">
    <w:name w:val="Char Char Char Char Char Char Char"/>
    <w:basedOn w:val="Normal"/>
    <w:rsid w:val="00FF4923"/>
    <w:pPr>
      <w:spacing w:after="160" w:line="240" w:lineRule="exact"/>
    </w:pPr>
    <w:rPr>
      <w:rFonts w:ascii="Tahoma" w:eastAsia="Times New Roman" w:hAnsi="Tahoma"/>
      <w:sz w:val="20"/>
      <w:szCs w:val="20"/>
      <w:lang w:val="en-GB"/>
    </w:rPr>
  </w:style>
  <w:style w:type="character" w:customStyle="1" w:styleId="CharChar1">
    <w:name w:val="Char Char1"/>
    <w:basedOn w:val="DefaultParagraphFont"/>
    <w:locked/>
    <w:rsid w:val="00FF4923"/>
    <w:rPr>
      <w:b/>
      <w:bCs/>
      <w:sz w:val="24"/>
      <w:szCs w:val="24"/>
      <w:lang w:val="sr-Latn-CS" w:eastAsia="en-US" w:bidi="ar-SA"/>
    </w:rPr>
  </w:style>
  <w:style w:type="character" w:styleId="Emphasis">
    <w:name w:val="Emphasis"/>
    <w:basedOn w:val="DefaultParagraphFont"/>
    <w:uiPriority w:val="20"/>
    <w:qFormat/>
    <w:rsid w:val="00FF4923"/>
    <w:rPr>
      <w:i/>
      <w:iCs/>
    </w:rPr>
  </w:style>
  <w:style w:type="character" w:customStyle="1" w:styleId="CharCharChar1">
    <w:name w:val="Char Char Char1"/>
    <w:basedOn w:val="DefaultParagraphFont"/>
    <w:rsid w:val="00FF4923"/>
    <w:rPr>
      <w:b/>
      <w:bCs/>
      <w:sz w:val="24"/>
      <w:szCs w:val="24"/>
      <w:lang w:val="sl-SI" w:eastAsia="en-US" w:bidi="ar-SA"/>
    </w:rPr>
  </w:style>
  <w:style w:type="paragraph" w:customStyle="1" w:styleId="Char11">
    <w:name w:val="Char11"/>
    <w:basedOn w:val="Normal"/>
    <w:rsid w:val="00FF4923"/>
    <w:pPr>
      <w:spacing w:after="160" w:line="240" w:lineRule="exact"/>
    </w:pPr>
    <w:rPr>
      <w:rFonts w:ascii="Tahoma" w:eastAsia="Times New Roman" w:hAnsi="Tahoma"/>
      <w:sz w:val="20"/>
      <w:szCs w:val="20"/>
    </w:rPr>
  </w:style>
  <w:style w:type="paragraph" w:customStyle="1" w:styleId="CharCharCharCharCharChar1CharCharCharChar1">
    <w:name w:val="Char Char Char Char Char Char1 Char Char Char Char1"/>
    <w:basedOn w:val="Normal"/>
    <w:rsid w:val="00FF4923"/>
    <w:pPr>
      <w:spacing w:after="160" w:line="240" w:lineRule="exact"/>
    </w:pPr>
    <w:rPr>
      <w:rFonts w:ascii="Tahoma" w:eastAsia="Times New Roman" w:hAnsi="Tahoma"/>
      <w:sz w:val="20"/>
      <w:szCs w:val="20"/>
    </w:rPr>
  </w:style>
  <w:style w:type="character" w:customStyle="1" w:styleId="st1">
    <w:name w:val="st1"/>
    <w:basedOn w:val="DefaultParagraphFont"/>
    <w:rsid w:val="00FF4923"/>
  </w:style>
  <w:style w:type="character" w:customStyle="1" w:styleId="no0020spacingchar1">
    <w:name w:val="no_0020spacing__char1"/>
    <w:basedOn w:val="DefaultParagraphFont"/>
    <w:rsid w:val="00FF4923"/>
    <w:rPr>
      <w:rFonts w:ascii="Times New Roman" w:hAnsi="Times New Roman" w:cs="Times New Roman" w:hint="default"/>
      <w:strike w:val="0"/>
      <w:dstrike w:val="0"/>
      <w:sz w:val="24"/>
      <w:szCs w:val="24"/>
      <w:u w:val="none"/>
      <w:effect w:val="none"/>
    </w:rPr>
  </w:style>
  <w:style w:type="paragraph" w:customStyle="1" w:styleId="DecimalAligned">
    <w:name w:val="Decimal Aligned"/>
    <w:basedOn w:val="Normal"/>
    <w:link w:val="DecimalAlignedChar"/>
    <w:uiPriority w:val="40"/>
    <w:qFormat/>
    <w:rsid w:val="00FF4923"/>
    <w:pPr>
      <w:tabs>
        <w:tab w:val="decimal" w:pos="360"/>
      </w:tabs>
    </w:pPr>
    <w:rPr>
      <w:rFonts w:eastAsia="Times New Roman"/>
    </w:rPr>
  </w:style>
  <w:style w:type="character" w:customStyle="1" w:styleId="DecimalAlignedChar">
    <w:name w:val="Decimal Aligned Char"/>
    <w:basedOn w:val="DefaultParagraphFont"/>
    <w:link w:val="DecimalAligned"/>
    <w:uiPriority w:val="40"/>
    <w:rsid w:val="00FF4923"/>
    <w:rPr>
      <w:rFonts w:ascii="Calibri" w:eastAsia="Times New Roman" w:hAnsi="Calibri" w:cs="Times New Roman"/>
    </w:rPr>
  </w:style>
  <w:style w:type="character" w:styleId="SubtleEmphasis">
    <w:name w:val="Subtle Emphasis"/>
    <w:basedOn w:val="DefaultParagraphFont"/>
    <w:uiPriority w:val="19"/>
    <w:rsid w:val="00FF4923"/>
    <w:rPr>
      <w:rFonts w:eastAsia="Times New Roman" w:cs="Times New Roman"/>
      <w:bCs w:val="0"/>
      <w:i/>
      <w:iCs/>
      <w:color w:val="808080"/>
      <w:szCs w:val="22"/>
      <w:lang w:val="en-US"/>
    </w:rPr>
  </w:style>
  <w:style w:type="character" w:styleId="Strong">
    <w:name w:val="Strong"/>
    <w:basedOn w:val="DefaultParagraphFont"/>
    <w:uiPriority w:val="22"/>
    <w:qFormat/>
    <w:rsid w:val="00FF4923"/>
    <w:rPr>
      <w:b/>
      <w:bCs/>
    </w:rPr>
  </w:style>
  <w:style w:type="paragraph" w:styleId="Subtitle">
    <w:name w:val="Subtitle"/>
    <w:basedOn w:val="Normal"/>
    <w:next w:val="Normal"/>
    <w:link w:val="SubtitleChar"/>
    <w:uiPriority w:val="11"/>
    <w:qFormat/>
    <w:rsid w:val="00FF4923"/>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FF4923"/>
    <w:rPr>
      <w:rFonts w:ascii="Cambria" w:eastAsia="Times New Roman" w:hAnsi="Cambria" w:cs="Times New Roman"/>
      <w:i/>
      <w:iCs/>
      <w:color w:val="4F81BD"/>
      <w:spacing w:val="15"/>
      <w:sz w:val="24"/>
      <w:szCs w:val="24"/>
    </w:rPr>
  </w:style>
  <w:style w:type="paragraph" w:customStyle="1" w:styleId="xmsonormal">
    <w:name w:val="x_msonormal"/>
    <w:basedOn w:val="Normal"/>
    <w:rsid w:val="00FF492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F4923"/>
    <w:rPr>
      <w:sz w:val="16"/>
      <w:szCs w:val="16"/>
    </w:rPr>
  </w:style>
  <w:style w:type="table" w:styleId="TableGrid">
    <w:name w:val="Table Grid"/>
    <w:basedOn w:val="TableNormal"/>
    <w:uiPriority w:val="59"/>
    <w:rsid w:val="00FF4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FF4923"/>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normalchar">
    <w:name w:val="normal__char"/>
    <w:basedOn w:val="DefaultParagraphFont"/>
    <w:rsid w:val="00517682"/>
  </w:style>
  <w:style w:type="numbering" w:customStyle="1" w:styleId="Radovan">
    <w:name w:val="Radovan"/>
    <w:uiPriority w:val="99"/>
    <w:rsid w:val="0023506D"/>
    <w:pPr>
      <w:numPr>
        <w:numId w:val="5"/>
      </w:numPr>
    </w:pPr>
  </w:style>
  <w:style w:type="numbering" w:customStyle="1" w:styleId="Style1">
    <w:name w:val="Style1"/>
    <w:uiPriority w:val="99"/>
    <w:rsid w:val="0023506D"/>
    <w:pPr>
      <w:numPr>
        <w:numId w:val="6"/>
      </w:numPr>
    </w:pPr>
  </w:style>
  <w:style w:type="numbering" w:customStyle="1" w:styleId="Style2">
    <w:name w:val="Style2"/>
    <w:uiPriority w:val="99"/>
    <w:rsid w:val="00CE36A6"/>
    <w:pPr>
      <w:numPr>
        <w:numId w:val="7"/>
      </w:numPr>
    </w:pPr>
  </w:style>
  <w:style w:type="paragraph" w:styleId="TOCHeading">
    <w:name w:val="TOC Heading"/>
    <w:basedOn w:val="Heading1"/>
    <w:next w:val="Normal"/>
    <w:uiPriority w:val="39"/>
    <w:unhideWhenUsed/>
    <w:qFormat/>
    <w:rsid w:val="00D86308"/>
    <w:pPr>
      <w:numPr>
        <w:numId w:val="0"/>
      </w:numPr>
      <w:spacing w:before="480" w:after="0" w:line="276" w:lineRule="auto"/>
      <w:jc w:val="left"/>
      <w:outlineLvl w:val="9"/>
    </w:pPr>
    <w:rPr>
      <w:rFonts w:asciiTheme="majorHAnsi" w:eastAsiaTheme="majorEastAsia" w:hAnsiTheme="majorHAnsi" w:cstheme="majorBidi"/>
      <w:i w:val="0"/>
      <w:color w:val="365F91" w:themeColor="accent1" w:themeShade="BF"/>
      <w:sz w:val="28"/>
    </w:rPr>
  </w:style>
  <w:style w:type="table" w:styleId="LightShading-Accent3">
    <w:name w:val="Light Shading Accent 3"/>
    <w:basedOn w:val="TableNormal"/>
    <w:uiPriority w:val="60"/>
    <w:rsid w:val="009C047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0">
    <w:name w:val="default"/>
    <w:basedOn w:val="Normal"/>
    <w:rsid w:val="00BC1410"/>
    <w:pPr>
      <w:autoSpaceDE w:val="0"/>
      <w:autoSpaceDN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275A9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75A9D"/>
    <w:rPr>
      <w:rFonts w:ascii="Consolas" w:eastAsiaTheme="minorHAnsi" w:hAnsi="Consolas" w:cstheme="minorBidi"/>
      <w:sz w:val="21"/>
      <w:szCs w:val="21"/>
    </w:rPr>
  </w:style>
  <w:style w:type="character" w:customStyle="1" w:styleId="longtext">
    <w:name w:val="long_text"/>
    <w:rsid w:val="00F50542"/>
    <w:rPr>
      <w:rFonts w:ascii="Times New Roman" w:hAnsi="Times New Roman" w:cs="Times New Roman"/>
    </w:rPr>
  </w:style>
  <w:style w:type="paragraph" w:customStyle="1" w:styleId="colorfullist-accent11">
    <w:name w:val="colorfullist-accent11"/>
    <w:basedOn w:val="Normal"/>
    <w:rsid w:val="00C07874"/>
    <w:pPr>
      <w:spacing w:before="100" w:beforeAutospacing="1" w:after="100" w:afterAutospacing="1" w:line="240" w:lineRule="auto"/>
    </w:pPr>
    <w:rPr>
      <w:rFonts w:ascii="Times New Roman" w:eastAsia="Times New Roman" w:hAnsi="Times New Roman"/>
      <w:sz w:val="24"/>
      <w:szCs w:val="24"/>
    </w:rPr>
  </w:style>
  <w:style w:type="character" w:styleId="HTMLTypewriter">
    <w:name w:val="HTML Typewriter"/>
    <w:basedOn w:val="DefaultParagraphFont"/>
    <w:rsid w:val="00DA4180"/>
    <w:rPr>
      <w:rFonts w:ascii="Courier New" w:eastAsia="Calibr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565411495">
      <w:bodyDiv w:val="1"/>
      <w:marLeft w:val="0"/>
      <w:marRight w:val="0"/>
      <w:marTop w:val="0"/>
      <w:marBottom w:val="0"/>
      <w:divBdr>
        <w:top w:val="none" w:sz="0" w:space="0" w:color="auto"/>
        <w:left w:val="none" w:sz="0" w:space="0" w:color="auto"/>
        <w:bottom w:val="none" w:sz="0" w:space="0" w:color="auto"/>
        <w:right w:val="none" w:sz="0" w:space="0" w:color="auto"/>
      </w:divBdr>
      <w:divsChild>
        <w:div w:id="1978948041">
          <w:marLeft w:val="0"/>
          <w:marRight w:val="0"/>
          <w:marTop w:val="0"/>
          <w:marBottom w:val="0"/>
          <w:divBdr>
            <w:top w:val="none" w:sz="0" w:space="0" w:color="auto"/>
            <w:left w:val="none" w:sz="0" w:space="0" w:color="auto"/>
            <w:bottom w:val="none" w:sz="0" w:space="0" w:color="auto"/>
            <w:right w:val="none" w:sz="0" w:space="0" w:color="auto"/>
          </w:divBdr>
        </w:div>
      </w:divsChild>
    </w:div>
    <w:div w:id="1355114831">
      <w:bodyDiv w:val="1"/>
      <w:marLeft w:val="0"/>
      <w:marRight w:val="0"/>
      <w:marTop w:val="0"/>
      <w:marBottom w:val="0"/>
      <w:divBdr>
        <w:top w:val="none" w:sz="0" w:space="0" w:color="auto"/>
        <w:left w:val="none" w:sz="0" w:space="0" w:color="auto"/>
        <w:bottom w:val="none" w:sz="0" w:space="0" w:color="auto"/>
        <w:right w:val="none" w:sz="0" w:space="0" w:color="auto"/>
      </w:divBdr>
      <w:divsChild>
        <w:div w:id="1217278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H:\Documents%20and%20Settings\radojka.martinovic\Desktop\mmi_sirovi%20podaci_2013%20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dovan.zivkovic\AppData\Local\Microsoft\Windows\Temporary%20Internet%20Files\Content.Outlook\7XU0HJLS\mmi_sirovi%20podaci_2013%2002%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adovan.zivkovic\Dropbox\MINISTARSTVO%20FINANSIJA%20(1)\SEP\02_MMI\MMI%202014\MMI_2014_05\mmi-2014_0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milanka.jovanovic\Desktop\SDI%20grafici\pogaca%20SDI.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tanko.jeknic\Desktop\Dropbox\MINISTARSTVO%20FINANSIJA%20(1)\SEP\06_Proljecna%20analiza\Veliki%20grafik%20-%20komparacija%20priho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Latn-CS"/>
  <c:chart>
    <c:title>
      <c:tx>
        <c:rich>
          <a:bodyPr/>
          <a:lstStyle/>
          <a:p>
            <a:pPr>
              <a:defRPr lang="sr-Latn-CS" sz="800"/>
            </a:pPr>
            <a:r>
              <a:rPr lang="x-none" sz="800"/>
              <a:t>I</a:t>
            </a:r>
            <a:r>
              <a:rPr lang="en-US" sz="800"/>
              <a:t>ndustrijska proizvodnja,</a:t>
            </a:r>
            <a:endParaRPr lang="sr-Latn-CS" sz="800"/>
          </a:p>
          <a:p>
            <a:pPr>
              <a:defRPr lang="sr-Latn-CS" sz="800"/>
            </a:pPr>
            <a:r>
              <a:rPr lang="en-US" sz="800"/>
              <a:t>godišnje stope rasta</a:t>
            </a:r>
            <a:r>
              <a:rPr lang="sr-Latn-CS" sz="800"/>
              <a:t>(%)</a:t>
            </a:r>
            <a:endParaRPr lang="en-US" sz="800"/>
          </a:p>
        </c:rich>
      </c:tx>
    </c:title>
    <c:plotArea>
      <c:layout>
        <c:manualLayout>
          <c:layoutTarget val="inner"/>
          <c:xMode val="edge"/>
          <c:yMode val="edge"/>
          <c:x val="0.19249820534851592"/>
          <c:y val="0.22492428315412641"/>
          <c:w val="0.74980034186721956"/>
          <c:h val="0.54023913677456981"/>
        </c:manualLayout>
      </c:layout>
      <c:lineChart>
        <c:grouping val="standard"/>
        <c:ser>
          <c:idx val="0"/>
          <c:order val="0"/>
          <c:tx>
            <c:strRef>
              <c:f>'Makroekonomski indikatori'!$C$13</c:f>
              <c:strCache>
                <c:ptCount val="1"/>
                <c:pt idx="0">
                  <c:v>Vađenje rude i kamena</c:v>
                </c:pt>
              </c:strCache>
            </c:strRef>
          </c:tx>
          <c:spPr>
            <a:ln>
              <a:solidFill>
                <a:srgbClr val="00B050"/>
              </a:solidFill>
              <a:prstDash val="sysDash"/>
            </a:ln>
          </c:spPr>
          <c:marker>
            <c:symbol val="none"/>
          </c:marker>
          <c:cat>
            <c:strRef>
              <c:f>'Makroekonomski indikatori'!$AE$29:$AR$29</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indikatori'!$AE$13:$AR$13</c:f>
              <c:numCache>
                <c:formatCode>General</c:formatCode>
                <c:ptCount val="13"/>
                <c:pt idx="0">
                  <c:v>10.5</c:v>
                </c:pt>
                <c:pt idx="1">
                  <c:v>-6.3</c:v>
                </c:pt>
                <c:pt idx="2">
                  <c:v>124.9</c:v>
                </c:pt>
                <c:pt idx="3">
                  <c:v>-0.70000000000000062</c:v>
                </c:pt>
                <c:pt idx="4">
                  <c:v>7.7</c:v>
                </c:pt>
                <c:pt idx="5" formatCode="0.0">
                  <c:v>-17.5</c:v>
                </c:pt>
                <c:pt idx="6" formatCode="0.0">
                  <c:v>-22.8</c:v>
                </c:pt>
                <c:pt idx="7" formatCode="0.0">
                  <c:v>-23.5</c:v>
                </c:pt>
                <c:pt idx="8" formatCode="0.0">
                  <c:v>38.800000000000004</c:v>
                </c:pt>
                <c:pt idx="9">
                  <c:v>13.8</c:v>
                </c:pt>
                <c:pt idx="10">
                  <c:v>30.8</c:v>
                </c:pt>
                <c:pt idx="11">
                  <c:v>4.9000000000000004</c:v>
                </c:pt>
                <c:pt idx="12">
                  <c:v>114.3</c:v>
                </c:pt>
              </c:numCache>
            </c:numRef>
          </c:val>
          <c:smooth val="1"/>
        </c:ser>
        <c:ser>
          <c:idx val="1"/>
          <c:order val="1"/>
          <c:tx>
            <c:strRef>
              <c:f>'Makroekonomski indikatori'!$C$14</c:f>
              <c:strCache>
                <c:ptCount val="1"/>
                <c:pt idx="0">
                  <c:v>Prerađivačka industrija</c:v>
                </c:pt>
              </c:strCache>
            </c:strRef>
          </c:tx>
          <c:spPr>
            <a:ln>
              <a:solidFill>
                <a:srgbClr val="C00000"/>
              </a:solidFill>
            </a:ln>
          </c:spPr>
          <c:marker>
            <c:symbol val="none"/>
          </c:marker>
          <c:cat>
            <c:strRef>
              <c:f>'Makroekonomski indikatori'!$AE$29:$AR$29</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indikatori'!$AE$14:$AR$14</c:f>
              <c:numCache>
                <c:formatCode>0.0</c:formatCode>
                <c:ptCount val="13"/>
                <c:pt idx="0">
                  <c:v>-28.2</c:v>
                </c:pt>
                <c:pt idx="1">
                  <c:v>-11.5</c:v>
                </c:pt>
                <c:pt idx="2">
                  <c:v>-11.1</c:v>
                </c:pt>
                <c:pt idx="3">
                  <c:v>11.7</c:v>
                </c:pt>
                <c:pt idx="4">
                  <c:v>4.7</c:v>
                </c:pt>
                <c:pt idx="5">
                  <c:v>6.5</c:v>
                </c:pt>
                <c:pt idx="6">
                  <c:v>22.7</c:v>
                </c:pt>
                <c:pt idx="7">
                  <c:v>28.2</c:v>
                </c:pt>
                <c:pt idx="8">
                  <c:v>48.8</c:v>
                </c:pt>
                <c:pt idx="9" formatCode="General">
                  <c:v>39.800000000000004</c:v>
                </c:pt>
                <c:pt idx="10" formatCode="General">
                  <c:v>20.5</c:v>
                </c:pt>
                <c:pt idx="11" formatCode="General">
                  <c:v>18.399999999999999</c:v>
                </c:pt>
                <c:pt idx="12" formatCode="General">
                  <c:v>-12.2</c:v>
                </c:pt>
              </c:numCache>
            </c:numRef>
          </c:val>
          <c:smooth val="1"/>
        </c:ser>
        <c:ser>
          <c:idx val="2"/>
          <c:order val="2"/>
          <c:tx>
            <c:strRef>
              <c:f>'Makroekonomski indikatori'!$C$15</c:f>
              <c:strCache>
                <c:ptCount val="1"/>
                <c:pt idx="0">
                  <c:v>Proizvodnja el .energije</c:v>
                </c:pt>
              </c:strCache>
            </c:strRef>
          </c:tx>
          <c:spPr>
            <a:ln>
              <a:solidFill>
                <a:schemeClr val="tx2"/>
              </a:solidFill>
              <a:prstDash val="sysDot"/>
            </a:ln>
          </c:spPr>
          <c:marker>
            <c:symbol val="none"/>
          </c:marker>
          <c:cat>
            <c:strRef>
              <c:f>'Makroekonomski indikatori'!$AE$29:$AR$29</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indikatori'!$AE$15:$AR$15</c:f>
              <c:numCache>
                <c:formatCode>0.0</c:formatCode>
                <c:ptCount val="13"/>
                <c:pt idx="0">
                  <c:v>75</c:v>
                </c:pt>
                <c:pt idx="1">
                  <c:v>133.4</c:v>
                </c:pt>
                <c:pt idx="2">
                  <c:v>103.7</c:v>
                </c:pt>
                <c:pt idx="3">
                  <c:v>-5.2</c:v>
                </c:pt>
                <c:pt idx="4">
                  <c:v>19.2</c:v>
                </c:pt>
                <c:pt idx="5">
                  <c:v>4.5</c:v>
                </c:pt>
                <c:pt idx="6">
                  <c:v>3.3</c:v>
                </c:pt>
                <c:pt idx="7">
                  <c:v>119.3</c:v>
                </c:pt>
                <c:pt idx="8">
                  <c:v>-16.100000000000001</c:v>
                </c:pt>
                <c:pt idx="9" formatCode="General">
                  <c:v>-12.2</c:v>
                </c:pt>
                <c:pt idx="10" formatCode="General">
                  <c:v>-6.5</c:v>
                </c:pt>
                <c:pt idx="11" formatCode="General">
                  <c:v>-48.1</c:v>
                </c:pt>
                <c:pt idx="12" formatCode="General">
                  <c:v>-44.9</c:v>
                </c:pt>
              </c:numCache>
            </c:numRef>
          </c:val>
          <c:smooth val="1"/>
        </c:ser>
        <c:marker val="1"/>
        <c:axId val="147313792"/>
        <c:axId val="147315328"/>
      </c:lineChart>
      <c:catAx>
        <c:axId val="147313792"/>
        <c:scaling>
          <c:orientation val="minMax"/>
        </c:scaling>
        <c:axPos val="b"/>
        <c:tickLblPos val="low"/>
        <c:txPr>
          <a:bodyPr/>
          <a:lstStyle/>
          <a:p>
            <a:pPr>
              <a:defRPr lang="sr-Latn-CS" sz="600"/>
            </a:pPr>
            <a:endParaRPr lang="sr-Latn-CS"/>
          </a:p>
        </c:txPr>
        <c:crossAx val="147315328"/>
        <c:crosses val="autoZero"/>
        <c:auto val="1"/>
        <c:lblAlgn val="ctr"/>
        <c:lblOffset val="100"/>
      </c:catAx>
      <c:valAx>
        <c:axId val="147315328"/>
        <c:scaling>
          <c:orientation val="minMax"/>
        </c:scaling>
        <c:axPos val="l"/>
        <c:numFmt formatCode="General" sourceLinked="1"/>
        <c:tickLblPos val="nextTo"/>
        <c:txPr>
          <a:bodyPr/>
          <a:lstStyle/>
          <a:p>
            <a:pPr>
              <a:defRPr lang="sr-Latn-CS" sz="600"/>
            </a:pPr>
            <a:endParaRPr lang="sr-Latn-CS"/>
          </a:p>
        </c:txPr>
        <c:crossAx val="147313792"/>
        <c:crosses val="autoZero"/>
        <c:crossBetween val="between"/>
        <c:majorUnit val="40"/>
      </c:valAx>
    </c:plotArea>
    <c:legend>
      <c:legendPos val="b"/>
      <c:layout>
        <c:manualLayout>
          <c:xMode val="edge"/>
          <c:yMode val="edge"/>
          <c:x val="0"/>
          <c:y val="0.87741256701886639"/>
          <c:w val="0.99526384376777488"/>
          <c:h val="9.55398523902483E-2"/>
        </c:manualLayout>
      </c:layout>
      <c:txPr>
        <a:bodyPr/>
        <a:lstStyle/>
        <a:p>
          <a:pPr>
            <a:defRPr lang="sr-Latn-CS" sz="600"/>
          </a:pPr>
          <a:endParaRPr lang="sr-Latn-C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r-Latn-CS"/>
  <c:chart>
    <c:title>
      <c:tx>
        <c:rich>
          <a:bodyPr/>
          <a:lstStyle/>
          <a:p>
            <a:pPr>
              <a:defRPr lang="sr-Latn-CS" sz="1100"/>
            </a:pPr>
            <a:r>
              <a:rPr lang="x-none" sz="1100"/>
              <a:t>I</a:t>
            </a:r>
            <a:r>
              <a:rPr lang="en-US" sz="1100"/>
              <a:t>nflacija</a:t>
            </a:r>
            <a:endParaRPr lang="en-US" sz="900"/>
          </a:p>
        </c:rich>
      </c:tx>
      <c:layout>
        <c:manualLayout>
          <c:xMode val="edge"/>
          <c:yMode val="edge"/>
          <c:x val="0.40119498825692662"/>
          <c:y val="0"/>
        </c:manualLayout>
      </c:layout>
    </c:title>
    <c:plotArea>
      <c:layout>
        <c:manualLayout>
          <c:layoutTarget val="inner"/>
          <c:xMode val="edge"/>
          <c:yMode val="edge"/>
          <c:x val="0.15690062889595421"/>
          <c:y val="0.27174829185637278"/>
          <c:w val="0.82358465567931305"/>
          <c:h val="0.66046457236604272"/>
        </c:manualLayout>
      </c:layout>
      <c:lineChart>
        <c:grouping val="standard"/>
        <c:ser>
          <c:idx val="0"/>
          <c:order val="0"/>
          <c:tx>
            <c:v>CPI</c:v>
          </c:tx>
          <c:marker>
            <c:symbol val="none"/>
          </c:marker>
          <c:cat>
            <c:strRef>
              <c:f>'Makroekonomski indikatori'!$AE$29:$AR$29</c:f>
              <c:strCache>
                <c:ptCount val="13"/>
                <c:pt idx="0">
                  <c:v>IV</c:v>
                </c:pt>
                <c:pt idx="1">
                  <c:v>V</c:v>
                </c:pt>
                <c:pt idx="2">
                  <c:v>VI</c:v>
                </c:pt>
                <c:pt idx="3">
                  <c:v>VII</c:v>
                </c:pt>
                <c:pt idx="4">
                  <c:v>VIII</c:v>
                </c:pt>
                <c:pt idx="5">
                  <c:v>IX</c:v>
                </c:pt>
                <c:pt idx="6">
                  <c:v>X</c:v>
                </c:pt>
                <c:pt idx="7">
                  <c:v>XI</c:v>
                </c:pt>
                <c:pt idx="8">
                  <c:v>XII</c:v>
                </c:pt>
                <c:pt idx="9">
                  <c:v>2014</c:v>
                </c:pt>
                <c:pt idx="10">
                  <c:v>II</c:v>
                </c:pt>
                <c:pt idx="11">
                  <c:v>III</c:v>
                </c:pt>
                <c:pt idx="12">
                  <c:v>IV</c:v>
                </c:pt>
              </c:strCache>
            </c:strRef>
          </c:cat>
          <c:val>
            <c:numRef>
              <c:f>'Makroekonomski indikatori'!$AE$20:$AR$20</c:f>
              <c:numCache>
                <c:formatCode>0.0</c:formatCode>
                <c:ptCount val="13"/>
                <c:pt idx="0">
                  <c:v>3.2</c:v>
                </c:pt>
                <c:pt idx="1">
                  <c:v>3</c:v>
                </c:pt>
                <c:pt idx="2">
                  <c:v>2.2000000000000002</c:v>
                </c:pt>
                <c:pt idx="3">
                  <c:v>2.7</c:v>
                </c:pt>
                <c:pt idx="4">
                  <c:v>2.2000000000000002</c:v>
                </c:pt>
                <c:pt idx="5">
                  <c:v>1.8</c:v>
                </c:pt>
                <c:pt idx="6">
                  <c:v>0.5</c:v>
                </c:pt>
                <c:pt idx="7">
                  <c:v>0</c:v>
                </c:pt>
                <c:pt idx="8">
                  <c:v>0.30000000000000032</c:v>
                </c:pt>
                <c:pt idx="9" formatCode="General">
                  <c:v>-0.4</c:v>
                </c:pt>
                <c:pt idx="10" formatCode="General">
                  <c:v>-0.60000000000000064</c:v>
                </c:pt>
                <c:pt idx="11" formatCode="General">
                  <c:v>-0.9</c:v>
                </c:pt>
                <c:pt idx="12" formatCode="General">
                  <c:v>-1.4</c:v>
                </c:pt>
              </c:numCache>
            </c:numRef>
          </c:val>
          <c:smooth val="1"/>
        </c:ser>
        <c:ser>
          <c:idx val="1"/>
          <c:order val="1"/>
          <c:tx>
            <c:v>Cijene hrane</c:v>
          </c:tx>
          <c:marker>
            <c:symbol val="none"/>
          </c:marker>
          <c:val>
            <c:numRef>
              <c:f>'Makroekonomski indikatori'!$AE$23:$AR$23</c:f>
              <c:numCache>
                <c:formatCode>0.0</c:formatCode>
                <c:ptCount val="13"/>
                <c:pt idx="0">
                  <c:v>5.4</c:v>
                </c:pt>
                <c:pt idx="1">
                  <c:v>6.3</c:v>
                </c:pt>
                <c:pt idx="2">
                  <c:v>4.5</c:v>
                </c:pt>
                <c:pt idx="3">
                  <c:v>6</c:v>
                </c:pt>
                <c:pt idx="4">
                  <c:v>5.5</c:v>
                </c:pt>
                <c:pt idx="5">
                  <c:v>3.5</c:v>
                </c:pt>
                <c:pt idx="6">
                  <c:v>0.30000000000000032</c:v>
                </c:pt>
                <c:pt idx="7">
                  <c:v>-0.8</c:v>
                </c:pt>
                <c:pt idx="8">
                  <c:v>-0.60000000000000064</c:v>
                </c:pt>
                <c:pt idx="9" formatCode="General">
                  <c:v>-0.9</c:v>
                </c:pt>
                <c:pt idx="10" formatCode="General">
                  <c:v>-0.9</c:v>
                </c:pt>
                <c:pt idx="11" formatCode="General">
                  <c:v>-1.2</c:v>
                </c:pt>
                <c:pt idx="12" formatCode="General">
                  <c:v>-3.4</c:v>
                </c:pt>
              </c:numCache>
            </c:numRef>
          </c:val>
        </c:ser>
        <c:marker val="1"/>
        <c:axId val="148094976"/>
        <c:axId val="148096512"/>
      </c:lineChart>
      <c:catAx>
        <c:axId val="148094976"/>
        <c:scaling>
          <c:orientation val="minMax"/>
        </c:scaling>
        <c:axPos val="b"/>
        <c:tickLblPos val="low"/>
        <c:txPr>
          <a:bodyPr/>
          <a:lstStyle/>
          <a:p>
            <a:pPr>
              <a:defRPr lang="sr-Latn-CS" sz="700"/>
            </a:pPr>
            <a:endParaRPr lang="sr-Latn-CS"/>
          </a:p>
        </c:txPr>
        <c:crossAx val="148096512"/>
        <c:crosses val="autoZero"/>
        <c:auto val="1"/>
        <c:lblAlgn val="ctr"/>
        <c:lblOffset val="100"/>
      </c:catAx>
      <c:valAx>
        <c:axId val="148096512"/>
        <c:scaling>
          <c:orientation val="minMax"/>
        </c:scaling>
        <c:axPos val="l"/>
        <c:majorGridlines>
          <c:spPr>
            <a:ln w="3175">
              <a:prstDash val="sysDot"/>
            </a:ln>
          </c:spPr>
        </c:majorGridlines>
        <c:numFmt formatCode="0.0" sourceLinked="1"/>
        <c:tickLblPos val="nextTo"/>
        <c:txPr>
          <a:bodyPr/>
          <a:lstStyle/>
          <a:p>
            <a:pPr>
              <a:defRPr lang="sr-Latn-CS" sz="700"/>
            </a:pPr>
            <a:endParaRPr lang="sr-Latn-CS"/>
          </a:p>
        </c:txPr>
        <c:crossAx val="148094976"/>
        <c:crosses val="autoZero"/>
        <c:crossBetween val="between"/>
      </c:valAx>
    </c:plotArea>
    <c:legend>
      <c:legendPos val="t"/>
      <c:layout>
        <c:manualLayout>
          <c:xMode val="edge"/>
          <c:yMode val="edge"/>
          <c:x val="0.28737624725364536"/>
          <c:y val="0.11460127770025476"/>
          <c:w val="0.55879043486864721"/>
          <c:h val="9.6549358205761368E-2"/>
        </c:manualLayout>
      </c:layout>
      <c:txPr>
        <a:bodyPr/>
        <a:lstStyle/>
        <a:p>
          <a:pPr>
            <a:defRPr lang="sr-Latn-CS" sz="700"/>
          </a:pPr>
          <a:endParaRPr lang="sr-Latn-CS"/>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r-Latn-CS"/>
  <c:chart>
    <c:plotArea>
      <c:layout/>
      <c:lineChart>
        <c:grouping val="standard"/>
        <c:ser>
          <c:idx val="0"/>
          <c:order val="0"/>
          <c:marker>
            <c:symbol val="none"/>
          </c:marker>
          <c:cat>
            <c:strRef>
              <c:f>'Makroekonomski indikatori'!$AB$9:$AQ$9</c:f>
              <c:strCache>
                <c:ptCount val="16"/>
                <c:pt idx="0">
                  <c:v>2013</c:v>
                </c:pt>
                <c:pt idx="1">
                  <c:v>II</c:v>
                </c:pt>
                <c:pt idx="2">
                  <c:v>III</c:v>
                </c:pt>
                <c:pt idx="3">
                  <c:v>IV</c:v>
                </c:pt>
                <c:pt idx="4">
                  <c:v>V</c:v>
                </c:pt>
                <c:pt idx="5">
                  <c:v>VI</c:v>
                </c:pt>
                <c:pt idx="6">
                  <c:v>VII</c:v>
                </c:pt>
                <c:pt idx="7">
                  <c:v>VIII</c:v>
                </c:pt>
                <c:pt idx="8">
                  <c:v>IX</c:v>
                </c:pt>
                <c:pt idx="9">
                  <c:v>X</c:v>
                </c:pt>
                <c:pt idx="10">
                  <c:v>XI</c:v>
                </c:pt>
                <c:pt idx="11">
                  <c:v>XII</c:v>
                </c:pt>
                <c:pt idx="12">
                  <c:v>2014</c:v>
                </c:pt>
                <c:pt idx="13">
                  <c:v>II</c:v>
                </c:pt>
                <c:pt idx="14">
                  <c:v>III</c:v>
                </c:pt>
                <c:pt idx="15">
                  <c:v>IV</c:v>
                </c:pt>
              </c:strCache>
            </c:strRef>
          </c:cat>
          <c:val>
            <c:numRef>
              <c:f>'Makroekonomski indikatori'!$AB$21:$AQ$21</c:f>
              <c:numCache>
                <c:formatCode>#,##0</c:formatCode>
                <c:ptCount val="16"/>
                <c:pt idx="0">
                  <c:v>167370</c:v>
                </c:pt>
                <c:pt idx="1">
                  <c:v>167379</c:v>
                </c:pt>
                <c:pt idx="2">
                  <c:v>167738</c:v>
                </c:pt>
                <c:pt idx="3">
                  <c:v>170302</c:v>
                </c:pt>
                <c:pt idx="4">
                  <c:v>174369</c:v>
                </c:pt>
                <c:pt idx="5">
                  <c:v>179861</c:v>
                </c:pt>
                <c:pt idx="6">
                  <c:v>178815</c:v>
                </c:pt>
                <c:pt idx="7">
                  <c:v>176588</c:v>
                </c:pt>
                <c:pt idx="8">
                  <c:v>169044</c:v>
                </c:pt>
                <c:pt idx="9">
                  <c:v>169044</c:v>
                </c:pt>
                <c:pt idx="10">
                  <c:v>167607</c:v>
                </c:pt>
                <c:pt idx="11">
                  <c:v>167173</c:v>
                </c:pt>
                <c:pt idx="12">
                  <c:v>167616</c:v>
                </c:pt>
                <c:pt idx="13">
                  <c:v>168805</c:v>
                </c:pt>
                <c:pt idx="14">
                  <c:v>170177</c:v>
                </c:pt>
                <c:pt idx="15">
                  <c:v>172202</c:v>
                </c:pt>
              </c:numCache>
            </c:numRef>
          </c:val>
        </c:ser>
        <c:marker val="1"/>
        <c:axId val="148207872"/>
        <c:axId val="148213760"/>
      </c:lineChart>
      <c:lineChart>
        <c:grouping val="standard"/>
        <c:ser>
          <c:idx val="1"/>
          <c:order val="1"/>
          <c:spPr>
            <a:ln>
              <a:prstDash val="sysDot"/>
            </a:ln>
          </c:spPr>
          <c:marker>
            <c:symbol val="none"/>
          </c:marker>
          <c:val>
            <c:numRef>
              <c:f>'Makroekonomski indikatori'!$AB$22:$AQ$22</c:f>
              <c:numCache>
                <c:formatCode>#,##0</c:formatCode>
                <c:ptCount val="16"/>
                <c:pt idx="0">
                  <c:v>31890</c:v>
                </c:pt>
                <c:pt idx="1">
                  <c:v>32648</c:v>
                </c:pt>
                <c:pt idx="2">
                  <c:v>32986</c:v>
                </c:pt>
                <c:pt idx="3">
                  <c:v>32624</c:v>
                </c:pt>
                <c:pt idx="4">
                  <c:v>31363</c:v>
                </c:pt>
                <c:pt idx="5">
                  <c:v>30337</c:v>
                </c:pt>
                <c:pt idx="6">
                  <c:v>30102</c:v>
                </c:pt>
                <c:pt idx="7">
                  <c:v>30947</c:v>
                </c:pt>
                <c:pt idx="8">
                  <c:v>33271</c:v>
                </c:pt>
                <c:pt idx="9">
                  <c:v>33271</c:v>
                </c:pt>
                <c:pt idx="10">
                  <c:v>34680</c:v>
                </c:pt>
                <c:pt idx="11">
                  <c:v>34514</c:v>
                </c:pt>
                <c:pt idx="12">
                  <c:v>34804</c:v>
                </c:pt>
                <c:pt idx="13">
                  <c:v>34664</c:v>
                </c:pt>
                <c:pt idx="14">
                  <c:v>34671</c:v>
                </c:pt>
                <c:pt idx="15">
                  <c:v>33906</c:v>
                </c:pt>
              </c:numCache>
            </c:numRef>
          </c:val>
        </c:ser>
        <c:marker val="1"/>
        <c:axId val="148217856"/>
        <c:axId val="148215680"/>
      </c:lineChart>
      <c:catAx>
        <c:axId val="148207872"/>
        <c:scaling>
          <c:orientation val="minMax"/>
        </c:scaling>
        <c:axPos val="b"/>
        <c:tickLblPos val="nextTo"/>
        <c:txPr>
          <a:bodyPr/>
          <a:lstStyle/>
          <a:p>
            <a:pPr>
              <a:defRPr lang="sr-Latn-CS" sz="700"/>
            </a:pPr>
            <a:endParaRPr lang="sr-Latn-CS"/>
          </a:p>
        </c:txPr>
        <c:crossAx val="148213760"/>
        <c:crosses val="autoZero"/>
        <c:auto val="1"/>
        <c:lblAlgn val="ctr"/>
        <c:lblOffset val="100"/>
      </c:catAx>
      <c:valAx>
        <c:axId val="148213760"/>
        <c:scaling>
          <c:orientation val="minMax"/>
          <c:min val="164000"/>
        </c:scaling>
        <c:axPos val="l"/>
        <c:majorGridlines>
          <c:spPr>
            <a:ln w="3175">
              <a:prstDash val="sysDot"/>
            </a:ln>
          </c:spPr>
        </c:majorGridlines>
        <c:numFmt formatCode="#,##0.0" sourceLinked="0"/>
        <c:tickLblPos val="nextTo"/>
        <c:txPr>
          <a:bodyPr/>
          <a:lstStyle/>
          <a:p>
            <a:pPr>
              <a:defRPr lang="sr-Latn-CS" sz="700"/>
            </a:pPr>
            <a:endParaRPr lang="sr-Latn-CS"/>
          </a:p>
        </c:txPr>
        <c:crossAx val="148207872"/>
        <c:crosses val="autoZero"/>
        <c:crossBetween val="between"/>
        <c:dispUnits>
          <c:builtInUnit val="thousands"/>
        </c:dispUnits>
      </c:valAx>
      <c:valAx>
        <c:axId val="148215680"/>
        <c:scaling>
          <c:orientation val="maxMin"/>
          <c:max val="35000"/>
          <c:min val="27000"/>
        </c:scaling>
        <c:axPos val="r"/>
        <c:numFmt formatCode="#,##0.0" sourceLinked="0"/>
        <c:tickLblPos val="nextTo"/>
        <c:txPr>
          <a:bodyPr/>
          <a:lstStyle/>
          <a:p>
            <a:pPr>
              <a:defRPr lang="sr-Latn-CS" sz="700"/>
            </a:pPr>
            <a:endParaRPr lang="sr-Latn-CS"/>
          </a:p>
        </c:txPr>
        <c:crossAx val="148217856"/>
        <c:crosses val="max"/>
        <c:crossBetween val="between"/>
        <c:dispUnits>
          <c:builtInUnit val="thousands"/>
        </c:dispUnits>
      </c:valAx>
      <c:catAx>
        <c:axId val="148217856"/>
        <c:scaling>
          <c:orientation val="minMax"/>
        </c:scaling>
        <c:delete val="1"/>
        <c:axPos val="t"/>
        <c:tickLblPos val="none"/>
        <c:crossAx val="148215680"/>
        <c:crosses val="autoZero"/>
        <c:auto val="1"/>
        <c:lblAlgn val="ctr"/>
        <c:lblOffset val="100"/>
      </c:catAx>
    </c:plotArea>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r-Latn-CS"/>
  <c:chart>
    <c:title>
      <c:tx>
        <c:rich>
          <a:bodyPr/>
          <a:lstStyle/>
          <a:p>
            <a:pPr>
              <a:defRPr lang="sr-Latn-CS"/>
            </a:pPr>
            <a:r>
              <a:rPr lang="en-US" sz="900"/>
              <a:t>SDI Struktura</a:t>
            </a:r>
            <a:r>
              <a:rPr lang="x-none" sz="900"/>
              <a:t> I kvartal 2014</a:t>
            </a:r>
            <a:endParaRPr lang="en-US" sz="1400"/>
          </a:p>
        </c:rich>
      </c:tx>
    </c:title>
    <c:plotArea>
      <c:layout>
        <c:manualLayout>
          <c:layoutTarget val="inner"/>
          <c:xMode val="edge"/>
          <c:yMode val="edge"/>
          <c:x val="0.14758950617284144"/>
          <c:y val="0.20741342592593076"/>
          <c:w val="0.63996074674641934"/>
          <c:h val="0.77023847019122571"/>
        </c:manualLayout>
      </c:layout>
      <c:pieChart>
        <c:varyColors val="1"/>
        <c:ser>
          <c:idx val="0"/>
          <c:order val="0"/>
          <c:dPt>
            <c:idx val="1"/>
            <c:spPr>
              <a:solidFill>
                <a:schemeClr val="accent1">
                  <a:lumMod val="20000"/>
                  <a:lumOff val="80000"/>
                </a:schemeClr>
              </a:solidFill>
            </c:spPr>
          </c:dPt>
          <c:dLbls>
            <c:dLbl>
              <c:idx val="0"/>
              <c:delete val="1"/>
            </c:dLbl>
            <c:dLbl>
              <c:idx val="1"/>
              <c:delete val="1"/>
            </c:dLbl>
            <c:dLbl>
              <c:idx val="2"/>
              <c:delete val="1"/>
            </c:dLbl>
            <c:dLbl>
              <c:idx val="3"/>
              <c:layout>
                <c:manualLayout>
                  <c:x val="-0.29928194594405994"/>
                  <c:y val="-6.3344244370159815E-3"/>
                </c:manualLayout>
              </c:layout>
              <c:tx>
                <c:rich>
                  <a:bodyPr/>
                  <a:lstStyle/>
                  <a:p>
                    <a:r>
                      <a:rPr lang="en-US" sz="700"/>
                      <a:t>Ostalo 1,9%</a:t>
                    </a:r>
                  </a:p>
                </c:rich>
              </c:tx>
              <c:dLblPos val="bestFit"/>
              <c:showVal val="1"/>
              <c:showPercent val="1"/>
            </c:dLbl>
            <c:txPr>
              <a:bodyPr/>
              <a:lstStyle/>
              <a:p>
                <a:pPr>
                  <a:defRPr lang="sr-Latn-CS" sz="700"/>
                </a:pPr>
                <a:endParaRPr lang="sr-Latn-CS"/>
              </a:p>
            </c:txPr>
            <c:dLblPos val="bestFit"/>
            <c:showPercent val="1"/>
            <c:showLeaderLines val="1"/>
          </c:dLbls>
          <c:cat>
            <c:numRef>
              <c:f>Sheet1!$G$6:$G$9</c:f>
              <c:numCache>
                <c:formatCode>General</c:formatCode>
                <c:ptCount val="4"/>
                <c:pt idx="0" formatCode="0.0">
                  <c:v>9.5</c:v>
                </c:pt>
                <c:pt idx="1">
                  <c:v>52.7</c:v>
                </c:pt>
                <c:pt idx="2">
                  <c:v>35.9</c:v>
                </c:pt>
                <c:pt idx="3">
                  <c:v>1.9000000000000001</c:v>
                </c:pt>
              </c:numCache>
            </c:numRef>
          </c:cat>
          <c:val>
            <c:numRef>
              <c:f>Sheet1!$G$6:$G$9</c:f>
              <c:numCache>
                <c:formatCode>General</c:formatCode>
                <c:ptCount val="4"/>
                <c:pt idx="0" formatCode="0.0">
                  <c:v>9.5</c:v>
                </c:pt>
                <c:pt idx="1">
                  <c:v>52.7</c:v>
                </c:pt>
                <c:pt idx="2">
                  <c:v>35.9</c:v>
                </c:pt>
                <c:pt idx="3">
                  <c:v>1.9000000000000001</c:v>
                </c:pt>
              </c:numCache>
            </c:numRef>
          </c:val>
        </c:ser>
        <c:ser>
          <c:idx val="1"/>
          <c:order val="1"/>
          <c:tx>
            <c:v>G1-g9</c:v>
          </c:tx>
          <c:cat>
            <c:numRef>
              <c:f>Sheet1!$G$6:$G$9</c:f>
              <c:numCache>
                <c:formatCode>General</c:formatCode>
                <c:ptCount val="4"/>
                <c:pt idx="0" formatCode="0.0">
                  <c:v>9.5</c:v>
                </c:pt>
                <c:pt idx="1">
                  <c:v>52.7</c:v>
                </c:pt>
                <c:pt idx="2">
                  <c:v>35.9</c:v>
                </c:pt>
                <c:pt idx="3">
                  <c:v>1.9000000000000001</c:v>
                </c:pt>
              </c:numCache>
            </c:numRef>
          </c:cat>
          <c:val>
            <c:numLit>
              <c:formatCode>General</c:formatCode>
              <c:ptCount val="1"/>
              <c:pt idx="0">
                <c:v>1</c:v>
              </c:pt>
            </c:numLit>
          </c:val>
        </c:ser>
        <c:firstSliceAng val="0"/>
      </c:pieChart>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r-Latn-CS"/>
  <c:chart>
    <c:title>
      <c:tx>
        <c:rich>
          <a:bodyPr rot="0" spcFirstLastPara="1" vertOverflow="ellipsis" vert="horz" wrap="square" anchor="ctr" anchorCtr="1"/>
          <a:lstStyle/>
          <a:p>
            <a:pPr>
              <a:defRPr lang="sr-Latn-CS" sz="900" b="0" i="0" u="none" strike="noStrike" kern="1200" spc="0" baseline="0">
                <a:solidFill>
                  <a:schemeClr val="tx1">
                    <a:lumMod val="65000"/>
                    <a:lumOff val="35000"/>
                  </a:schemeClr>
                </a:solidFill>
                <a:latin typeface="+mn-lt"/>
                <a:ea typeface="+mn-ea"/>
                <a:cs typeface="+mn-cs"/>
              </a:defRPr>
            </a:pPr>
            <a:r>
              <a:rPr lang="x-none" sz="900"/>
              <a:t>Komparacija</a:t>
            </a:r>
            <a:r>
              <a:rPr lang="x-none" sz="900" baseline="0"/>
              <a:t> prihoda - 2012 / 2014</a:t>
            </a:r>
            <a:endParaRPr lang="x-none" sz="900"/>
          </a:p>
        </c:rich>
      </c:tx>
      <c:layout>
        <c:manualLayout>
          <c:xMode val="edge"/>
          <c:yMode val="edge"/>
          <c:x val="0.32172082925941192"/>
          <c:y val="0"/>
        </c:manualLayout>
      </c:layout>
      <c:spPr>
        <a:noFill/>
        <a:ln>
          <a:noFill/>
        </a:ln>
        <a:effectLst/>
      </c:spPr>
    </c:title>
    <c:plotArea>
      <c:layout>
        <c:manualLayout>
          <c:layoutTarget val="inner"/>
          <c:xMode val="edge"/>
          <c:yMode val="edge"/>
          <c:x val="7.8266082605043724E-2"/>
          <c:y val="9.3388829352175295E-2"/>
          <c:w val="0.92547780743330565"/>
          <c:h val="0.66315784351111073"/>
        </c:manualLayout>
      </c:layout>
      <c:lineChart>
        <c:grouping val="standard"/>
        <c:ser>
          <c:idx val="1"/>
          <c:order val="0"/>
          <c:tx>
            <c:strRef>
              <c:f>Sheet1!$C$3</c:f>
              <c:strCache>
                <c:ptCount val="1"/>
                <c:pt idx="0">
                  <c:v>2012</c:v>
                </c:pt>
              </c:strCache>
            </c:strRef>
          </c:tx>
          <c:spPr>
            <a:ln w="28575" cap="rnd" cmpd="sng">
              <a:solidFill>
                <a:schemeClr val="tx1">
                  <a:lumMod val="50000"/>
                  <a:lumOff val="50000"/>
                </a:schemeClr>
              </a:solidFill>
              <a:round/>
            </a:ln>
            <a:effectLst/>
          </c:spPr>
          <c:marker>
            <c:symbol val="none"/>
          </c:marker>
          <c:cat>
            <c:strRef>
              <c:f>Sheet1!$D$2:$O$2</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Sheet1!$D$3:$O$3</c:f>
              <c:numCache>
                <c:formatCode>#,##0.0,,</c:formatCode>
                <c:ptCount val="12"/>
                <c:pt idx="0">
                  <c:v>48843193.720000073</c:v>
                </c:pt>
                <c:pt idx="1">
                  <c:v>68224082.549999997</c:v>
                </c:pt>
                <c:pt idx="2">
                  <c:v>76674237.659999892</c:v>
                </c:pt>
                <c:pt idx="3">
                  <c:v>99426150.410000026</c:v>
                </c:pt>
                <c:pt idx="4">
                  <c:v>87016176.340000033</c:v>
                </c:pt>
                <c:pt idx="5">
                  <c:v>96200709.070000008</c:v>
                </c:pt>
                <c:pt idx="6">
                  <c:v>131913604.16999999</c:v>
                </c:pt>
                <c:pt idx="7">
                  <c:v>108631833.44000022</c:v>
                </c:pt>
                <c:pt idx="8">
                  <c:v>96146123.239999995</c:v>
                </c:pt>
                <c:pt idx="9">
                  <c:v>99793936.86999999</c:v>
                </c:pt>
                <c:pt idx="10">
                  <c:v>85835751.700000003</c:v>
                </c:pt>
                <c:pt idx="11">
                  <c:v>127348769.31999999</c:v>
                </c:pt>
              </c:numCache>
            </c:numRef>
          </c:val>
          <c:smooth val="1"/>
        </c:ser>
        <c:ser>
          <c:idx val="2"/>
          <c:order val="1"/>
          <c:tx>
            <c:strRef>
              <c:f>Sheet1!$C$4</c:f>
              <c:strCache>
                <c:ptCount val="1"/>
                <c:pt idx="0">
                  <c:v>2013</c:v>
                </c:pt>
              </c:strCache>
            </c:strRef>
          </c:tx>
          <c:spPr>
            <a:ln w="28575" cap="rnd" cmpd="dbl">
              <a:solidFill>
                <a:schemeClr val="tx1">
                  <a:alpha val="94000"/>
                </a:schemeClr>
              </a:solidFill>
              <a:prstDash val="solid"/>
              <a:round/>
            </a:ln>
            <a:effectLst/>
          </c:spPr>
          <c:marker>
            <c:symbol val="none"/>
          </c:marker>
          <c:cat>
            <c:strRef>
              <c:f>Sheet1!$D$2:$O$2</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Sheet1!$D$4:$O$4</c:f>
              <c:numCache>
                <c:formatCode>#,##0.0,,</c:formatCode>
                <c:ptCount val="12"/>
                <c:pt idx="0">
                  <c:v>54923313.240000002</c:v>
                </c:pt>
                <c:pt idx="1">
                  <c:v>75831835.340000004</c:v>
                </c:pt>
                <c:pt idx="2">
                  <c:v>88914656.390000015</c:v>
                </c:pt>
                <c:pt idx="3">
                  <c:v>104092614.22999999</c:v>
                </c:pt>
                <c:pt idx="4">
                  <c:v>94328013.809999973</c:v>
                </c:pt>
                <c:pt idx="5">
                  <c:v>100021639.11</c:v>
                </c:pt>
                <c:pt idx="6">
                  <c:v>122508818</c:v>
                </c:pt>
                <c:pt idx="7">
                  <c:v>125278818.55</c:v>
                </c:pt>
                <c:pt idx="8">
                  <c:v>117104507.21000002</c:v>
                </c:pt>
                <c:pt idx="9">
                  <c:v>118730743.41000022</c:v>
                </c:pt>
                <c:pt idx="10">
                  <c:v>96489253</c:v>
                </c:pt>
                <c:pt idx="11">
                  <c:v>143537618.72999999</c:v>
                </c:pt>
              </c:numCache>
            </c:numRef>
          </c:val>
          <c:smooth val="1"/>
        </c:ser>
        <c:ser>
          <c:idx val="3"/>
          <c:order val="2"/>
          <c:tx>
            <c:strRef>
              <c:f>Sheet1!$C$5</c:f>
              <c:strCache>
                <c:ptCount val="1"/>
                <c:pt idx="0">
                  <c:v>2014 plan</c:v>
                </c:pt>
              </c:strCache>
            </c:strRef>
          </c:tx>
          <c:spPr>
            <a:ln w="28575" cap="rnd">
              <a:solidFill>
                <a:schemeClr val="tx1"/>
              </a:solidFill>
              <a:prstDash val="sysDash"/>
              <a:round/>
            </a:ln>
            <a:effectLst/>
          </c:spPr>
          <c:marker>
            <c:symbol val="none"/>
          </c:marker>
          <c:cat>
            <c:strRef>
              <c:f>Sheet1!$D$2:$O$2</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Sheet1!$D$5:$O$5</c:f>
              <c:numCache>
                <c:formatCode>#,##0.0,,</c:formatCode>
                <c:ptCount val="12"/>
                <c:pt idx="0">
                  <c:v>63091959.823632248</c:v>
                </c:pt>
                <c:pt idx="1">
                  <c:v>80428854.265187606</c:v>
                </c:pt>
                <c:pt idx="2">
                  <c:v>89985354.818585604</c:v>
                </c:pt>
                <c:pt idx="3">
                  <c:v>106960747.94202138</c:v>
                </c:pt>
                <c:pt idx="4">
                  <c:v>97856328.492591605</c:v>
                </c:pt>
                <c:pt idx="5">
                  <c:v>105858468.0117318</c:v>
                </c:pt>
                <c:pt idx="6">
                  <c:v>123939555.84525104</c:v>
                </c:pt>
                <c:pt idx="7">
                  <c:v>126245800.31993175</c:v>
                </c:pt>
                <c:pt idx="8">
                  <c:v>121714564.00509749</c:v>
                </c:pt>
                <c:pt idx="9">
                  <c:v>115456172.52182575</c:v>
                </c:pt>
                <c:pt idx="10">
                  <c:v>98072968.146381721</c:v>
                </c:pt>
                <c:pt idx="11">
                  <c:v>146445625.24493268</c:v>
                </c:pt>
              </c:numCache>
            </c:numRef>
          </c:val>
          <c:smooth val="1"/>
        </c:ser>
        <c:ser>
          <c:idx val="0"/>
          <c:order val="3"/>
          <c:tx>
            <c:strRef>
              <c:f>Sheet1!$C$6</c:f>
              <c:strCache>
                <c:ptCount val="1"/>
                <c:pt idx="0">
                  <c:v>2014 ostvarenje i procjena</c:v>
                </c:pt>
              </c:strCache>
            </c:strRef>
          </c:tx>
          <c:spPr>
            <a:ln w="28575" cap="rnd">
              <a:solidFill>
                <a:schemeClr val="tx1"/>
              </a:solidFill>
              <a:prstDash val="sysDot"/>
              <a:round/>
            </a:ln>
            <a:effectLst/>
          </c:spPr>
          <c:marker>
            <c:symbol val="none"/>
          </c:marker>
          <c:dPt>
            <c:idx val="1"/>
            <c:spPr>
              <a:ln w="28575" cap="rnd">
                <a:solidFill>
                  <a:schemeClr val="tx1"/>
                </a:solidFill>
                <a:prstDash val="solid"/>
                <a:round/>
              </a:ln>
              <a:effectLst/>
            </c:spPr>
          </c:dPt>
          <c:dPt>
            <c:idx val="2"/>
            <c:spPr>
              <a:ln w="28575" cap="rnd">
                <a:solidFill>
                  <a:schemeClr val="tx1"/>
                </a:solidFill>
                <a:prstDash val="solid"/>
                <a:round/>
              </a:ln>
              <a:effectLst/>
            </c:spPr>
          </c:dPt>
          <c:dPt>
            <c:idx val="3"/>
            <c:marker>
              <c:symbol val="diamond"/>
              <c:size val="9"/>
              <c:spPr>
                <a:solidFill>
                  <a:srgbClr val="7E0000"/>
                </a:solidFill>
                <a:ln w="9525">
                  <a:noFill/>
                </a:ln>
                <a:effectLst/>
              </c:spPr>
            </c:marker>
          </c:dPt>
          <c:cat>
            <c:strRef>
              <c:f>Sheet1!$D$2:$O$2</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Sheet1!$D$6:$O$6</c:f>
              <c:numCache>
                <c:formatCode>#,##0.0,,</c:formatCode>
                <c:ptCount val="12"/>
                <c:pt idx="0">
                  <c:v>70782033.309999973</c:v>
                </c:pt>
                <c:pt idx="1">
                  <c:v>82107724.440000027</c:v>
                </c:pt>
                <c:pt idx="2">
                  <c:v>100668861.39000002</c:v>
                </c:pt>
                <c:pt idx="3">
                  <c:v>108128878.8142367</c:v>
                </c:pt>
                <c:pt idx="4">
                  <c:v>99589196.123051748</c:v>
                </c:pt>
                <c:pt idx="5">
                  <c:v>107919513.0496062</c:v>
                </c:pt>
                <c:pt idx="6">
                  <c:v>126439210.3364796</c:v>
                </c:pt>
                <c:pt idx="7">
                  <c:v>128662557.8658381</c:v>
                </c:pt>
                <c:pt idx="8">
                  <c:v>124237783.81322092</c:v>
                </c:pt>
                <c:pt idx="9">
                  <c:v>117902806.21832822</c:v>
                </c:pt>
                <c:pt idx="10">
                  <c:v>100067304.54968598</c:v>
                </c:pt>
                <c:pt idx="11">
                  <c:v>150344503.86632341</c:v>
                </c:pt>
              </c:numCache>
            </c:numRef>
          </c:val>
          <c:smooth val="1"/>
        </c:ser>
        <c:ser>
          <c:idx val="4"/>
          <c:order val="4"/>
          <c:tx>
            <c:strRef>
              <c:f>Sheet1!$C$7</c:f>
              <c:strCache>
                <c:ptCount val="1"/>
                <c:pt idx="0">
                  <c:v>april</c:v>
                </c:pt>
              </c:strCache>
            </c:strRef>
          </c:tx>
          <c:spPr>
            <a:ln w="28575" cap="rnd">
              <a:solidFill>
                <a:schemeClr val="accent5"/>
              </a:solidFill>
              <a:round/>
            </a:ln>
            <a:effectLst/>
          </c:spPr>
          <c:marker>
            <c:symbol val="none"/>
          </c:marker>
          <c:cat>
            <c:strRef>
              <c:f>Sheet1!$D$2:$O$2</c:f>
              <c:strCache>
                <c:ptCount val="12"/>
                <c:pt idx="0">
                  <c:v>januar</c:v>
                </c:pt>
                <c:pt idx="1">
                  <c:v>februar</c:v>
                </c:pt>
                <c:pt idx="2">
                  <c:v>mart</c:v>
                </c:pt>
                <c:pt idx="3">
                  <c:v>april</c:v>
                </c:pt>
                <c:pt idx="4">
                  <c:v>maj</c:v>
                </c:pt>
                <c:pt idx="5">
                  <c:v>jun</c:v>
                </c:pt>
                <c:pt idx="6">
                  <c:v>jul</c:v>
                </c:pt>
                <c:pt idx="7">
                  <c:v>avgust</c:v>
                </c:pt>
                <c:pt idx="8">
                  <c:v>septembar</c:v>
                </c:pt>
                <c:pt idx="9">
                  <c:v>oktobar</c:v>
                </c:pt>
                <c:pt idx="10">
                  <c:v>novembar</c:v>
                </c:pt>
                <c:pt idx="11">
                  <c:v>decembar</c:v>
                </c:pt>
              </c:strCache>
            </c:strRef>
          </c:cat>
          <c:val>
            <c:numRef>
              <c:f>Sheet1!$D$7:$O$7</c:f>
              <c:numCache>
                <c:formatCode>General</c:formatCode>
                <c:ptCount val="12"/>
                <c:pt idx="3" formatCode="#,##0.0,,">
                  <c:v>108679556.45999998</c:v>
                </c:pt>
              </c:numCache>
            </c:numRef>
          </c:val>
        </c:ser>
        <c:marker val="1"/>
        <c:axId val="148445440"/>
        <c:axId val="148520960"/>
      </c:lineChart>
      <c:catAx>
        <c:axId val="148445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sr-Latn-CS" sz="700" b="0" i="0" u="none" strike="noStrike" kern="1200" baseline="0">
                <a:solidFill>
                  <a:schemeClr val="tx1">
                    <a:lumMod val="65000"/>
                    <a:lumOff val="35000"/>
                  </a:schemeClr>
                </a:solidFill>
                <a:latin typeface="+mn-lt"/>
                <a:ea typeface="+mn-ea"/>
                <a:cs typeface="+mn-cs"/>
              </a:defRPr>
            </a:pPr>
            <a:endParaRPr lang="sr-Latn-CS"/>
          </a:p>
        </c:txPr>
        <c:crossAx val="148520960"/>
        <c:crosses val="autoZero"/>
        <c:auto val="1"/>
        <c:lblAlgn val="ctr"/>
        <c:lblOffset val="100"/>
      </c:catAx>
      <c:valAx>
        <c:axId val="148520960"/>
        <c:scaling>
          <c:orientation val="minMax"/>
          <c:max val="140000000"/>
          <c:min val="50000000"/>
        </c:scaling>
        <c:axPos val="l"/>
        <c:numFmt formatCode="#,##0.0,," sourceLinked="1"/>
        <c:majorTickMark val="none"/>
        <c:tickLblPos val="nextTo"/>
        <c:spPr>
          <a:noFill/>
          <a:ln>
            <a:noFill/>
          </a:ln>
          <a:effectLst/>
        </c:spPr>
        <c:txPr>
          <a:bodyPr rot="-60000000" spcFirstLastPara="1" vertOverflow="ellipsis" vert="horz" wrap="square" anchor="ctr" anchorCtr="1"/>
          <a:lstStyle/>
          <a:p>
            <a:pPr>
              <a:defRPr lang="sr-Latn-CS" sz="800" b="0" i="0" u="none" strike="noStrike" kern="1200" baseline="0">
                <a:solidFill>
                  <a:schemeClr val="tx1">
                    <a:lumMod val="65000"/>
                    <a:lumOff val="35000"/>
                  </a:schemeClr>
                </a:solidFill>
                <a:latin typeface="+mn-lt"/>
                <a:ea typeface="+mn-ea"/>
                <a:cs typeface="+mn-cs"/>
              </a:defRPr>
            </a:pPr>
            <a:endParaRPr lang="sr-Latn-CS"/>
          </a:p>
        </c:txPr>
        <c:crossAx val="148445440"/>
        <c:crosses val="autoZero"/>
        <c:crossBetween val="between"/>
      </c:valAx>
      <c:spPr>
        <a:noFill/>
        <a:ln>
          <a:noFill/>
        </a:ln>
        <a:effectLst/>
      </c:spPr>
    </c:plotArea>
    <c:legend>
      <c:legendPos val="b"/>
      <c:legendEntry>
        <c:idx val="4"/>
        <c:delete val="1"/>
      </c:legendEntry>
      <c:layout>
        <c:manualLayout>
          <c:xMode val="edge"/>
          <c:yMode val="edge"/>
          <c:x val="0.12813422931608737"/>
          <c:y val="0.90243498346017292"/>
          <c:w val="0.60397943566480483"/>
          <c:h val="9.6392582545211644E-2"/>
        </c:manualLayout>
      </c:layout>
      <c:spPr>
        <a:noFill/>
        <a:ln>
          <a:noFill/>
        </a:ln>
        <a:effectLst/>
      </c:spPr>
      <c:txPr>
        <a:bodyPr rot="0" spcFirstLastPara="1" vertOverflow="ellipsis" vert="horz" wrap="square" anchor="ctr" anchorCtr="1"/>
        <a:lstStyle/>
        <a:p>
          <a:pPr>
            <a:defRPr lang="sr-Latn-CS" sz="800" b="0" i="0" u="none" strike="noStrike" kern="1200" baseline="0">
              <a:solidFill>
                <a:schemeClr val="tx1">
                  <a:lumMod val="65000"/>
                  <a:lumOff val="35000"/>
                </a:schemeClr>
              </a:solidFill>
              <a:latin typeface="+mn-lt"/>
              <a:ea typeface="+mn-ea"/>
              <a:cs typeface="+mn-cs"/>
            </a:defRPr>
          </a:pPr>
          <a:endParaRPr lang="sr-Latn-CS"/>
        </a:p>
      </c:txPr>
    </c:legend>
    <c:plotVisOnly val="1"/>
    <c:dispBlanksAs val="gap"/>
  </c:chart>
  <c:spPr>
    <a:solidFill>
      <a:schemeClr val="bg1"/>
    </a:solidFill>
    <a:ln w="9525" cap="flat" cmpd="sng" algn="ctr">
      <a:noFill/>
      <a:round/>
    </a:ln>
    <a:effectLst/>
  </c:spPr>
  <c:txPr>
    <a:bodyPr/>
    <a:lstStyle/>
    <a:p>
      <a:pPr>
        <a:defRPr/>
      </a:pPr>
      <a:endParaRPr lang="sr-Latn-C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0.11265</cdr:x>
      <cdr:y>0.15167</cdr:y>
    </cdr:from>
    <cdr:to>
      <cdr:x>0.44444</cdr:x>
      <cdr:y>0.23136</cdr:y>
    </cdr:to>
    <cdr:sp macro="" textlink="">
      <cdr:nvSpPr>
        <cdr:cNvPr id="3" name="TextBox 2"/>
        <cdr:cNvSpPr txBox="1"/>
      </cdr:nvSpPr>
      <cdr:spPr>
        <a:xfrm xmlns:a="http://schemas.openxmlformats.org/drawingml/2006/main">
          <a:off x="515056" y="416278"/>
          <a:ext cx="1516945" cy="2187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r-Latn-CS" sz="1100"/>
        </a:p>
      </cdr:txBody>
    </cdr:sp>
  </cdr:relSizeAnchor>
  <cdr:relSizeAnchor xmlns:cdr="http://schemas.openxmlformats.org/drawingml/2006/chartDrawing">
    <cdr:from>
      <cdr:x>0.23372</cdr:x>
      <cdr:y>0.05832</cdr:y>
    </cdr:from>
    <cdr:to>
      <cdr:x>0.43372</cdr:x>
      <cdr:y>0.1303</cdr:y>
    </cdr:to>
    <cdr:sp macro="" textlink="">
      <cdr:nvSpPr>
        <cdr:cNvPr id="4" name="TextBox 3"/>
        <cdr:cNvSpPr txBox="1"/>
      </cdr:nvSpPr>
      <cdr:spPr>
        <a:xfrm xmlns:a="http://schemas.openxmlformats.org/drawingml/2006/main">
          <a:off x="487999" y="117579"/>
          <a:ext cx="417600" cy="1451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CS" sz="800"/>
            <a:t>broj</a:t>
          </a:r>
          <a:r>
            <a:rPr lang="sr-Latn-CS" sz="800" baseline="0"/>
            <a:t> zaposlenih</a:t>
          </a:r>
          <a:endParaRPr lang="sr-Latn-CS" sz="800"/>
        </a:p>
      </cdr:txBody>
    </cdr:sp>
  </cdr:relSizeAnchor>
  <cdr:relSizeAnchor xmlns:cdr="http://schemas.openxmlformats.org/drawingml/2006/chartDrawing">
    <cdr:from>
      <cdr:x>0.1445</cdr:x>
      <cdr:y>0.70696</cdr:y>
    </cdr:from>
    <cdr:to>
      <cdr:x>0.5973</cdr:x>
      <cdr:y>0.78395</cdr:y>
    </cdr:to>
    <cdr:sp macro="" textlink="">
      <cdr:nvSpPr>
        <cdr:cNvPr id="5" name="TextBox 4"/>
        <cdr:cNvSpPr txBox="1"/>
      </cdr:nvSpPr>
      <cdr:spPr>
        <a:xfrm xmlns:a="http://schemas.openxmlformats.org/drawingml/2006/main">
          <a:off x="392832" y="1424905"/>
          <a:ext cx="1230974" cy="1551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CS" sz="700"/>
            <a:t>broj</a:t>
          </a:r>
          <a:r>
            <a:rPr lang="sr-Latn-CS" sz="700" baseline="0"/>
            <a:t> nezaposlenih (inverzno)</a:t>
          </a:r>
          <a:endParaRPr lang="sr-Latn-CS" sz="700"/>
        </a:p>
      </cdr:txBody>
    </cdr:sp>
  </cdr:relSizeAnchor>
</c:userShapes>
</file>

<file path=word/drawings/drawing2.xml><?xml version="1.0" encoding="utf-8"?>
<c:userShapes xmlns:c="http://schemas.openxmlformats.org/drawingml/2006/chart">
  <cdr:relSizeAnchor xmlns:cdr="http://schemas.openxmlformats.org/drawingml/2006/chartDrawing">
    <cdr:from>
      <cdr:x>0.45445</cdr:x>
      <cdr:y>0.88594</cdr:y>
    </cdr:from>
    <cdr:to>
      <cdr:x>0.99856</cdr:x>
      <cdr:y>1</cdr:y>
    </cdr:to>
    <cdr:sp macro="" textlink="">
      <cdr:nvSpPr>
        <cdr:cNvPr id="2" name="TextBox 1"/>
        <cdr:cNvSpPr txBox="1"/>
      </cdr:nvSpPr>
      <cdr:spPr>
        <a:xfrm xmlns:a="http://schemas.openxmlformats.org/drawingml/2006/main">
          <a:off x="1033975" y="1912180"/>
          <a:ext cx="1237957" cy="246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r-Latn-CS" sz="1100"/>
        </a:p>
      </cdr:txBody>
    </cdr:sp>
  </cdr:relSizeAnchor>
  <cdr:relSizeAnchor xmlns:cdr="http://schemas.openxmlformats.org/drawingml/2006/chartDrawing">
    <cdr:from>
      <cdr:x>0.40808</cdr:x>
      <cdr:y>0.69367</cdr:y>
    </cdr:from>
    <cdr:to>
      <cdr:x>0.93364</cdr:x>
      <cdr:y>0.79143</cdr:y>
    </cdr:to>
    <cdr:sp macro="" textlink="">
      <cdr:nvSpPr>
        <cdr:cNvPr id="3" name="TextBox 2"/>
        <cdr:cNvSpPr txBox="1"/>
      </cdr:nvSpPr>
      <cdr:spPr>
        <a:xfrm xmlns:a="http://schemas.openxmlformats.org/drawingml/2006/main">
          <a:off x="928467" y="1497183"/>
          <a:ext cx="1195754" cy="2110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700"/>
            <a:t>Interkompanijski dug 52,7%</a:t>
          </a:r>
        </a:p>
        <a:p xmlns:a="http://schemas.openxmlformats.org/drawingml/2006/main">
          <a:endParaRPr lang="sr-Latn-CS" sz="1100"/>
        </a:p>
      </cdr:txBody>
    </cdr:sp>
  </cdr:relSizeAnchor>
  <cdr:relSizeAnchor xmlns:cdr="http://schemas.openxmlformats.org/drawingml/2006/chartDrawing">
    <cdr:from>
      <cdr:x>0.52247</cdr:x>
      <cdr:y>0.13036</cdr:y>
    </cdr:from>
    <cdr:to>
      <cdr:x>0.99856</cdr:x>
      <cdr:y>0.27375</cdr:y>
    </cdr:to>
    <cdr:sp macro="" textlink="">
      <cdr:nvSpPr>
        <cdr:cNvPr id="4" name="TextBox 3"/>
        <cdr:cNvSpPr txBox="1"/>
      </cdr:nvSpPr>
      <cdr:spPr>
        <a:xfrm xmlns:a="http://schemas.openxmlformats.org/drawingml/2006/main">
          <a:off x="1188720" y="281354"/>
          <a:ext cx="1083212" cy="3094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700"/>
            <a:t>Invest.u kompanije  i banke 9,5%</a:t>
          </a:r>
        </a:p>
        <a:p xmlns:a="http://schemas.openxmlformats.org/drawingml/2006/main">
          <a:endParaRPr lang="sr-Latn-CS" sz="1100"/>
        </a:p>
      </cdr:txBody>
    </cdr:sp>
  </cdr:relSizeAnchor>
  <cdr:relSizeAnchor xmlns:cdr="http://schemas.openxmlformats.org/drawingml/2006/chartDrawing">
    <cdr:from>
      <cdr:x>4.39521E-7</cdr:x>
      <cdr:y>0.43995</cdr:y>
    </cdr:from>
    <cdr:to>
      <cdr:x>0.52247</cdr:x>
      <cdr:y>0.59637</cdr:y>
    </cdr:to>
    <cdr:sp macro="" textlink="">
      <cdr:nvSpPr>
        <cdr:cNvPr id="5" name="TextBox 4"/>
        <cdr:cNvSpPr txBox="1"/>
      </cdr:nvSpPr>
      <cdr:spPr>
        <a:xfrm xmlns:a="http://schemas.openxmlformats.org/drawingml/2006/main">
          <a:off x="1" y="949568"/>
          <a:ext cx="1188720" cy="337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700"/>
            <a:t>Ulaganja u nekretnine 35,9%</a:t>
          </a:r>
        </a:p>
        <a:p xmlns:a="http://schemas.openxmlformats.org/drawingml/2006/main">
          <a:endParaRPr lang="sr-Latn-CS" sz="1100"/>
        </a:p>
      </cdr:txBody>
    </cdr:sp>
  </cdr:relSizeAnchor>
</c:userShapes>
</file>

<file path=word/drawings/drawing3.xml><?xml version="1.0" encoding="utf-8"?>
<c:userShapes xmlns:c="http://schemas.openxmlformats.org/drawingml/2006/chart">
  <cdr:relSizeAnchor xmlns:cdr="http://schemas.openxmlformats.org/drawingml/2006/chartDrawing">
    <cdr:from>
      <cdr:x>0.13972</cdr:x>
      <cdr:y>0.39372</cdr:y>
    </cdr:from>
    <cdr:to>
      <cdr:x>0.1747</cdr:x>
      <cdr:y>0.49178</cdr:y>
    </cdr:to>
    <cdr:cxnSp macro="">
      <cdr:nvCxnSpPr>
        <cdr:cNvPr id="3" name="Straight Arrow Connector 2"/>
        <cdr:cNvCxnSpPr/>
      </cdr:nvCxnSpPr>
      <cdr:spPr>
        <a:xfrm xmlns:a="http://schemas.openxmlformats.org/drawingml/2006/main">
          <a:off x="801292" y="1055130"/>
          <a:ext cx="200602" cy="262791"/>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0.05282</cdr:x>
      <cdr:y>0.3215</cdr:y>
    </cdr:from>
    <cdr:to>
      <cdr:x>0.16862</cdr:x>
      <cdr:y>0.60679</cdr:y>
    </cdr:to>
    <cdr:sp macro="" textlink="">
      <cdr:nvSpPr>
        <cdr:cNvPr id="4" name="TextBox 3"/>
        <cdr:cNvSpPr txBox="1"/>
      </cdr:nvSpPr>
      <cdr:spPr>
        <a:xfrm xmlns:a="http://schemas.openxmlformats.org/drawingml/2006/main">
          <a:off x="302885" y="861594"/>
          <a:ext cx="664088" cy="7645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x-none" sz="800"/>
            <a:t>Ostvarenje - I kvartal 2014</a:t>
          </a:r>
        </a:p>
      </cdr:txBody>
    </cdr:sp>
  </cdr:relSizeAnchor>
  <cdr:relSizeAnchor xmlns:cdr="http://schemas.openxmlformats.org/drawingml/2006/chartDrawing">
    <cdr:from>
      <cdr:x>0.269</cdr:x>
      <cdr:y>0.26895</cdr:y>
    </cdr:from>
    <cdr:to>
      <cdr:x>0.32006</cdr:x>
      <cdr:y>0.30114</cdr:y>
    </cdr:to>
    <cdr:cxnSp macro="">
      <cdr:nvCxnSpPr>
        <cdr:cNvPr id="7" name="Straight Arrow Connector 6"/>
        <cdr:cNvCxnSpPr/>
      </cdr:nvCxnSpPr>
      <cdr:spPr>
        <a:xfrm xmlns:a="http://schemas.openxmlformats.org/drawingml/2006/main">
          <a:off x="2124076" y="862014"/>
          <a:ext cx="403224" cy="103186"/>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0.17169</cdr:x>
      <cdr:y>0.19118</cdr:y>
    </cdr:from>
    <cdr:to>
      <cdr:x>0.31001</cdr:x>
      <cdr:y>0.25706</cdr:y>
    </cdr:to>
    <cdr:sp macro="" textlink="">
      <cdr:nvSpPr>
        <cdr:cNvPr id="9" name="TextBox 1"/>
        <cdr:cNvSpPr txBox="1"/>
      </cdr:nvSpPr>
      <cdr:spPr>
        <a:xfrm xmlns:a="http://schemas.openxmlformats.org/drawingml/2006/main">
          <a:off x="1355725" y="612774"/>
          <a:ext cx="1092202" cy="2111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x-none" sz="800"/>
            <a:t>Ostvarenje - april</a:t>
          </a:r>
          <a:r>
            <a:rPr lang="x-none" sz="800" baseline="0"/>
            <a:t> 2014</a:t>
          </a:r>
          <a:endParaRPr lang="x-none" sz="800"/>
        </a:p>
      </cdr:txBody>
    </cdr:sp>
  </cdr:relSizeAnchor>
  <cdr:relSizeAnchor xmlns:cdr="http://schemas.openxmlformats.org/drawingml/2006/chartDrawing">
    <cdr:from>
      <cdr:x>0.26055</cdr:x>
      <cdr:y>0.62556</cdr:y>
    </cdr:from>
    <cdr:to>
      <cdr:x>0.72256</cdr:x>
      <cdr:y>0.93462</cdr:y>
    </cdr:to>
    <cdr:sp macro="" textlink="">
      <cdr:nvSpPr>
        <cdr:cNvPr id="10" name="TextBox 9"/>
        <cdr:cNvSpPr txBox="1"/>
      </cdr:nvSpPr>
      <cdr:spPr>
        <a:xfrm xmlns:a="http://schemas.openxmlformats.org/drawingml/2006/main">
          <a:off x="2057400" y="2005014"/>
          <a:ext cx="3648076" cy="990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x-none" sz="800" baseline="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069B-D116-4AA9-AF11-4A409147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40</Pages>
  <Words>19208</Words>
  <Characters>109486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vesna.ceranic</cp:lastModifiedBy>
  <cp:revision>7</cp:revision>
  <cp:lastPrinted>2014-06-12T12:30:00Z</cp:lastPrinted>
  <dcterms:created xsi:type="dcterms:W3CDTF">2014-06-05T18:53:00Z</dcterms:created>
  <dcterms:modified xsi:type="dcterms:W3CDTF">2014-06-30T10:06:00Z</dcterms:modified>
</cp:coreProperties>
</file>