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41E5" w14:textId="502C1823" w:rsidR="00641AB6" w:rsidRDefault="00330FA1" w:rsidP="00641AB6">
      <w:pPr>
        <w:jc w:val="center"/>
        <w:rPr>
          <w:rFonts w:ascii="Arial" w:eastAsia="Times New Roman" w:hAnsi="Arial" w:cs="Arial"/>
          <w:b/>
          <w:noProof w:val="0"/>
          <w:sz w:val="20"/>
          <w:szCs w:val="20"/>
        </w:rPr>
      </w:pPr>
      <w:bookmarkStart w:id="0" w:name="_Hlk210067576"/>
      <w:r>
        <w:rPr>
          <w:rFonts w:ascii="Arial" w:eastAsia="Times New Roman" w:hAnsi="Arial" w:cs="Arial"/>
          <w:b/>
          <w:noProof w:val="0"/>
          <w:sz w:val="20"/>
          <w:szCs w:val="20"/>
        </w:rPr>
        <w:t xml:space="preserve">JEDINSTVENI 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DO</w:t>
      </w:r>
      <w:r>
        <w:rPr>
          <w:rFonts w:ascii="Arial" w:eastAsia="Times New Roman" w:hAnsi="Arial" w:cs="Arial"/>
          <w:b/>
          <w:noProof w:val="0"/>
          <w:sz w:val="20"/>
          <w:szCs w:val="20"/>
        </w:rPr>
        <w:t>K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UMENT</w:t>
      </w:r>
      <w:bookmarkEnd w:id="0"/>
    </w:p>
    <w:p w14:paraId="5AAE1F78" w14:textId="67354980" w:rsidR="00675B92" w:rsidRPr="00780441" w:rsidRDefault="00330FA1" w:rsidP="00641AB6">
      <w:pPr>
        <w:jc w:val="center"/>
        <w:rPr>
          <w:rFonts w:ascii="Arial" w:eastAsia="Times New Roman" w:hAnsi="Arial" w:cs="Arial"/>
          <w:b/>
          <w:noProof w:val="0"/>
          <w:color w:val="FF0000"/>
          <w:sz w:val="20"/>
          <w:szCs w:val="20"/>
        </w:rPr>
      </w:pPr>
      <w:r>
        <w:rPr>
          <w:rFonts w:ascii="Arial" w:hAnsi="Arial" w:cs="Arial"/>
          <w:noProof w:val="0"/>
          <w:sz w:val="18"/>
          <w:szCs w:val="18"/>
        </w:rPr>
        <w:t>Zaštićena oznaka porijekla</w:t>
      </w:r>
      <w:r w:rsidR="009F3422">
        <w:rPr>
          <w:rFonts w:ascii="Arial" w:hAnsi="Arial" w:cs="Arial"/>
          <w:noProof w:val="0"/>
          <w:sz w:val="18"/>
          <w:szCs w:val="18"/>
        </w:rPr>
        <w:t xml:space="preserve"> </w:t>
      </w:r>
      <w:r w:rsidR="001D0941">
        <w:rPr>
          <w:rFonts w:ascii="Arial" w:hAnsi="Arial" w:cs="Arial"/>
          <w:noProof w:val="0"/>
          <w:sz w:val="18"/>
          <w:szCs w:val="18"/>
        </w:rPr>
        <w:t>Riječka nahija</w:t>
      </w:r>
    </w:p>
    <w:p w14:paraId="39E7B97F" w14:textId="77777777" w:rsidR="00641AB6" w:rsidRPr="00377759" w:rsidRDefault="00641AB6" w:rsidP="00641AB6">
      <w:pPr>
        <w:rPr>
          <w:rFonts w:ascii="Arial" w:eastAsia="Times New Roman" w:hAnsi="Arial" w:cs="Arial"/>
          <w:noProof w:val="0"/>
        </w:rPr>
      </w:pPr>
    </w:p>
    <w:tbl>
      <w:tblPr>
        <w:tblStyle w:val="TableGrid"/>
        <w:tblW w:w="10440" w:type="dxa"/>
        <w:tblInd w:w="-432" w:type="dxa"/>
        <w:tblLook w:val="04A0" w:firstRow="1" w:lastRow="0" w:firstColumn="1" w:lastColumn="0" w:noHBand="0" w:noVBand="1"/>
      </w:tblPr>
      <w:tblGrid>
        <w:gridCol w:w="2808"/>
        <w:gridCol w:w="1843"/>
        <w:gridCol w:w="5789"/>
      </w:tblGrid>
      <w:tr w:rsidR="00330FA1" w:rsidRPr="000F2614" w14:paraId="4ABD9C6B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05AC" w14:textId="529781E4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Datum prijema (DD/MM/GGGG) 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(popunjava nadležna institucija)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45E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30FA1" w:rsidRPr="000F2614" w14:paraId="2C6A7310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9FA4" w14:textId="69EFB8AD" w:rsidR="00330FA1" w:rsidRPr="00B8700A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B8700A">
              <w:rPr>
                <w:rFonts w:ascii="Arial" w:hAnsi="Arial" w:cs="Arial"/>
                <w:noProof w:val="0"/>
                <w:sz w:val="18"/>
                <w:szCs w:val="18"/>
              </w:rPr>
              <w:t xml:space="preserve">Broj stranica </w:t>
            </w:r>
            <w:r w:rsidRPr="00B8700A">
              <w:rPr>
                <w:rFonts w:ascii="Arial" w:hAnsi="Arial" w:cs="Arial"/>
                <w:i/>
                <w:noProof w:val="0"/>
                <w:sz w:val="16"/>
                <w:szCs w:val="18"/>
              </w:rPr>
              <w:t>(max. 5 uključujući ovu stranicu)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5090" w14:textId="24CA070D" w:rsidR="00330FA1" w:rsidRPr="00182609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182609">
              <w:rPr>
                <w:rFonts w:ascii="Arial" w:hAnsi="Arial" w:cs="Arial"/>
                <w:noProof w:val="0"/>
                <w:sz w:val="18"/>
                <w:szCs w:val="18"/>
              </w:rPr>
              <w:t>4 (</w:t>
            </w:r>
            <w:r w:rsidR="00B8700A" w:rsidRPr="00182609">
              <w:rPr>
                <w:rFonts w:ascii="Arial" w:hAnsi="Arial" w:cs="Arial"/>
                <w:noProof w:val="0"/>
                <w:sz w:val="18"/>
                <w:szCs w:val="18"/>
              </w:rPr>
              <w:t>četiri</w:t>
            </w:r>
            <w:r w:rsidRPr="00182609">
              <w:rPr>
                <w:rFonts w:ascii="Arial" w:hAnsi="Arial" w:cs="Arial"/>
                <w:noProof w:val="0"/>
                <w:sz w:val="18"/>
                <w:szCs w:val="18"/>
              </w:rPr>
              <w:t>)</w:t>
            </w:r>
          </w:p>
        </w:tc>
      </w:tr>
      <w:tr w:rsidR="00330FA1" w:rsidRPr="000F2614" w14:paraId="4CD6CC5A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02FC" w14:textId="2D3FCE9D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Jezik na kojem se podnosi zahtjev*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2CAC" w14:textId="62C41DFF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crnogorski</w:t>
            </w:r>
          </w:p>
        </w:tc>
      </w:tr>
      <w:tr w:rsidR="00330FA1" w:rsidRPr="000F2614" w14:paraId="7EFCF331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7AED" w14:textId="31752551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Djelovodni broj 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(popunjava nadležna institucija)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B4F4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DF5DC9" w:rsidRPr="000F2614" w14:paraId="04292920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970F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08D2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30FA1" w:rsidRPr="000F2614" w14:paraId="28ED0838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5305" w14:textId="0A3B91E2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Podnosilac Zahtjeva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A89A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1D0941" w:rsidRPr="000F2614" w14:paraId="6ED32267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11E1" w14:textId="14156015" w:rsidR="001D0941" w:rsidRPr="000F2614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Ime fizičkog lica ili naziv pravnog lica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ADCB" w14:textId="697E9650" w:rsidR="001D0941" w:rsidRPr="00780441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067470">
              <w:rPr>
                <w:rFonts w:ascii="Arial" w:hAnsi="Arial" w:cs="Arial"/>
                <w:noProof w:val="0"/>
                <w:sz w:val="18"/>
                <w:szCs w:val="18"/>
              </w:rPr>
              <w:t>Udruženje vinogradara i vinara Riječke nahije</w:t>
            </w:r>
          </w:p>
        </w:tc>
      </w:tr>
      <w:tr w:rsidR="001D0941" w:rsidRPr="000F2614" w14:paraId="560ADEBE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CB92" w14:textId="775D8AB8" w:rsidR="001D0941" w:rsidRPr="000F2614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6725" w14:textId="59E0C823" w:rsidR="001D0941" w:rsidRPr="00780441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067470">
              <w:rPr>
                <w:rFonts w:ascii="Arial" w:hAnsi="Arial" w:cs="Arial"/>
                <w:noProof w:val="0"/>
                <w:sz w:val="18"/>
                <w:szCs w:val="18"/>
              </w:rPr>
              <w:t>Cetinje, Dobrsko selo bb</w:t>
            </w:r>
          </w:p>
        </w:tc>
      </w:tr>
      <w:tr w:rsidR="001D0941" w:rsidRPr="000F2614" w14:paraId="7EFC0449" w14:textId="77777777" w:rsidTr="006E6585">
        <w:trPr>
          <w:trHeight w:val="32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F2DD" w14:textId="3950BD5E" w:rsidR="001D0941" w:rsidRPr="000F2614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Pravni status, veličina i sastav 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(u slučaju pravnog lica)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124D" w14:textId="5CCEA03D" w:rsidR="001D0941" w:rsidRPr="00780441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067470">
              <w:rPr>
                <w:rFonts w:ascii="Arial" w:hAnsi="Arial" w:cs="Arial"/>
                <w:noProof w:val="0"/>
                <w:sz w:val="18"/>
                <w:szCs w:val="18"/>
              </w:rPr>
              <w:t>NVO</w:t>
            </w:r>
          </w:p>
        </w:tc>
      </w:tr>
      <w:tr w:rsidR="001D0941" w:rsidRPr="000F2614" w14:paraId="42C71D3C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6F70" w14:textId="14263F48" w:rsidR="001D0941" w:rsidRPr="000F2614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Državljanstvo*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EC89" w14:textId="77777777" w:rsidR="001D0941" w:rsidRPr="00780441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1D0941" w:rsidRPr="000F2614" w14:paraId="5A491EA2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5BFD" w14:textId="7F7B105F" w:rsidR="001D0941" w:rsidRPr="000F2614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Telefon, faks, e-mail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E6E8" w14:textId="04A3036E" w:rsidR="001D0941" w:rsidRPr="00780441" w:rsidRDefault="001D0941" w:rsidP="001D094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067470">
              <w:rPr>
                <w:rFonts w:ascii="Arial" w:hAnsi="Arial" w:cs="Arial"/>
                <w:noProof w:val="0"/>
                <w:sz w:val="18"/>
                <w:szCs w:val="18"/>
              </w:rPr>
              <w:t>Tel.: ++382 67 250 888</w:t>
            </w:r>
          </w:p>
        </w:tc>
      </w:tr>
      <w:tr w:rsidR="00DF5DC9" w:rsidRPr="000F2614" w14:paraId="43F7EBB5" w14:textId="77777777" w:rsidTr="00307DB0">
        <w:trPr>
          <w:trHeight w:val="7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0A36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9FE5" w14:textId="77777777" w:rsidR="00DF5DC9" w:rsidRPr="00780441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06556B79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5E97" w14:textId="2F543D2B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Posrednik*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868C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6314823D" w14:textId="77777777" w:rsidTr="006E6585">
        <w:trPr>
          <w:trHeight w:val="32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C6CB" w14:textId="2787518C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Država*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184F" w14:textId="69FC6E8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07DB0" w:rsidRPr="000F2614" w14:paraId="61CDBCED" w14:textId="77777777" w:rsidTr="006E6585">
        <w:trPr>
          <w:trHeight w:val="553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3B73" w14:textId="5757AB5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Nadležno kontrolno tijelo* 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8BD8" w14:textId="093C3A68" w:rsidR="00307DB0" w:rsidRPr="000F2614" w:rsidRDefault="00307DB0" w:rsidP="00307DB0">
            <w:pPr>
              <w:spacing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Ministarstvo poljoprivrede, šumarstva i vodoprivrede Crne Gore</w:t>
            </w: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br/>
              <w:t>Direktorat za poljoprivredu</w:t>
            </w:r>
          </w:p>
        </w:tc>
      </w:tr>
      <w:tr w:rsidR="00307DB0" w:rsidRPr="000F2614" w14:paraId="58144720" w14:textId="77777777" w:rsidTr="006E6585">
        <w:trPr>
          <w:trHeight w:val="76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B9AC" w14:textId="309E7ACF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544D" w14:textId="77777777" w:rsidR="00307DB0" w:rsidRPr="000F2614" w:rsidRDefault="00307DB0" w:rsidP="00307DB0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Rimski trg br. 46</w:t>
            </w:r>
          </w:p>
          <w:p w14:paraId="4A9DEA5C" w14:textId="77777777" w:rsidR="00307DB0" w:rsidRPr="000F2614" w:rsidRDefault="00307DB0" w:rsidP="00307DB0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81000 Podgorica</w:t>
            </w:r>
          </w:p>
          <w:p w14:paraId="2886D7DF" w14:textId="6CEFB3FA" w:rsidR="00307DB0" w:rsidRPr="000F2614" w:rsidRDefault="00307DB0" w:rsidP="00307DB0">
            <w:pPr>
              <w:spacing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07DB0" w:rsidRPr="000F2614" w14:paraId="71C407F1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6A8C" w14:textId="2AF213D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Telefon, faks, e-mail*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411F" w14:textId="77777777" w:rsidR="00307DB0" w:rsidRPr="000F2614" w:rsidRDefault="00307DB0" w:rsidP="00307DB0">
            <w:pPr>
              <w:spacing w:before="120"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Tel. +382 20 234 105</w:t>
            </w:r>
          </w:p>
        </w:tc>
      </w:tr>
      <w:tr w:rsidR="00307DB0" w:rsidRPr="000F2614" w14:paraId="2F36B170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A5E9" w14:textId="50944CD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Naziv oznake za registraciju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8AC7" w14:textId="1CC02B7A" w:rsidR="00307DB0" w:rsidRPr="001D0941" w:rsidRDefault="001D0941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b/>
                <w:bCs/>
                <w:noProof w:val="0"/>
                <w:color w:val="FF0000"/>
                <w:sz w:val="18"/>
                <w:szCs w:val="18"/>
              </w:rPr>
            </w:pPr>
            <w:r w:rsidRPr="001D0941">
              <w:rPr>
                <w:rFonts w:ascii="Arial" w:hAnsi="Arial" w:cs="Arial"/>
                <w:b/>
                <w:noProof w:val="0"/>
                <w:sz w:val="18"/>
                <w:szCs w:val="18"/>
              </w:rPr>
              <w:t>Riječka nahija</w:t>
            </w:r>
          </w:p>
        </w:tc>
      </w:tr>
      <w:tr w:rsidR="00307DB0" w:rsidRPr="000F2614" w14:paraId="53A01021" w14:textId="77777777" w:rsidTr="00280611">
        <w:trPr>
          <w:trHeight w:val="346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D18E" w14:textId="2ECA7FFF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Vrsta oznake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1372" w14:textId="0E9EA311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oznaka porijekla* 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D49B" w14:textId="0D26FD94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9F3422">
              <w:rPr>
                <w:rFonts w:ascii="Arial" w:hAnsi="Arial" w:cs="Arial"/>
                <w:noProof w:val="0"/>
                <w:sz w:val="18"/>
                <w:szCs w:val="18"/>
              </w:rPr>
              <w:t>Zaštićena oznaka porijekla</w:t>
            </w:r>
          </w:p>
        </w:tc>
      </w:tr>
      <w:tr w:rsidR="00307DB0" w:rsidRPr="000F2614" w14:paraId="32454B3D" w14:textId="77777777" w:rsidTr="00280611">
        <w:trPr>
          <w:trHeight w:val="265"/>
        </w:trPr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A951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4E68" w14:textId="673F89BD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geografska oznaka*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DEA5" w14:textId="77777777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66F89BC0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4132" w14:textId="463A0672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Tradicionalni izraz koji se navodi uz naziv oznake porijekla ili geografske oznake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F36E" w14:textId="6DE498F9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3E5310C4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F7F4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385D" w14:textId="77777777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50DF661A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05E6" w14:textId="5CBD3DA4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Vrsta proizvoda od grožđa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0219" w14:textId="4F789791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9F3422">
              <w:rPr>
                <w:rFonts w:ascii="Arial" w:hAnsi="Arial" w:cs="Arial"/>
                <w:noProof w:val="0"/>
                <w:sz w:val="18"/>
                <w:szCs w:val="18"/>
              </w:rPr>
              <w:t>vino</w:t>
            </w:r>
          </w:p>
        </w:tc>
      </w:tr>
      <w:tr w:rsidR="00307DB0" w:rsidRPr="000F2614" w14:paraId="066CD803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D860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80C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156F192E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2F9A" w14:textId="19CC5D05" w:rsidR="00084FED" w:rsidRPr="008533A4" w:rsidRDefault="00084FED" w:rsidP="00084FED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533A4">
              <w:rPr>
                <w:rFonts w:ascii="Arial" w:hAnsi="Arial" w:cs="Arial"/>
                <w:b/>
                <w:sz w:val="18"/>
                <w:szCs w:val="18"/>
              </w:rPr>
              <w:t xml:space="preserve">Opis proizvoda </w:t>
            </w:r>
            <w:r w:rsidR="00B8700A" w:rsidRPr="008533A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(analitička i organoleptička svojstva i </w:t>
            </w:r>
            <w:r w:rsidR="00B8700A" w:rsidRPr="008533A4">
              <w:rPr>
                <w:rFonts w:ascii="Arial" w:eastAsia="Arial" w:hAnsi="Arial" w:cs="Arial"/>
                <w:b/>
                <w:i/>
                <w:sz w:val="20"/>
                <w:szCs w:val="20"/>
                <w:lang w:eastAsia="en-US"/>
              </w:rPr>
              <w:t>sortni sastav</w:t>
            </w:r>
            <w:r w:rsidR="00B8700A" w:rsidRPr="008533A4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 w:rsidR="00B8700A" w:rsidRPr="008533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1D1E23C7" w14:textId="77777777" w:rsidR="00084FED" w:rsidRPr="008533A4" w:rsidRDefault="00084FED" w:rsidP="00084FED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533A4">
              <w:rPr>
                <w:rFonts w:ascii="Arial" w:hAnsi="Arial" w:cs="Arial"/>
                <w:b/>
                <w:sz w:val="18"/>
                <w:szCs w:val="18"/>
              </w:rPr>
              <w:t>Opis glavnih tipova vina prema boji</w:t>
            </w:r>
          </w:p>
          <w:p w14:paraId="785EB06A" w14:textId="79D9A8DE" w:rsidR="008533A4" w:rsidRPr="008533A4" w:rsidRDefault="008533A4" w:rsidP="008533A4">
            <w:pPr>
              <w:spacing w:after="120" w:line="276" w:lineRule="auto"/>
              <w:outlineLvl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8533A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Crvena vina</w:t>
            </w:r>
          </w:p>
          <w:p w14:paraId="63A2C7B2" w14:textId="77777777" w:rsidR="008533A4" w:rsidRPr="008533A4" w:rsidRDefault="008533A4" w:rsidP="008533A4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8533A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Crvena vina ovog područja uglavnom odlikuje duboka, intenzivna boja, koja se kreće od tamnocrvenih do ljubičasto-crvenih nijansi, što je odraz visokog sadržaja antocijana. Pretežno su vina punog tijela, sa umjerenim do visokim sadržajem alkohola, uravnoteženom kiselošću i povišenim sadržajem ekstrakta, koji doprinose njihovoj koncentraciji i strukturi. Aromatskim profilom dominiraju note zrelog i suvog tamnog voća, naročito trešnje, suve šljive, kupine i borovnice, često praćene cvjetnim nijansama poput ljubičice, suptilnim biljnim tonovima i povremenim nagovještajima vanile. Na nepcu su ova vina uglavnom bogata, harmonična i dobro strukturirana, sa taninima koji, u zavisnosti od stila, mogu biti izraženi i čvrsti ili zaobljeni i meki. Uglavnom pokazuju dobru postojanost aroma i srednje dug do dug završetak, dok mnoga imaju značajan potencijal za odležavanje, pri čemu vremenom razvijaju veću kompleksnost i mekše tanine.</w:t>
            </w:r>
          </w:p>
          <w:p w14:paraId="76D3D4CC" w14:textId="77777777" w:rsidR="008533A4" w:rsidRPr="008533A4" w:rsidRDefault="008533A4" w:rsidP="008533A4">
            <w:pPr>
              <w:spacing w:after="120"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8533A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Bijela vina</w:t>
            </w:r>
          </w:p>
          <w:p w14:paraId="48DB0582" w14:textId="2E30583E" w:rsidR="00307DB0" w:rsidRPr="008533A4" w:rsidRDefault="008533A4" w:rsidP="008533A4">
            <w:pPr>
              <w:spacing w:after="120" w:line="276" w:lineRule="auto"/>
              <w:ind w:right="166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533A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Bijela vina odlikuju se kristalno bistrom pojavom i svijetlozlatnožutom bojom sa nježnim zelenkastim refleksima. Karakterišu ih umjeren sadržaj alkohola, svježa kiselost i uravnotežena struktura, koji doprinose njihovoj eleganciji i pitkosti. Aromatski profil zasniva se na zrelom koštičavom i jabučastom voću, naročito breskvi, kruški i dinji, upotpunjenom nježnim cvjetnim notama. Na </w:t>
            </w:r>
            <w:r w:rsidRPr="008533A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lastRenderedPageBreak/>
              <w:t>nepcu su ova vina svježa, ali punog ukusa, pružajući harmoničan balans između voćnog karaktera, kiselosti i sortnosti. Uglavnom su elegantna, osvježavajuća i izražavaju karakteristična svojstva bijelih sorti grožđa ovog područja.</w:t>
            </w:r>
          </w:p>
        </w:tc>
      </w:tr>
      <w:tr w:rsidR="00307DB0" w:rsidRPr="000F2614" w14:paraId="0BD35F0F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C217" w14:textId="295C0014" w:rsidR="00307DB0" w:rsidRPr="008533A4" w:rsidRDefault="00B8700A" w:rsidP="000C7B41">
            <w:pPr>
              <w:spacing w:line="276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533A4">
              <w:rPr>
                <w:rFonts w:ascii="Arial" w:hAnsi="Arial" w:cs="Arial"/>
                <w:b/>
                <w:sz w:val="18"/>
                <w:szCs w:val="18"/>
              </w:rPr>
              <w:lastRenderedPageBreak/>
              <w:t>Posebni enološki postupci</w:t>
            </w:r>
            <w:r w:rsidRPr="008533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3A4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8533A4">
              <w:rPr>
                <w:rFonts w:ascii="Arial" w:hAnsi="Arial" w:cs="Arial"/>
                <w:i/>
                <w:sz w:val="18"/>
                <w:szCs w:val="18"/>
              </w:rPr>
              <w:t>neobavezno</w:t>
            </w:r>
            <w:r w:rsidR="00307DB0" w:rsidRPr="008533A4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D807" w14:textId="77777777" w:rsidR="00307DB0" w:rsidRPr="008533A4" w:rsidRDefault="00307DB0" w:rsidP="000C7B41">
            <w:pPr>
              <w:spacing w:line="276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07DB0" w:rsidRPr="000F2614" w14:paraId="12F43DC2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B416" w14:textId="2C5C33FA" w:rsidR="00C81815" w:rsidRPr="008533A4" w:rsidRDefault="00C81815" w:rsidP="000C7B41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533A4">
              <w:rPr>
                <w:rFonts w:ascii="Arial" w:hAnsi="Arial" w:cs="Arial"/>
                <w:b/>
                <w:sz w:val="18"/>
                <w:szCs w:val="18"/>
              </w:rPr>
              <w:t xml:space="preserve">Razgraničenje geografskog </w:t>
            </w:r>
            <w:r w:rsidR="00B8700A" w:rsidRPr="008533A4">
              <w:rPr>
                <w:rFonts w:ascii="Arial" w:hAnsi="Arial" w:cs="Arial"/>
                <w:b/>
                <w:sz w:val="20"/>
                <w:szCs w:val="20"/>
              </w:rPr>
              <w:t>proizvodnog područja</w:t>
            </w:r>
            <w:r w:rsidR="00B8700A" w:rsidRPr="008533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207C3F9" w14:textId="77777777" w:rsidR="008533A4" w:rsidRPr="008533A4" w:rsidRDefault="008533A4" w:rsidP="000C7B41">
            <w:pPr>
              <w:spacing w:after="120" w:line="276" w:lineRule="auto"/>
              <w:ind w:right="166"/>
              <w:jc w:val="both"/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 w:rsidRPr="008533A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Ovaj subregion obuhvata 18 katastarskih opština na teritoriji prijestonice Cetinje. To su: </w:t>
            </w:r>
            <w:r w:rsidRPr="008533A4">
              <w:rPr>
                <w:rFonts w:ascii="Arial" w:eastAsia="Times New Roman" w:hAnsi="Arial" w:cs="Arial"/>
                <w:bCs/>
                <w:sz w:val="18"/>
                <w:szCs w:val="18"/>
                <w:lang w:eastAsia="en-US"/>
              </w:rPr>
              <w:t>Bobija, Ceklin, Čukovići, Đinovići, Dobrsko Selo, Dodoši, Drušići, Građani, Ljubotinj I, Ljubotinj II, Meterizi, Mihailovići, Prevlaka, Riječani, Rijeka Crnojevića, Rvaši, Štitari i Žabljak Crnojevića.</w:t>
            </w:r>
          </w:p>
          <w:p w14:paraId="04CBA136" w14:textId="65B1094E" w:rsidR="00307DB0" w:rsidRPr="008533A4" w:rsidRDefault="008533A4" w:rsidP="000C7B41">
            <w:pPr>
              <w:spacing w:after="12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33A4">
              <w:rPr>
                <w:rFonts w:ascii="Arial" w:hAnsi="Arial" w:cs="Arial"/>
                <w:sz w:val="18"/>
                <w:szCs w:val="18"/>
              </w:rPr>
              <w:t>Subregion obuhvata i ostrva na Skadarskom jezeru koja pripadaju teritoriji prijestonice Cetinje,</w:t>
            </w:r>
            <w:r w:rsidRPr="008533A4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r w:rsidRPr="008533A4">
              <w:rPr>
                <w:rFonts w:ascii="Arial" w:hAnsi="Arial" w:cs="Arial"/>
                <w:sz w:val="18"/>
                <w:szCs w:val="18"/>
              </w:rPr>
              <w:t xml:space="preserve">kao i </w:t>
            </w:r>
            <w:r>
              <w:rPr>
                <w:rFonts w:ascii="Arial" w:hAnsi="Arial" w:cs="Arial"/>
                <w:sz w:val="18"/>
                <w:szCs w:val="18"/>
              </w:rPr>
              <w:t xml:space="preserve">pet 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vinogradarsk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i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h oaz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a.</w:t>
            </w:r>
            <w:r>
              <w:rPr>
                <w:rStyle w:val="Strong"/>
              </w:rPr>
              <w:t xml:space="preserve"> 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inogradarsk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oaz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Žabljak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8533A4">
              <w:rPr>
                <w:rFonts w:ascii="Arial" w:eastAsia="Arial" w:hAnsi="Arial" w:cs="Arial"/>
                <w:sz w:val="20"/>
                <w:szCs w:val="20"/>
                <w:lang w:eastAsia="en-US"/>
              </w:rPr>
              <w:t>Crnojevi</w:t>
            </w:r>
            <w:r>
              <w:rPr>
                <w:rFonts w:ascii="Arial" w:eastAsia="Arial" w:hAnsi="Arial" w:cs="Arial"/>
                <w:sz w:val="20"/>
                <w:szCs w:val="20"/>
              </w:rPr>
              <w:t>ća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 – Skadarsko jezero</w:t>
            </w:r>
            <w:r w:rsidRPr="008533A4">
              <w:rPr>
                <w:rFonts w:ascii="Arial" w:hAnsi="Arial" w:cs="Arial"/>
                <w:sz w:val="18"/>
                <w:szCs w:val="18"/>
              </w:rPr>
              <w:t>, koja se nalazi na lijevoj obali rijeke Šegrtnice i izvorištu rijeke Male Morače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inogradarsk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</w:t>
            </w:r>
            <w:r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oaz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a </w:t>
            </w:r>
            <w:r w:rsidRPr="006B75BE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Kosijeri</w:t>
            </w:r>
            <w:r w:rsidR="006B75BE" w:rsidRPr="006B75BE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u </w:t>
            </w:r>
            <w:r w:rsidR="006B75BE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KO</w:t>
            </w:r>
            <w:r w:rsidR="006B75BE" w:rsidRPr="008533A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Đinovići. Smještena je između područja Ilinska strana na istoku, Bučalica na jugu i Osoje na zapadu.</w:t>
            </w:r>
            <w:r w:rsidR="006B75BE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</w:t>
            </w:r>
            <w:r w:rsidR="006B75BE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</w:t>
            </w:r>
            <w:r w:rsidR="006B75BE"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inogradarsk</w:t>
            </w:r>
            <w:r w:rsidR="006B75BE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</w:t>
            </w:r>
            <w:r w:rsidR="006B75BE" w:rsidRPr="008533A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oaz</w:t>
            </w:r>
            <w:r w:rsidR="006B75BE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a </w:t>
            </w:r>
            <w:r w:rsidR="006B75BE" w:rsidRPr="006B75BE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Štitari - jug</w:t>
            </w:r>
            <w:r w:rsidR="006B75BE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6B75BE" w:rsidRPr="008533A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obuhvata manju obradivu površinu u plodnoj depresiji zapadno od naselja Štitari i Miogošt.</w:t>
            </w:r>
            <w:r w:rsidR="006B75BE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</w:t>
            </w:r>
            <w:r w:rsidR="006B75BE" w:rsidRPr="006B75BE">
              <w:rPr>
                <w:rFonts w:eastAsia="Times New Roman"/>
                <w:bCs/>
                <w:lang w:eastAsia="en-US"/>
              </w:rPr>
              <w:t xml:space="preserve">Vinogradarska oaza </w:t>
            </w:r>
            <w:r w:rsidR="006B75BE" w:rsidRPr="006B75BE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Štitari – sjever (Grabovi Do)</w:t>
            </w:r>
            <w:r w:rsidRPr="006B75BE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nalazi se u KO Štitari</w:t>
            </w:r>
            <w:r w:rsidR="006B75BE" w:rsidRPr="006B75BE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u plodnoj depresiji</w:t>
            </w:r>
            <w:r w:rsidRPr="006B75BE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sjeverozapadno od naselja Štitari, zapadno od područja Grabova glava i jugozapadno od područja Grabove</w:t>
            </w:r>
            <w:r w:rsidRPr="008533A4">
              <w:rPr>
                <w:rFonts w:ascii="Arial" w:hAnsi="Arial" w:cs="Arial"/>
                <w:sz w:val="18"/>
                <w:szCs w:val="18"/>
              </w:rPr>
              <w:t xml:space="preserve"> kose. </w:t>
            </w:r>
          </w:p>
        </w:tc>
      </w:tr>
      <w:tr w:rsidR="00307DB0" w:rsidRPr="000F2614" w14:paraId="3B89FD46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7102" w14:textId="66416C9C" w:rsidR="00C81815" w:rsidRPr="00C81815" w:rsidRDefault="00C81815" w:rsidP="000C7B41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C81815">
              <w:rPr>
                <w:rFonts w:ascii="Arial" w:hAnsi="Arial" w:cs="Arial"/>
                <w:b/>
                <w:noProof w:val="0"/>
                <w:sz w:val="18"/>
                <w:szCs w:val="18"/>
              </w:rPr>
              <w:t>Maksimalni prinos po hektaru</w:t>
            </w:r>
          </w:p>
          <w:p w14:paraId="52B9982C" w14:textId="77777777" w:rsidR="008533A4" w:rsidRPr="00797873" w:rsidRDefault="008533A4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U </w:t>
            </w:r>
            <w:r w:rsidRPr="0079787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subregionu </w:t>
            </w:r>
            <w:r w:rsidRPr="00797873">
              <w:rPr>
                <w:rStyle w:val="Strong"/>
                <w:rFonts w:ascii="Arial" w:hAnsi="Arial" w:cs="Arial"/>
                <w:b w:val="0"/>
                <w:noProof/>
                <w:sz w:val="18"/>
                <w:szCs w:val="18"/>
                <w:lang w:val="sr-Latn-ME"/>
              </w:rPr>
              <w:t>Riječka nahija</w:t>
            </w:r>
            <w:r w:rsidRPr="0079787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maksimalno opterećenje čokota u komercijalnim vinogradima namijenjenim za proizvodnju vina sa oznakom porijekla kreće se od </w:t>
            </w:r>
            <w:r w:rsidRPr="00797873">
              <w:rPr>
                <w:rStyle w:val="Strong"/>
                <w:rFonts w:ascii="Arial" w:hAnsi="Arial" w:cs="Arial"/>
                <w:b w:val="0"/>
                <w:noProof/>
                <w:sz w:val="18"/>
                <w:szCs w:val="18"/>
                <w:lang w:val="sr-Latn-ME"/>
              </w:rPr>
              <w:t>2 do 3,5 kg po čokotu</w:t>
            </w:r>
            <w:r w:rsidRPr="0079787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u zavisnosti od sorte i gustine sadnje, pri čemu ukupni prinos ne smije prelaziti </w:t>
            </w:r>
            <w:r w:rsidRPr="00797873">
              <w:rPr>
                <w:rStyle w:val="Strong"/>
                <w:rFonts w:ascii="Arial" w:hAnsi="Arial" w:cs="Arial"/>
                <w:b w:val="0"/>
                <w:noProof/>
                <w:sz w:val="18"/>
                <w:szCs w:val="18"/>
                <w:lang w:val="sr-Latn-ME"/>
              </w:rPr>
              <w:t>14.000 kg/ha</w:t>
            </w:r>
            <w:r w:rsidRPr="0079787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5FA44222" w14:textId="379EF68C" w:rsidR="00307DB0" w:rsidRPr="000F2614" w:rsidRDefault="008533A4" w:rsidP="000C7B41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79787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 izuzetno povoljnim godinama prinos se može povećati za dodatnih </w:t>
            </w:r>
            <w:r w:rsidRPr="00797873">
              <w:rPr>
                <w:rStyle w:val="Strong"/>
                <w:rFonts w:ascii="Arial" w:hAnsi="Arial" w:cs="Arial"/>
                <w:b w:val="0"/>
                <w:noProof/>
                <w:sz w:val="18"/>
                <w:szCs w:val="18"/>
                <w:lang w:val="sr-Latn-ME"/>
              </w:rPr>
              <w:t>0,5 kg po čokotu</w:t>
            </w:r>
            <w:r w:rsidRPr="0079787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, pod uslovom da to ne dovede do promjene kvaliteta grožđa, kao ni kvaliteta i karakteristika vina datog područja u odnosu na prosječne vrijednosti.</w:t>
            </w:r>
          </w:p>
        </w:tc>
      </w:tr>
      <w:tr w:rsidR="00307DB0" w:rsidRPr="000F2614" w14:paraId="57D5A9D5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47FD" w14:textId="4259C3F4" w:rsidR="00307DB0" w:rsidRPr="000F2614" w:rsidRDefault="00B8700A" w:rsidP="000C7B41">
            <w:pPr>
              <w:spacing w:after="120" w:line="276" w:lineRule="auto"/>
              <w:rPr>
                <w:rFonts w:ascii="Arial" w:hAnsi="Arial" w:cs="Arial"/>
                <w:b/>
                <w:noProof w:val="0"/>
                <w:color w:val="FF0000"/>
                <w:sz w:val="18"/>
                <w:szCs w:val="18"/>
              </w:rPr>
            </w:pPr>
            <w:r w:rsidRPr="009D4D4C">
              <w:rPr>
                <w:rFonts w:ascii="Arial" w:hAnsi="Arial" w:cs="Arial"/>
                <w:b/>
                <w:noProof w:val="0"/>
                <w:sz w:val="20"/>
                <w:szCs w:val="20"/>
              </w:rPr>
              <w:t>Glavne sorte vinove loze upotrijebljene u proizvodnji</w:t>
            </w:r>
          </w:p>
          <w:p w14:paraId="28BF8ECA" w14:textId="08BF3E69" w:rsidR="00307DB0" w:rsidRPr="000F2614" w:rsidRDefault="008533A4" w:rsidP="000C7B41">
            <w:pPr>
              <w:spacing w:after="108" w:line="276" w:lineRule="auto"/>
              <w:ind w:right="1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Vranac, Kratošija, Krstač, Chardonnay, Merlot, Malvazija, Smederevka i Crna Tamjanika</w:t>
            </w:r>
            <w:r w:rsidRPr="00A565D2">
              <w:rPr>
                <w:rFonts w:ascii="Arial" w:eastAsia="Arial" w:hAnsi="Arial" w:cs="Arial"/>
                <w:sz w:val="18"/>
                <w:szCs w:val="18"/>
                <w:lang w:val="en-US" w:eastAsia="en-US"/>
              </w:rPr>
              <w:t>.</w:t>
            </w:r>
          </w:p>
        </w:tc>
      </w:tr>
      <w:tr w:rsidR="00307DB0" w:rsidRPr="000F2614" w14:paraId="19AEF52F" w14:textId="77777777" w:rsidTr="00280611">
        <w:trPr>
          <w:trHeight w:val="346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D711" w14:textId="2239C2B1" w:rsidR="00B8700A" w:rsidRPr="00E82F4B" w:rsidRDefault="00B8700A" w:rsidP="000C7B41">
            <w:pPr>
              <w:tabs>
                <w:tab w:val="left" w:pos="8931"/>
              </w:tabs>
              <w:spacing w:after="120" w:line="276" w:lineRule="auto"/>
              <w:ind w:right="141"/>
              <w:rPr>
                <w:rFonts w:ascii="Arial" w:hAnsi="Arial" w:cs="Arial"/>
                <w:i/>
                <w:sz w:val="14"/>
                <w:szCs w:val="20"/>
              </w:rPr>
            </w:pPr>
            <w:r w:rsidRPr="00E82F4B">
              <w:rPr>
                <w:rFonts w:ascii="Arial" w:hAnsi="Arial" w:cs="Arial"/>
                <w:b/>
                <w:sz w:val="20"/>
                <w:szCs w:val="20"/>
              </w:rPr>
              <w:t>Povezanost s geografskim područjem</w:t>
            </w:r>
            <w:r w:rsidRPr="00E82F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2F4B">
              <w:rPr>
                <w:rFonts w:ascii="Arial" w:hAnsi="Arial" w:cs="Arial"/>
                <w:i/>
                <w:sz w:val="14"/>
                <w:szCs w:val="20"/>
              </w:rPr>
              <w:t>(opisati poseban kvalitet  proizvoda, ugled i dr. karakt. koje se mogu  pripisati tom geog. porijeklu)</w:t>
            </w:r>
          </w:p>
          <w:p w14:paraId="20A726F8" w14:textId="77777777" w:rsidR="00A0404F" w:rsidRPr="00E82F4B" w:rsidRDefault="00A0404F" w:rsidP="000C7B41">
            <w:pPr>
              <w:widowControl w:val="0"/>
              <w:tabs>
                <w:tab w:val="left" w:pos="239"/>
              </w:tabs>
              <w:autoSpaceDE w:val="0"/>
              <w:autoSpaceDN w:val="0"/>
              <w:spacing w:before="120" w:line="276" w:lineRule="auto"/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</w:pPr>
            <w:r w:rsidRPr="00E82F4B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t>Uzročno-posljedična povezanost: Istorija</w:t>
            </w:r>
          </w:p>
          <w:p w14:paraId="3CF92538" w14:textId="77777777" w:rsidR="003D5EB3" w:rsidRPr="00E82F4B" w:rsidRDefault="003D5EB3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Istorija crnogarskog vinarstva datira iz predrimskog perioda. U vrijeme Ilirske države na prostoru današnje Crne Gore, vinogradi su bili zastupljeni u dolini Skadarskog jezera. </w:t>
            </w:r>
            <w:r w:rsidRPr="00E82F4B">
              <w:rPr>
                <w:rStyle w:val="Strong"/>
                <w:rFonts w:ascii="Arial" w:hAnsi="Arial" w:cs="Arial"/>
                <w:b w:val="0"/>
                <w:noProof/>
                <w:sz w:val="18"/>
                <w:szCs w:val="18"/>
                <w:lang w:val="sr-Latn-ME"/>
              </w:rPr>
              <w:t>Riječka nahija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je vinogradarski kraj sa veoma dugom tradicijom. Slovensko stanovništvo nastavilo je da se bavi uzgojem vinove loze. Istorijski, kao i danas, proizvodnja vina često je predstavljala osnovni izvor egzistencije seoskih domaćinstava. Uprkos nepovoljnim ratnim događajima u novijoj istoriji, vinarstvo se tokom posljednjeg vijeka kontinuirano njegovalo i razvijalo.</w:t>
            </w:r>
          </w:p>
          <w:p w14:paraId="3D159EB3" w14:textId="77777777" w:rsidR="003D5EB3" w:rsidRPr="00E82F4B" w:rsidRDefault="003D5EB3" w:rsidP="000C7B41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 zadruzi </w:t>
            </w:r>
            <w:r w:rsidRPr="00E82F4B">
              <w:rPr>
                <w:rStyle w:val="Strong"/>
                <w:rFonts w:ascii="Arial" w:hAnsi="Arial" w:cs="Arial"/>
                <w:b w:val="0"/>
                <w:noProof/>
                <w:sz w:val="18"/>
                <w:szCs w:val="18"/>
                <w:lang w:val="sr-Latn-ME"/>
              </w:rPr>
              <w:t>Drušići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odvijala se zajednička proizvodnja vina, a kasnije su, izgradnjom i unapređenjem privatnih kapaciteta za preradu, vinari pojedinačno primjenjivali enološka znanja, svjetske trendove i tradicionalne vrijednosti u cilju unapređenja kvaliteta vina.</w:t>
            </w:r>
          </w:p>
          <w:p w14:paraId="104F3413" w14:textId="77777777" w:rsidR="00A0404F" w:rsidRPr="00E82F4B" w:rsidRDefault="00A0404F" w:rsidP="000C7B41">
            <w:pPr>
              <w:widowControl w:val="0"/>
              <w:tabs>
                <w:tab w:val="left" w:pos="239"/>
              </w:tabs>
              <w:autoSpaceDE w:val="0"/>
              <w:autoSpaceDN w:val="0"/>
              <w:spacing w:before="120" w:line="276" w:lineRule="auto"/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</w:pPr>
            <w:r w:rsidRPr="00E82F4B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t>Uzročno-posljedična povezanost: Klima</w:t>
            </w:r>
          </w:p>
          <w:p w14:paraId="1C397DFE" w14:textId="6012AD08" w:rsidR="003D5EB3" w:rsidRPr="00E82F4B" w:rsidRDefault="003D5EB3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Budući da se subregion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Riječka nahija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dijelom nalazi uz obalu Skadarskog jezera, ova vodena površina utiče na mikroklimu područja, prvenstveno u priobalnoj zoni. Pored toga što doprinosi atraktivnosti ovog vinogradarskog područja i utiče na klimatske parametre, Skadarsko jezero, usljed refleksije sunčeve svjetlosti sa svoje prostrane vodene površine, značajno utiče na kvalitet grožđa i vina sa ovog područja.</w:t>
            </w:r>
          </w:p>
          <w:p w14:paraId="1D6D7908" w14:textId="4703C937" w:rsidR="00254938" w:rsidRPr="00BB30C0" w:rsidRDefault="00BB30C0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Ovo vinogradarsko područje ima umjereno blage zime. Uopšteno, subregion Riječka nahija ima optimalne prosječne temperature vazduha za cvjetanje, rast lastara, formiranje pupoljaka i sazrijevanje grožđa. U najvećem dijelu subregiona preovlađuje srednja godišnja temperatura vazduha u rasponu 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12°C do 16°C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P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rosječne minimalne temperature vazduha u decembru, januaru i februaru na ovom području uglavnom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se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kreću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od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-1°C do 1°C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tako da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ne postoji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rizik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od izmrzavanja lastara i </w:t>
            </w: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i višegodišnjih djelova čokota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čak ni u januaru, najhladnijem mjesecu.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Srednja godišnja minimalna temperatura vazduha opada od jugoistoka prema sjeverozapadu i kreće se</w:t>
            </w:r>
            <w:r w:rsidR="00254938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: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u centralnim djelovima </w:t>
            </w:r>
            <w:r w:rsidR="00254938"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od </w:t>
            </w:r>
            <w:r w:rsidR="00254938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8–10°C</w:t>
            </w:r>
            <w:r w:rsidR="00254938"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u zapadnim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6–8°C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, a</w:t>
            </w:r>
            <w:r w:rsidR="00254938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u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sjeverozapadnim 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4–6°C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  <w:r w:rsidR="00254938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="00254938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Prosječan datum posljednjeg mraza na kraju hladnog perioda (LAST_FROST) je 84. dan, dok je prosječan datum prvog mraza na početku hladnog perioda (FIRST_FROST) 308. dan od početka kalendarske godine. Ovi podaci ukazuju na to da u ovom vinogradarskom području ne postoji značajan rizik od kasnih proljećnih, odnosno ranih jesenjih mrazeva.</w:t>
            </w:r>
            <w:r w:rsidR="00254938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="00254938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Na osnovu podataka o broju dana tokom vegetacionog perioda sa prosječnim maksimalnim temperaturama (Tx) jednakim ili višim od 35 °C, subregion Riječka nahija se generalno može okarakterisati kao vinogradarsko područje sa povremenim lokalizovanim pojavama ekstremno visokih temperatura, koje mogu smanjiti asimilaciju ugljen-dioksida, usporiti fotosintezu i povećati potrošnju asimilata usljed intenzivnijeg disanja biljke. Međutim, umjeren broj dana sa izuzetno visokim </w:t>
            </w:r>
            <w:r w:rsidR="00254938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lastRenderedPageBreak/>
              <w:t>prosječnim maksimalnim temperaturama ukazuje na to da ne postoji značajan rizik od zastoja u porastu i razvoju vinove loze ili smanjenja prinosa grožđa.</w:t>
            </w:r>
          </w:p>
          <w:p w14:paraId="120AB695" w14:textId="774B2CB4" w:rsidR="00BB30C0" w:rsidRPr="00E82F4B" w:rsidRDefault="00BB30C0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Subregion Riječka nahija ima izmijenjeni mediteranski režim padavina, sa neravnomjernom raspodjelom tokom godine, pri čemu su padavine u zimskim mjesecima nekoliko puta veće nego tokom ljeta. Najmanja prosječna mjesečna količina padavina j</w:t>
            </w:r>
            <w:r w:rsidR="00254938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e u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julu i iznosi 44,6mm, dok je najveća u decembru i iznosi 541,7mm. Količina padavina povećava se od jugoistoka prema sjeverozapadu, odnosno od obale Skadarskog jezera prema višim predjelima.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Prosječna količina padavina u septembru u ovom subregionu iznosi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220,3 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. Uz obalu Skadarskog jezera, u istočnim i jugoistočnim djelovima, iznosi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150–200mm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dok u sjevernim i zapadnim djelovima iznosi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200–300mm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Prosječna količina padavina tokom vegetacionog perioda 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u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istočnom dijelu subregiona 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iznosi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800–1.000mm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u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centralnom dijelu iznosi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1.000–1.200mm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dok 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je  najviša u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zapadn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o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m d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i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jel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 subregiona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1.200–1.500mm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Najmanja godišnja količina padavina 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je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 istočnom dijelu 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subregiona i iznosi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2.000–2.500mm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dok </w:t>
            </w:r>
            <w:r w:rsidR="002C6654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zapadni dio prima najveću količinu padavina</w:t>
            </w:r>
            <w:r w:rsidR="002C6654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od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3.000–4.000mm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4FA6DAA7" w14:textId="5EB99344" w:rsidR="009A765E" w:rsidRPr="003D5EB3" w:rsidRDefault="009A765E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Srednja relativna vlažnost vazduha u Riječkoj nahiji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nalazi se u optimalnom rasponu i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uglavnom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je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povoljn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a u period po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rast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sazrijevanj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grožđa. Na godišnjem nivou relativna vlažnost u nižim predjelima iznosi oko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70%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dok u višim predjelima dostiže do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75%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4F1F125B" w14:textId="77777777" w:rsidR="009A765E" w:rsidRPr="003D5EB3" w:rsidRDefault="009A765E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Subregion ima dovoljno sunčeve svjetlosti neophodne za odvijanje fotosinteze u listovima vinove loze. Prosječno godišnje trajanje sijanja Sunca iznosi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2.200–2.400 sati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, što obezbjeđuje svjetlosne uslove za normalan rast vinove loze, cvjetanje, oplodnju, sazrijevanje grožđa odgovarajućeg kvaliteta i dobru rodnost pupoljaka.</w:t>
            </w:r>
          </w:p>
          <w:p w14:paraId="62553B29" w14:textId="5A6C6A88" w:rsidR="009A765E" w:rsidRPr="003D5EB3" w:rsidRDefault="009A765E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Dominantni tip zemljišta,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rendzina glinovite teksture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u kombinaciji sa više 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1.200mm padavina tokom vegetacionog perioda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više 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3.000mm godišnje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kao i visokim indeksom suše (DI) većim 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150mm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(humidna klima), ukazuje na povoljan potencijal raspoloživosti vode </w:t>
            </w:r>
            <w:r w:rsidR="00D63B3E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u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ovom području.</w:t>
            </w:r>
            <w:r w:rsidR="00D63B3E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Međutim, </w:t>
            </w:r>
            <w:r w:rsidR="00D63B3E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specifična raspodjela padavina, u pogledu vremena i intenziteta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</w:t>
            </w:r>
            <w:r w:rsidR="00D63B3E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naročito u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kombinaciji s</w:t>
            </w:r>
            <w:r w:rsidR="00D63B3E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određenim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tipovima zemljišta, </w:t>
            </w:r>
            <w:r w:rsidR="00580A07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ukazuje na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rizik od nedostatka </w:t>
            </w:r>
            <w:r w:rsidR="00580A07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vlage potrebne za normalan razvoj vinove loze tokom vegetacionog perioda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 Najveć</w:t>
            </w:r>
            <w:r w:rsidR="00580A07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e količine padavina su u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početnim mjesecima vegetacije, </w:t>
            </w:r>
            <w:r w:rsidR="00580A07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prosje</w:t>
            </w:r>
            <w:r w:rsidR="00580A07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ku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više 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150 mm</w:t>
            </w:r>
            <w:r w:rsidR="00580A07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mjesečno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. Kasnije, tokom ljeta, dugi sušni periodi, koji često traju duže od 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30 dana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</w:t>
            </w:r>
            <w:r w:rsidR="00580A07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posebno u uslovima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visoki</w:t>
            </w:r>
            <w:r w:rsidR="00580A07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h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temperatura, stvaraju rizik od </w:t>
            </w:r>
            <w:r w:rsidR="00580A07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negativnog uticaja ljetnjih 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suš</w:t>
            </w:r>
            <w:r w:rsidR="00580A07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a</w:t>
            </w:r>
            <w:r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. </w:t>
            </w:r>
          </w:p>
          <w:p w14:paraId="10B2A10F" w14:textId="77777777" w:rsidR="00BB30C0" w:rsidRPr="00BB30C0" w:rsidRDefault="00BB30C0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U ovom subregionu nema naročito izraženih rizika od jakih vjetrova, osim tokom sušnih ljetnjih perioda, kada topli vjetrovi dovode do gubitka vlage iz zemljišta i pojave zemljišne i atmosferske suše, što može negativno uticati na fotosintezu, disanje i transpiraciju vinove loze.</w:t>
            </w:r>
          </w:p>
          <w:p w14:paraId="3BD70ECC" w14:textId="77777777" w:rsidR="00E82F4B" w:rsidRPr="003D5EB3" w:rsidRDefault="00BB30C0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Klimu karakteriše visoka relativna vlažnost vazduha usljed magle koja se u ranim jutarnjim satima formira iznad rijeka i jezera, nakon čega snažna ventilacija vazduha tokom dana od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nosi</w:t>
            </w: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vlagu. Lokalizovana visoka vlažnost i jutarnja magla usporavaju fotosintezu, što dovodi do toga da sorte bijelog grožđa koje ranije sazrijevaju razvijaju intenzivne cvjetne i biljne arome. Međutim, u pojedinim povoljnim godinama, usljed klimatskih uslova, vina od nekih sorti, naročito 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v</w:t>
            </w: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ranc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a</w:t>
            </w: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k</w:t>
            </w: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ratošij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e</w:t>
            </w:r>
            <w:r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mogu </w:t>
            </w:r>
            <w:r w:rsidR="00E82F4B"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sadržati više od 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15% vol. alkohola</w:t>
            </w:r>
            <w:r w:rsidR="00E82F4B" w:rsidRPr="003D5EB3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4C032FA2" w14:textId="3F14E063" w:rsidR="003D5EB3" w:rsidRPr="00E82F4B" w:rsidRDefault="003D5EB3" w:rsidP="000C7B41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Vinogradi na terasama brdovitih terena imaju potpuno drugačiju ekspoziciju, uglavnom južnu i jugozapadnu, u odnosu na vinograde na ravnim površinama. Južne padine primaju direktno Sunčevo zračenje pod gotovo pravim uglom, 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ali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difuzno zračenje, odnosno sunčevu svjetlost koja se reflektuje od površine jezera, 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kao i od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</w:t>
            </w:r>
            <w:r w:rsidR="00E82F4B"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svijetlih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krečnjačkih stijena. To znači da grožđe na padinama prima svojevrsnu „dvostruku dozu“ svjetlosti, što značajno utiče na </w:t>
            </w:r>
            <w:r w:rsidR="00E82F4B" w:rsidRPr="00BB30C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intenzitet fotosinteze</w:t>
            </w:r>
            <w:r w:rsidRPr="00E82F4B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nivo polifenola, odnosno tanina i obojenih materija.</w:t>
            </w:r>
          </w:p>
          <w:p w14:paraId="7D25DAE1" w14:textId="1486D90E" w:rsidR="00A60B4F" w:rsidRDefault="00A60B4F" w:rsidP="000C7B41">
            <w:pPr>
              <w:tabs>
                <w:tab w:val="left" w:pos="8931"/>
              </w:tabs>
              <w:spacing w:before="120" w:line="276" w:lineRule="auto"/>
              <w:ind w:right="144"/>
              <w:rPr>
                <w:rFonts w:ascii="Arial" w:hAnsi="Arial" w:cs="Arial"/>
                <w:b/>
                <w:sz w:val="18"/>
                <w:szCs w:val="18"/>
              </w:rPr>
            </w:pPr>
            <w:r w:rsidRPr="00E82F4B">
              <w:rPr>
                <w:rFonts w:ascii="Arial" w:hAnsi="Arial" w:cs="Arial"/>
                <w:b/>
                <w:sz w:val="18"/>
                <w:szCs w:val="18"/>
              </w:rPr>
              <w:t>Uzročno-posljedična povezanost: Geologija i zemljište</w:t>
            </w:r>
          </w:p>
          <w:p w14:paraId="115AC4B5" w14:textId="54D3E105" w:rsidR="001F3868" w:rsidRPr="001F3868" w:rsidRDefault="001F3868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1F3868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Najzastupljeniji tip zemljišta je: rendzina (oko 80%) i crvenica – terra rossa (oko 19%). Rendzina na dolomitno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m krečnjaku je </w:t>
            </w:r>
            <w:r w:rsidRPr="001F3868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karbonatna, glinovita, 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umjereno</w:t>
            </w:r>
            <w:r w:rsidRPr="001F3868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 skeletna i duboka. Prema Svjetskoj referentnoj osnovi za zemlјišta (WRB) klasifikuje se kao endoleptični, skeletni glinoviti kal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k</w:t>
            </w:r>
            <w:r w:rsidRPr="001F3868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isol. Glinovita  zemljišta su teška, u proljeće </w:t>
            </w:r>
            <w:r w:rsidRPr="00F10AB0">
              <w:rPr>
                <w:rFonts w:ascii="Arial" w:eastAsia="Arial" w:hAnsi="Arial" w:cs="Arial"/>
                <w:sz w:val="18"/>
                <w:szCs w:val="18"/>
                <w:lang w:eastAsia="en-US"/>
              </w:rPr>
              <w:t>dugo zadržavaju vlagu i ostaju</w:t>
            </w:r>
            <w:r w:rsidRPr="00F10AB0">
              <w:rPr>
                <w:rFonts w:eastAsia="Times New Roman"/>
                <w:sz w:val="24"/>
                <w:szCs w:val="24"/>
                <w:lang w:val="en-US" w:eastAsia="en-US"/>
              </w:rPr>
              <w:t xml:space="preserve"> </w:t>
            </w:r>
            <w:r w:rsidRPr="001F3868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hladna što utiče na skraćenje vegetacionog perioda, kasniji početak vegetacije. </w:t>
            </w: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Zemljište ima </w:t>
            </w:r>
            <w:r w:rsidRPr="001F3868">
              <w:rPr>
                <w:rFonts w:ascii="Arial" w:eastAsia="Arial" w:hAnsi="Arial" w:cs="Arial"/>
                <w:sz w:val="18"/>
                <w:szCs w:val="18"/>
                <w:lang w:eastAsia="en-US"/>
              </w:rPr>
              <w:t>neutraln</w:t>
            </w:r>
            <w:r w:rsidR="008F5A6F">
              <w:rPr>
                <w:rFonts w:ascii="Arial" w:eastAsia="Arial" w:hAnsi="Arial" w:cs="Arial"/>
                <w:sz w:val="18"/>
                <w:szCs w:val="18"/>
                <w:lang w:eastAsia="en-US"/>
              </w:rPr>
              <w:t>u</w:t>
            </w:r>
            <w:r w:rsidRPr="001F3868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reakcij</w:t>
            </w:r>
            <w:r w:rsidR="008F5A6F">
              <w:rPr>
                <w:rFonts w:ascii="Arial" w:eastAsia="Arial" w:hAnsi="Arial" w:cs="Arial"/>
                <w:sz w:val="18"/>
                <w:szCs w:val="18"/>
                <w:lang w:eastAsia="en-US"/>
              </w:rPr>
              <w:t>u</w:t>
            </w:r>
            <w:r w:rsidRPr="001F3868">
              <w:rPr>
                <w:rFonts w:ascii="Arial" w:eastAsia="Arial" w:hAnsi="Arial" w:cs="Arial"/>
                <w:sz w:val="18"/>
                <w:szCs w:val="18"/>
                <w:lang w:eastAsia="en-US"/>
              </w:rPr>
              <w:t>, što obezbjeđuje optimalne uslove za pristupačnost hranljivih elemenata. Ima povoljan sadržaj mikroelemenata: bakra, gvožđa, mangana i cinka u pristupačnom obliku. Unutrašnja morfologija, raspored i moćnost pedogenetskih horizonata, zatim fizička i hemijska svojstva i mehanički sastav zemljišta u direktnoj su korelaciji s izrazitom mineralnošću vina.</w:t>
            </w:r>
          </w:p>
          <w:p w14:paraId="06483AB9" w14:textId="4D17FF8B" w:rsidR="00F10AB0" w:rsidRPr="00F10AB0" w:rsidRDefault="000B74A5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3D27F2">
              <w:rPr>
                <w:rFonts w:ascii="Arial" w:hAnsi="Arial" w:cs="Arial"/>
                <w:sz w:val="18"/>
                <w:szCs w:val="18"/>
              </w:rPr>
              <w:t xml:space="preserve">Plitka, jako erodirana i kamenita kraška zemljišta, pomiješana sa jezerskim sedimentima i smeđim šumskim glinama, prostiru se duž padina </w:t>
            </w:r>
            <w:r>
              <w:rPr>
                <w:rFonts w:ascii="Arial" w:hAnsi="Arial" w:cs="Arial"/>
                <w:sz w:val="18"/>
                <w:szCs w:val="18"/>
              </w:rPr>
              <w:t>ovog subregiona</w:t>
            </w:r>
            <w:r w:rsidRPr="003D27F2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10AB0" w:rsidRPr="00F10AB0">
              <w:rPr>
                <w:rFonts w:ascii="Arial" w:eastAsia="Arial" w:hAnsi="Arial" w:cs="Arial"/>
                <w:sz w:val="18"/>
                <w:szCs w:val="18"/>
                <w:lang w:eastAsia="en-US"/>
              </w:rPr>
              <w:t>Visok sadržaj krečnjaka daje bijelim vinima izraženu, oštru i kredastu mineralnu strukturu, kao i visoku svježinu.</w:t>
            </w:r>
          </w:p>
          <w:p w14:paraId="48225944" w14:textId="77777777" w:rsidR="004C3F70" w:rsidRPr="00E82F4B" w:rsidRDefault="004C3F70" w:rsidP="000C7B41">
            <w:pPr>
              <w:tabs>
                <w:tab w:val="left" w:pos="8931"/>
              </w:tabs>
              <w:spacing w:before="120" w:line="276" w:lineRule="auto"/>
              <w:ind w:right="144"/>
              <w:rPr>
                <w:rFonts w:ascii="Arial" w:hAnsi="Arial" w:cs="Arial"/>
                <w:b/>
                <w:sz w:val="18"/>
                <w:szCs w:val="18"/>
              </w:rPr>
            </w:pPr>
            <w:r w:rsidRPr="00E82F4B">
              <w:rPr>
                <w:rFonts w:ascii="Arial" w:hAnsi="Arial" w:cs="Arial"/>
                <w:b/>
                <w:sz w:val="18"/>
                <w:szCs w:val="18"/>
              </w:rPr>
              <w:t>Uzročno-posljedična povezanost: Antropogeni faktor</w:t>
            </w:r>
          </w:p>
          <w:p w14:paraId="689D00DA" w14:textId="2C58DDD9" w:rsidR="00D54A0A" w:rsidRPr="001E4D14" w:rsidRDefault="005E462B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Skadarsko jezero, na koje se oslanja ovaj vinogradarski subregion i prema kojem se „strmoglavo spušta“, osim što doprinosi ambijetalnom koloritu i atraktivnosti ovog vinogradarskog područja, ima uticaj na mikroklimu i kvalitet grožđa i vina kao i uticaj na privredne aktivnosti lokalnog stanovništva, prvenstveno u priobalnom dijelu. </w:t>
            </w:r>
            <w:r w:rsidR="00D54A0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G</w:t>
            </w:r>
            <w:r w:rsidR="00D54A0A"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lavne pejzažne karakteristike subregionu Riječka nahija daju brojni kraški oblici nagnuti ka Skadarskom jezeru na padinama, kao i  karakteristična potopljena dolina Rijeke </w:t>
            </w:r>
            <w:r w:rsidR="00D54A0A"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lastRenderedPageBreak/>
              <w:t xml:space="preserve">Crnojevića na kojoj postoje brojni ribarski objekti, mlinovi, kameni mostovi i drugi objekti na vodi. </w:t>
            </w:r>
            <w:r w:rsidR="00D54A0A"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>Posebnu karakteristiku vinogradarskog pejzaža čine kamene terase sa starim vinogradima, postavljene paralelno sa izohipsama i predstavljaju osnovni način gajenja vinove loze.</w:t>
            </w:r>
          </w:p>
          <w:p w14:paraId="4F63FD94" w14:textId="6304761E" w:rsidR="005E462B" w:rsidRPr="005E462B" w:rsidRDefault="005E462B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Osobitost pejzaža je i tipična ruralna arhitektura, </w:t>
            </w:r>
            <w:r w:rsidR="00156A8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kamene 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>kuće, često prilagođene proizvodnji i čuvanju vina</w:t>
            </w:r>
            <w:r w:rsidR="00156A8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kao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 t</w:t>
            </w:r>
            <w:r w:rsidR="00156A8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radicionalna ribar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ska naselja. U prošlosti je proizvodnja vina i rakije, uz ribarenje na jezeru, bila </w:t>
            </w:r>
            <w:r w:rsidR="00156A8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osnovni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izvor prihoda domaćinstvima iz Riječke nahije. I danas je, doprinoseći razvoju ruralnog</w:t>
            </w:r>
            <w:r w:rsidR="00156A8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 agro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>turizma. Očuvane ambijetalne cjeline s divnim pogledom iz raznih perspektiva na nacionalni park Skadarsko jezero, čini ovaj subregion izuzetno atraktivn</w:t>
            </w:r>
            <w:r w:rsidR="00156A8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i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m </w:t>
            </w:r>
            <w:r w:rsidR="00156A8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za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enoturiz</w:t>
            </w:r>
            <w:r w:rsidR="00D54A0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a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m. Proizvođači vina brižno čuvaju tradiciju proizvodeći </w:t>
            </w:r>
            <w:r w:rsidR="00D54A0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male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količin</w:t>
            </w:r>
            <w:r w:rsidR="00D54A0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e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D54A0A"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>visok</w:t>
            </w:r>
            <w:r w:rsidR="00D54A0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o</w:t>
            </w:r>
            <w:r w:rsidR="00D54A0A"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>kvalitet</w:t>
            </w:r>
            <w:r w:rsidR="00D54A0A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nog 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vina uz strogo poštovanje principa očuvanja životne sredine.  </w:t>
            </w:r>
          </w:p>
          <w:p w14:paraId="624B02A4" w14:textId="77777777" w:rsidR="001E4D14" w:rsidRPr="001E4D14" w:rsidRDefault="001E4D14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>Prirodne karakteristike Riječke nahije (klimatske, pedološko-geološke i orografske), dodatno oblikovane djelovanjem čovjeka i njegovanjem tradicionalnog načina proizvodnje vina, jedinstvene su u Evropi i od ključnog su značaja za precizno definisanje područja i zaštitu porijekla autentičnih proizvoda karakterističnog kvaliteta ovog kraja.</w:t>
            </w:r>
          </w:p>
          <w:p w14:paraId="72B1483C" w14:textId="77777777" w:rsidR="001E4D14" w:rsidRPr="001E4D14" w:rsidRDefault="001E4D14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>Zbog konfiguracije terena, prosječna površina parcele pod vinogradom iznosi 0,0941 ha, što je najmanja prosječna površina među vinogradarskim područjima Crne Gore, dok proizvođači u prosjeku posjeduju po tri parcele. Mala površina parcela i obradivih površina, u kombinaciji sa tradicijom i poštovanjem prirodnog okruženja, uslovljava da se sve agrotehničke i ampelotehničke mjere obavljaju ručno i pravovremeno, uz veoma ograničenu primjenu mehanizacije, koja se uglavnom koristi za duboko oranje zemljišta.</w:t>
            </w:r>
          </w:p>
          <w:p w14:paraId="162D0CE7" w14:textId="77777777" w:rsidR="001E4D14" w:rsidRPr="001E4D14" w:rsidRDefault="001E4D14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>U pojedinim vinarijama primjenjuju se rijetke tradicionalne metode odležavanja vina u rustičnim terakotnim amforama ukopanim u zemlju, čime se obezbjeđuje stabilna temperatura tokom odležavanja.</w:t>
            </w:r>
          </w:p>
          <w:p w14:paraId="5954AAFF" w14:textId="0A2C2F2A" w:rsidR="001E4D14" w:rsidRPr="001E4D14" w:rsidRDefault="001E4D14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Maksimalni randman grožđa namijenjenog proizvodnji bijelih i roze vina </w:t>
            </w:r>
            <w:r w:rsidR="005E462B"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je</w:t>
            </w:r>
            <w:r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60%, dok za proizvodnju crvenih vina iznosi 70%. Sve faze proizvodnje vina, uključujući punjenje u ambalažu, obavljaju se unutar subregiona ili, kada je to neophodno zbog ograničenih obradivih površina, u njegovoj neposrednoj blizini, odnosno u susjednom subregionu. Na taj način obezbjeđuju se očuvanje kvaliteta, sljedljivost i efikasna kontrola porijekla.</w:t>
            </w:r>
          </w:p>
          <w:p w14:paraId="2030D181" w14:textId="03B51347" w:rsidR="001E4D14" w:rsidRPr="001E4D14" w:rsidRDefault="001E4D14" w:rsidP="000C7B41">
            <w:pPr>
              <w:widowControl w:val="0"/>
              <w:autoSpaceDE w:val="0"/>
              <w:autoSpaceDN w:val="0"/>
              <w:spacing w:after="120" w:line="276" w:lineRule="auto"/>
              <w:ind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Sadnja crvenih sorti vinove loze na posebno odabranim položajima </w:t>
            </w:r>
            <w:r w:rsidR="00C4316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daje privilegiju </w:t>
            </w:r>
            <w:r w:rsidRPr="001E4D14">
              <w:rPr>
                <w:rFonts w:ascii="Arial" w:eastAsia="Arial" w:hAnsi="Arial" w:cs="Arial"/>
                <w:sz w:val="18"/>
                <w:szCs w:val="18"/>
                <w:lang w:eastAsia="en-US"/>
              </w:rPr>
              <w:t>prethodno opisane „dvostruke doze“ svjetlosti. Korišćenje podruma izgrađenih u prirodnim kraškim formacijama, u kojima se vino proizvodi uz korišćenje gravitacionog toka, doprinosi dobijanju svježih i izraženo mineralnih stilova bijelih vina.</w:t>
            </w:r>
          </w:p>
          <w:p w14:paraId="26B570A3" w14:textId="5806A1C0" w:rsidR="004C3F70" w:rsidRPr="00E82F4B" w:rsidRDefault="004C3F70" w:rsidP="000C7B41">
            <w:pPr>
              <w:widowControl w:val="0"/>
              <w:autoSpaceDE w:val="0"/>
              <w:autoSpaceDN w:val="0"/>
              <w:spacing w:line="276" w:lineRule="auto"/>
              <w:ind w:right="11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00A" w:rsidRPr="000F2614" w14:paraId="7DB129CD" w14:textId="77777777" w:rsidTr="005E26EE">
        <w:trPr>
          <w:trHeight w:val="23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C8FD" w14:textId="4F18D19E" w:rsidR="00B8700A" w:rsidRPr="00B8700A" w:rsidRDefault="00B8700A" w:rsidP="00B8700A">
            <w:pPr>
              <w:spacing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B8700A">
              <w:rPr>
                <w:b/>
                <w:noProof w:val="0"/>
                <w:sz w:val="18"/>
                <w:szCs w:val="20"/>
              </w:rPr>
              <w:lastRenderedPageBreak/>
              <w:t>Veća ili manja geografska cjelina </w:t>
            </w:r>
            <w:r w:rsidRPr="00B8700A">
              <w:rPr>
                <w:b/>
                <w:i/>
                <w:noProof w:val="0"/>
                <w:sz w:val="18"/>
                <w:szCs w:val="20"/>
              </w:rPr>
              <w:t>(neobavezno)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D4A0" w14:textId="094CFBAD" w:rsidR="00B8700A" w:rsidRPr="00B8700A" w:rsidRDefault="00B8700A" w:rsidP="00BB7750">
            <w:pPr>
              <w:spacing w:line="276" w:lineRule="auto"/>
              <w:ind w:right="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700A">
              <w:rPr>
                <w:rFonts w:ascii="Arial" w:hAnsi="Arial" w:cs="Arial"/>
                <w:sz w:val="18"/>
                <w:szCs w:val="18"/>
              </w:rPr>
              <w:t>Na etiketi se mogu navoditi nazivi sljedećih užih geografskih područja:</w:t>
            </w:r>
          </w:p>
          <w:p w14:paraId="012B859B" w14:textId="2388D78C" w:rsidR="00B8700A" w:rsidRPr="00B8700A" w:rsidRDefault="008533A4" w:rsidP="00BB7750">
            <w:pPr>
              <w:spacing w:after="120" w:line="276" w:lineRule="auto"/>
              <w:ind w:right="94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Bobija, Ceklin, Čukovići, Đinovići, Dobrsko Selo, Dodoši, Drušići, Građani, Ljubotinj, Meterizi, Mihailovići, Prevlaka, Riječani, Rijeka Crnojevića, Rvaši, Štitari, Žabljak Crnojevica i Kosijeri.</w:t>
            </w:r>
            <w:r w:rsidR="00B8700A" w:rsidRPr="00780441">
              <w:rPr>
                <w:rFonts w:ascii="Arial" w:hAnsi="Arial" w:cs="Arial"/>
                <w:color w:val="FF0000"/>
                <w:sz w:val="18"/>
                <w:szCs w:val="18"/>
              </w:rPr>
              <w:t xml:space="preserve">. </w:t>
            </w:r>
          </w:p>
        </w:tc>
      </w:tr>
      <w:tr w:rsidR="00B8700A" w:rsidRPr="000F2614" w14:paraId="559E70D6" w14:textId="77777777" w:rsidTr="005E26EE">
        <w:trPr>
          <w:trHeight w:val="79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9AE8" w14:textId="4078AAF6" w:rsidR="00B8700A" w:rsidRPr="00B8700A" w:rsidRDefault="00B8700A" w:rsidP="00B8700A">
            <w:pPr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B8700A">
              <w:rPr>
                <w:b/>
                <w:noProof w:val="0"/>
                <w:sz w:val="18"/>
                <w:szCs w:val="20"/>
              </w:rPr>
              <w:t>Dodatni objektivni zahtjevi i uslovi Udruženja, koje će koristiti zaštićenu oznaku </w:t>
            </w:r>
            <w:r w:rsidRPr="00B8700A">
              <w:rPr>
                <w:b/>
                <w:i/>
                <w:noProof w:val="0"/>
                <w:sz w:val="18"/>
                <w:szCs w:val="20"/>
              </w:rPr>
              <w:t>(neobavezno)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E2E7" w14:textId="77777777" w:rsidR="00B8700A" w:rsidRPr="004C3F70" w:rsidRDefault="00B8700A" w:rsidP="00BB7750">
            <w:pPr>
              <w:spacing w:after="120" w:line="276" w:lineRule="auto"/>
              <w:ind w:right="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3F70">
              <w:rPr>
                <w:rFonts w:ascii="Arial" w:hAnsi="Arial" w:cs="Arial"/>
                <w:sz w:val="18"/>
                <w:szCs w:val="18"/>
              </w:rPr>
              <w:t xml:space="preserve">Dozvoljena je upotreba tradicionalnih izraza </w:t>
            </w:r>
            <w:r w:rsidRPr="00B8700A">
              <w:rPr>
                <w:rFonts w:ascii="Arial" w:hAnsi="Arial" w:cs="Arial"/>
                <w:sz w:val="18"/>
                <w:szCs w:val="18"/>
              </w:rPr>
              <w:t>„arhivsko vino“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8700A">
              <w:rPr>
                <w:rFonts w:ascii="Arial" w:hAnsi="Arial" w:cs="Arial"/>
                <w:sz w:val="18"/>
                <w:szCs w:val="18"/>
              </w:rPr>
              <w:t>„rezerva“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B8700A">
              <w:rPr>
                <w:rFonts w:ascii="Arial" w:hAnsi="Arial" w:cs="Arial"/>
                <w:sz w:val="18"/>
                <w:szCs w:val="18"/>
              </w:rPr>
              <w:t>„probirna berba“</w:t>
            </w:r>
            <w:r w:rsidRPr="004C3F7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20A011" w14:textId="77777777" w:rsidR="00B8700A" w:rsidRPr="009F3422" w:rsidRDefault="00B8700A" w:rsidP="00BB7750">
            <w:pPr>
              <w:spacing w:after="120" w:line="276" w:lineRule="auto"/>
              <w:ind w:right="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3422">
              <w:rPr>
                <w:rFonts w:ascii="Arial" w:hAnsi="Arial" w:cs="Arial"/>
                <w:sz w:val="18"/>
                <w:szCs w:val="18"/>
              </w:rPr>
              <w:t>U skladu sa odredbama Zakona o vinu, dozvoljeno je da vina imaju stvarni sadržaj alkohola veći od 15 % vol.</w:t>
            </w:r>
          </w:p>
          <w:p w14:paraId="1AA99873" w14:textId="77777777" w:rsidR="00B8700A" w:rsidRPr="009F3422" w:rsidRDefault="00B8700A" w:rsidP="00BB7750">
            <w:pPr>
              <w:spacing w:after="120" w:line="276" w:lineRule="auto"/>
              <w:ind w:right="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3422">
              <w:rPr>
                <w:rFonts w:ascii="Arial" w:hAnsi="Arial" w:cs="Arial"/>
                <w:sz w:val="18"/>
                <w:szCs w:val="18"/>
              </w:rPr>
              <w:t>Ograničenja u pogledu stavljanja vina u promet</w:t>
            </w:r>
          </w:p>
          <w:p w14:paraId="094C77D9" w14:textId="11505D63" w:rsidR="00B8700A" w:rsidRPr="00B8700A" w:rsidRDefault="00B8700A" w:rsidP="00BB7750">
            <w:pPr>
              <w:spacing w:after="120" w:line="276" w:lineRule="auto"/>
              <w:ind w:right="94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4C3F70">
              <w:rPr>
                <w:rFonts w:ascii="Arial" w:hAnsi="Arial" w:cs="Arial"/>
                <w:sz w:val="18"/>
                <w:szCs w:val="18"/>
              </w:rPr>
              <w:t xml:space="preserve">Vino sa </w:t>
            </w:r>
            <w:r w:rsidRPr="00B8700A">
              <w:rPr>
                <w:rFonts w:ascii="Arial" w:hAnsi="Arial" w:cs="Arial"/>
                <w:sz w:val="18"/>
                <w:szCs w:val="18"/>
              </w:rPr>
              <w:t>zaštićenom oznakom porijekla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proizvedeno primjenom postupka </w:t>
            </w:r>
            <w:r w:rsidRPr="00B8700A">
              <w:rPr>
                <w:rFonts w:ascii="Arial" w:hAnsi="Arial" w:cs="Arial"/>
                <w:sz w:val="18"/>
                <w:szCs w:val="18"/>
              </w:rPr>
              <w:t>„odležano u drvenom buretu“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8700A">
              <w:rPr>
                <w:rFonts w:ascii="Arial" w:hAnsi="Arial" w:cs="Arial"/>
                <w:sz w:val="18"/>
                <w:szCs w:val="18"/>
              </w:rPr>
              <w:t>„barik“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 ili </w:t>
            </w:r>
            <w:r w:rsidRPr="00B8700A">
              <w:rPr>
                <w:rFonts w:ascii="Arial" w:hAnsi="Arial" w:cs="Arial"/>
                <w:sz w:val="18"/>
                <w:szCs w:val="18"/>
              </w:rPr>
              <w:t>„barrique“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može se staviti u promet najranije </w:t>
            </w:r>
            <w:r w:rsidRPr="00B8700A">
              <w:rPr>
                <w:rFonts w:ascii="Arial" w:hAnsi="Arial" w:cs="Arial"/>
                <w:sz w:val="18"/>
                <w:szCs w:val="18"/>
              </w:rPr>
              <w:t>1. aprila druge godine nakon godine berbe</w:t>
            </w:r>
            <w:r w:rsidRPr="004C3F7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8700A" w:rsidRPr="000F2614" w14:paraId="1DA1DD74" w14:textId="77777777" w:rsidTr="007E6251">
        <w:trPr>
          <w:trHeight w:val="374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93A4" w14:textId="6574301C" w:rsidR="00B8700A" w:rsidRPr="00B8700A" w:rsidRDefault="00B8700A" w:rsidP="00B8700A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B8700A">
              <w:rPr>
                <w:b/>
                <w:noProof w:val="0"/>
                <w:sz w:val="18"/>
                <w:szCs w:val="20"/>
              </w:rPr>
              <w:t>Upućivanje na objavu Specifikacije proizvoda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C282" w14:textId="77777777" w:rsidR="00B8700A" w:rsidRPr="000F2614" w:rsidRDefault="00155C1D" w:rsidP="00B8700A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hyperlink r:id="rId7" w:history="1">
              <w:r w:rsidR="00B8700A" w:rsidRPr="000F2614">
                <w:rPr>
                  <w:rFonts w:ascii="Arial" w:eastAsia="Times New Roman" w:hAnsi="Arial" w:cs="Arial"/>
                  <w:sz w:val="18"/>
                  <w:szCs w:val="18"/>
                  <w:u w:val="single"/>
                </w:rPr>
                <w:t>www.minpolj.gov.me</w:t>
              </w:r>
            </w:hyperlink>
          </w:p>
        </w:tc>
      </w:tr>
    </w:tbl>
    <w:p w14:paraId="65B97804" w14:textId="77777777" w:rsidR="00641AB6" w:rsidRPr="00E20D8C" w:rsidRDefault="00641AB6" w:rsidP="00641AB6">
      <w:pPr>
        <w:jc w:val="right"/>
        <w:rPr>
          <w:rFonts w:asciiTheme="minorHAnsi" w:eastAsia="Times New Roman" w:hAnsiTheme="minorHAnsi" w:cs="Helvetica"/>
          <w:b/>
          <w:bCs/>
          <w:noProof w:val="0"/>
          <w:color w:val="FF0000"/>
          <w:sz w:val="20"/>
          <w:szCs w:val="20"/>
        </w:rPr>
      </w:pPr>
    </w:p>
    <w:p w14:paraId="173E193B" w14:textId="77777777" w:rsidR="00337024" w:rsidRPr="00E20D8C" w:rsidRDefault="00337024" w:rsidP="003F010B">
      <w:pPr>
        <w:spacing w:after="200" w:line="276" w:lineRule="auto"/>
        <w:rPr>
          <w:color w:val="FF0000"/>
        </w:rPr>
      </w:pPr>
      <w:bookmarkStart w:id="1" w:name="_GoBack"/>
      <w:bookmarkEnd w:id="1"/>
    </w:p>
    <w:sectPr w:rsidR="00337024" w:rsidRPr="00E20D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EA0C1" w14:textId="77777777" w:rsidR="00155C1D" w:rsidRDefault="00155C1D" w:rsidP="00B06A99">
      <w:r>
        <w:separator/>
      </w:r>
    </w:p>
  </w:endnote>
  <w:endnote w:type="continuationSeparator" w:id="0">
    <w:p w14:paraId="3FC94AAA" w14:textId="77777777" w:rsidR="00155C1D" w:rsidRDefault="00155C1D" w:rsidP="00B0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615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ABE304" w14:textId="77777777" w:rsidR="00B06A99" w:rsidRDefault="00B06A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30EE44" w14:textId="77777777" w:rsidR="00B06A99" w:rsidRDefault="00B06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06631" w14:textId="77777777" w:rsidR="00155C1D" w:rsidRDefault="00155C1D" w:rsidP="00B06A99">
      <w:r>
        <w:separator/>
      </w:r>
    </w:p>
  </w:footnote>
  <w:footnote w:type="continuationSeparator" w:id="0">
    <w:p w14:paraId="0B0FDB57" w14:textId="77777777" w:rsidR="00155C1D" w:rsidRDefault="00155C1D" w:rsidP="00B06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96E11"/>
    <w:multiLevelType w:val="hybridMultilevel"/>
    <w:tmpl w:val="7752EC28"/>
    <w:lvl w:ilvl="0" w:tplc="21A2948E">
      <w:start w:val="2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09E84BDC"/>
    <w:multiLevelType w:val="hybridMultilevel"/>
    <w:tmpl w:val="7CA68280"/>
    <w:lvl w:ilvl="0" w:tplc="12D4AEA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0A994B1A"/>
    <w:multiLevelType w:val="multilevel"/>
    <w:tmpl w:val="1018C45A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16" w:hanging="7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435" w:hanging="720"/>
      </w:pPr>
      <w:rPr>
        <w:rFonts w:hint="default"/>
      </w:rPr>
    </w:lvl>
    <w:lvl w:ilvl="5">
      <w:numFmt w:val="bullet"/>
      <w:lvlText w:val="•"/>
      <w:lvlJc w:val="left"/>
      <w:pPr>
        <w:ind w:left="4413" w:hanging="720"/>
      </w:pPr>
      <w:rPr>
        <w:rFonts w:hint="default"/>
      </w:rPr>
    </w:lvl>
    <w:lvl w:ilvl="6">
      <w:numFmt w:val="bullet"/>
      <w:lvlText w:val="•"/>
      <w:lvlJc w:val="left"/>
      <w:pPr>
        <w:ind w:left="5392" w:hanging="720"/>
      </w:pPr>
      <w:rPr>
        <w:rFonts w:hint="default"/>
      </w:rPr>
    </w:lvl>
    <w:lvl w:ilvl="7">
      <w:numFmt w:val="bullet"/>
      <w:lvlText w:val="•"/>
      <w:lvlJc w:val="left"/>
      <w:pPr>
        <w:ind w:left="6370" w:hanging="720"/>
      </w:pPr>
      <w:rPr>
        <w:rFonts w:hint="default"/>
      </w:rPr>
    </w:lvl>
    <w:lvl w:ilvl="8">
      <w:numFmt w:val="bullet"/>
      <w:lvlText w:val="•"/>
      <w:lvlJc w:val="left"/>
      <w:pPr>
        <w:ind w:left="7349" w:hanging="720"/>
      </w:pPr>
      <w:rPr>
        <w:rFonts w:hint="default"/>
      </w:rPr>
    </w:lvl>
  </w:abstractNum>
  <w:abstractNum w:abstractNumId="3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4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5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1814FA9"/>
    <w:multiLevelType w:val="multilevel"/>
    <w:tmpl w:val="9AE0EE84"/>
    <w:lvl w:ilvl="0">
      <w:start w:val="1"/>
      <w:numFmt w:val="decimal"/>
      <w:lvlText w:val="%1."/>
      <w:lvlJc w:val="left"/>
      <w:pPr>
        <w:ind w:left="337" w:hanging="221"/>
      </w:pPr>
      <w:rPr>
        <w:rFonts w:ascii="Arial" w:eastAsia="Arial" w:hAnsi="Arial" w:cs="Arial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05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478" w:hanging="389"/>
      </w:pPr>
      <w:rPr>
        <w:rFonts w:hint="default"/>
      </w:rPr>
    </w:lvl>
    <w:lvl w:ilvl="3">
      <w:numFmt w:val="bullet"/>
      <w:lvlText w:val="•"/>
      <w:lvlJc w:val="left"/>
      <w:pPr>
        <w:ind w:left="2456" w:hanging="389"/>
      </w:pPr>
      <w:rPr>
        <w:rFonts w:hint="default"/>
      </w:rPr>
    </w:lvl>
    <w:lvl w:ilvl="4">
      <w:numFmt w:val="bullet"/>
      <w:lvlText w:val="•"/>
      <w:lvlJc w:val="left"/>
      <w:pPr>
        <w:ind w:left="3435" w:hanging="389"/>
      </w:pPr>
      <w:rPr>
        <w:rFonts w:hint="default"/>
      </w:rPr>
    </w:lvl>
    <w:lvl w:ilvl="5">
      <w:numFmt w:val="bullet"/>
      <w:lvlText w:val="•"/>
      <w:lvlJc w:val="left"/>
      <w:pPr>
        <w:ind w:left="4413" w:hanging="389"/>
      </w:pPr>
      <w:rPr>
        <w:rFonts w:hint="default"/>
      </w:rPr>
    </w:lvl>
    <w:lvl w:ilvl="6">
      <w:numFmt w:val="bullet"/>
      <w:lvlText w:val="•"/>
      <w:lvlJc w:val="left"/>
      <w:pPr>
        <w:ind w:left="5392" w:hanging="389"/>
      </w:pPr>
      <w:rPr>
        <w:rFonts w:hint="default"/>
      </w:rPr>
    </w:lvl>
    <w:lvl w:ilvl="7">
      <w:numFmt w:val="bullet"/>
      <w:lvlText w:val="•"/>
      <w:lvlJc w:val="left"/>
      <w:pPr>
        <w:ind w:left="6370" w:hanging="389"/>
      </w:pPr>
      <w:rPr>
        <w:rFonts w:hint="default"/>
      </w:rPr>
    </w:lvl>
    <w:lvl w:ilvl="8">
      <w:numFmt w:val="bullet"/>
      <w:lvlText w:val="•"/>
      <w:lvlJc w:val="left"/>
      <w:pPr>
        <w:ind w:left="7349" w:hanging="389"/>
      </w:pPr>
      <w:rPr>
        <w:rFonts w:hint="default"/>
      </w:rPr>
    </w:lvl>
  </w:abstractNum>
  <w:abstractNum w:abstractNumId="7" w15:restartNumberingAfterBreak="0">
    <w:nsid w:val="31B81A4D"/>
    <w:multiLevelType w:val="multilevel"/>
    <w:tmpl w:val="F3E4045C"/>
    <w:lvl w:ilvl="0">
      <w:start w:val="6"/>
      <w:numFmt w:val="decimal"/>
      <w:lvlText w:val="%1"/>
      <w:lvlJc w:val="left"/>
      <w:pPr>
        <w:ind w:left="116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" w:hanging="55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875" w:hanging="555"/>
      </w:pPr>
      <w:rPr>
        <w:rFonts w:hint="default"/>
      </w:rPr>
    </w:lvl>
    <w:lvl w:ilvl="4">
      <w:numFmt w:val="bullet"/>
      <w:lvlText w:val="•"/>
      <w:lvlJc w:val="left"/>
      <w:pPr>
        <w:ind w:left="3794" w:hanging="555"/>
      </w:pPr>
      <w:rPr>
        <w:rFonts w:hint="default"/>
      </w:rPr>
    </w:lvl>
    <w:lvl w:ilvl="5">
      <w:numFmt w:val="bullet"/>
      <w:lvlText w:val="•"/>
      <w:lvlJc w:val="left"/>
      <w:pPr>
        <w:ind w:left="4713" w:hanging="555"/>
      </w:pPr>
      <w:rPr>
        <w:rFonts w:hint="default"/>
      </w:rPr>
    </w:lvl>
    <w:lvl w:ilvl="6">
      <w:numFmt w:val="bullet"/>
      <w:lvlText w:val="•"/>
      <w:lvlJc w:val="left"/>
      <w:pPr>
        <w:ind w:left="5631" w:hanging="555"/>
      </w:pPr>
      <w:rPr>
        <w:rFonts w:hint="default"/>
      </w:rPr>
    </w:lvl>
    <w:lvl w:ilvl="7">
      <w:numFmt w:val="bullet"/>
      <w:lvlText w:val="•"/>
      <w:lvlJc w:val="left"/>
      <w:pPr>
        <w:ind w:left="6550" w:hanging="555"/>
      </w:pPr>
      <w:rPr>
        <w:rFonts w:hint="default"/>
      </w:rPr>
    </w:lvl>
    <w:lvl w:ilvl="8">
      <w:numFmt w:val="bullet"/>
      <w:lvlText w:val="•"/>
      <w:lvlJc w:val="left"/>
      <w:pPr>
        <w:ind w:left="7469" w:hanging="555"/>
      </w:pPr>
      <w:rPr>
        <w:rFonts w:hint="default"/>
      </w:rPr>
    </w:lvl>
  </w:abstractNum>
  <w:abstractNum w:abstractNumId="8" w15:restartNumberingAfterBreak="0">
    <w:nsid w:val="48DB4EF3"/>
    <w:multiLevelType w:val="hybridMultilevel"/>
    <w:tmpl w:val="BF047070"/>
    <w:lvl w:ilvl="0" w:tplc="15FCA8A6">
      <w:start w:val="1"/>
      <w:numFmt w:val="decimal"/>
      <w:lvlText w:val="%1."/>
      <w:lvlJc w:val="left"/>
      <w:pPr>
        <w:ind w:left="29"/>
      </w:pPr>
      <w:rPr>
        <w:rFonts w:ascii="Arial" w:eastAsiaTheme="minorEastAsia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D4D508">
      <w:start w:val="1"/>
      <w:numFmt w:val="lowerLetter"/>
      <w:lvlText w:val="%2"/>
      <w:lvlJc w:val="left"/>
      <w:pPr>
        <w:ind w:left="13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D272C6">
      <w:start w:val="1"/>
      <w:numFmt w:val="lowerRoman"/>
      <w:lvlText w:val="%3"/>
      <w:lvlJc w:val="left"/>
      <w:pPr>
        <w:ind w:left="20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87758">
      <w:start w:val="1"/>
      <w:numFmt w:val="decimal"/>
      <w:lvlText w:val="%4"/>
      <w:lvlJc w:val="left"/>
      <w:pPr>
        <w:ind w:left="27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3A1C50">
      <w:start w:val="1"/>
      <w:numFmt w:val="lowerLetter"/>
      <w:lvlText w:val="%5"/>
      <w:lvlJc w:val="left"/>
      <w:pPr>
        <w:ind w:left="34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60FF30">
      <w:start w:val="1"/>
      <w:numFmt w:val="lowerRoman"/>
      <w:lvlText w:val="%6"/>
      <w:lvlJc w:val="left"/>
      <w:pPr>
        <w:ind w:left="41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04B316">
      <w:start w:val="1"/>
      <w:numFmt w:val="decimal"/>
      <w:lvlText w:val="%7"/>
      <w:lvlJc w:val="left"/>
      <w:pPr>
        <w:ind w:left="49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0A4910">
      <w:start w:val="1"/>
      <w:numFmt w:val="lowerLetter"/>
      <w:lvlText w:val="%8"/>
      <w:lvlJc w:val="left"/>
      <w:pPr>
        <w:ind w:left="56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40EB40">
      <w:start w:val="1"/>
      <w:numFmt w:val="lowerRoman"/>
      <w:lvlText w:val="%9"/>
      <w:lvlJc w:val="left"/>
      <w:pPr>
        <w:ind w:left="63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5B5179"/>
    <w:multiLevelType w:val="multilevel"/>
    <w:tmpl w:val="610EEC12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456" w:hanging="555"/>
      </w:pPr>
      <w:rPr>
        <w:rFonts w:hint="default"/>
      </w:rPr>
    </w:lvl>
    <w:lvl w:ilvl="4">
      <w:numFmt w:val="bullet"/>
      <w:lvlText w:val="•"/>
      <w:lvlJc w:val="left"/>
      <w:pPr>
        <w:ind w:left="3435" w:hanging="555"/>
      </w:pPr>
      <w:rPr>
        <w:rFonts w:hint="default"/>
      </w:rPr>
    </w:lvl>
    <w:lvl w:ilvl="5">
      <w:numFmt w:val="bullet"/>
      <w:lvlText w:val="•"/>
      <w:lvlJc w:val="left"/>
      <w:pPr>
        <w:ind w:left="4413" w:hanging="555"/>
      </w:pPr>
      <w:rPr>
        <w:rFonts w:hint="default"/>
      </w:rPr>
    </w:lvl>
    <w:lvl w:ilvl="6">
      <w:numFmt w:val="bullet"/>
      <w:lvlText w:val="•"/>
      <w:lvlJc w:val="left"/>
      <w:pPr>
        <w:ind w:left="5392" w:hanging="555"/>
      </w:pPr>
      <w:rPr>
        <w:rFonts w:hint="default"/>
      </w:rPr>
    </w:lvl>
    <w:lvl w:ilvl="7">
      <w:numFmt w:val="bullet"/>
      <w:lvlText w:val="•"/>
      <w:lvlJc w:val="left"/>
      <w:pPr>
        <w:ind w:left="6370" w:hanging="555"/>
      </w:pPr>
      <w:rPr>
        <w:rFonts w:hint="default"/>
      </w:rPr>
    </w:lvl>
    <w:lvl w:ilvl="8">
      <w:numFmt w:val="bullet"/>
      <w:lvlText w:val="•"/>
      <w:lvlJc w:val="left"/>
      <w:pPr>
        <w:ind w:left="7349" w:hanging="555"/>
      </w:pPr>
      <w:rPr>
        <w:rFonts w:hint="default"/>
      </w:rPr>
    </w:lvl>
  </w:abstractNum>
  <w:abstractNum w:abstractNumId="10" w15:restartNumberingAfterBreak="0">
    <w:nsid w:val="54E21E74"/>
    <w:multiLevelType w:val="hybridMultilevel"/>
    <w:tmpl w:val="EF484316"/>
    <w:lvl w:ilvl="0" w:tplc="005AD5F4">
      <w:numFmt w:val="bullet"/>
      <w:lvlText w:val="-"/>
      <w:lvlJc w:val="left"/>
      <w:pPr>
        <w:ind w:left="11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8374649E">
      <w:numFmt w:val="bullet"/>
      <w:lvlText w:val="•"/>
      <w:lvlJc w:val="left"/>
      <w:pPr>
        <w:ind w:left="1038" w:hanging="123"/>
      </w:pPr>
      <w:rPr>
        <w:rFonts w:hint="default"/>
      </w:rPr>
    </w:lvl>
    <w:lvl w:ilvl="2" w:tplc="982094F4">
      <w:numFmt w:val="bullet"/>
      <w:lvlText w:val="•"/>
      <w:lvlJc w:val="left"/>
      <w:pPr>
        <w:ind w:left="1957" w:hanging="123"/>
      </w:pPr>
      <w:rPr>
        <w:rFonts w:hint="default"/>
      </w:rPr>
    </w:lvl>
    <w:lvl w:ilvl="3" w:tplc="CA12A9D6">
      <w:numFmt w:val="bullet"/>
      <w:lvlText w:val="•"/>
      <w:lvlJc w:val="left"/>
      <w:pPr>
        <w:ind w:left="2875" w:hanging="123"/>
      </w:pPr>
      <w:rPr>
        <w:rFonts w:hint="default"/>
      </w:rPr>
    </w:lvl>
    <w:lvl w:ilvl="4" w:tplc="E0E095E6">
      <w:numFmt w:val="bullet"/>
      <w:lvlText w:val="•"/>
      <w:lvlJc w:val="left"/>
      <w:pPr>
        <w:ind w:left="3794" w:hanging="123"/>
      </w:pPr>
      <w:rPr>
        <w:rFonts w:hint="default"/>
      </w:rPr>
    </w:lvl>
    <w:lvl w:ilvl="5" w:tplc="11C89FAC">
      <w:numFmt w:val="bullet"/>
      <w:lvlText w:val="•"/>
      <w:lvlJc w:val="left"/>
      <w:pPr>
        <w:ind w:left="4713" w:hanging="123"/>
      </w:pPr>
      <w:rPr>
        <w:rFonts w:hint="default"/>
      </w:rPr>
    </w:lvl>
    <w:lvl w:ilvl="6" w:tplc="FF82B21C">
      <w:numFmt w:val="bullet"/>
      <w:lvlText w:val="•"/>
      <w:lvlJc w:val="left"/>
      <w:pPr>
        <w:ind w:left="5631" w:hanging="123"/>
      </w:pPr>
      <w:rPr>
        <w:rFonts w:hint="default"/>
      </w:rPr>
    </w:lvl>
    <w:lvl w:ilvl="7" w:tplc="91944C6A">
      <w:numFmt w:val="bullet"/>
      <w:lvlText w:val="•"/>
      <w:lvlJc w:val="left"/>
      <w:pPr>
        <w:ind w:left="6550" w:hanging="123"/>
      </w:pPr>
      <w:rPr>
        <w:rFonts w:hint="default"/>
      </w:rPr>
    </w:lvl>
    <w:lvl w:ilvl="8" w:tplc="0F1AC1A0">
      <w:numFmt w:val="bullet"/>
      <w:lvlText w:val="•"/>
      <w:lvlJc w:val="left"/>
      <w:pPr>
        <w:ind w:left="7469" w:hanging="123"/>
      </w:pPr>
      <w:rPr>
        <w:rFonts w:hint="default"/>
      </w:rPr>
    </w:lvl>
  </w:abstractNum>
  <w:abstractNum w:abstractNumId="11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12"/>
    <w:rsid w:val="0000016E"/>
    <w:rsid w:val="00004D69"/>
    <w:rsid w:val="0002657A"/>
    <w:rsid w:val="000301C3"/>
    <w:rsid w:val="000378D7"/>
    <w:rsid w:val="00037970"/>
    <w:rsid w:val="00041F4D"/>
    <w:rsid w:val="00045B54"/>
    <w:rsid w:val="00072E7A"/>
    <w:rsid w:val="00074C75"/>
    <w:rsid w:val="00081882"/>
    <w:rsid w:val="00081ABC"/>
    <w:rsid w:val="0008200B"/>
    <w:rsid w:val="00084FED"/>
    <w:rsid w:val="0009337C"/>
    <w:rsid w:val="000B1C4E"/>
    <w:rsid w:val="000B280C"/>
    <w:rsid w:val="000B74A5"/>
    <w:rsid w:val="000C7B41"/>
    <w:rsid w:val="000D1520"/>
    <w:rsid w:val="000F2614"/>
    <w:rsid w:val="000F749E"/>
    <w:rsid w:val="001067B6"/>
    <w:rsid w:val="0011380F"/>
    <w:rsid w:val="00120EF2"/>
    <w:rsid w:val="0013233E"/>
    <w:rsid w:val="00141A66"/>
    <w:rsid w:val="001428C5"/>
    <w:rsid w:val="00145B99"/>
    <w:rsid w:val="00155C1D"/>
    <w:rsid w:val="00156A8A"/>
    <w:rsid w:val="00164D06"/>
    <w:rsid w:val="00182609"/>
    <w:rsid w:val="001849F8"/>
    <w:rsid w:val="00186242"/>
    <w:rsid w:val="001A6A60"/>
    <w:rsid w:val="001B4182"/>
    <w:rsid w:val="001B44C7"/>
    <w:rsid w:val="001D0941"/>
    <w:rsid w:val="001D13D5"/>
    <w:rsid w:val="001E4D14"/>
    <w:rsid w:val="001F3868"/>
    <w:rsid w:val="00202706"/>
    <w:rsid w:val="00214AC9"/>
    <w:rsid w:val="00223CAF"/>
    <w:rsid w:val="0022513E"/>
    <w:rsid w:val="00226518"/>
    <w:rsid w:val="00230A93"/>
    <w:rsid w:val="00230DA3"/>
    <w:rsid w:val="00232DFC"/>
    <w:rsid w:val="002363DF"/>
    <w:rsid w:val="00254938"/>
    <w:rsid w:val="00257CFF"/>
    <w:rsid w:val="00261412"/>
    <w:rsid w:val="002750F0"/>
    <w:rsid w:val="00280611"/>
    <w:rsid w:val="00281F37"/>
    <w:rsid w:val="00290A55"/>
    <w:rsid w:val="002953A3"/>
    <w:rsid w:val="002A50B9"/>
    <w:rsid w:val="002C5E0C"/>
    <w:rsid w:val="002C6654"/>
    <w:rsid w:val="002E1212"/>
    <w:rsid w:val="002E2F1F"/>
    <w:rsid w:val="002E74D4"/>
    <w:rsid w:val="00307DB0"/>
    <w:rsid w:val="00312A56"/>
    <w:rsid w:val="00330FA1"/>
    <w:rsid w:val="00337024"/>
    <w:rsid w:val="003561C5"/>
    <w:rsid w:val="00367A6B"/>
    <w:rsid w:val="00377759"/>
    <w:rsid w:val="003812EB"/>
    <w:rsid w:val="00382008"/>
    <w:rsid w:val="003870A5"/>
    <w:rsid w:val="00392970"/>
    <w:rsid w:val="00393884"/>
    <w:rsid w:val="00393EED"/>
    <w:rsid w:val="003A5F21"/>
    <w:rsid w:val="003B6C8B"/>
    <w:rsid w:val="003D5EB3"/>
    <w:rsid w:val="003D7428"/>
    <w:rsid w:val="003E46DE"/>
    <w:rsid w:val="003E626F"/>
    <w:rsid w:val="003F010B"/>
    <w:rsid w:val="003F60F0"/>
    <w:rsid w:val="003F6B91"/>
    <w:rsid w:val="00400799"/>
    <w:rsid w:val="00400E5B"/>
    <w:rsid w:val="00404D34"/>
    <w:rsid w:val="004228A1"/>
    <w:rsid w:val="00427F3F"/>
    <w:rsid w:val="004516EB"/>
    <w:rsid w:val="00462334"/>
    <w:rsid w:val="00471B96"/>
    <w:rsid w:val="00476092"/>
    <w:rsid w:val="00483446"/>
    <w:rsid w:val="00483A73"/>
    <w:rsid w:val="00490B0D"/>
    <w:rsid w:val="004960DC"/>
    <w:rsid w:val="00497ECD"/>
    <w:rsid w:val="004A10E8"/>
    <w:rsid w:val="004A4E39"/>
    <w:rsid w:val="004A6E17"/>
    <w:rsid w:val="004B0861"/>
    <w:rsid w:val="004B2E77"/>
    <w:rsid w:val="004C3F70"/>
    <w:rsid w:val="004D4DB7"/>
    <w:rsid w:val="004F40F3"/>
    <w:rsid w:val="004F6CD7"/>
    <w:rsid w:val="004F6DBB"/>
    <w:rsid w:val="00501553"/>
    <w:rsid w:val="005069A2"/>
    <w:rsid w:val="00513FF2"/>
    <w:rsid w:val="005213E5"/>
    <w:rsid w:val="00567EAA"/>
    <w:rsid w:val="005779A7"/>
    <w:rsid w:val="00580A07"/>
    <w:rsid w:val="005832BE"/>
    <w:rsid w:val="00597162"/>
    <w:rsid w:val="005A26AD"/>
    <w:rsid w:val="005A4EDA"/>
    <w:rsid w:val="005C48F0"/>
    <w:rsid w:val="005D1E0E"/>
    <w:rsid w:val="005D206E"/>
    <w:rsid w:val="005E462B"/>
    <w:rsid w:val="00600B52"/>
    <w:rsid w:val="00606318"/>
    <w:rsid w:val="00622A00"/>
    <w:rsid w:val="00641AB6"/>
    <w:rsid w:val="006624A4"/>
    <w:rsid w:val="00675B92"/>
    <w:rsid w:val="006946F6"/>
    <w:rsid w:val="006A09D6"/>
    <w:rsid w:val="006A0A44"/>
    <w:rsid w:val="006A5B5D"/>
    <w:rsid w:val="006A7B0E"/>
    <w:rsid w:val="006B321E"/>
    <w:rsid w:val="006B515D"/>
    <w:rsid w:val="006B75BE"/>
    <w:rsid w:val="006E4269"/>
    <w:rsid w:val="006E5166"/>
    <w:rsid w:val="006E6585"/>
    <w:rsid w:val="00700CFF"/>
    <w:rsid w:val="00702406"/>
    <w:rsid w:val="00705DC0"/>
    <w:rsid w:val="007114B3"/>
    <w:rsid w:val="00720080"/>
    <w:rsid w:val="0073275B"/>
    <w:rsid w:val="0074068C"/>
    <w:rsid w:val="007407C5"/>
    <w:rsid w:val="00742755"/>
    <w:rsid w:val="007521E6"/>
    <w:rsid w:val="0075761D"/>
    <w:rsid w:val="0075775A"/>
    <w:rsid w:val="0076165C"/>
    <w:rsid w:val="00776D85"/>
    <w:rsid w:val="00780441"/>
    <w:rsid w:val="0078235E"/>
    <w:rsid w:val="00785F89"/>
    <w:rsid w:val="00797873"/>
    <w:rsid w:val="007C3EC9"/>
    <w:rsid w:val="007E6251"/>
    <w:rsid w:val="007E739D"/>
    <w:rsid w:val="007F5189"/>
    <w:rsid w:val="0081246F"/>
    <w:rsid w:val="00827248"/>
    <w:rsid w:val="00830C81"/>
    <w:rsid w:val="008533A4"/>
    <w:rsid w:val="0086292F"/>
    <w:rsid w:val="00863D0B"/>
    <w:rsid w:val="008660DA"/>
    <w:rsid w:val="008B656A"/>
    <w:rsid w:val="008C6912"/>
    <w:rsid w:val="008D10B4"/>
    <w:rsid w:val="008D6A9A"/>
    <w:rsid w:val="008D7E4B"/>
    <w:rsid w:val="008E400B"/>
    <w:rsid w:val="008E75AA"/>
    <w:rsid w:val="008F28A5"/>
    <w:rsid w:val="008F2D36"/>
    <w:rsid w:val="008F4B88"/>
    <w:rsid w:val="008F5A6F"/>
    <w:rsid w:val="008F69A6"/>
    <w:rsid w:val="00900EC0"/>
    <w:rsid w:val="00903BA5"/>
    <w:rsid w:val="00907AAF"/>
    <w:rsid w:val="00910EBA"/>
    <w:rsid w:val="00911233"/>
    <w:rsid w:val="00911336"/>
    <w:rsid w:val="00922CE0"/>
    <w:rsid w:val="009275AE"/>
    <w:rsid w:val="00936BDC"/>
    <w:rsid w:val="0095498C"/>
    <w:rsid w:val="00954BFD"/>
    <w:rsid w:val="0096016A"/>
    <w:rsid w:val="009768F2"/>
    <w:rsid w:val="00990FD8"/>
    <w:rsid w:val="00994D48"/>
    <w:rsid w:val="009A765E"/>
    <w:rsid w:val="009B199E"/>
    <w:rsid w:val="009D794A"/>
    <w:rsid w:val="009F1D73"/>
    <w:rsid w:val="009F3422"/>
    <w:rsid w:val="00A00406"/>
    <w:rsid w:val="00A02835"/>
    <w:rsid w:val="00A0404F"/>
    <w:rsid w:val="00A16C71"/>
    <w:rsid w:val="00A30024"/>
    <w:rsid w:val="00A5242A"/>
    <w:rsid w:val="00A527E8"/>
    <w:rsid w:val="00A5515D"/>
    <w:rsid w:val="00A60B4F"/>
    <w:rsid w:val="00A649F6"/>
    <w:rsid w:val="00A77E95"/>
    <w:rsid w:val="00A8539A"/>
    <w:rsid w:val="00AA59F8"/>
    <w:rsid w:val="00AB649D"/>
    <w:rsid w:val="00AC3163"/>
    <w:rsid w:val="00AC5BC7"/>
    <w:rsid w:val="00AC5FD4"/>
    <w:rsid w:val="00AC63BE"/>
    <w:rsid w:val="00AF5BA2"/>
    <w:rsid w:val="00B06A99"/>
    <w:rsid w:val="00B1262E"/>
    <w:rsid w:val="00B1265F"/>
    <w:rsid w:val="00B16B81"/>
    <w:rsid w:val="00B20269"/>
    <w:rsid w:val="00B26BA6"/>
    <w:rsid w:val="00B26DE1"/>
    <w:rsid w:val="00B301F6"/>
    <w:rsid w:val="00B34C60"/>
    <w:rsid w:val="00B40337"/>
    <w:rsid w:val="00B42B2B"/>
    <w:rsid w:val="00B52AA2"/>
    <w:rsid w:val="00B53D98"/>
    <w:rsid w:val="00B6512B"/>
    <w:rsid w:val="00B83361"/>
    <w:rsid w:val="00B8700A"/>
    <w:rsid w:val="00B97DC5"/>
    <w:rsid w:val="00BA5D51"/>
    <w:rsid w:val="00BB30C0"/>
    <w:rsid w:val="00BB7750"/>
    <w:rsid w:val="00BC37B2"/>
    <w:rsid w:val="00BC4384"/>
    <w:rsid w:val="00BC4AFF"/>
    <w:rsid w:val="00C000F1"/>
    <w:rsid w:val="00C1791A"/>
    <w:rsid w:val="00C22D12"/>
    <w:rsid w:val="00C25E42"/>
    <w:rsid w:val="00C43161"/>
    <w:rsid w:val="00C47BC4"/>
    <w:rsid w:val="00C571B0"/>
    <w:rsid w:val="00C63D44"/>
    <w:rsid w:val="00C64EEA"/>
    <w:rsid w:val="00C81815"/>
    <w:rsid w:val="00C93596"/>
    <w:rsid w:val="00C96D2E"/>
    <w:rsid w:val="00CA168E"/>
    <w:rsid w:val="00CB1192"/>
    <w:rsid w:val="00CB2744"/>
    <w:rsid w:val="00CB59CC"/>
    <w:rsid w:val="00CC5A72"/>
    <w:rsid w:val="00CC6531"/>
    <w:rsid w:val="00D07CA1"/>
    <w:rsid w:val="00D07EA1"/>
    <w:rsid w:val="00D252B1"/>
    <w:rsid w:val="00D27F17"/>
    <w:rsid w:val="00D32E21"/>
    <w:rsid w:val="00D354A1"/>
    <w:rsid w:val="00D367A2"/>
    <w:rsid w:val="00D452E0"/>
    <w:rsid w:val="00D53B8E"/>
    <w:rsid w:val="00D54A0A"/>
    <w:rsid w:val="00D60366"/>
    <w:rsid w:val="00D63B3E"/>
    <w:rsid w:val="00D75A45"/>
    <w:rsid w:val="00D81F7F"/>
    <w:rsid w:val="00D84D9F"/>
    <w:rsid w:val="00D94E80"/>
    <w:rsid w:val="00DA59A0"/>
    <w:rsid w:val="00DB11CE"/>
    <w:rsid w:val="00DC2FBC"/>
    <w:rsid w:val="00DE40C9"/>
    <w:rsid w:val="00DF5DC9"/>
    <w:rsid w:val="00E20D8C"/>
    <w:rsid w:val="00E31924"/>
    <w:rsid w:val="00E4250A"/>
    <w:rsid w:val="00E461AD"/>
    <w:rsid w:val="00E6046F"/>
    <w:rsid w:val="00E615E9"/>
    <w:rsid w:val="00E64C20"/>
    <w:rsid w:val="00E66BB2"/>
    <w:rsid w:val="00E82F4B"/>
    <w:rsid w:val="00E90A25"/>
    <w:rsid w:val="00EB1F2B"/>
    <w:rsid w:val="00EB51DA"/>
    <w:rsid w:val="00EC166D"/>
    <w:rsid w:val="00ED1952"/>
    <w:rsid w:val="00EE78F7"/>
    <w:rsid w:val="00EF0D57"/>
    <w:rsid w:val="00F10AB0"/>
    <w:rsid w:val="00F1300C"/>
    <w:rsid w:val="00F23A11"/>
    <w:rsid w:val="00F23FC1"/>
    <w:rsid w:val="00F26FBD"/>
    <w:rsid w:val="00F356D1"/>
    <w:rsid w:val="00F45227"/>
    <w:rsid w:val="00F467F8"/>
    <w:rsid w:val="00F62BC2"/>
    <w:rsid w:val="00F7622F"/>
    <w:rsid w:val="00F91A2F"/>
    <w:rsid w:val="00F941C3"/>
    <w:rsid w:val="00F95F40"/>
    <w:rsid w:val="00FA53DF"/>
    <w:rsid w:val="00FB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4597C"/>
  <w15:docId w15:val="{67306B09-EBFB-4BBC-98AC-1127DEA8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noProof w:val="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34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4B2E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B2E77"/>
    <w:rPr>
      <w:rFonts w:ascii="Times New Roman" w:eastAsiaTheme="minorEastAsia" w:hAnsi="Times New Roman" w:cs="Times New Roman"/>
      <w:noProof/>
      <w:lang w:val="sr-Latn-CS" w:eastAsia="sr-Latn-ME"/>
    </w:rPr>
  </w:style>
  <w:style w:type="paragraph" w:styleId="Header">
    <w:name w:val="header"/>
    <w:basedOn w:val="Normal"/>
    <w:link w:val="Head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Footer">
    <w:name w:val="footer"/>
    <w:basedOn w:val="Normal"/>
    <w:link w:val="Foot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Revision">
    <w:name w:val="Revision"/>
    <w:hidden/>
    <w:uiPriority w:val="99"/>
    <w:semiHidden/>
    <w:rsid w:val="00393884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paragraph" w:customStyle="1" w:styleId="isselectedend">
    <w:name w:val="isselectedend"/>
    <w:basedOn w:val="Normal"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0404F"/>
    <w:rPr>
      <w:b/>
      <w:bCs/>
    </w:rPr>
  </w:style>
  <w:style w:type="paragraph" w:styleId="NormalWeb">
    <w:name w:val="Normal (Web)"/>
    <w:basedOn w:val="Normal"/>
    <w:uiPriority w:val="99"/>
    <w:unhideWhenUsed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paragraph" w:customStyle="1" w:styleId="pdq2pgselectionanchorcontainer">
    <w:name w:val="pdq2pg_selectionanchorcontainer"/>
    <w:basedOn w:val="Normal"/>
    <w:rsid w:val="008533A4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inpolj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2527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Krstic</dc:creator>
  <cp:keywords/>
  <dc:description/>
  <cp:lastModifiedBy>Marija Krstic</cp:lastModifiedBy>
  <cp:revision>35</cp:revision>
  <cp:lastPrinted>2026-07-28T17:29:00Z</cp:lastPrinted>
  <dcterms:created xsi:type="dcterms:W3CDTF">2026-06-11T11:04:00Z</dcterms:created>
  <dcterms:modified xsi:type="dcterms:W3CDTF">2026-10-02T11:17:00Z</dcterms:modified>
</cp:coreProperties>
</file>