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5CCB1" w14:textId="6F0EA21B" w:rsidR="00CB5570" w:rsidRPr="00CB5570" w:rsidRDefault="00260A23" w:rsidP="00260A23">
      <w:pPr>
        <w:pStyle w:val="NormalWeb"/>
        <w:spacing w:before="0" w:beforeAutospacing="0" w:after="0" w:afterAutospacing="0"/>
        <w:jc w:val="both"/>
        <w:rPr>
          <w:rFonts w:asciiTheme="minorHAnsi" w:eastAsiaTheme="majorEastAsia" w:hAnsiTheme="minorHAnsi" w:cstheme="minorHAnsi"/>
          <w:sz w:val="28"/>
          <w:szCs w:val="28"/>
        </w:rPr>
      </w:pPr>
      <w:r w:rsidRPr="00CB5570">
        <w:rPr>
          <w:rFonts w:ascii="Arial" w:hAnsi="Arial" w:cs="Arial"/>
          <w:noProof/>
          <w:szCs w:val="28"/>
        </w:rPr>
        <mc:AlternateContent>
          <mc:Choice Requires="wps">
            <w:drawing>
              <wp:anchor distT="0" distB="0" distL="114299" distR="114299" simplePos="0" relativeHeight="251659264" behindDoc="0" locked="0" layoutInCell="1" allowOverlap="1" wp14:anchorId="47E999B6" wp14:editId="20C98C0D">
                <wp:simplePos x="0" y="0"/>
                <wp:positionH relativeFrom="column">
                  <wp:posOffset>641553</wp:posOffset>
                </wp:positionH>
                <wp:positionV relativeFrom="paragraph">
                  <wp:posOffset>48895</wp:posOffset>
                </wp:positionV>
                <wp:extent cx="9525" cy="709930"/>
                <wp:effectExtent l="0" t="0" r="28575" b="3302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70993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56F68" id="Straight Connector 54"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0.5pt,3.85pt" to="51.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" strokecolor="#d5b03d" strokeweight="1.5pt">
                <v:stroke joinstyle="miter"/>
                <o:lock v:ext="edit" shapetype="f"/>
              </v:line>
            </w:pict>
          </mc:Fallback>
        </mc:AlternateContent>
      </w:r>
      <w:r w:rsidRPr="00CB5570">
        <w:rPr>
          <w:rFonts w:ascii="Arial" w:hAnsi="Arial" w:cs="Arial"/>
          <w:noProof/>
          <w:szCs w:val="28"/>
        </w:rPr>
        <w:drawing>
          <wp:anchor distT="0" distB="0" distL="114300" distR="114300" simplePos="0" relativeHeight="251660288" behindDoc="0" locked="0" layoutInCell="1" allowOverlap="1" wp14:anchorId="7F91FA1F" wp14:editId="392D4362">
            <wp:simplePos x="0" y="0"/>
            <wp:positionH relativeFrom="margin">
              <wp:align>left</wp:align>
            </wp:positionH>
            <wp:positionV relativeFrom="paragraph">
              <wp:posOffset>7823</wp:posOffset>
            </wp:positionV>
            <wp:extent cx="607387" cy="700391"/>
            <wp:effectExtent l="0" t="0" r="2540" b="508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6912" cy="711375"/>
                    </a:xfrm>
                    <a:prstGeom prst="rect">
                      <a:avLst/>
                    </a:prstGeom>
                  </pic:spPr>
                </pic:pic>
              </a:graphicData>
            </a:graphic>
            <wp14:sizeRelH relativeFrom="margin">
              <wp14:pctWidth>0</wp14:pctWidth>
            </wp14:sizeRelH>
            <wp14:sizeRelV relativeFrom="margin">
              <wp14:pctHeight>0</wp14:pctHeight>
            </wp14:sizeRelV>
          </wp:anchor>
        </w:drawing>
      </w:r>
      <w:r w:rsidR="00CB5570" w:rsidRPr="00CB5570">
        <w:rPr>
          <w:rFonts w:ascii="Arial" w:hAnsi="Arial" w:cs="Arial"/>
          <w:noProof/>
        </w:rPr>
        <w:drawing>
          <wp:anchor distT="0" distB="0" distL="114300" distR="114300" simplePos="0" relativeHeight="251661312" behindDoc="1" locked="0" layoutInCell="1" allowOverlap="1" wp14:anchorId="78A2185F" wp14:editId="4EF49EF3">
            <wp:simplePos x="0" y="0"/>
            <wp:positionH relativeFrom="margin">
              <wp:align>right</wp:align>
            </wp:positionH>
            <wp:positionV relativeFrom="margin">
              <wp:align>top</wp:align>
            </wp:positionV>
            <wp:extent cx="2073275" cy="914400"/>
            <wp:effectExtent l="0" t="0" r="3175"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3275" cy="914400"/>
                    </a:xfrm>
                    <a:prstGeom prst="rect">
                      <a:avLst/>
                    </a:prstGeom>
                  </pic:spPr>
                </pic:pic>
              </a:graphicData>
            </a:graphic>
            <wp14:sizeRelH relativeFrom="margin">
              <wp14:pctWidth>0</wp14:pctWidth>
            </wp14:sizeRelH>
            <wp14:sizeRelV relativeFrom="margin">
              <wp14:pctHeight>0</wp14:pctHeight>
            </wp14:sizeRelV>
          </wp:anchor>
        </w:drawing>
      </w:r>
      <w:r w:rsidR="00CB5570" w:rsidRPr="00CB5570">
        <w:rPr>
          <w:rFonts w:ascii="Arial" w:hAnsi="Arial" w:cs="Arial"/>
          <w:szCs w:val="28"/>
        </w:rPr>
        <w:t xml:space="preserve">                 </w:t>
      </w:r>
      <w:r>
        <w:rPr>
          <w:rFonts w:ascii="Arial" w:hAnsi="Arial" w:cs="Arial"/>
          <w:szCs w:val="28"/>
        </w:rPr>
        <w:t xml:space="preserve"> </w:t>
      </w:r>
      <w:proofErr w:type="spellStart"/>
      <w:r w:rsidR="00CB5570" w:rsidRPr="00CB5570">
        <w:rPr>
          <w:rFonts w:asciiTheme="minorHAnsi" w:hAnsiTheme="minorHAnsi" w:cstheme="minorHAnsi"/>
          <w:sz w:val="28"/>
          <w:szCs w:val="28"/>
        </w:rPr>
        <w:t>Crna</w:t>
      </w:r>
      <w:proofErr w:type="spellEnd"/>
      <w:r w:rsidR="00CB5570" w:rsidRPr="00CB5570">
        <w:rPr>
          <w:rFonts w:asciiTheme="minorHAnsi" w:hAnsiTheme="minorHAnsi" w:cstheme="minorHAnsi"/>
          <w:sz w:val="28"/>
          <w:szCs w:val="28"/>
        </w:rPr>
        <w:t xml:space="preserve"> Gora</w:t>
      </w:r>
    </w:p>
    <w:p w14:paraId="7D7AA08E" w14:textId="1F6DDD22" w:rsidR="00CB5570" w:rsidRPr="00CB5570" w:rsidRDefault="00260A23" w:rsidP="00260A23">
      <w:pPr>
        <w:pStyle w:val="Title"/>
        <w:tabs>
          <w:tab w:val="left" w:pos="4228"/>
          <w:tab w:val="left" w:pos="6541"/>
        </w:tabs>
        <w:spacing w:before="0" w:after="0"/>
        <w:rPr>
          <w:rFonts w:asciiTheme="minorHAnsi" w:hAnsiTheme="minorHAnsi" w:cstheme="minorHAnsi"/>
          <w:szCs w:val="28"/>
        </w:rPr>
      </w:pPr>
      <w:r>
        <w:rPr>
          <w:rFonts w:asciiTheme="minorHAnsi" w:hAnsiTheme="minorHAnsi" w:cstheme="minorHAnsi"/>
          <w:szCs w:val="28"/>
        </w:rPr>
        <w:t xml:space="preserve"> </w:t>
      </w:r>
      <w:r w:rsidR="00CB5570" w:rsidRPr="00CB5570">
        <w:rPr>
          <w:rFonts w:asciiTheme="minorHAnsi" w:hAnsiTheme="minorHAnsi" w:cstheme="minorHAnsi"/>
          <w:szCs w:val="28"/>
        </w:rPr>
        <w:t>Ministarstvo poljoprivrede,</w:t>
      </w:r>
    </w:p>
    <w:p w14:paraId="62AD5B82" w14:textId="54C93233" w:rsidR="00260A23" w:rsidRDefault="00CB5570" w:rsidP="00260A23">
      <w:pPr>
        <w:pStyle w:val="NoSpacing"/>
        <w:tabs>
          <w:tab w:val="center" w:pos="4513"/>
        </w:tabs>
        <w:rPr>
          <w:rFonts w:eastAsia="Times New Roman" w:cstheme="minorHAnsi"/>
          <w:noProof/>
          <w:spacing w:val="-10"/>
          <w:kern w:val="28"/>
          <w:sz w:val="28"/>
          <w:szCs w:val="28"/>
          <w:lang w:val="en-US" w:eastAsia="en-US"/>
        </w:rPr>
      </w:pPr>
      <w:r w:rsidRPr="00CB5570">
        <w:rPr>
          <w:rFonts w:cstheme="minorHAnsi"/>
          <w:sz w:val="28"/>
          <w:szCs w:val="28"/>
        </w:rPr>
        <w:t xml:space="preserve">                  </w:t>
      </w:r>
      <w:r w:rsidR="00260A23">
        <w:rPr>
          <w:rFonts w:cstheme="minorHAnsi"/>
          <w:sz w:val="28"/>
          <w:szCs w:val="28"/>
        </w:rPr>
        <w:t xml:space="preserve"> </w:t>
      </w:r>
      <w:r w:rsidRPr="00CB5570">
        <w:rPr>
          <w:rFonts w:eastAsia="Times New Roman" w:cstheme="minorHAnsi"/>
          <w:noProof/>
          <w:spacing w:val="-10"/>
          <w:kern w:val="28"/>
          <w:sz w:val="28"/>
          <w:szCs w:val="28"/>
          <w:lang w:val="en-US" w:eastAsia="en-US"/>
        </w:rPr>
        <w:t>šumarstva i vodoprivrede</w:t>
      </w:r>
    </w:p>
    <w:p w14:paraId="646E5AE6" w14:textId="4597A7FE" w:rsidR="00CB5570" w:rsidRPr="00CB5570" w:rsidRDefault="00260A23" w:rsidP="00CB5570">
      <w:pPr>
        <w:pStyle w:val="NoSpacing"/>
        <w:tabs>
          <w:tab w:val="center" w:pos="4513"/>
        </w:tabs>
        <w:rPr>
          <w:noProof/>
          <w:sz w:val="28"/>
          <w:szCs w:val="28"/>
          <w:lang w:val="en-US" w:eastAsia="en-US"/>
        </w:rPr>
      </w:pPr>
      <w:r>
        <w:rPr>
          <w:sz w:val="28"/>
          <w:szCs w:val="28"/>
        </w:rPr>
        <w:t xml:space="preserve">                   Direktorat za </w:t>
      </w:r>
      <w:proofErr w:type="spellStart"/>
      <w:r>
        <w:rPr>
          <w:sz w:val="28"/>
          <w:szCs w:val="28"/>
        </w:rPr>
        <w:t>vodoprivredu</w:t>
      </w:r>
      <w:proofErr w:type="spellEnd"/>
      <w:r w:rsidR="00CB5570" w:rsidRPr="00CB5570">
        <w:rPr>
          <w:sz w:val="28"/>
          <w:szCs w:val="28"/>
        </w:rPr>
        <w:tab/>
      </w:r>
    </w:p>
    <w:p w14:paraId="3DF7133A" w14:textId="77777777" w:rsidR="00260A23" w:rsidRDefault="00260A23" w:rsidP="00A337E2">
      <w:pPr>
        <w:pStyle w:val="NormalWeb"/>
        <w:jc w:val="both"/>
        <w:rPr>
          <w:color w:val="000000"/>
          <w:lang w:val="sr-Latn-ME"/>
        </w:rPr>
      </w:pPr>
    </w:p>
    <w:p w14:paraId="1F5B2FB3" w14:textId="66149077" w:rsidR="00A337E2" w:rsidRPr="00A337E2" w:rsidRDefault="00A337E2" w:rsidP="00A337E2">
      <w:pPr>
        <w:pStyle w:val="NormalWeb"/>
        <w:jc w:val="both"/>
        <w:rPr>
          <w:color w:val="000000"/>
          <w:lang w:val="sr-Latn-ME"/>
        </w:rPr>
      </w:pPr>
      <w:r w:rsidRPr="00A337E2">
        <w:rPr>
          <w:color w:val="000000"/>
          <w:lang w:val="sr-Latn-ME"/>
        </w:rPr>
        <w:t xml:space="preserve">Na osnovu člana </w:t>
      </w:r>
      <w:bookmarkStart w:id="0" w:name="_Hlk234488813"/>
      <w:r w:rsidRPr="00A337E2">
        <w:rPr>
          <w:color w:val="000000"/>
          <w:lang w:val="sr-Latn-ME"/>
        </w:rPr>
        <w:t>18 Uredbe o izboru predstavnika nevladinih organizacija u radna tijela organa državne uprave i sprovođenju javne rasprave u pripremi zakona i strategija ("Službeni list Crne Gore", br. 41/18)</w:t>
      </w:r>
      <w:bookmarkEnd w:id="0"/>
      <w:r w:rsidRPr="00A337E2">
        <w:rPr>
          <w:color w:val="000000"/>
          <w:lang w:val="sr-Latn-ME"/>
        </w:rPr>
        <w:t>, Ministarstvo poljoprivrede, šumarstva i vodoprivrede sačinilo je</w:t>
      </w:r>
    </w:p>
    <w:p w14:paraId="0841A772" w14:textId="77777777" w:rsidR="00A337E2" w:rsidRPr="00A337E2" w:rsidRDefault="00A337E2" w:rsidP="00A337E2">
      <w:pPr>
        <w:pStyle w:val="NormalWeb"/>
        <w:jc w:val="center"/>
        <w:rPr>
          <w:b/>
          <w:bCs/>
          <w:color w:val="1F3864" w:themeColor="accent1" w:themeShade="80"/>
          <w:lang w:val="sr-Latn-ME"/>
        </w:rPr>
      </w:pPr>
      <w:r w:rsidRPr="00A337E2">
        <w:rPr>
          <w:b/>
          <w:bCs/>
          <w:color w:val="1F3864" w:themeColor="accent1" w:themeShade="80"/>
          <w:lang w:val="sr-Latn-ME"/>
        </w:rPr>
        <w:t>IZVJEŠTAJ O SPROVEDENOJ JAVNOJ RASPRAVI O NACRTU AŽURIRANE STRATEGIJE UPRAVLJANJA VODAMA DO 2035. GODINE SA AKCIONIM PLANOM ZA PERIOD 2025–2027.</w:t>
      </w:r>
    </w:p>
    <w:p w14:paraId="6B123FD2" w14:textId="18BE705B" w:rsidR="00A337E2" w:rsidRPr="00A337E2" w:rsidRDefault="00A337E2" w:rsidP="00A337E2">
      <w:pPr>
        <w:pStyle w:val="NormalWeb"/>
        <w:jc w:val="both"/>
        <w:rPr>
          <w:color w:val="000000"/>
          <w:lang w:val="sr-Latn-ME"/>
        </w:rPr>
      </w:pPr>
      <w:r w:rsidRPr="00A337E2">
        <w:rPr>
          <w:color w:val="000000"/>
          <w:lang w:val="sr-Latn-ME"/>
        </w:rPr>
        <w:t>Ažurirana Strategija upravljanja vodama do 2035. godine sa Akcionim planom za period 2025–2027. predstavlja strateški dokument kojim se definišu pravci razvoja sektora voda u Crnoj Gori, unapređenje održivog upravljanja vodnim resursima, očuvanje kvaliteta i raspoloživosti voda, unapređenje zaštite od štetnog d</w:t>
      </w:r>
      <w:r w:rsidR="002F1613">
        <w:rPr>
          <w:color w:val="000000"/>
          <w:lang w:val="sr-Latn-ME"/>
        </w:rPr>
        <w:t>ejstva</w:t>
      </w:r>
      <w:r w:rsidRPr="00A337E2">
        <w:rPr>
          <w:color w:val="000000"/>
          <w:lang w:val="sr-Latn-ME"/>
        </w:rPr>
        <w:t xml:space="preserve"> voda, kao i dalje usklađivanje nacionalnog zakonodavstva sa pravnom tekovinom Evropske unije.</w:t>
      </w:r>
    </w:p>
    <w:p w14:paraId="1C2202CD" w14:textId="77777777" w:rsidR="00A337E2" w:rsidRPr="00A337E2" w:rsidRDefault="00A337E2" w:rsidP="00A337E2">
      <w:pPr>
        <w:pStyle w:val="NormalWeb"/>
        <w:jc w:val="both"/>
        <w:rPr>
          <w:color w:val="000000"/>
          <w:lang w:val="sr-Latn-ME"/>
        </w:rPr>
      </w:pPr>
      <w:r w:rsidRPr="00A337E2">
        <w:rPr>
          <w:color w:val="000000"/>
          <w:lang w:val="sr-Latn-ME"/>
        </w:rPr>
        <w:t>Javnu raspravu sprovelo je Ministarstvo poljoprivrede, šumarstva i vodoprivrede u skladu sa Programom javne rasprave o Nacrtu ažurirane Strategije upravljanja vodama do 2035. godine sa Akcionim planom za period 2025–2027.</w:t>
      </w:r>
    </w:p>
    <w:p w14:paraId="3F2CD817" w14:textId="04DDE6E4" w:rsidR="00A337E2" w:rsidRPr="001408D8" w:rsidRDefault="00A337E2" w:rsidP="00522A2A">
      <w:pPr>
        <w:pStyle w:val="NormalWeb"/>
        <w:spacing w:after="0" w:afterAutospacing="0"/>
        <w:jc w:val="both"/>
        <w:rPr>
          <w:b/>
          <w:bCs/>
          <w:color w:val="000000"/>
          <w:lang w:val="sr-Latn-ME"/>
        </w:rPr>
      </w:pPr>
      <w:r w:rsidRPr="001408D8">
        <w:rPr>
          <w:b/>
          <w:bCs/>
          <w:color w:val="000000"/>
          <w:lang w:val="sr-Latn-ME"/>
        </w:rPr>
        <w:t>Vrijeme trajanja javne rasprave</w:t>
      </w:r>
      <w:r w:rsidR="00522A2A">
        <w:rPr>
          <w:b/>
          <w:bCs/>
          <w:color w:val="000000"/>
          <w:lang w:val="sr-Latn-ME"/>
        </w:rPr>
        <w:t>:</w:t>
      </w:r>
    </w:p>
    <w:p w14:paraId="3A14F6E7" w14:textId="2B80A5E7" w:rsidR="00A337E2" w:rsidRDefault="00A337E2" w:rsidP="00A337E2">
      <w:pPr>
        <w:pStyle w:val="NormalWeb"/>
        <w:jc w:val="both"/>
        <w:rPr>
          <w:color w:val="000000"/>
          <w:lang w:val="sr-Latn-ME"/>
        </w:rPr>
      </w:pPr>
      <w:r w:rsidRPr="00A337E2">
        <w:rPr>
          <w:color w:val="000000"/>
          <w:lang w:val="sr-Latn-ME"/>
        </w:rPr>
        <w:t xml:space="preserve">Javna rasprava o Nacrtu ažurirane Strategije upravljanja vodama do 2035. godine sa Akcionim planom za period 2025–2027. sprovedena je u </w:t>
      </w:r>
      <w:r w:rsidR="002B2B99">
        <w:rPr>
          <w:color w:val="000000"/>
          <w:lang w:val="sr-Latn-ME"/>
        </w:rPr>
        <w:t>periodu</w:t>
      </w:r>
      <w:r w:rsidRPr="00A337E2">
        <w:rPr>
          <w:color w:val="000000"/>
          <w:lang w:val="sr-Latn-ME"/>
        </w:rPr>
        <w:t xml:space="preserve"> od 21 dan, od dana objavljivanja javnog poziva na internet stranici Ministarstva poljoprivrede, šumarstva i vodoprivrede</w:t>
      </w:r>
      <w:r w:rsidR="004B7656">
        <w:rPr>
          <w:color w:val="000000"/>
          <w:lang w:val="sr-Latn-ME"/>
        </w:rPr>
        <w:t xml:space="preserve"> i</w:t>
      </w:r>
      <w:r w:rsidRPr="00A337E2">
        <w:rPr>
          <w:color w:val="000000"/>
          <w:lang w:val="sr-Latn-ME"/>
        </w:rPr>
        <w:t xml:space="preserve"> portalu e</w:t>
      </w:r>
      <w:r w:rsidR="004B7656">
        <w:rPr>
          <w:color w:val="000000"/>
          <w:lang w:val="sr-Latn-ME"/>
        </w:rPr>
        <w:t>-u</w:t>
      </w:r>
      <w:r w:rsidRPr="00A337E2">
        <w:rPr>
          <w:color w:val="000000"/>
          <w:lang w:val="sr-Latn-ME"/>
        </w:rPr>
        <w:t>prav</w:t>
      </w:r>
      <w:r w:rsidR="004B7656">
        <w:rPr>
          <w:color w:val="000000"/>
          <w:lang w:val="sr-Latn-ME"/>
        </w:rPr>
        <w:t>e 8. juna 2026. godine i u dnevnim novinama „Nova Pobjeda” 9. juna 2026. godine</w:t>
      </w:r>
      <w:r w:rsidRPr="00A337E2">
        <w:rPr>
          <w:color w:val="000000"/>
          <w:lang w:val="sr-Latn-ME"/>
        </w:rPr>
        <w:t>, u skladu sa Programom javne rasprave</w:t>
      </w:r>
      <w:r w:rsidR="00817C04">
        <w:rPr>
          <w:color w:val="000000"/>
          <w:lang w:val="sr-Latn-ME"/>
        </w:rPr>
        <w:t xml:space="preserve"> do 29.6.2026. godine.</w:t>
      </w:r>
    </w:p>
    <w:p w14:paraId="3FED1225" w14:textId="77777777" w:rsidR="00522A2A" w:rsidRDefault="00A337E2" w:rsidP="00522A2A">
      <w:pPr>
        <w:pStyle w:val="NormalWeb"/>
        <w:spacing w:after="0" w:afterAutospacing="0"/>
        <w:jc w:val="both"/>
        <w:rPr>
          <w:b/>
          <w:bCs/>
          <w:color w:val="000000"/>
          <w:lang w:val="sr-Latn-ME"/>
        </w:rPr>
      </w:pPr>
      <w:r w:rsidRPr="002B2B99">
        <w:rPr>
          <w:b/>
          <w:bCs/>
          <w:color w:val="000000"/>
          <w:lang w:val="sr-Latn-ME"/>
        </w:rPr>
        <w:t>Način sprovođenja javne rasprave</w:t>
      </w:r>
      <w:r w:rsidR="00522A2A">
        <w:rPr>
          <w:b/>
          <w:bCs/>
          <w:color w:val="000000"/>
          <w:lang w:val="sr-Latn-ME"/>
        </w:rPr>
        <w:t>:</w:t>
      </w:r>
    </w:p>
    <w:p w14:paraId="7A3671EF" w14:textId="4D756D6F" w:rsidR="00A337E2" w:rsidRPr="00A337E2" w:rsidRDefault="00A337E2" w:rsidP="00A337E2">
      <w:pPr>
        <w:pStyle w:val="NormalWeb"/>
        <w:jc w:val="both"/>
        <w:rPr>
          <w:color w:val="000000"/>
          <w:lang w:val="sr-Latn-ME"/>
        </w:rPr>
      </w:pPr>
      <w:r w:rsidRPr="00A337E2">
        <w:rPr>
          <w:color w:val="000000"/>
          <w:lang w:val="sr-Latn-ME"/>
        </w:rPr>
        <w:t>Ministarstvo poljoprivrede, šumarstva i vodoprivrede sprovelo je javnu raspravu objavljivanjem Nacrta ažurirane Strategije upravljanja vodama do 2035. godine sa Akcionim planom za period 2025–2027. i Programa javne rasprave na internet stranici Ministarstva, na portalu e-</w:t>
      </w:r>
      <w:r w:rsidR="004B7656">
        <w:rPr>
          <w:color w:val="000000"/>
          <w:lang w:val="sr-Latn-ME"/>
        </w:rPr>
        <w:t>u</w:t>
      </w:r>
      <w:r w:rsidRPr="00A337E2">
        <w:rPr>
          <w:color w:val="000000"/>
          <w:lang w:val="sr-Latn-ME"/>
        </w:rPr>
        <w:t>prav</w:t>
      </w:r>
      <w:r w:rsidR="004B7656">
        <w:rPr>
          <w:color w:val="000000"/>
          <w:lang w:val="sr-Latn-ME"/>
        </w:rPr>
        <w:t>e i</w:t>
      </w:r>
      <w:r w:rsidRPr="00A337E2">
        <w:rPr>
          <w:color w:val="000000"/>
          <w:lang w:val="sr-Latn-ME"/>
        </w:rPr>
        <w:t xml:space="preserve"> objavljivanjem javnog poziva u dnevnom listu „Nova Pobjeda“, kao i organizovanjem dvije javne konferencije, uz upućivanje javnog poziva zainteresovanoj javnosti, uključujući građane, stručnu i naučnu javnost, državne organe, organe lokalne samouprave, javne ustanove, privredna društva, nevladine organizacije i druge zainteresovane subjekte, da uzmu učešće u javnoj raspravi i dostave svoje komentare, prijedloge i sugestije.</w:t>
      </w:r>
    </w:p>
    <w:p w14:paraId="4AA518EE" w14:textId="0837AB86" w:rsidR="003D7373" w:rsidRPr="003D7373" w:rsidRDefault="00A337E2" w:rsidP="003D7373">
      <w:pPr>
        <w:pStyle w:val="NormalWeb"/>
        <w:jc w:val="both"/>
        <w:rPr>
          <w:color w:val="000000"/>
          <w:lang w:val="sr-Latn-ME"/>
        </w:rPr>
      </w:pPr>
      <w:r w:rsidRPr="00A337E2">
        <w:rPr>
          <w:color w:val="000000"/>
          <w:lang w:val="sr-Latn-ME"/>
        </w:rPr>
        <w:t>Javni poziv</w:t>
      </w:r>
      <w:r w:rsidR="00F31F5B">
        <w:rPr>
          <w:color w:val="000000"/>
          <w:lang w:val="sr-Latn-ME"/>
        </w:rPr>
        <w:t xml:space="preserve"> objavljen je 08.06.2026.godine</w:t>
      </w:r>
      <w:r w:rsidRPr="00A337E2">
        <w:rPr>
          <w:color w:val="000000"/>
          <w:lang w:val="sr-Latn-ME"/>
        </w:rPr>
        <w:t xml:space="preserve"> sadržao je informacije o načinu dostavljanja komentara, prijedloga i sugestija u pisanoj i</w:t>
      </w:r>
      <w:r w:rsidR="00780C6B">
        <w:rPr>
          <w:color w:val="000000"/>
          <w:lang w:val="sr-Latn-ME"/>
        </w:rPr>
        <w:t>/ili</w:t>
      </w:r>
      <w:r w:rsidRPr="00A337E2">
        <w:rPr>
          <w:color w:val="000000"/>
          <w:lang w:val="sr-Latn-ME"/>
        </w:rPr>
        <w:t xml:space="preserve"> elektronskoj formi Ministarstvu poljoprivrede, šumarstva i vodoprivrede, do isteka roka javne rasprave</w:t>
      </w:r>
      <w:r w:rsidR="003D7373">
        <w:rPr>
          <w:color w:val="000000"/>
          <w:lang w:val="sr-Latn-ME"/>
        </w:rPr>
        <w:t xml:space="preserve"> </w:t>
      </w:r>
      <w:r w:rsidR="003D7373" w:rsidRPr="003D7373">
        <w:rPr>
          <w:color w:val="000000"/>
          <w:lang w:val="sr-Latn-ME"/>
        </w:rPr>
        <w:t>na sljedeći način:</w:t>
      </w:r>
      <w:r w:rsidR="003D7373">
        <w:rPr>
          <w:color w:val="000000"/>
          <w:lang w:val="sr-Latn-ME"/>
        </w:rPr>
        <w:t xml:space="preserve"> </w:t>
      </w:r>
      <w:r w:rsidR="003D7373" w:rsidRPr="003D7373">
        <w:rPr>
          <w:color w:val="000000"/>
          <w:lang w:val="sr-Latn-ME"/>
        </w:rPr>
        <w:t>na e-mail adresu Ministarstva: zorica.djuranovic@mpsv.gov.me ili</w:t>
      </w:r>
      <w:r w:rsidR="003D7373">
        <w:rPr>
          <w:color w:val="000000"/>
          <w:lang w:val="sr-Latn-ME"/>
        </w:rPr>
        <w:t xml:space="preserve"> </w:t>
      </w:r>
      <w:r w:rsidR="003D7373" w:rsidRPr="003D7373">
        <w:rPr>
          <w:color w:val="000000"/>
          <w:lang w:val="sr-Latn-ME"/>
        </w:rPr>
        <w:t>preko arhive Ministarstva na adresu:     Ministarstvo poljoprivrede, šumarstrva i vodoprivrede, Rimski trg, br. 46, Podgorica, 81000 Podgorica (sa naznakom „Javna rasprava – Nacrt ažurirane strategije upravljanja vodama“).</w:t>
      </w:r>
    </w:p>
    <w:p w14:paraId="305D3FE5" w14:textId="2B17ECC2" w:rsidR="00A337E2" w:rsidRPr="00A337E2" w:rsidRDefault="003A7D5D" w:rsidP="003D7373">
      <w:pPr>
        <w:pStyle w:val="NormalWeb"/>
        <w:jc w:val="both"/>
        <w:rPr>
          <w:color w:val="000000"/>
          <w:lang w:val="sr-Latn-ME"/>
        </w:rPr>
      </w:pPr>
      <w:r>
        <w:rPr>
          <w:color w:val="000000"/>
          <w:lang w:val="sr-Latn-ME"/>
        </w:rPr>
        <w:lastRenderedPageBreak/>
        <w:t>Ovlašćena predstavnica Ministrstva i k</w:t>
      </w:r>
      <w:r w:rsidR="003D7373" w:rsidRPr="003D7373">
        <w:rPr>
          <w:color w:val="000000"/>
          <w:lang w:val="sr-Latn-ME"/>
        </w:rPr>
        <w:t xml:space="preserve">ontakt osoba za koordinaciju konsultacija </w:t>
      </w:r>
      <w:r w:rsidR="004B7656">
        <w:rPr>
          <w:color w:val="000000"/>
          <w:lang w:val="sr-Latn-ME"/>
        </w:rPr>
        <w:t xml:space="preserve">bila </w:t>
      </w:r>
      <w:r w:rsidR="003D7373" w:rsidRPr="003D7373">
        <w:rPr>
          <w:color w:val="000000"/>
          <w:lang w:val="sr-Latn-ME"/>
        </w:rPr>
        <w:t>je:</w:t>
      </w:r>
      <w:r w:rsidR="003D7373">
        <w:rPr>
          <w:color w:val="000000"/>
          <w:lang w:val="sr-Latn-ME"/>
        </w:rPr>
        <w:t xml:space="preserve"> </w:t>
      </w:r>
      <w:r w:rsidR="003D7373" w:rsidRPr="003D7373">
        <w:rPr>
          <w:color w:val="000000"/>
          <w:lang w:val="sr-Latn-ME"/>
        </w:rPr>
        <w:t xml:space="preserve">Zorica Đuranović, </w:t>
      </w:r>
      <w:hyperlink r:id="rId10" w:history="1">
        <w:r w:rsidR="003D7373" w:rsidRPr="007F125F">
          <w:rPr>
            <w:rStyle w:val="Hyperlink"/>
            <w:lang w:val="sr-Latn-ME"/>
          </w:rPr>
          <w:t>zorica.djuranovic@mpsv.gov.me</w:t>
        </w:r>
      </w:hyperlink>
      <w:r w:rsidR="003D7373">
        <w:rPr>
          <w:color w:val="000000"/>
          <w:lang w:val="sr-Latn-ME"/>
        </w:rPr>
        <w:t xml:space="preserve">, </w:t>
      </w:r>
      <w:r w:rsidR="004B7656">
        <w:rPr>
          <w:color w:val="000000"/>
          <w:lang w:val="sr-Latn-ME"/>
        </w:rPr>
        <w:t>t</w:t>
      </w:r>
      <w:r w:rsidR="003D7373" w:rsidRPr="003D7373">
        <w:rPr>
          <w:color w:val="000000"/>
          <w:lang w:val="sr-Latn-ME"/>
        </w:rPr>
        <w:t>el</w:t>
      </w:r>
      <w:r w:rsidR="004B7656">
        <w:rPr>
          <w:color w:val="000000"/>
          <w:lang w:val="sr-Latn-ME"/>
        </w:rPr>
        <w:t>.</w:t>
      </w:r>
      <w:r w:rsidR="003D7373" w:rsidRPr="003D7373">
        <w:rPr>
          <w:color w:val="000000"/>
          <w:lang w:val="sr-Latn-ME"/>
        </w:rPr>
        <w:t>: +382 20 482 260</w:t>
      </w:r>
      <w:r w:rsidR="003D7373">
        <w:rPr>
          <w:color w:val="000000"/>
          <w:lang w:val="sr-Latn-ME"/>
        </w:rPr>
        <w:t>.</w:t>
      </w:r>
    </w:p>
    <w:p w14:paraId="4A861A85" w14:textId="77777777" w:rsidR="00A337E2" w:rsidRPr="00A337E2" w:rsidRDefault="00A337E2" w:rsidP="00A337E2">
      <w:pPr>
        <w:pStyle w:val="NormalWeb"/>
        <w:jc w:val="both"/>
        <w:rPr>
          <w:color w:val="000000"/>
          <w:lang w:val="sr-Latn-ME"/>
        </w:rPr>
      </w:pPr>
      <w:r w:rsidRPr="00A337E2">
        <w:rPr>
          <w:color w:val="000000"/>
          <w:lang w:val="sr-Latn-ME"/>
        </w:rPr>
        <w:t>U okviru javne rasprave organizovane su dvije javne konferencije, i to:</w:t>
      </w:r>
    </w:p>
    <w:p w14:paraId="15B44E2A" w14:textId="4487087E" w:rsidR="00A337E2" w:rsidRPr="00A337E2" w:rsidRDefault="0064669A" w:rsidP="0064669A">
      <w:pPr>
        <w:pStyle w:val="NormalWeb"/>
        <w:numPr>
          <w:ilvl w:val="0"/>
          <w:numId w:val="14"/>
        </w:numPr>
        <w:jc w:val="both"/>
        <w:rPr>
          <w:color w:val="000000"/>
          <w:lang w:val="sr-Latn-ME"/>
        </w:rPr>
      </w:pPr>
      <w:r>
        <w:rPr>
          <w:color w:val="000000"/>
          <w:lang w:val="sr-Latn-ME"/>
        </w:rPr>
        <w:t>J</w:t>
      </w:r>
      <w:r w:rsidR="00A337E2" w:rsidRPr="00A337E2">
        <w:rPr>
          <w:color w:val="000000"/>
          <w:lang w:val="sr-Latn-ME"/>
        </w:rPr>
        <w:t xml:space="preserve">avna konferencija povodom Nacrta ažurirane Strategije upravljanja vodama do 2035. godine sa Akcionim planom za period 2025–2027, održana </w:t>
      </w:r>
      <w:r w:rsidR="00A337E2" w:rsidRPr="0064669A">
        <w:rPr>
          <w:b/>
          <w:bCs/>
          <w:color w:val="000000"/>
          <w:u w:val="single"/>
          <w:lang w:val="sr-Latn-ME"/>
        </w:rPr>
        <w:t>15. juna 2026. godine</w:t>
      </w:r>
      <w:r w:rsidR="00A337E2" w:rsidRPr="00A337E2">
        <w:rPr>
          <w:color w:val="000000"/>
          <w:lang w:val="sr-Latn-ME"/>
        </w:rPr>
        <w:t>, sa početkom u 09:00 časova, u zgradi Rektorata Univerziteta Crne Gore u Podgorici;</w:t>
      </w:r>
    </w:p>
    <w:p w14:paraId="41275FAC" w14:textId="5C2D37FE" w:rsidR="00A337E2" w:rsidRPr="00A337E2" w:rsidRDefault="004B7656" w:rsidP="0064669A">
      <w:pPr>
        <w:pStyle w:val="NormalWeb"/>
        <w:numPr>
          <w:ilvl w:val="0"/>
          <w:numId w:val="14"/>
        </w:numPr>
        <w:jc w:val="both"/>
        <w:rPr>
          <w:color w:val="000000"/>
          <w:lang w:val="sr-Latn-ME"/>
        </w:rPr>
      </w:pPr>
      <w:r>
        <w:rPr>
          <w:color w:val="000000"/>
          <w:lang w:val="sr-Latn-ME"/>
        </w:rPr>
        <w:t>J</w:t>
      </w:r>
      <w:r w:rsidR="00A337E2" w:rsidRPr="00A337E2">
        <w:rPr>
          <w:color w:val="000000"/>
          <w:lang w:val="sr-Latn-ME"/>
        </w:rPr>
        <w:t xml:space="preserve">avna konferencija povodom Nacrta ažurirane Strategije upravljanja vodama do 2035. godine sa Akcionim planom za period 2025–2027, održana </w:t>
      </w:r>
      <w:r w:rsidR="00A337E2" w:rsidRPr="0064669A">
        <w:rPr>
          <w:b/>
          <w:bCs/>
          <w:color w:val="000000"/>
          <w:u w:val="single"/>
          <w:lang w:val="sr-Latn-ME"/>
        </w:rPr>
        <w:t>25. juna 2026. godine</w:t>
      </w:r>
      <w:r w:rsidR="00A337E2" w:rsidRPr="00A337E2">
        <w:rPr>
          <w:color w:val="000000"/>
          <w:lang w:val="sr-Latn-ME"/>
        </w:rPr>
        <w:t>, sa početkom u 09:00 časova, u zgradi Rektorata Univerziteta Crne Gore u Podgorici.</w:t>
      </w:r>
    </w:p>
    <w:p w14:paraId="55DCB9E9" w14:textId="179808EE" w:rsidR="00560ABB" w:rsidRDefault="004B7656" w:rsidP="00A337E2">
      <w:pPr>
        <w:pStyle w:val="NormalWeb"/>
        <w:jc w:val="both"/>
        <w:rPr>
          <w:color w:val="000000"/>
          <w:lang w:val="sr-Latn-ME"/>
        </w:rPr>
      </w:pPr>
      <w:r>
        <w:rPr>
          <w:color w:val="000000"/>
          <w:lang w:val="sr-Latn-ME"/>
        </w:rPr>
        <w:t>Konferencijama su</w:t>
      </w:r>
      <w:r w:rsidR="00560ABB">
        <w:rPr>
          <w:color w:val="000000"/>
          <w:lang w:val="sr-Latn-ME"/>
        </w:rPr>
        <w:t xml:space="preserve"> prisustvovali </w:t>
      </w:r>
      <w:r>
        <w:rPr>
          <w:color w:val="000000"/>
          <w:lang w:val="sr-Latn-ME"/>
        </w:rPr>
        <w:t>preds</w:t>
      </w:r>
      <w:r w:rsidR="007B166E">
        <w:rPr>
          <w:color w:val="000000"/>
          <w:lang w:val="sr-Latn-ME"/>
        </w:rPr>
        <w:t>t</w:t>
      </w:r>
      <w:r>
        <w:rPr>
          <w:color w:val="000000"/>
          <w:lang w:val="sr-Latn-ME"/>
        </w:rPr>
        <w:t>avnici</w:t>
      </w:r>
      <w:r w:rsidR="007B166E">
        <w:rPr>
          <w:color w:val="000000"/>
          <w:lang w:val="sr-Latn-ME"/>
        </w:rPr>
        <w:t xml:space="preserve"> Ministarstva poljoprivrede, šumarstva i vodoprivrede:</w:t>
      </w:r>
      <w:r w:rsidR="00560ABB" w:rsidRPr="00A337E2">
        <w:rPr>
          <w:color w:val="000000"/>
          <w:lang w:val="sr-Latn-ME"/>
        </w:rPr>
        <w:t xml:space="preserve"> Srđan Zekić</w:t>
      </w:r>
      <w:r w:rsidR="00560ABB">
        <w:rPr>
          <w:color w:val="000000"/>
          <w:lang w:val="sr-Latn-ME"/>
        </w:rPr>
        <w:t xml:space="preserve">, </w:t>
      </w:r>
      <w:r w:rsidR="000114E5">
        <w:rPr>
          <w:color w:val="000000"/>
          <w:lang w:val="sr-Latn-ME"/>
        </w:rPr>
        <w:t>Zorica Đuranović, Dragana Đukić, Milica</w:t>
      </w:r>
      <w:r>
        <w:rPr>
          <w:color w:val="000000"/>
          <w:lang w:val="sr-Latn-ME"/>
        </w:rPr>
        <w:t xml:space="preserve"> </w:t>
      </w:r>
      <w:r w:rsidR="00CB5937">
        <w:rPr>
          <w:color w:val="000000"/>
          <w:lang w:val="sr-Latn-ME"/>
        </w:rPr>
        <w:t>Maraš</w:t>
      </w:r>
      <w:r w:rsidR="007B166E">
        <w:rPr>
          <w:color w:val="000000"/>
          <w:lang w:val="sr-Latn-ME"/>
        </w:rPr>
        <w:t xml:space="preserve"> i</w:t>
      </w:r>
      <w:r w:rsidR="00CB5937">
        <w:rPr>
          <w:color w:val="000000"/>
          <w:lang w:val="sr-Latn-ME"/>
        </w:rPr>
        <w:t xml:space="preserve"> Svetlana Vujković</w:t>
      </w:r>
      <w:r w:rsidR="007B166E">
        <w:rPr>
          <w:color w:val="000000"/>
          <w:lang w:val="sr-Latn-ME"/>
        </w:rPr>
        <w:t>;</w:t>
      </w:r>
      <w:r w:rsidR="00CB5937">
        <w:rPr>
          <w:color w:val="000000"/>
          <w:lang w:val="sr-Latn-ME"/>
        </w:rPr>
        <w:t xml:space="preserve"> predstavnici Uprave za vode: </w:t>
      </w:r>
      <w:r w:rsidR="008223AD">
        <w:rPr>
          <w:color w:val="000000"/>
          <w:lang w:val="sr-Latn-ME"/>
        </w:rPr>
        <w:t>Ivan Lalić, Milo Radović</w:t>
      </w:r>
      <w:r w:rsidR="007B166E">
        <w:rPr>
          <w:color w:val="000000"/>
          <w:lang w:val="sr-Latn-ME"/>
        </w:rPr>
        <w:t xml:space="preserve"> i</w:t>
      </w:r>
      <w:r w:rsidR="008223AD">
        <w:rPr>
          <w:color w:val="000000"/>
          <w:lang w:val="sr-Latn-ME"/>
        </w:rPr>
        <w:t xml:space="preserve"> Janko Burzanović</w:t>
      </w:r>
      <w:r w:rsidR="007B166E">
        <w:rPr>
          <w:color w:val="000000"/>
          <w:lang w:val="sr-Latn-ME"/>
        </w:rPr>
        <w:t xml:space="preserve">; </w:t>
      </w:r>
      <w:r w:rsidR="00A304F1">
        <w:rPr>
          <w:color w:val="000000"/>
          <w:lang w:val="sr-Latn-ME"/>
        </w:rPr>
        <w:t>predstavnica Z</w:t>
      </w:r>
      <w:r w:rsidR="007B166E">
        <w:rPr>
          <w:color w:val="000000"/>
          <w:lang w:val="sr-Latn-ME"/>
        </w:rPr>
        <w:t>avoda za hidrometeorologiju i seizmologiju:</w:t>
      </w:r>
      <w:r w:rsidR="00A304F1">
        <w:rPr>
          <w:color w:val="000000"/>
          <w:lang w:val="sr-Latn-ME"/>
        </w:rPr>
        <w:t xml:space="preserve"> Kumrija Šestović</w:t>
      </w:r>
      <w:r w:rsidR="007B166E">
        <w:rPr>
          <w:color w:val="000000"/>
          <w:lang w:val="sr-Latn-ME"/>
        </w:rPr>
        <w:t>;</w:t>
      </w:r>
      <w:r w:rsidR="00A304F1">
        <w:rPr>
          <w:color w:val="000000"/>
          <w:lang w:val="sr-Latn-ME"/>
        </w:rPr>
        <w:t xml:space="preserve"> predstavnic</w:t>
      </w:r>
      <w:r w:rsidR="007B166E">
        <w:rPr>
          <w:color w:val="000000"/>
          <w:lang w:val="sr-Latn-ME"/>
        </w:rPr>
        <w:t>e</w:t>
      </w:r>
      <w:r w:rsidR="00A304F1">
        <w:rPr>
          <w:color w:val="000000"/>
          <w:lang w:val="sr-Latn-ME"/>
        </w:rPr>
        <w:t xml:space="preserve"> M</w:t>
      </w:r>
      <w:r w:rsidR="008F1D6D">
        <w:rPr>
          <w:color w:val="000000"/>
          <w:lang w:val="sr-Latn-ME"/>
        </w:rPr>
        <w:t>inistarstva unutrašnjih poslova: Ljiljana Vučetić</w:t>
      </w:r>
      <w:r w:rsidR="00E122A1">
        <w:rPr>
          <w:color w:val="000000"/>
          <w:lang w:val="sr-Latn-ME"/>
        </w:rPr>
        <w:t xml:space="preserve"> i Zorica Marković</w:t>
      </w:r>
      <w:r w:rsidR="007B166E">
        <w:rPr>
          <w:color w:val="000000"/>
          <w:lang w:val="sr-Latn-ME"/>
        </w:rPr>
        <w:t>;</w:t>
      </w:r>
      <w:r w:rsidR="00E122A1">
        <w:rPr>
          <w:color w:val="000000"/>
          <w:lang w:val="sr-Latn-ME"/>
        </w:rPr>
        <w:t xml:space="preserve"> </w:t>
      </w:r>
      <w:r w:rsidR="00D46552">
        <w:rPr>
          <w:color w:val="000000"/>
          <w:lang w:val="sr-Latn-ME"/>
        </w:rPr>
        <w:t>predstavnica Instituta za javno zdravlje: Marina Stamatović Savović</w:t>
      </w:r>
      <w:r w:rsidR="007B166E">
        <w:rPr>
          <w:color w:val="000000"/>
          <w:lang w:val="sr-Latn-ME"/>
        </w:rPr>
        <w:t xml:space="preserve"> i</w:t>
      </w:r>
      <w:r w:rsidR="00D46552">
        <w:rPr>
          <w:color w:val="000000"/>
          <w:lang w:val="sr-Latn-ME"/>
        </w:rPr>
        <w:t xml:space="preserve"> predstavnik Univerziteta Crne Gore</w:t>
      </w:r>
      <w:r w:rsidR="007B166E">
        <w:rPr>
          <w:color w:val="000000"/>
          <w:lang w:val="sr-Latn-ME"/>
        </w:rPr>
        <w:t xml:space="preserve">: </w:t>
      </w:r>
      <w:r w:rsidR="00D46552">
        <w:rPr>
          <w:color w:val="000000"/>
          <w:lang w:val="sr-Latn-ME"/>
        </w:rPr>
        <w:t>prof.</w:t>
      </w:r>
      <w:r w:rsidR="007B166E">
        <w:rPr>
          <w:color w:val="000000"/>
          <w:lang w:val="sr-Latn-ME"/>
        </w:rPr>
        <w:t xml:space="preserve"> </w:t>
      </w:r>
      <w:r w:rsidR="00D46552">
        <w:rPr>
          <w:color w:val="000000"/>
          <w:lang w:val="sr-Latn-ME"/>
        </w:rPr>
        <w:t>dr Veselin Golubović</w:t>
      </w:r>
      <w:r w:rsidR="007B166E">
        <w:rPr>
          <w:color w:val="000000"/>
          <w:lang w:val="sr-Latn-ME"/>
        </w:rPr>
        <w:t>.</w:t>
      </w:r>
    </w:p>
    <w:p w14:paraId="4FB14485" w14:textId="66A1523C" w:rsidR="00A337E2" w:rsidRPr="00A337E2" w:rsidRDefault="00A337E2" w:rsidP="00A337E2">
      <w:pPr>
        <w:pStyle w:val="NormalWeb"/>
        <w:jc w:val="both"/>
        <w:rPr>
          <w:color w:val="000000"/>
          <w:lang w:val="sr-Latn-ME"/>
        </w:rPr>
      </w:pPr>
      <w:r w:rsidRPr="00A337E2">
        <w:rPr>
          <w:color w:val="000000"/>
          <w:lang w:val="sr-Latn-ME"/>
        </w:rPr>
        <w:t>Na prvoj javnoj konferenciji prisutnima se obratio v.d. generalnog direktora Direktorata za vodoprivredu, gospodin Srđan Zekić, nakon čega su predstavnici konsultantske kuće E3 Consulting d.o.o. predstavili razloge za ažuriranje Strategije, metodologiju izrade, analizu postojećeg stanja vodnih resursa i vodnih djelatnosti, strateške i operativne ciljeve, planirane mjere, prioritete djelovanja i SWOT analizu sektora voda. Nakon prezentacije otvorena je diskusija. Predstavnik Uprave za vode, gospodin Milo Radović, istakao je da je Uprava za vode aktivno učestvovala u izradi Strategije i da nema dodatnih komentara, dok ostali učesnici nijesu imali primjedbi niti sugestija na predstavljeni dokument.</w:t>
      </w:r>
    </w:p>
    <w:p w14:paraId="01C2F40F" w14:textId="77777777" w:rsidR="00A337E2" w:rsidRPr="00A337E2" w:rsidRDefault="00A337E2" w:rsidP="00A337E2">
      <w:pPr>
        <w:pStyle w:val="NormalWeb"/>
        <w:jc w:val="both"/>
        <w:rPr>
          <w:color w:val="000000"/>
          <w:lang w:val="sr-Latn-ME"/>
        </w:rPr>
      </w:pPr>
      <w:r w:rsidRPr="00A337E2">
        <w:rPr>
          <w:color w:val="000000"/>
          <w:lang w:val="sr-Latn-ME"/>
        </w:rPr>
        <w:t>Na drugoj javnoj konferenciji ponovljena je prezentacija ključnih djelova Nacrta Strategije, nakon čega je otvorena diskusija. Prof. dr Veselin Golubović pohvalio je kvalitet izrađenog dokumenta i ukazao da bi strateške dokumente trebalo planirati za duži vremenski period (30 i više godina), kako bi predstavljali dugoročno razvojno opredjeljenje države i omogućili kvalitetnije finansijsko planiranje. Navedeni komentar nije zahtijevao izmjene Nacrta Strategije, imajući u vidu da se period važenja strateških dokumenata utvrđuje u skladu sa važećim metodološkim okvirom za izradu strateških dokumenata u Crnoj Gori. Drugih komentara, prijedloga ili sugestija nije bilo.</w:t>
      </w:r>
    </w:p>
    <w:p w14:paraId="0504A529" w14:textId="77777777" w:rsidR="00A337E2" w:rsidRPr="00A337E2" w:rsidRDefault="00A337E2" w:rsidP="00A337E2">
      <w:pPr>
        <w:pStyle w:val="NormalWeb"/>
        <w:jc w:val="both"/>
        <w:rPr>
          <w:color w:val="000000"/>
          <w:lang w:val="sr-Latn-ME"/>
        </w:rPr>
      </w:pPr>
      <w:r w:rsidRPr="00A337E2">
        <w:rPr>
          <w:color w:val="000000"/>
          <w:lang w:val="sr-Latn-ME"/>
        </w:rPr>
        <w:t>Javni poziv bio je upućen zainteresovanoj javnosti, uključujući građane, privredne subjekte, naučnu i stručnu javnost, državne organe, organe lokalne samouprave, nevladine organizacije i druge zainteresovane subjekte.</w:t>
      </w:r>
    </w:p>
    <w:p w14:paraId="390F3570" w14:textId="53177A58" w:rsidR="00A337E2" w:rsidRPr="00A337E2" w:rsidRDefault="00A337E2" w:rsidP="00A337E2">
      <w:pPr>
        <w:pStyle w:val="NormalWeb"/>
        <w:jc w:val="both"/>
        <w:rPr>
          <w:color w:val="000000"/>
          <w:lang w:val="sr-Latn-ME"/>
        </w:rPr>
      </w:pPr>
      <w:r w:rsidRPr="00A337E2">
        <w:rPr>
          <w:color w:val="000000"/>
          <w:lang w:val="sr-Latn-ME"/>
        </w:rPr>
        <w:t>Tokom trajanja javne rasprave</w:t>
      </w:r>
      <w:r w:rsidR="007B166E">
        <w:rPr>
          <w:color w:val="000000"/>
          <w:lang w:val="sr-Latn-ME"/>
        </w:rPr>
        <w:t>, arhivi Ministarstva i putem portala e-uprave</w:t>
      </w:r>
      <w:r w:rsidRPr="00A337E2">
        <w:rPr>
          <w:color w:val="000000"/>
          <w:lang w:val="sr-Latn-ME"/>
        </w:rPr>
        <w:t xml:space="preserve"> nijesu dostavljene primjedbe, prijedlozi niti sugestije na Nacrt ažurirane Strategije upravljanja vodama do 2035. godine sa Akcionim planom za period 2025–2027. Na održanim javnim konferencijama nije bilo primjedbi koje bi zahtijevale izmjene ili dopune predmetnog dokumenta.</w:t>
      </w:r>
      <w:r w:rsidR="007B166E">
        <w:rPr>
          <w:color w:val="000000"/>
          <w:lang w:val="sr-Latn-ME"/>
        </w:rPr>
        <w:t xml:space="preserve"> Elektronskim putem na mail adresu k</w:t>
      </w:r>
      <w:r w:rsidR="007B166E" w:rsidRPr="007B166E">
        <w:rPr>
          <w:color w:val="000000"/>
          <w:lang w:val="sr-Latn-ME"/>
        </w:rPr>
        <w:t>ontakt osob</w:t>
      </w:r>
      <w:r w:rsidR="007B166E">
        <w:rPr>
          <w:color w:val="000000"/>
          <w:lang w:val="sr-Latn-ME"/>
        </w:rPr>
        <w:t>e</w:t>
      </w:r>
      <w:r w:rsidR="007B166E" w:rsidRPr="007B166E">
        <w:rPr>
          <w:color w:val="000000"/>
          <w:lang w:val="sr-Latn-ME"/>
        </w:rPr>
        <w:t xml:space="preserve"> za koordinaciju konsultacija</w:t>
      </w:r>
      <w:r w:rsidR="007B166E">
        <w:rPr>
          <w:color w:val="000000"/>
          <w:lang w:val="sr-Latn-ME"/>
        </w:rPr>
        <w:t>, pristigli su komentari od dvije institucije.</w:t>
      </w:r>
    </w:p>
    <w:p w14:paraId="7CAA4282" w14:textId="6A080456" w:rsidR="00A337E2" w:rsidRPr="006600A1" w:rsidRDefault="00A337E2" w:rsidP="006600A1">
      <w:pPr>
        <w:pStyle w:val="NormalWeb"/>
        <w:jc w:val="both"/>
        <w:rPr>
          <w:b/>
          <w:bCs/>
          <w:color w:val="000000"/>
          <w:lang w:val="sr-Latn-ME"/>
        </w:rPr>
      </w:pPr>
      <w:r w:rsidRPr="00A337E2">
        <w:rPr>
          <w:color w:val="000000"/>
          <w:lang w:val="sr-Latn-ME"/>
        </w:rPr>
        <w:t>Javna rasprava o Nacrtu ažurirane Strategije upravljanja vodama do 2035. godine sa Akcionim planom za period 2025–2027. sprovedena je u skladu sa Programom javne rasprave.</w:t>
      </w:r>
    </w:p>
    <w:p w14:paraId="1840C968" w14:textId="3C320BE6" w:rsidR="00A337E2" w:rsidRPr="00A337E2" w:rsidRDefault="00A337E2" w:rsidP="00A337E2">
      <w:pPr>
        <w:pStyle w:val="NormalWeb"/>
        <w:jc w:val="both"/>
        <w:rPr>
          <w:color w:val="000000"/>
          <w:lang w:val="sr-Latn-ME"/>
        </w:rPr>
      </w:pPr>
      <w:r w:rsidRPr="00A337E2">
        <w:rPr>
          <w:color w:val="000000"/>
          <w:lang w:val="sr-Latn-ME"/>
        </w:rPr>
        <w:lastRenderedPageBreak/>
        <w:t xml:space="preserve">Tokom trajanja javne rasprave zainteresovana javnost imala je mogućnost da izvrši uvid u </w:t>
      </w:r>
      <w:r w:rsidR="00CB5570">
        <w:rPr>
          <w:color w:val="000000"/>
          <w:lang w:val="sr-Latn-ME"/>
        </w:rPr>
        <w:t>nacrt dokumenta</w:t>
      </w:r>
      <w:r w:rsidRPr="00A337E2">
        <w:rPr>
          <w:color w:val="000000"/>
          <w:lang w:val="sr-Latn-ME"/>
        </w:rPr>
        <w:t>, prisustvuje organizovanim javnim konferencijama, kao i da dostavi primjedbe, prijedloge i sugestije Ministarstvu poljoprivrede, šumarstva i vodoprivrede u pisanoj i elektronskoj formi.</w:t>
      </w:r>
    </w:p>
    <w:p w14:paraId="04D77ACA" w14:textId="77777777" w:rsidR="00FC6735" w:rsidRDefault="00FC6735" w:rsidP="00A337E2">
      <w:pPr>
        <w:pStyle w:val="NormalWeb"/>
        <w:jc w:val="both"/>
        <w:rPr>
          <w:color w:val="000000"/>
          <w:lang w:val="sr-Latn-ME"/>
        </w:rPr>
      </w:pPr>
      <w:r>
        <w:rPr>
          <w:color w:val="000000"/>
          <w:lang w:val="sr-Latn-ME"/>
        </w:rPr>
        <w:t>U periodu javnih rasprava dostavljeni su komentari od:</w:t>
      </w:r>
    </w:p>
    <w:p w14:paraId="22F2584A" w14:textId="40D498EB" w:rsidR="00DA6412" w:rsidRDefault="00DA6412" w:rsidP="00DA6412">
      <w:pPr>
        <w:pStyle w:val="NormalWeb"/>
        <w:numPr>
          <w:ilvl w:val="0"/>
          <w:numId w:val="16"/>
        </w:numPr>
        <w:jc w:val="both"/>
        <w:rPr>
          <w:color w:val="000000"/>
          <w:lang w:val="sr-Latn-ME"/>
        </w:rPr>
      </w:pPr>
      <w:r>
        <w:rPr>
          <w:color w:val="000000"/>
          <w:lang w:val="sr-Latn-ME"/>
        </w:rPr>
        <w:t>Ministarstva unutršanjih poslova, Direktora za zaštitu i spašavanje</w:t>
      </w:r>
    </w:p>
    <w:p w14:paraId="6B916625" w14:textId="78BBC37E" w:rsidR="00DA6412" w:rsidRDefault="00DA6412" w:rsidP="00DA6412">
      <w:pPr>
        <w:pStyle w:val="NormalWeb"/>
        <w:numPr>
          <w:ilvl w:val="0"/>
          <w:numId w:val="16"/>
        </w:numPr>
        <w:jc w:val="both"/>
        <w:rPr>
          <w:color w:val="000000"/>
          <w:lang w:val="sr-Latn-ME"/>
        </w:rPr>
      </w:pPr>
      <w:r>
        <w:rPr>
          <w:color w:val="000000"/>
          <w:lang w:val="sr-Latn-ME"/>
        </w:rPr>
        <w:t>Opštine Zeta, 29.06.2026. godine</w:t>
      </w:r>
    </w:p>
    <w:p w14:paraId="3E9FB398" w14:textId="21345250" w:rsidR="00962A78" w:rsidRPr="00962A78" w:rsidRDefault="00962A78" w:rsidP="00962A78">
      <w:pPr>
        <w:pStyle w:val="NormalWeb"/>
        <w:jc w:val="both"/>
        <w:rPr>
          <w:b/>
          <w:bCs/>
          <w:color w:val="000000"/>
          <w:lang w:val="sr-Latn-ME"/>
        </w:rPr>
      </w:pPr>
      <w:r w:rsidRPr="00962A78">
        <w:rPr>
          <w:b/>
          <w:bCs/>
          <w:color w:val="000000"/>
          <w:lang w:val="sr-Latn-ME"/>
        </w:rPr>
        <w:t>Rezime dostavljenih primjedbi, predloga i sugestija, sa navedenim razlozima njihovog prihvatanja odnosno neprihvatanja:</w:t>
      </w:r>
    </w:p>
    <w:tbl>
      <w:tblPr>
        <w:tblStyle w:val="TableGrid"/>
        <w:tblW w:w="9085" w:type="dxa"/>
        <w:tblLook w:val="04A0" w:firstRow="1" w:lastRow="0" w:firstColumn="1" w:lastColumn="0" w:noHBand="0" w:noVBand="1"/>
      </w:tblPr>
      <w:tblGrid>
        <w:gridCol w:w="644"/>
        <w:gridCol w:w="1969"/>
        <w:gridCol w:w="4484"/>
        <w:gridCol w:w="1988"/>
      </w:tblGrid>
      <w:tr w:rsidR="00792001" w:rsidRPr="00792001" w14:paraId="697EE099" w14:textId="77777777" w:rsidTr="00000BB6">
        <w:tc>
          <w:tcPr>
            <w:tcW w:w="644" w:type="dxa"/>
          </w:tcPr>
          <w:p w14:paraId="4520D5AA" w14:textId="41A31292" w:rsidR="00792001" w:rsidRPr="00792001" w:rsidRDefault="00792001" w:rsidP="00792001">
            <w:pPr>
              <w:pStyle w:val="NormalWeb"/>
              <w:jc w:val="both"/>
              <w:rPr>
                <w:b/>
                <w:bCs/>
                <w:color w:val="000000"/>
                <w:sz w:val="22"/>
                <w:szCs w:val="22"/>
                <w:lang w:val="sr-Latn-ME"/>
              </w:rPr>
            </w:pPr>
            <w:r w:rsidRPr="00792001">
              <w:rPr>
                <w:b/>
                <w:bCs/>
                <w:color w:val="000000"/>
                <w:sz w:val="22"/>
                <w:szCs w:val="22"/>
                <w:lang w:val="sr-Latn-ME"/>
              </w:rPr>
              <w:t>Broj</w:t>
            </w:r>
          </w:p>
        </w:tc>
        <w:tc>
          <w:tcPr>
            <w:tcW w:w="1969" w:type="dxa"/>
          </w:tcPr>
          <w:p w14:paraId="04814FFD" w14:textId="3FC7A4CE" w:rsidR="00792001" w:rsidRPr="00792001" w:rsidRDefault="00792001" w:rsidP="00792001">
            <w:pPr>
              <w:pStyle w:val="NormalWeb"/>
              <w:jc w:val="both"/>
              <w:rPr>
                <w:b/>
                <w:bCs/>
                <w:color w:val="000000"/>
                <w:sz w:val="22"/>
                <w:szCs w:val="22"/>
                <w:lang w:val="sr-Latn-ME"/>
              </w:rPr>
            </w:pPr>
            <w:r w:rsidRPr="00792001">
              <w:rPr>
                <w:b/>
                <w:bCs/>
                <w:color w:val="000000"/>
                <w:sz w:val="22"/>
                <w:szCs w:val="22"/>
                <w:lang w:val="sr-Latn-ME"/>
              </w:rPr>
              <w:t>Institucija</w:t>
            </w:r>
          </w:p>
        </w:tc>
        <w:tc>
          <w:tcPr>
            <w:tcW w:w="4484" w:type="dxa"/>
          </w:tcPr>
          <w:p w14:paraId="17B1BB0B" w14:textId="2BF219D1" w:rsidR="00792001" w:rsidRPr="00792001" w:rsidRDefault="00792001" w:rsidP="00792001">
            <w:pPr>
              <w:pStyle w:val="NormalWeb"/>
              <w:jc w:val="both"/>
              <w:rPr>
                <w:b/>
                <w:bCs/>
                <w:color w:val="000000"/>
                <w:sz w:val="22"/>
                <w:szCs w:val="22"/>
                <w:lang w:val="sr-Latn-ME"/>
              </w:rPr>
            </w:pPr>
            <w:r w:rsidRPr="00792001">
              <w:rPr>
                <w:b/>
                <w:bCs/>
                <w:color w:val="000000"/>
                <w:sz w:val="22"/>
                <w:szCs w:val="22"/>
                <w:lang w:val="sr-Latn-ME"/>
              </w:rPr>
              <w:t>Komentar</w:t>
            </w:r>
          </w:p>
        </w:tc>
        <w:tc>
          <w:tcPr>
            <w:tcW w:w="1988" w:type="dxa"/>
          </w:tcPr>
          <w:p w14:paraId="18615822" w14:textId="445D67D8" w:rsidR="00792001" w:rsidRPr="00792001" w:rsidRDefault="00792001" w:rsidP="00792001">
            <w:pPr>
              <w:pStyle w:val="NormalWeb"/>
              <w:jc w:val="both"/>
              <w:rPr>
                <w:b/>
                <w:bCs/>
                <w:color w:val="000000"/>
                <w:sz w:val="22"/>
                <w:szCs w:val="22"/>
                <w:lang w:val="sr-Latn-ME"/>
              </w:rPr>
            </w:pPr>
            <w:r w:rsidRPr="00792001">
              <w:rPr>
                <w:b/>
                <w:bCs/>
                <w:color w:val="000000"/>
                <w:sz w:val="22"/>
                <w:szCs w:val="22"/>
                <w:lang w:val="sr-Latn-ME"/>
              </w:rPr>
              <w:t>Odgovor</w:t>
            </w:r>
          </w:p>
        </w:tc>
      </w:tr>
      <w:tr w:rsidR="00792001" w:rsidRPr="00792001" w14:paraId="775F8878" w14:textId="77777777" w:rsidTr="00000BB6">
        <w:tc>
          <w:tcPr>
            <w:tcW w:w="644" w:type="dxa"/>
          </w:tcPr>
          <w:p w14:paraId="437B3C07" w14:textId="68B81167" w:rsidR="00792001" w:rsidRPr="00792001" w:rsidRDefault="00792001" w:rsidP="00792001">
            <w:pPr>
              <w:pStyle w:val="NormalWeb"/>
              <w:numPr>
                <w:ilvl w:val="0"/>
                <w:numId w:val="18"/>
              </w:numPr>
              <w:jc w:val="both"/>
              <w:rPr>
                <w:color w:val="000000"/>
                <w:sz w:val="22"/>
                <w:szCs w:val="22"/>
                <w:lang w:val="sr-Latn-ME"/>
              </w:rPr>
            </w:pPr>
          </w:p>
        </w:tc>
        <w:tc>
          <w:tcPr>
            <w:tcW w:w="1969" w:type="dxa"/>
          </w:tcPr>
          <w:p w14:paraId="3FB0A3FD" w14:textId="67F6CF15" w:rsidR="00792001" w:rsidRPr="00792001" w:rsidRDefault="00792001" w:rsidP="00792001">
            <w:pPr>
              <w:pStyle w:val="NormalWeb"/>
              <w:jc w:val="both"/>
              <w:rPr>
                <w:color w:val="000000"/>
                <w:sz w:val="22"/>
                <w:szCs w:val="22"/>
                <w:lang w:val="sr-Latn-ME"/>
              </w:rPr>
            </w:pPr>
            <w:r>
              <w:rPr>
                <w:color w:val="000000"/>
                <w:sz w:val="22"/>
                <w:szCs w:val="22"/>
                <w:lang w:val="sr-Latn-ME"/>
              </w:rPr>
              <w:t>Ministarstvo unutrašnjih poslova</w:t>
            </w:r>
          </w:p>
        </w:tc>
        <w:tc>
          <w:tcPr>
            <w:tcW w:w="4484" w:type="dxa"/>
          </w:tcPr>
          <w:p w14:paraId="2DE63DE4" w14:textId="77777777" w:rsidR="00792001" w:rsidRDefault="008850B9" w:rsidP="00792001">
            <w:pPr>
              <w:pStyle w:val="NormalWeb"/>
              <w:jc w:val="both"/>
              <w:rPr>
                <w:color w:val="000000"/>
                <w:sz w:val="22"/>
                <w:szCs w:val="22"/>
                <w:lang w:val="sr-Latn-ME"/>
              </w:rPr>
            </w:pPr>
            <w:r>
              <w:rPr>
                <w:color w:val="000000"/>
                <w:sz w:val="22"/>
                <w:szCs w:val="22"/>
                <w:lang w:val="sr-Latn-ME"/>
              </w:rPr>
              <w:t xml:space="preserve">U poglavlju </w:t>
            </w:r>
            <w:r w:rsidR="00FF707E" w:rsidRPr="00FF707E">
              <w:rPr>
                <w:color w:val="000000"/>
                <w:sz w:val="22"/>
                <w:szCs w:val="22"/>
                <w:lang w:val="sr-Latn-ME"/>
              </w:rPr>
              <w:t>2.4.6</w:t>
            </w:r>
            <w:r w:rsidR="00FF707E">
              <w:rPr>
                <w:color w:val="000000"/>
                <w:sz w:val="22"/>
                <w:szCs w:val="22"/>
                <w:lang w:val="sr-Latn-ME"/>
              </w:rPr>
              <w:t xml:space="preserve"> </w:t>
            </w:r>
            <w:r w:rsidR="00FF707E" w:rsidRPr="00FF707E">
              <w:rPr>
                <w:color w:val="000000"/>
                <w:sz w:val="22"/>
                <w:szCs w:val="22"/>
                <w:lang w:val="sr-Latn-ME"/>
              </w:rPr>
              <w:t>Sektor informaciono-komunikacionih tehnologija (ICT)</w:t>
            </w:r>
            <w:r w:rsidR="00FF707E">
              <w:rPr>
                <w:color w:val="000000"/>
                <w:sz w:val="22"/>
                <w:szCs w:val="22"/>
                <w:lang w:val="sr-Latn-ME"/>
              </w:rPr>
              <w:t xml:space="preserve"> dodati tekst: </w:t>
            </w:r>
          </w:p>
          <w:p w14:paraId="69BAA857" w14:textId="03981096" w:rsidR="00955845" w:rsidRPr="00955845" w:rsidRDefault="00955845" w:rsidP="00792001">
            <w:pPr>
              <w:pStyle w:val="NormalWeb"/>
              <w:jc w:val="both"/>
              <w:rPr>
                <w:i/>
                <w:iCs/>
                <w:color w:val="000000"/>
                <w:sz w:val="22"/>
                <w:szCs w:val="22"/>
                <w:lang w:val="sr-Latn-ME"/>
              </w:rPr>
            </w:pPr>
            <w:r w:rsidRPr="00955845">
              <w:rPr>
                <w:i/>
                <w:iCs/>
                <w:color w:val="000000"/>
                <w:sz w:val="22"/>
                <w:szCs w:val="22"/>
                <w:lang w:val="sr-Latn-ME"/>
              </w:rPr>
              <w:t xml:space="preserve">U toku 2024. godine, zvanično je stavljen u upotrebu Crnogorski informacioni sistem za različite vrste rizika. Sistem funkcioniše kao Web platforma koja povlači podatke sa satelita i podatke od institucija, kao što su Zavod za hidrometeorologiju i seizmologiju, Uprava za gazdovanje šumama i lovištima, Monstat, Ministarstvo poljoprivrede, šumarstva i vodoprivrede, Elektroprivreda, Uprava za vode i dr. Ove informacije mogu da se koriste za rano upozoravanje, prevenciju i odgovor na razne rizike između ostalog i na poplave. Upotreba ovog sistema pravno je regulisana kroz Pravilnik o standardnim operativnim postupcima („Službeni list CG“, broj 36/24), u kome se sistem naziva Crnogorski informacioni sistem za različite vrste rizika.   </w:t>
            </w:r>
          </w:p>
        </w:tc>
        <w:tc>
          <w:tcPr>
            <w:tcW w:w="1988" w:type="dxa"/>
          </w:tcPr>
          <w:p w14:paraId="38D8FC9B" w14:textId="07828FF7" w:rsidR="00792001" w:rsidRPr="00955845" w:rsidRDefault="00955845" w:rsidP="00792001">
            <w:pPr>
              <w:pStyle w:val="NormalWeb"/>
              <w:jc w:val="both"/>
              <w:rPr>
                <w:b/>
                <w:bCs/>
                <w:color w:val="000000"/>
                <w:sz w:val="22"/>
                <w:szCs w:val="22"/>
                <w:lang w:val="sr-Latn-ME"/>
              </w:rPr>
            </w:pPr>
            <w:r w:rsidRPr="00955845">
              <w:rPr>
                <w:b/>
                <w:bCs/>
                <w:color w:val="000000"/>
                <w:sz w:val="22"/>
                <w:szCs w:val="22"/>
                <w:lang w:val="sr-Latn-ME"/>
              </w:rPr>
              <w:t>Usvaja se.</w:t>
            </w:r>
          </w:p>
        </w:tc>
      </w:tr>
      <w:tr w:rsidR="00792001" w:rsidRPr="00792001" w14:paraId="080B7F1F" w14:textId="77777777" w:rsidTr="00000BB6">
        <w:tc>
          <w:tcPr>
            <w:tcW w:w="644" w:type="dxa"/>
          </w:tcPr>
          <w:p w14:paraId="27034C58" w14:textId="7AB0F1B2" w:rsidR="00792001" w:rsidRPr="00792001" w:rsidRDefault="00792001" w:rsidP="005871E4">
            <w:pPr>
              <w:pStyle w:val="NormalWeb"/>
              <w:numPr>
                <w:ilvl w:val="0"/>
                <w:numId w:val="18"/>
              </w:numPr>
              <w:jc w:val="both"/>
              <w:rPr>
                <w:color w:val="000000"/>
                <w:sz w:val="22"/>
                <w:szCs w:val="22"/>
                <w:lang w:val="sr-Latn-ME"/>
              </w:rPr>
            </w:pPr>
          </w:p>
        </w:tc>
        <w:tc>
          <w:tcPr>
            <w:tcW w:w="1969" w:type="dxa"/>
          </w:tcPr>
          <w:p w14:paraId="5549A261" w14:textId="71D96865" w:rsidR="00792001" w:rsidRPr="00792001" w:rsidRDefault="005871E4" w:rsidP="00792001">
            <w:pPr>
              <w:pStyle w:val="NormalWeb"/>
              <w:jc w:val="both"/>
              <w:rPr>
                <w:color w:val="000000"/>
                <w:sz w:val="22"/>
                <w:szCs w:val="22"/>
                <w:lang w:val="sr-Latn-ME"/>
              </w:rPr>
            </w:pPr>
            <w:r>
              <w:rPr>
                <w:color w:val="000000"/>
                <w:sz w:val="22"/>
                <w:szCs w:val="22"/>
                <w:lang w:val="sr-Latn-ME"/>
              </w:rPr>
              <w:t>Ministarstvo unutrašnjih poslova</w:t>
            </w:r>
          </w:p>
        </w:tc>
        <w:tc>
          <w:tcPr>
            <w:tcW w:w="4484" w:type="dxa"/>
          </w:tcPr>
          <w:p w14:paraId="5B0C60CA" w14:textId="6C28B468" w:rsidR="0041081D" w:rsidRPr="0041081D" w:rsidRDefault="005871E4" w:rsidP="0041081D">
            <w:pPr>
              <w:pStyle w:val="NormalWeb"/>
              <w:jc w:val="both"/>
              <w:rPr>
                <w:color w:val="000000"/>
                <w:sz w:val="22"/>
                <w:szCs w:val="22"/>
                <w:lang w:val="sr-Latn-ME"/>
              </w:rPr>
            </w:pPr>
            <w:r>
              <w:rPr>
                <w:color w:val="000000"/>
                <w:sz w:val="22"/>
                <w:szCs w:val="22"/>
                <w:lang w:val="sr-Latn-ME"/>
              </w:rPr>
              <w:t xml:space="preserve">U okviru poglavlja 4.1. </w:t>
            </w:r>
            <w:r w:rsidRPr="005871E4">
              <w:rPr>
                <w:color w:val="000000"/>
                <w:sz w:val="22"/>
                <w:szCs w:val="22"/>
                <w:lang w:val="sr-Latn-ME"/>
              </w:rPr>
              <w:t>4.1</w:t>
            </w:r>
            <w:r w:rsidRPr="005871E4">
              <w:rPr>
                <w:color w:val="000000"/>
                <w:sz w:val="22"/>
                <w:szCs w:val="22"/>
                <w:lang w:val="sr-Latn-ME"/>
              </w:rPr>
              <w:tab/>
              <w:t>Zakonodavni okvir u oblasti voda</w:t>
            </w:r>
            <w:r>
              <w:rPr>
                <w:color w:val="000000"/>
                <w:sz w:val="22"/>
                <w:szCs w:val="22"/>
                <w:lang w:val="sr-Latn-ME"/>
              </w:rPr>
              <w:t xml:space="preserve"> d</w:t>
            </w:r>
            <w:r w:rsidR="0041081D" w:rsidRPr="0041081D">
              <w:rPr>
                <w:color w:val="000000"/>
                <w:sz w:val="22"/>
                <w:szCs w:val="22"/>
                <w:lang w:val="sr-Latn-ME"/>
              </w:rPr>
              <w:t>odati Zakon o obnovi nakon nepogode („Službeni list CG“, broj 2/26).</w:t>
            </w:r>
          </w:p>
          <w:p w14:paraId="4494A343" w14:textId="62B274FE" w:rsidR="00792001" w:rsidRPr="00792001" w:rsidRDefault="0041081D" w:rsidP="0041081D">
            <w:pPr>
              <w:pStyle w:val="NormalWeb"/>
              <w:jc w:val="both"/>
              <w:rPr>
                <w:color w:val="000000"/>
                <w:sz w:val="22"/>
                <w:szCs w:val="22"/>
                <w:lang w:val="sr-Latn-ME"/>
              </w:rPr>
            </w:pPr>
            <w:r w:rsidRPr="0041081D">
              <w:rPr>
                <w:color w:val="000000"/>
                <w:sz w:val="22"/>
                <w:szCs w:val="22"/>
                <w:lang w:val="sr-Latn-ME"/>
              </w:rPr>
              <w:t xml:space="preserve">Takođe, dobro bi bilo dodati i Procjenu rizika od katastrofa Crne Gore (2021) i </w:t>
            </w:r>
            <w:r w:rsidR="005871E4">
              <w:rPr>
                <w:color w:val="000000"/>
                <w:sz w:val="22"/>
                <w:szCs w:val="22"/>
                <w:lang w:val="sr-Latn-ME"/>
              </w:rPr>
              <w:t xml:space="preserve"> </w:t>
            </w:r>
            <w:r w:rsidRPr="0041081D">
              <w:rPr>
                <w:color w:val="000000"/>
                <w:sz w:val="22"/>
                <w:szCs w:val="22"/>
                <w:lang w:val="sr-Latn-ME"/>
              </w:rPr>
              <w:t>Procjenu sposobnosti upravljanja rizicima od katastrofa (2023).</w:t>
            </w:r>
          </w:p>
        </w:tc>
        <w:tc>
          <w:tcPr>
            <w:tcW w:w="1988" w:type="dxa"/>
          </w:tcPr>
          <w:p w14:paraId="15480C45" w14:textId="74672E81" w:rsidR="00792001" w:rsidRPr="00792001" w:rsidRDefault="005871E4" w:rsidP="00792001">
            <w:pPr>
              <w:pStyle w:val="NormalWeb"/>
              <w:jc w:val="both"/>
              <w:rPr>
                <w:color w:val="000000"/>
                <w:sz w:val="22"/>
                <w:szCs w:val="22"/>
                <w:lang w:val="sr-Latn-ME"/>
              </w:rPr>
            </w:pPr>
            <w:r w:rsidRPr="00955845">
              <w:rPr>
                <w:b/>
                <w:bCs/>
                <w:color w:val="000000"/>
                <w:sz w:val="22"/>
                <w:szCs w:val="22"/>
                <w:lang w:val="sr-Latn-ME"/>
              </w:rPr>
              <w:t>Usvaja se.</w:t>
            </w:r>
          </w:p>
        </w:tc>
      </w:tr>
      <w:tr w:rsidR="00792001" w:rsidRPr="00792001" w14:paraId="64D8E435" w14:textId="77777777" w:rsidTr="00000BB6">
        <w:tc>
          <w:tcPr>
            <w:tcW w:w="644" w:type="dxa"/>
          </w:tcPr>
          <w:p w14:paraId="3C1889C0" w14:textId="61703CEF" w:rsidR="00792001" w:rsidRPr="00792001" w:rsidRDefault="00792001" w:rsidP="00B31FF2">
            <w:pPr>
              <w:pStyle w:val="NormalWeb"/>
              <w:numPr>
                <w:ilvl w:val="0"/>
                <w:numId w:val="18"/>
              </w:numPr>
              <w:jc w:val="both"/>
              <w:rPr>
                <w:color w:val="000000"/>
                <w:sz w:val="22"/>
                <w:szCs w:val="22"/>
                <w:lang w:val="sr-Latn-ME"/>
              </w:rPr>
            </w:pPr>
          </w:p>
        </w:tc>
        <w:tc>
          <w:tcPr>
            <w:tcW w:w="1969" w:type="dxa"/>
          </w:tcPr>
          <w:p w14:paraId="2F6238D4" w14:textId="2C9200D6" w:rsidR="00792001" w:rsidRPr="00792001" w:rsidRDefault="00B31FF2" w:rsidP="00792001">
            <w:pPr>
              <w:pStyle w:val="NormalWeb"/>
              <w:jc w:val="both"/>
              <w:rPr>
                <w:color w:val="000000"/>
                <w:sz w:val="22"/>
                <w:szCs w:val="22"/>
                <w:lang w:val="sr-Latn-ME"/>
              </w:rPr>
            </w:pPr>
            <w:r>
              <w:rPr>
                <w:color w:val="000000"/>
                <w:sz w:val="22"/>
                <w:szCs w:val="22"/>
                <w:lang w:val="sr-Latn-ME"/>
              </w:rPr>
              <w:t>Opština Zeta</w:t>
            </w:r>
            <w:r w:rsidR="00265109">
              <w:rPr>
                <w:color w:val="000000"/>
                <w:sz w:val="22"/>
                <w:szCs w:val="22"/>
                <w:lang w:val="sr-Latn-ME"/>
              </w:rPr>
              <w:t xml:space="preserve"> – Sekretarijat za uređenje prostora, zaštitu životne sredine i saobraćaj</w:t>
            </w:r>
          </w:p>
        </w:tc>
        <w:tc>
          <w:tcPr>
            <w:tcW w:w="4484" w:type="dxa"/>
          </w:tcPr>
          <w:p w14:paraId="14695B27" w14:textId="2EDF738A" w:rsidR="00792001" w:rsidRPr="00792001" w:rsidRDefault="000E761F" w:rsidP="00792001">
            <w:pPr>
              <w:pStyle w:val="NormalWeb"/>
              <w:jc w:val="both"/>
              <w:rPr>
                <w:color w:val="000000"/>
                <w:sz w:val="22"/>
                <w:szCs w:val="22"/>
                <w:lang w:val="sr-Latn-ME"/>
              </w:rPr>
            </w:pPr>
            <w:r w:rsidRPr="000E761F">
              <w:rPr>
                <w:color w:val="000000"/>
                <w:sz w:val="22"/>
                <w:szCs w:val="22"/>
                <w:lang w:val="sr-Latn-ME"/>
              </w:rPr>
              <w:t xml:space="preserve">U okviru poglavlja 5.2.5.1 Poljoprivreda, nije izvršeno usklađivanje Tabele 38: Ukupno dostupno poljoprivredno zemljište u Jadranskom slivu, sa dopunjenim tekstom. Tabela i dalje ne obuhvata Opštinu Zeta kao posebnu jedinicu, iako se u tekstu ističe njen značaj u poljoprivrednoj proizvodnji, kao i zavisnost od sistema upravljanja vodama, navodnjavanja i zaštite od poplava. S obzirom da tabelarni prikaz predstavlja osnovu za analizu prostorne raspodjele poljoprivrednog zemljišta u Jadranskom slivu, neophodno je da bude </w:t>
            </w:r>
            <w:r w:rsidRPr="000E761F">
              <w:rPr>
                <w:color w:val="000000"/>
                <w:sz w:val="22"/>
                <w:szCs w:val="22"/>
                <w:lang w:val="sr-Latn-ME"/>
              </w:rPr>
              <w:lastRenderedPageBreak/>
              <w:t>usklađen sa tekstualnim dijelom dokumenta. Stoga predlažemo da se Tabela 38 dopuni podacima za Opštinu Zeta, odnosno da se, ukoliko su podaci objedinjeni sa Glavnim gradom Podgorica, to jasno naznači uz obrazloženje i metodološku napomenu.</w:t>
            </w:r>
          </w:p>
        </w:tc>
        <w:tc>
          <w:tcPr>
            <w:tcW w:w="1988" w:type="dxa"/>
          </w:tcPr>
          <w:p w14:paraId="189DB520" w14:textId="77777777" w:rsidR="00860AD5" w:rsidRPr="00860AD5" w:rsidRDefault="00860AD5" w:rsidP="00792001">
            <w:pPr>
              <w:pStyle w:val="NormalWeb"/>
              <w:jc w:val="both"/>
              <w:rPr>
                <w:b/>
                <w:bCs/>
                <w:color w:val="000000"/>
                <w:sz w:val="22"/>
                <w:szCs w:val="22"/>
              </w:rPr>
            </w:pPr>
            <w:r w:rsidRPr="00860AD5">
              <w:rPr>
                <w:b/>
                <w:bCs/>
                <w:color w:val="000000"/>
                <w:sz w:val="22"/>
                <w:szCs w:val="22"/>
              </w:rPr>
              <w:lastRenderedPageBreak/>
              <w:t>Prihvata se.</w:t>
            </w:r>
          </w:p>
          <w:p w14:paraId="28DA96D3" w14:textId="170E3F43" w:rsidR="00792001" w:rsidRPr="00792001" w:rsidRDefault="00860AD5" w:rsidP="008B2DB7">
            <w:pPr>
              <w:pStyle w:val="NormalWeb"/>
              <w:rPr>
                <w:color w:val="000000"/>
                <w:sz w:val="22"/>
                <w:szCs w:val="22"/>
                <w:lang w:val="sr-Latn-ME"/>
              </w:rPr>
            </w:pPr>
            <w:r w:rsidRPr="00860AD5">
              <w:rPr>
                <w:color w:val="000000"/>
                <w:sz w:val="22"/>
                <w:szCs w:val="22"/>
              </w:rPr>
              <w:t xml:space="preserve">Tabela je dopunjena metodološkom napomenom kojom je pojašnjeno da se prikazane ukupne površine za Podgoricu odnose na područje današnjeg Glavnog </w:t>
            </w:r>
            <w:r w:rsidRPr="00860AD5">
              <w:rPr>
                <w:color w:val="000000"/>
                <w:sz w:val="22"/>
                <w:szCs w:val="22"/>
              </w:rPr>
              <w:lastRenderedPageBreak/>
              <w:t>grada Podgorica, Opštine Zeta i Opštine Tuzi, s obzirom na to da zvanični statistički podaci korišćeni za izradu tabele nijesu razdvojeni prema važećoj teritorijalnoj organizaciji.</w:t>
            </w:r>
          </w:p>
        </w:tc>
      </w:tr>
      <w:tr w:rsidR="00DA294D" w:rsidRPr="00792001" w14:paraId="28BD03EE" w14:textId="77777777" w:rsidTr="00000BB6">
        <w:tc>
          <w:tcPr>
            <w:tcW w:w="644" w:type="dxa"/>
          </w:tcPr>
          <w:p w14:paraId="0053FCF5" w14:textId="77777777" w:rsidR="00DA294D" w:rsidRPr="00792001" w:rsidRDefault="00DA294D" w:rsidP="00B31FF2">
            <w:pPr>
              <w:pStyle w:val="NormalWeb"/>
              <w:numPr>
                <w:ilvl w:val="0"/>
                <w:numId w:val="18"/>
              </w:numPr>
              <w:jc w:val="both"/>
              <w:rPr>
                <w:color w:val="000000"/>
                <w:sz w:val="22"/>
                <w:szCs w:val="22"/>
                <w:lang w:val="sr-Latn-ME"/>
              </w:rPr>
            </w:pPr>
          </w:p>
        </w:tc>
        <w:tc>
          <w:tcPr>
            <w:tcW w:w="1969" w:type="dxa"/>
          </w:tcPr>
          <w:p w14:paraId="311C058B" w14:textId="6C37BCA3" w:rsidR="00DA294D" w:rsidRDefault="00265109" w:rsidP="00792001">
            <w:pPr>
              <w:pStyle w:val="NormalWeb"/>
              <w:jc w:val="both"/>
              <w:rPr>
                <w:color w:val="000000"/>
                <w:sz w:val="22"/>
                <w:szCs w:val="22"/>
                <w:lang w:val="sr-Latn-ME"/>
              </w:rPr>
            </w:pPr>
            <w:r>
              <w:rPr>
                <w:color w:val="000000"/>
                <w:sz w:val="22"/>
                <w:szCs w:val="22"/>
                <w:lang w:val="sr-Latn-ME"/>
              </w:rPr>
              <w:t>Opština Zeta – Sekretarijat za uređenje prostora, zaštitu životne sredine i saobraćaj</w:t>
            </w:r>
          </w:p>
        </w:tc>
        <w:tc>
          <w:tcPr>
            <w:tcW w:w="4484" w:type="dxa"/>
          </w:tcPr>
          <w:p w14:paraId="1B0D645D" w14:textId="22292276" w:rsidR="00DA294D" w:rsidRPr="00B31FF2" w:rsidRDefault="00DA294D" w:rsidP="00792001">
            <w:pPr>
              <w:pStyle w:val="NormalWeb"/>
              <w:jc w:val="both"/>
              <w:rPr>
                <w:color w:val="000000"/>
                <w:sz w:val="22"/>
                <w:szCs w:val="22"/>
                <w:lang w:val="sr-Latn-ME"/>
              </w:rPr>
            </w:pPr>
            <w:r w:rsidRPr="00DA294D">
              <w:rPr>
                <w:color w:val="000000"/>
                <w:sz w:val="22"/>
                <w:szCs w:val="22"/>
                <w:lang w:val="sr-Latn-ME"/>
              </w:rPr>
              <w:t>U poglavlju 5.2.5.2 Deponije, u tabeli 42: Deponije koje mogu imati potencijalni pritisak na površinske i podzemne vode, strana 186, i dalje je navedena lokacija „Golubovci–Botun“ u okviru opštine Podgorica, uz opis da je riječ o saniranoj lokaciji sa postavljenom tablom i kontejnerima. Međutim, navedeni lokalitet nalazi se na teritoriji Opštine Zeta, a ne Glavnog grada Podgorica. Istovremeno, Opština Zeta ne raspolaže evidencijom o deponiji ili lokalitetu pod tim nazivom, niti je na osnovu navedenih podataka moguće utvrditi na koju se konkretnu lokaciju dokument odnosi. Stoga je neophodno da se predmetni lokalitet precizno identifikuje (katastarska opština ili drugi relevantni identifikacioni podaci), kako bi bilo moguće provjeriti tačnost navedenih podataka.</w:t>
            </w:r>
          </w:p>
        </w:tc>
        <w:tc>
          <w:tcPr>
            <w:tcW w:w="1988" w:type="dxa"/>
          </w:tcPr>
          <w:p w14:paraId="19117BDF" w14:textId="77777777" w:rsidR="00337546" w:rsidRPr="00337546" w:rsidRDefault="00337546" w:rsidP="00792001">
            <w:pPr>
              <w:pStyle w:val="NormalWeb"/>
              <w:jc w:val="both"/>
              <w:rPr>
                <w:b/>
                <w:bCs/>
                <w:color w:val="000000"/>
                <w:sz w:val="22"/>
                <w:szCs w:val="22"/>
                <w:lang w:val="sr-Latn-ME"/>
              </w:rPr>
            </w:pPr>
            <w:r w:rsidRPr="00337546">
              <w:rPr>
                <w:b/>
                <w:bCs/>
                <w:color w:val="000000"/>
                <w:sz w:val="22"/>
                <w:szCs w:val="22"/>
                <w:lang w:val="sr-Latn-ME"/>
              </w:rPr>
              <w:t>Prihvata se</w:t>
            </w:r>
          </w:p>
          <w:p w14:paraId="6BD014DB" w14:textId="065F822C" w:rsidR="00DA294D" w:rsidRPr="00792001" w:rsidRDefault="00000BB6" w:rsidP="008B2DB7">
            <w:pPr>
              <w:pStyle w:val="NormalWeb"/>
              <w:rPr>
                <w:color w:val="000000"/>
                <w:sz w:val="22"/>
                <w:szCs w:val="22"/>
                <w:lang w:val="sr-Latn-ME"/>
              </w:rPr>
            </w:pPr>
            <w:r w:rsidRPr="00000BB6">
              <w:rPr>
                <w:color w:val="000000"/>
                <w:sz w:val="22"/>
                <w:szCs w:val="22"/>
              </w:rPr>
              <w:t>Nakon izvršene provjere podataka i usaglašavanja sa raspoloživom dokumentacijom Opštine Zeta, utvrđeno je da lokalitet „Golubovci–Botun“ ne predstavlja identifikovanu deponiju ili neuređeno odlagalište otpada, te je isti brisan iz Strategije.</w:t>
            </w:r>
          </w:p>
        </w:tc>
      </w:tr>
      <w:tr w:rsidR="00265109" w:rsidRPr="00792001" w14:paraId="1DD89571" w14:textId="77777777" w:rsidTr="00000BB6">
        <w:tc>
          <w:tcPr>
            <w:tcW w:w="644" w:type="dxa"/>
          </w:tcPr>
          <w:p w14:paraId="0755DA6B" w14:textId="77777777" w:rsidR="00265109" w:rsidRPr="00792001" w:rsidRDefault="00265109" w:rsidP="00B31FF2">
            <w:pPr>
              <w:pStyle w:val="NormalWeb"/>
              <w:numPr>
                <w:ilvl w:val="0"/>
                <w:numId w:val="18"/>
              </w:numPr>
              <w:jc w:val="both"/>
              <w:rPr>
                <w:color w:val="000000"/>
                <w:sz w:val="22"/>
                <w:szCs w:val="22"/>
                <w:lang w:val="sr-Latn-ME"/>
              </w:rPr>
            </w:pPr>
          </w:p>
        </w:tc>
        <w:tc>
          <w:tcPr>
            <w:tcW w:w="1969" w:type="dxa"/>
          </w:tcPr>
          <w:p w14:paraId="03A8E642" w14:textId="18E9E40C" w:rsidR="00265109" w:rsidRDefault="00265109" w:rsidP="00792001">
            <w:pPr>
              <w:pStyle w:val="NormalWeb"/>
              <w:jc w:val="both"/>
              <w:rPr>
                <w:color w:val="000000"/>
                <w:sz w:val="22"/>
                <w:szCs w:val="22"/>
                <w:lang w:val="sr-Latn-ME"/>
              </w:rPr>
            </w:pPr>
            <w:r>
              <w:rPr>
                <w:color w:val="000000"/>
                <w:sz w:val="22"/>
                <w:szCs w:val="22"/>
                <w:lang w:val="sr-Latn-ME"/>
              </w:rPr>
              <w:t>Opština Zeta – Sekretarijat za uređenje prostora, zaštitu životne sredine i saobraćaj</w:t>
            </w:r>
          </w:p>
        </w:tc>
        <w:tc>
          <w:tcPr>
            <w:tcW w:w="4484" w:type="dxa"/>
          </w:tcPr>
          <w:p w14:paraId="01962BFA" w14:textId="3CB47696" w:rsidR="00265109" w:rsidRPr="00DA294D" w:rsidRDefault="00832FC3" w:rsidP="00792001">
            <w:pPr>
              <w:pStyle w:val="NormalWeb"/>
              <w:jc w:val="both"/>
              <w:rPr>
                <w:color w:val="000000"/>
                <w:sz w:val="22"/>
                <w:szCs w:val="22"/>
                <w:lang w:val="sr-Latn-ME"/>
              </w:rPr>
            </w:pPr>
            <w:r w:rsidRPr="00832FC3">
              <w:rPr>
                <w:color w:val="000000"/>
                <w:sz w:val="22"/>
                <w:szCs w:val="22"/>
                <w:lang w:val="sr-Latn-ME"/>
              </w:rPr>
              <w:t>U poglavlju 5.2.3 „Stanje u oblasti sakupljanja, odvođenja i prečišćavanja otpadnih voda“, na strani 179, navedeno je postrojenje za prečišćavanje komunalnih otpadnih voda u Vranjini kao jedno od četiri postrojenja koja povremeno funkcionišu. Međutim, Opština Zeta je dana 27.05.2026. godine uputila zahtjev preduzeću „Vodovod i kanalizacija“ d.o.o. Podgorica, kao nadležnom privrednom društvu, za privremeno preuzimanje na upravljanje i održavanje navedenog sistema, na koji je 02.06.2026. godine dobila negativan odgovor. Imajući u vidu navedeno, za postrojenje u Vranjini nije obezbijeđeno ni povremeno operativno funkcionisanje, te je neophodno uskladiti dio teksta sa stvarnim stanjem na terenu.</w:t>
            </w:r>
          </w:p>
        </w:tc>
        <w:tc>
          <w:tcPr>
            <w:tcW w:w="1988" w:type="dxa"/>
          </w:tcPr>
          <w:p w14:paraId="20FEEBC1" w14:textId="77777777" w:rsidR="00265109" w:rsidRDefault="005333D3" w:rsidP="00792001">
            <w:pPr>
              <w:pStyle w:val="NormalWeb"/>
              <w:jc w:val="both"/>
              <w:rPr>
                <w:b/>
                <w:bCs/>
                <w:color w:val="000000"/>
                <w:sz w:val="22"/>
                <w:szCs w:val="22"/>
                <w:lang w:val="sr-Latn-ME"/>
              </w:rPr>
            </w:pPr>
            <w:r w:rsidRPr="005333D3">
              <w:rPr>
                <w:b/>
                <w:bCs/>
                <w:color w:val="000000"/>
                <w:sz w:val="22"/>
                <w:szCs w:val="22"/>
                <w:lang w:val="sr-Latn-ME"/>
              </w:rPr>
              <w:t>Ne prihvata se.</w:t>
            </w:r>
          </w:p>
          <w:p w14:paraId="7921B98F" w14:textId="0EAC6859" w:rsidR="005333D3" w:rsidRPr="005333D3" w:rsidRDefault="005333D3" w:rsidP="003B65AB">
            <w:pPr>
              <w:pStyle w:val="NormalWeb"/>
              <w:rPr>
                <w:color w:val="000000"/>
                <w:sz w:val="22"/>
                <w:szCs w:val="22"/>
                <w:lang w:val="sr-Latn-ME"/>
              </w:rPr>
            </w:pPr>
            <w:r w:rsidRPr="005333D3">
              <w:rPr>
                <w:color w:val="000000"/>
                <w:sz w:val="22"/>
                <w:szCs w:val="22"/>
                <w:lang w:val="sr-Latn-ME"/>
              </w:rPr>
              <w:t xml:space="preserve">Navod u Nacrtu </w:t>
            </w:r>
            <w:r w:rsidR="003B65AB">
              <w:rPr>
                <w:color w:val="000000"/>
                <w:sz w:val="22"/>
                <w:szCs w:val="22"/>
                <w:lang w:val="sr-Latn-ME"/>
              </w:rPr>
              <w:t xml:space="preserve">ažurirane </w:t>
            </w:r>
            <w:r w:rsidRPr="005333D3">
              <w:rPr>
                <w:color w:val="000000"/>
                <w:sz w:val="22"/>
                <w:szCs w:val="22"/>
                <w:lang w:val="sr-Latn-ME"/>
              </w:rPr>
              <w:t>strategije zasnovan je na zvaničnim podacima dostavljenim od strane nadležnih javnih preduzeća i odražava stanje u trenutku izrade dokumenta. Pitanje upravljanja i nadležnosti nad postrojenjem za prečišćavanje otpadnih voda u Vranjini nije predmet ove strategije.</w:t>
            </w:r>
          </w:p>
        </w:tc>
      </w:tr>
    </w:tbl>
    <w:p w14:paraId="0E488CCD" w14:textId="4FF3B1AB" w:rsidR="00260A23" w:rsidRDefault="00260A23" w:rsidP="00F54B06">
      <w:pPr>
        <w:rPr>
          <w:rFonts w:ascii="Times New Roman" w:eastAsiaTheme="majorEastAsia" w:hAnsi="Times New Roman" w:cs="Times New Roman"/>
          <w:bCs/>
          <w:noProof/>
          <w:color w:val="1F3864" w:themeColor="accent1" w:themeShade="80"/>
          <w:sz w:val="26"/>
          <w:szCs w:val="26"/>
          <w:lang w:val="sr-Latn-ME"/>
        </w:rPr>
      </w:pPr>
      <w:r>
        <w:rPr>
          <w:rFonts w:ascii="Times New Roman" w:eastAsiaTheme="majorEastAsia" w:hAnsi="Times New Roman" w:cs="Times New Roman"/>
          <w:bCs/>
          <w:noProof/>
          <w:color w:val="1F3864" w:themeColor="accent1" w:themeShade="80"/>
          <w:sz w:val="26"/>
          <w:szCs w:val="26"/>
          <w:lang w:val="sr-Latn-ME"/>
        </w:rPr>
        <w:t xml:space="preserve">U </w:t>
      </w:r>
      <w:r w:rsidRPr="00260A23">
        <w:rPr>
          <w:rFonts w:ascii="Times New Roman" w:eastAsiaTheme="majorEastAsia" w:hAnsi="Times New Roman" w:cs="Times New Roman"/>
          <w:bCs/>
          <w:noProof/>
          <w:color w:val="1F3864" w:themeColor="accent1" w:themeShade="80"/>
          <w:sz w:val="26"/>
          <w:szCs w:val="26"/>
          <w:lang w:val="sr-Latn-ME"/>
        </w:rPr>
        <w:t>Podgoric</w:t>
      </w:r>
      <w:r>
        <w:rPr>
          <w:rFonts w:ascii="Times New Roman" w:eastAsiaTheme="majorEastAsia" w:hAnsi="Times New Roman" w:cs="Times New Roman"/>
          <w:bCs/>
          <w:noProof/>
          <w:color w:val="1F3864" w:themeColor="accent1" w:themeShade="80"/>
          <w:sz w:val="26"/>
          <w:szCs w:val="26"/>
          <w:lang w:val="sr-Latn-ME"/>
        </w:rPr>
        <w:t>i</w:t>
      </w:r>
      <w:r w:rsidRPr="00260A23">
        <w:rPr>
          <w:rFonts w:ascii="Times New Roman" w:eastAsiaTheme="majorEastAsia" w:hAnsi="Times New Roman" w:cs="Times New Roman"/>
          <w:bCs/>
          <w:noProof/>
          <w:color w:val="1F3864" w:themeColor="accent1" w:themeShade="80"/>
          <w:sz w:val="26"/>
          <w:szCs w:val="26"/>
          <w:lang w:val="sr-Latn-ME"/>
        </w:rPr>
        <w:t>, 9. jul</w:t>
      </w:r>
      <w:r>
        <w:rPr>
          <w:rFonts w:ascii="Times New Roman" w:eastAsiaTheme="majorEastAsia" w:hAnsi="Times New Roman" w:cs="Times New Roman"/>
          <w:bCs/>
          <w:noProof/>
          <w:color w:val="1F3864" w:themeColor="accent1" w:themeShade="80"/>
          <w:sz w:val="26"/>
          <w:szCs w:val="26"/>
          <w:lang w:val="sr-Latn-ME"/>
        </w:rPr>
        <w:t>a</w:t>
      </w:r>
      <w:r w:rsidRPr="00260A23">
        <w:rPr>
          <w:rFonts w:ascii="Times New Roman" w:eastAsiaTheme="majorEastAsia" w:hAnsi="Times New Roman" w:cs="Times New Roman"/>
          <w:bCs/>
          <w:noProof/>
          <w:color w:val="1F3864" w:themeColor="accent1" w:themeShade="80"/>
          <w:sz w:val="26"/>
          <w:szCs w:val="26"/>
          <w:lang w:val="sr-Latn-ME"/>
        </w:rPr>
        <w:t xml:space="preserve"> 2026. godine </w:t>
      </w:r>
      <w:r>
        <w:rPr>
          <w:rFonts w:ascii="Times New Roman" w:eastAsiaTheme="majorEastAsia" w:hAnsi="Times New Roman" w:cs="Times New Roman"/>
          <w:bCs/>
          <w:noProof/>
          <w:color w:val="1F3864" w:themeColor="accent1" w:themeShade="80"/>
          <w:sz w:val="26"/>
          <w:szCs w:val="26"/>
          <w:lang w:val="sr-Latn-ME"/>
        </w:rPr>
        <w:t xml:space="preserve">                                         </w:t>
      </w:r>
    </w:p>
    <w:p w14:paraId="5FBFC14B" w14:textId="685B27C3" w:rsidR="00260A23" w:rsidRPr="00B33C73" w:rsidRDefault="00260A23" w:rsidP="00260A23">
      <w:pPr>
        <w:pStyle w:val="Default"/>
        <w:ind w:left="4254" w:firstLine="709"/>
        <w:rPr>
          <w:sz w:val="22"/>
          <w:szCs w:val="22"/>
        </w:rPr>
      </w:pPr>
      <w:r>
        <w:rPr>
          <w:sz w:val="22"/>
          <w:szCs w:val="22"/>
        </w:rPr>
        <w:t xml:space="preserve">                                 Vladimir </w:t>
      </w:r>
      <w:proofErr w:type="spellStart"/>
      <w:r>
        <w:rPr>
          <w:sz w:val="22"/>
          <w:szCs w:val="22"/>
        </w:rPr>
        <w:t>Joković</w:t>
      </w:r>
      <w:proofErr w:type="spellEnd"/>
      <w:r w:rsidR="00825171">
        <w:rPr>
          <w:sz w:val="22"/>
          <w:szCs w:val="22"/>
        </w:rPr>
        <w:t xml:space="preserve">, </w:t>
      </w:r>
      <w:proofErr w:type="spellStart"/>
      <w:r w:rsidR="00825171">
        <w:rPr>
          <w:sz w:val="22"/>
          <w:szCs w:val="22"/>
        </w:rPr>
        <w:t>s.r.</w:t>
      </w:r>
      <w:bookmarkStart w:id="1" w:name="_GoBack"/>
      <w:bookmarkEnd w:id="1"/>
      <w:proofErr w:type="spellEnd"/>
    </w:p>
    <w:p w14:paraId="0B115E02" w14:textId="147D9AD0" w:rsidR="001958D2" w:rsidRPr="00FE361E" w:rsidRDefault="00260A23" w:rsidP="00FE361E">
      <w:pPr>
        <w:pStyle w:val="Default"/>
        <w:jc w:val="center"/>
        <w:rPr>
          <w:sz w:val="22"/>
          <w:szCs w:val="22"/>
        </w:rPr>
        <w:sectPr w:rsidR="001958D2" w:rsidRPr="00FE361E" w:rsidSect="00260A23">
          <w:headerReference w:type="default" r:id="rId11"/>
          <w:footerReference w:type="even" r:id="rId12"/>
          <w:footerReference w:type="default" r:id="rId13"/>
          <w:pgSz w:w="11906" w:h="16838"/>
          <w:pgMar w:top="1170" w:right="1440" w:bottom="1260" w:left="1440" w:header="1170" w:footer="708" w:gutter="0"/>
          <w:cols w:space="708"/>
          <w:docGrid w:linePitch="360"/>
        </w:sectPr>
      </w:pPr>
      <w:r>
        <w:rPr>
          <w:sz w:val="22"/>
          <w:szCs w:val="22"/>
        </w:rPr>
        <w:t xml:space="preserve">                                                                                              </w:t>
      </w:r>
      <w:proofErr w:type="spellStart"/>
      <w:r>
        <w:rPr>
          <w:sz w:val="22"/>
          <w:szCs w:val="22"/>
        </w:rPr>
        <w:t>Minista</w:t>
      </w:r>
      <w:r w:rsidR="00FE361E">
        <w:rPr>
          <w:sz w:val="22"/>
          <w:szCs w:val="22"/>
        </w:rPr>
        <w:t>r</w:t>
      </w:r>
      <w:proofErr w:type="spellEnd"/>
    </w:p>
    <w:p w14:paraId="2AF11498" w14:textId="4AA9646C" w:rsidR="00246846" w:rsidRPr="00E007C3" w:rsidRDefault="00246846" w:rsidP="00FE361E">
      <w:pPr>
        <w:pStyle w:val="NoSpacing"/>
        <w:rPr>
          <w:rFonts w:ascii="Times New Roman" w:hAnsi="Times New Roman" w:cs="Times New Roman"/>
          <w:b/>
          <w:bCs/>
          <w:noProof/>
          <w:color w:val="1F3864" w:themeColor="accent1" w:themeShade="80"/>
          <w:sz w:val="24"/>
          <w:szCs w:val="24"/>
          <w:lang w:val="sr-Latn-ME"/>
        </w:rPr>
      </w:pPr>
    </w:p>
    <w:sectPr w:rsidR="00246846" w:rsidRPr="00E007C3" w:rsidSect="00FE361E">
      <w:headerReference w:type="default" r:id="rId14"/>
      <w:pgSz w:w="11906" w:h="16838"/>
      <w:pgMar w:top="1440" w:right="709"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4A797" w14:textId="77777777" w:rsidR="00BE07DF" w:rsidRDefault="00BE07DF" w:rsidP="00AF7A96">
      <w:pPr>
        <w:spacing w:after="0" w:line="240" w:lineRule="auto"/>
      </w:pPr>
      <w:r>
        <w:separator/>
      </w:r>
    </w:p>
  </w:endnote>
  <w:endnote w:type="continuationSeparator" w:id="0">
    <w:p w14:paraId="4787D138" w14:textId="77777777" w:rsidR="00BE07DF" w:rsidRDefault="00BE07DF" w:rsidP="00AF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2349881"/>
      <w:docPartObj>
        <w:docPartGallery w:val="Page Numbers (Bottom of Page)"/>
        <w:docPartUnique/>
      </w:docPartObj>
    </w:sdtPr>
    <w:sdtEndPr>
      <w:rPr>
        <w:rStyle w:val="PageNumber"/>
      </w:rPr>
    </w:sdtEndPr>
    <w:sdtContent>
      <w:p w14:paraId="445EBE4C" w14:textId="5BE3C9F2" w:rsidR="00FA2EEF" w:rsidRDefault="00FA2EEF" w:rsidP="002426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50259">
          <w:rPr>
            <w:rStyle w:val="PageNumber"/>
            <w:noProof/>
          </w:rPr>
          <w:t>2</w:t>
        </w:r>
        <w:r>
          <w:rPr>
            <w:rStyle w:val="PageNumber"/>
          </w:rPr>
          <w:fldChar w:fldCharType="end"/>
        </w:r>
      </w:p>
    </w:sdtContent>
  </w:sdt>
  <w:p w14:paraId="7D085982" w14:textId="77777777" w:rsidR="00FA2EEF" w:rsidRDefault="00FA2EEF" w:rsidP="00FA2E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1999608"/>
      <w:docPartObj>
        <w:docPartGallery w:val="Page Numbers (Bottom of Page)"/>
        <w:docPartUnique/>
      </w:docPartObj>
    </w:sdtPr>
    <w:sdtEndPr>
      <w:rPr>
        <w:rStyle w:val="PageNumber"/>
        <w:rFonts w:ascii="Times New Roman" w:hAnsi="Times New Roman" w:cs="Times New Roman"/>
      </w:rPr>
    </w:sdtEndPr>
    <w:sdtContent>
      <w:p w14:paraId="3841DC1F" w14:textId="09544CB1" w:rsidR="00FA2EEF" w:rsidRPr="00FA2EEF" w:rsidRDefault="00FA2EEF" w:rsidP="002426D4">
        <w:pPr>
          <w:pStyle w:val="Footer"/>
          <w:framePr w:wrap="none" w:vAnchor="text" w:hAnchor="margin" w:xAlign="right" w:y="1"/>
          <w:rPr>
            <w:rStyle w:val="PageNumber"/>
            <w:rFonts w:ascii="Times New Roman" w:hAnsi="Times New Roman" w:cs="Times New Roman"/>
          </w:rPr>
        </w:pPr>
        <w:r w:rsidRPr="00FA2EEF">
          <w:rPr>
            <w:rStyle w:val="PageNumber"/>
            <w:rFonts w:ascii="Times New Roman" w:hAnsi="Times New Roman" w:cs="Times New Roman"/>
          </w:rPr>
          <w:fldChar w:fldCharType="begin"/>
        </w:r>
        <w:r w:rsidRPr="00FA2EEF">
          <w:rPr>
            <w:rStyle w:val="PageNumber"/>
            <w:rFonts w:ascii="Times New Roman" w:hAnsi="Times New Roman" w:cs="Times New Roman"/>
          </w:rPr>
          <w:instrText xml:space="preserve"> PAGE </w:instrText>
        </w:r>
        <w:r w:rsidRPr="00FA2EEF">
          <w:rPr>
            <w:rStyle w:val="PageNumber"/>
            <w:rFonts w:ascii="Times New Roman" w:hAnsi="Times New Roman" w:cs="Times New Roman"/>
          </w:rPr>
          <w:fldChar w:fldCharType="separate"/>
        </w:r>
        <w:r w:rsidRPr="00FA2EEF">
          <w:rPr>
            <w:rStyle w:val="PageNumber"/>
            <w:rFonts w:ascii="Times New Roman" w:hAnsi="Times New Roman" w:cs="Times New Roman"/>
            <w:noProof/>
          </w:rPr>
          <w:t>26</w:t>
        </w:r>
        <w:r w:rsidRPr="00FA2EEF">
          <w:rPr>
            <w:rStyle w:val="PageNumber"/>
            <w:rFonts w:ascii="Times New Roman" w:hAnsi="Times New Roman" w:cs="Times New Roman"/>
          </w:rPr>
          <w:fldChar w:fldCharType="end"/>
        </w:r>
      </w:p>
    </w:sdtContent>
  </w:sdt>
  <w:p w14:paraId="38D7576E" w14:textId="77777777" w:rsidR="00FA2EEF" w:rsidRDefault="00FA2EEF" w:rsidP="00FA2E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8AA2B" w14:textId="77777777" w:rsidR="00BE07DF" w:rsidRDefault="00BE07DF" w:rsidP="00AF7A96">
      <w:pPr>
        <w:spacing w:after="0" w:line="240" w:lineRule="auto"/>
      </w:pPr>
      <w:r>
        <w:separator/>
      </w:r>
    </w:p>
  </w:footnote>
  <w:footnote w:type="continuationSeparator" w:id="0">
    <w:p w14:paraId="0137A86A" w14:textId="77777777" w:rsidR="00BE07DF" w:rsidRDefault="00BE07DF" w:rsidP="00AF7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7565E" w14:textId="318E23B8" w:rsidR="00D445B5" w:rsidRPr="00D445B5" w:rsidRDefault="00CB5570" w:rsidP="00CB5570">
    <w:pPr>
      <w:pStyle w:val="NoSpacing"/>
      <w:tabs>
        <w:tab w:val="center" w:pos="4513"/>
      </w:tabs>
      <w:rPr>
        <w:noProof/>
        <w:lang w:val="en-US" w:eastAsia="en-US"/>
      </w:rPr>
    </w:pPr>
    <w:r>
      <w:rPr>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7F995" w14:textId="77777777" w:rsidR="001F4674" w:rsidRPr="001F4674" w:rsidRDefault="001F4674" w:rsidP="0019461A">
    <w:pPr>
      <w:pStyle w:val="NoSpacing"/>
      <w:rPr>
        <w:noProof/>
        <w:lang w:val="sr-Latn-ME"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1948"/>
    <w:multiLevelType w:val="hybridMultilevel"/>
    <w:tmpl w:val="2784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62C26"/>
    <w:multiLevelType w:val="hybridMultilevel"/>
    <w:tmpl w:val="D93A3594"/>
    <w:lvl w:ilvl="0" w:tplc="04090011">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6905844"/>
    <w:multiLevelType w:val="hybridMultilevel"/>
    <w:tmpl w:val="CDFAA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FC2BAB"/>
    <w:multiLevelType w:val="hybridMultilevel"/>
    <w:tmpl w:val="9F389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8B658B"/>
    <w:multiLevelType w:val="hybridMultilevel"/>
    <w:tmpl w:val="DA5CB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A3227"/>
    <w:multiLevelType w:val="hybridMultilevel"/>
    <w:tmpl w:val="D2B06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B2C1D"/>
    <w:multiLevelType w:val="hybridMultilevel"/>
    <w:tmpl w:val="DDCA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E6327"/>
    <w:multiLevelType w:val="multilevel"/>
    <w:tmpl w:val="44084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7D08C6"/>
    <w:multiLevelType w:val="multilevel"/>
    <w:tmpl w:val="8234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B002A4"/>
    <w:multiLevelType w:val="multilevel"/>
    <w:tmpl w:val="E208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0726C"/>
    <w:multiLevelType w:val="hybridMultilevel"/>
    <w:tmpl w:val="E6ACEED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7C25F7"/>
    <w:multiLevelType w:val="hybridMultilevel"/>
    <w:tmpl w:val="4EC4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980ED3"/>
    <w:multiLevelType w:val="hybridMultilevel"/>
    <w:tmpl w:val="C652D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E276ED"/>
    <w:multiLevelType w:val="hybridMultilevel"/>
    <w:tmpl w:val="7E5027B6"/>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66C31B58"/>
    <w:multiLevelType w:val="multilevel"/>
    <w:tmpl w:val="794E31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3B373C"/>
    <w:multiLevelType w:val="hybridMultilevel"/>
    <w:tmpl w:val="9F96B6CA"/>
    <w:lvl w:ilvl="0" w:tplc="924CE00A">
      <w:numFmt w:val="bullet"/>
      <w:lvlText w:val="-"/>
      <w:lvlJc w:val="left"/>
      <w:pPr>
        <w:ind w:left="720" w:hanging="360"/>
      </w:pPr>
      <w:rPr>
        <w:rFonts w:ascii="Times New Roman" w:eastAsiaTheme="minorEastAsia"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7DCE15FD"/>
    <w:multiLevelType w:val="hybridMultilevel"/>
    <w:tmpl w:val="0D48F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CB69CE"/>
    <w:multiLevelType w:val="multilevel"/>
    <w:tmpl w:val="BE6E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2"/>
  </w:num>
  <w:num w:numId="5">
    <w:abstractNumId w:val="12"/>
  </w:num>
  <w:num w:numId="6">
    <w:abstractNumId w:val="5"/>
  </w:num>
  <w:num w:numId="7">
    <w:abstractNumId w:val="11"/>
  </w:num>
  <w:num w:numId="8">
    <w:abstractNumId w:val="17"/>
  </w:num>
  <w:num w:numId="9">
    <w:abstractNumId w:val="0"/>
  </w:num>
  <w:num w:numId="10">
    <w:abstractNumId w:val="7"/>
  </w:num>
  <w:num w:numId="11">
    <w:abstractNumId w:val="8"/>
  </w:num>
  <w:num w:numId="12">
    <w:abstractNumId w:val="14"/>
  </w:num>
  <w:num w:numId="13">
    <w:abstractNumId w:val="9"/>
  </w:num>
  <w:num w:numId="14">
    <w:abstractNumId w:val="13"/>
  </w:num>
  <w:num w:numId="15">
    <w:abstractNumId w:val="15"/>
  </w:num>
  <w:num w:numId="16">
    <w:abstractNumId w:val="3"/>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7D1"/>
    <w:rsid w:val="00000BB6"/>
    <w:rsid w:val="0000706E"/>
    <w:rsid w:val="000114E5"/>
    <w:rsid w:val="000137F9"/>
    <w:rsid w:val="00024CE2"/>
    <w:rsid w:val="00041987"/>
    <w:rsid w:val="00060577"/>
    <w:rsid w:val="00061DB4"/>
    <w:rsid w:val="0007007D"/>
    <w:rsid w:val="000834E5"/>
    <w:rsid w:val="00091D43"/>
    <w:rsid w:val="000A501E"/>
    <w:rsid w:val="000A70C0"/>
    <w:rsid w:val="000A7E1A"/>
    <w:rsid w:val="000B3B53"/>
    <w:rsid w:val="000B70A5"/>
    <w:rsid w:val="000C17DC"/>
    <w:rsid w:val="000D1534"/>
    <w:rsid w:val="000E1249"/>
    <w:rsid w:val="000E761F"/>
    <w:rsid w:val="000F75A7"/>
    <w:rsid w:val="00106E64"/>
    <w:rsid w:val="00112272"/>
    <w:rsid w:val="00112E9E"/>
    <w:rsid w:val="00121536"/>
    <w:rsid w:val="00137675"/>
    <w:rsid w:val="00137D1C"/>
    <w:rsid w:val="00140458"/>
    <w:rsid w:val="001408D8"/>
    <w:rsid w:val="00144EB8"/>
    <w:rsid w:val="00154A17"/>
    <w:rsid w:val="0015624C"/>
    <w:rsid w:val="00156521"/>
    <w:rsid w:val="001642F7"/>
    <w:rsid w:val="00167C8E"/>
    <w:rsid w:val="00191810"/>
    <w:rsid w:val="00193573"/>
    <w:rsid w:val="0019461A"/>
    <w:rsid w:val="00194CEC"/>
    <w:rsid w:val="0019513F"/>
    <w:rsid w:val="001958D2"/>
    <w:rsid w:val="001971EC"/>
    <w:rsid w:val="001A287C"/>
    <w:rsid w:val="001B0707"/>
    <w:rsid w:val="001B1783"/>
    <w:rsid w:val="001B7333"/>
    <w:rsid w:val="001C3D15"/>
    <w:rsid w:val="001C6C19"/>
    <w:rsid w:val="001D06EE"/>
    <w:rsid w:val="001D0ECA"/>
    <w:rsid w:val="001D31E7"/>
    <w:rsid w:val="001D4244"/>
    <w:rsid w:val="001E0633"/>
    <w:rsid w:val="001E45D1"/>
    <w:rsid w:val="001E65E7"/>
    <w:rsid w:val="001F4674"/>
    <w:rsid w:val="001F48E8"/>
    <w:rsid w:val="002104F9"/>
    <w:rsid w:val="00216CB2"/>
    <w:rsid w:val="0021736B"/>
    <w:rsid w:val="002301C1"/>
    <w:rsid w:val="00232249"/>
    <w:rsid w:val="00233AAB"/>
    <w:rsid w:val="00246846"/>
    <w:rsid w:val="00253F55"/>
    <w:rsid w:val="00254E71"/>
    <w:rsid w:val="00260A23"/>
    <w:rsid w:val="00265109"/>
    <w:rsid w:val="00285D45"/>
    <w:rsid w:val="00287F4C"/>
    <w:rsid w:val="002A2A99"/>
    <w:rsid w:val="002B149E"/>
    <w:rsid w:val="002B2B99"/>
    <w:rsid w:val="002D5800"/>
    <w:rsid w:val="002E6369"/>
    <w:rsid w:val="002E79F2"/>
    <w:rsid w:val="002F1613"/>
    <w:rsid w:val="002F3791"/>
    <w:rsid w:val="00305A8C"/>
    <w:rsid w:val="00310490"/>
    <w:rsid w:val="00311702"/>
    <w:rsid w:val="003161EC"/>
    <w:rsid w:val="00325F54"/>
    <w:rsid w:val="0033293A"/>
    <w:rsid w:val="003374C5"/>
    <w:rsid w:val="00337546"/>
    <w:rsid w:val="00353657"/>
    <w:rsid w:val="00361F1E"/>
    <w:rsid w:val="0036753D"/>
    <w:rsid w:val="00374B1B"/>
    <w:rsid w:val="00377001"/>
    <w:rsid w:val="003808E8"/>
    <w:rsid w:val="00382AEA"/>
    <w:rsid w:val="003862DB"/>
    <w:rsid w:val="0039196F"/>
    <w:rsid w:val="003A4634"/>
    <w:rsid w:val="003A7D5D"/>
    <w:rsid w:val="003B1BB7"/>
    <w:rsid w:val="003B2E6B"/>
    <w:rsid w:val="003B65AB"/>
    <w:rsid w:val="003B6E89"/>
    <w:rsid w:val="003C2FA0"/>
    <w:rsid w:val="003D7373"/>
    <w:rsid w:val="003E5A34"/>
    <w:rsid w:val="0041081D"/>
    <w:rsid w:val="0041259A"/>
    <w:rsid w:val="00417F28"/>
    <w:rsid w:val="00421EB0"/>
    <w:rsid w:val="00422550"/>
    <w:rsid w:val="00422FAC"/>
    <w:rsid w:val="004345C8"/>
    <w:rsid w:val="00443593"/>
    <w:rsid w:val="0044459A"/>
    <w:rsid w:val="00455B1F"/>
    <w:rsid w:val="00456086"/>
    <w:rsid w:val="00456971"/>
    <w:rsid w:val="00466965"/>
    <w:rsid w:val="0047672A"/>
    <w:rsid w:val="004767A7"/>
    <w:rsid w:val="00480229"/>
    <w:rsid w:val="004A0266"/>
    <w:rsid w:val="004A2CFE"/>
    <w:rsid w:val="004B1AE8"/>
    <w:rsid w:val="004B36A3"/>
    <w:rsid w:val="004B7656"/>
    <w:rsid w:val="004C2CFB"/>
    <w:rsid w:val="004C3A0D"/>
    <w:rsid w:val="004C5E28"/>
    <w:rsid w:val="004D2BEA"/>
    <w:rsid w:val="004E0D1C"/>
    <w:rsid w:val="004E1A1B"/>
    <w:rsid w:val="004F489C"/>
    <w:rsid w:val="00501D5C"/>
    <w:rsid w:val="00504C78"/>
    <w:rsid w:val="00507A38"/>
    <w:rsid w:val="00513BF5"/>
    <w:rsid w:val="00522A2A"/>
    <w:rsid w:val="005254AF"/>
    <w:rsid w:val="005333D3"/>
    <w:rsid w:val="00534E43"/>
    <w:rsid w:val="00547EF4"/>
    <w:rsid w:val="00560ABB"/>
    <w:rsid w:val="005805FA"/>
    <w:rsid w:val="005871E4"/>
    <w:rsid w:val="005A78C7"/>
    <w:rsid w:val="005B4989"/>
    <w:rsid w:val="005B4C90"/>
    <w:rsid w:val="005B5B82"/>
    <w:rsid w:val="005C4CDA"/>
    <w:rsid w:val="005C5B82"/>
    <w:rsid w:val="005C5FF1"/>
    <w:rsid w:val="005D2C78"/>
    <w:rsid w:val="005D3D87"/>
    <w:rsid w:val="005E5876"/>
    <w:rsid w:val="00603BAF"/>
    <w:rsid w:val="00610960"/>
    <w:rsid w:val="006251CB"/>
    <w:rsid w:val="00633880"/>
    <w:rsid w:val="006350D9"/>
    <w:rsid w:val="00635649"/>
    <w:rsid w:val="00635B5D"/>
    <w:rsid w:val="00641D0D"/>
    <w:rsid w:val="00643BF1"/>
    <w:rsid w:val="0064669A"/>
    <w:rsid w:val="006476EE"/>
    <w:rsid w:val="00653FAF"/>
    <w:rsid w:val="00655058"/>
    <w:rsid w:val="0065643E"/>
    <w:rsid w:val="006600A1"/>
    <w:rsid w:val="00664D5A"/>
    <w:rsid w:val="00667EE2"/>
    <w:rsid w:val="0068476D"/>
    <w:rsid w:val="0068653F"/>
    <w:rsid w:val="00696085"/>
    <w:rsid w:val="006A2FB1"/>
    <w:rsid w:val="006A6FE8"/>
    <w:rsid w:val="006B00E8"/>
    <w:rsid w:val="006C23F2"/>
    <w:rsid w:val="006C3BD8"/>
    <w:rsid w:val="006D0FE5"/>
    <w:rsid w:val="006F2DC9"/>
    <w:rsid w:val="00723DD6"/>
    <w:rsid w:val="007316D6"/>
    <w:rsid w:val="00734FD7"/>
    <w:rsid w:val="00737D6C"/>
    <w:rsid w:val="007444E9"/>
    <w:rsid w:val="00746383"/>
    <w:rsid w:val="0074707C"/>
    <w:rsid w:val="007505CB"/>
    <w:rsid w:val="0077358F"/>
    <w:rsid w:val="00780C6B"/>
    <w:rsid w:val="00784E84"/>
    <w:rsid w:val="0079108F"/>
    <w:rsid w:val="00792001"/>
    <w:rsid w:val="00793EDA"/>
    <w:rsid w:val="007B166E"/>
    <w:rsid w:val="007B1758"/>
    <w:rsid w:val="007B3D03"/>
    <w:rsid w:val="007B4D18"/>
    <w:rsid w:val="007D5A51"/>
    <w:rsid w:val="007E0D31"/>
    <w:rsid w:val="007E11C7"/>
    <w:rsid w:val="007E5CF0"/>
    <w:rsid w:val="007F36FB"/>
    <w:rsid w:val="007F4D4E"/>
    <w:rsid w:val="00812853"/>
    <w:rsid w:val="0081366A"/>
    <w:rsid w:val="00817C04"/>
    <w:rsid w:val="0082057D"/>
    <w:rsid w:val="008223AD"/>
    <w:rsid w:val="00825171"/>
    <w:rsid w:val="00832FC3"/>
    <w:rsid w:val="008421BB"/>
    <w:rsid w:val="00846FB2"/>
    <w:rsid w:val="00855708"/>
    <w:rsid w:val="00860AD5"/>
    <w:rsid w:val="008636AA"/>
    <w:rsid w:val="00865253"/>
    <w:rsid w:val="00877C59"/>
    <w:rsid w:val="00882005"/>
    <w:rsid w:val="008850B9"/>
    <w:rsid w:val="00887778"/>
    <w:rsid w:val="00897890"/>
    <w:rsid w:val="008A50BE"/>
    <w:rsid w:val="008A7F2F"/>
    <w:rsid w:val="008B032B"/>
    <w:rsid w:val="008B2DA8"/>
    <w:rsid w:val="008B2DB7"/>
    <w:rsid w:val="008C0277"/>
    <w:rsid w:val="008C56AA"/>
    <w:rsid w:val="008C7708"/>
    <w:rsid w:val="008E3C52"/>
    <w:rsid w:val="008E6205"/>
    <w:rsid w:val="008F1892"/>
    <w:rsid w:val="008F1D6D"/>
    <w:rsid w:val="008F2FD6"/>
    <w:rsid w:val="008F5364"/>
    <w:rsid w:val="008F67F6"/>
    <w:rsid w:val="00916CE3"/>
    <w:rsid w:val="0093290C"/>
    <w:rsid w:val="0093329E"/>
    <w:rsid w:val="00934DB7"/>
    <w:rsid w:val="00955845"/>
    <w:rsid w:val="00962A78"/>
    <w:rsid w:val="00963CE1"/>
    <w:rsid w:val="0096486F"/>
    <w:rsid w:val="009677FA"/>
    <w:rsid w:val="00976607"/>
    <w:rsid w:val="009914C0"/>
    <w:rsid w:val="009916EB"/>
    <w:rsid w:val="00991B52"/>
    <w:rsid w:val="00991DA0"/>
    <w:rsid w:val="009A0C5F"/>
    <w:rsid w:val="009A5E01"/>
    <w:rsid w:val="009B45D1"/>
    <w:rsid w:val="009E0EBE"/>
    <w:rsid w:val="009F049A"/>
    <w:rsid w:val="009F65B5"/>
    <w:rsid w:val="00A11AFA"/>
    <w:rsid w:val="00A304F1"/>
    <w:rsid w:val="00A337E2"/>
    <w:rsid w:val="00A50259"/>
    <w:rsid w:val="00A57723"/>
    <w:rsid w:val="00A61C7F"/>
    <w:rsid w:val="00A678C0"/>
    <w:rsid w:val="00A71B08"/>
    <w:rsid w:val="00A730D9"/>
    <w:rsid w:val="00A858B1"/>
    <w:rsid w:val="00A85CB5"/>
    <w:rsid w:val="00AA0928"/>
    <w:rsid w:val="00AB1EF3"/>
    <w:rsid w:val="00AB5520"/>
    <w:rsid w:val="00AC3FDB"/>
    <w:rsid w:val="00AC7E12"/>
    <w:rsid w:val="00AD16C3"/>
    <w:rsid w:val="00AD71C7"/>
    <w:rsid w:val="00AE054D"/>
    <w:rsid w:val="00AE59FB"/>
    <w:rsid w:val="00AF05B2"/>
    <w:rsid w:val="00AF209E"/>
    <w:rsid w:val="00AF7A96"/>
    <w:rsid w:val="00B0146A"/>
    <w:rsid w:val="00B03EAE"/>
    <w:rsid w:val="00B03ECC"/>
    <w:rsid w:val="00B25F73"/>
    <w:rsid w:val="00B27710"/>
    <w:rsid w:val="00B31FF2"/>
    <w:rsid w:val="00B368C1"/>
    <w:rsid w:val="00B42B17"/>
    <w:rsid w:val="00B43BA1"/>
    <w:rsid w:val="00B537E0"/>
    <w:rsid w:val="00B54064"/>
    <w:rsid w:val="00B60C17"/>
    <w:rsid w:val="00B7419D"/>
    <w:rsid w:val="00B8457E"/>
    <w:rsid w:val="00BA48CA"/>
    <w:rsid w:val="00BB5E3C"/>
    <w:rsid w:val="00BE07DF"/>
    <w:rsid w:val="00BE228F"/>
    <w:rsid w:val="00BE385C"/>
    <w:rsid w:val="00BE7D36"/>
    <w:rsid w:val="00BF1AB6"/>
    <w:rsid w:val="00C00A29"/>
    <w:rsid w:val="00C0225E"/>
    <w:rsid w:val="00C148B4"/>
    <w:rsid w:val="00C15A65"/>
    <w:rsid w:val="00C20DB0"/>
    <w:rsid w:val="00C45BB7"/>
    <w:rsid w:val="00C54DCF"/>
    <w:rsid w:val="00C57ED5"/>
    <w:rsid w:val="00C61E82"/>
    <w:rsid w:val="00C64F1F"/>
    <w:rsid w:val="00C652A7"/>
    <w:rsid w:val="00C76313"/>
    <w:rsid w:val="00C76E5F"/>
    <w:rsid w:val="00C91165"/>
    <w:rsid w:val="00C95B8A"/>
    <w:rsid w:val="00C96D7F"/>
    <w:rsid w:val="00CA4CA6"/>
    <w:rsid w:val="00CB1F8A"/>
    <w:rsid w:val="00CB5570"/>
    <w:rsid w:val="00CB5937"/>
    <w:rsid w:val="00CB5D52"/>
    <w:rsid w:val="00CC02C7"/>
    <w:rsid w:val="00CC10BF"/>
    <w:rsid w:val="00CC3865"/>
    <w:rsid w:val="00CC444A"/>
    <w:rsid w:val="00CD278E"/>
    <w:rsid w:val="00CD7011"/>
    <w:rsid w:val="00CE1370"/>
    <w:rsid w:val="00D00020"/>
    <w:rsid w:val="00D2750E"/>
    <w:rsid w:val="00D300DF"/>
    <w:rsid w:val="00D33121"/>
    <w:rsid w:val="00D445B5"/>
    <w:rsid w:val="00D46552"/>
    <w:rsid w:val="00D51F1B"/>
    <w:rsid w:val="00D51FC7"/>
    <w:rsid w:val="00D6311F"/>
    <w:rsid w:val="00D65434"/>
    <w:rsid w:val="00D8363A"/>
    <w:rsid w:val="00D858AC"/>
    <w:rsid w:val="00D90B68"/>
    <w:rsid w:val="00DA0F25"/>
    <w:rsid w:val="00DA294D"/>
    <w:rsid w:val="00DA6412"/>
    <w:rsid w:val="00DA782E"/>
    <w:rsid w:val="00DB19C4"/>
    <w:rsid w:val="00DB1A5A"/>
    <w:rsid w:val="00DB5B67"/>
    <w:rsid w:val="00DC2D13"/>
    <w:rsid w:val="00DE17B6"/>
    <w:rsid w:val="00DE4377"/>
    <w:rsid w:val="00DE69F6"/>
    <w:rsid w:val="00DF2EF7"/>
    <w:rsid w:val="00DF4C09"/>
    <w:rsid w:val="00DF6226"/>
    <w:rsid w:val="00E007C3"/>
    <w:rsid w:val="00E122A1"/>
    <w:rsid w:val="00E2593E"/>
    <w:rsid w:val="00E26C4A"/>
    <w:rsid w:val="00E26D9C"/>
    <w:rsid w:val="00E34474"/>
    <w:rsid w:val="00E36F7E"/>
    <w:rsid w:val="00E4795F"/>
    <w:rsid w:val="00E601A6"/>
    <w:rsid w:val="00E610A7"/>
    <w:rsid w:val="00E66069"/>
    <w:rsid w:val="00E77762"/>
    <w:rsid w:val="00E92358"/>
    <w:rsid w:val="00E95CCC"/>
    <w:rsid w:val="00EB09CC"/>
    <w:rsid w:val="00EB3537"/>
    <w:rsid w:val="00EB3DAE"/>
    <w:rsid w:val="00EB5CBE"/>
    <w:rsid w:val="00EC4507"/>
    <w:rsid w:val="00ED3C81"/>
    <w:rsid w:val="00ED5852"/>
    <w:rsid w:val="00ED7D49"/>
    <w:rsid w:val="00EE1922"/>
    <w:rsid w:val="00EE1E9C"/>
    <w:rsid w:val="00EF59A2"/>
    <w:rsid w:val="00F01659"/>
    <w:rsid w:val="00F017B4"/>
    <w:rsid w:val="00F01C55"/>
    <w:rsid w:val="00F31124"/>
    <w:rsid w:val="00F31F5B"/>
    <w:rsid w:val="00F34299"/>
    <w:rsid w:val="00F42165"/>
    <w:rsid w:val="00F427D1"/>
    <w:rsid w:val="00F42CBD"/>
    <w:rsid w:val="00F434D0"/>
    <w:rsid w:val="00F54B06"/>
    <w:rsid w:val="00F56252"/>
    <w:rsid w:val="00F6350A"/>
    <w:rsid w:val="00F657C6"/>
    <w:rsid w:val="00F67D24"/>
    <w:rsid w:val="00F86AD1"/>
    <w:rsid w:val="00F9004D"/>
    <w:rsid w:val="00FA2EEF"/>
    <w:rsid w:val="00FB0A0E"/>
    <w:rsid w:val="00FB2BC9"/>
    <w:rsid w:val="00FB6750"/>
    <w:rsid w:val="00FC0AFF"/>
    <w:rsid w:val="00FC6735"/>
    <w:rsid w:val="00FC692B"/>
    <w:rsid w:val="00FD7CB5"/>
    <w:rsid w:val="00FE361E"/>
    <w:rsid w:val="00FE4F46"/>
    <w:rsid w:val="00FF2CB3"/>
    <w:rsid w:val="00FF680F"/>
    <w:rsid w:val="00FF7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FFCB5"/>
  <w15:chartTrackingRefBased/>
  <w15:docId w15:val="{F7CA90C8-9A2C-44FB-9072-D2000240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CB3"/>
  </w:style>
  <w:style w:type="paragraph" w:styleId="Heading1">
    <w:name w:val="heading 1"/>
    <w:basedOn w:val="Normal"/>
    <w:next w:val="Normal"/>
    <w:link w:val="Heading1Char"/>
    <w:uiPriority w:val="9"/>
    <w:qFormat/>
    <w:rsid w:val="00F427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A9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7A96"/>
  </w:style>
  <w:style w:type="paragraph" w:styleId="Footer">
    <w:name w:val="footer"/>
    <w:basedOn w:val="Normal"/>
    <w:link w:val="FooterChar"/>
    <w:uiPriority w:val="99"/>
    <w:unhideWhenUsed/>
    <w:rsid w:val="00AF7A96"/>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7A96"/>
  </w:style>
  <w:style w:type="table" w:styleId="TableGrid">
    <w:name w:val="Table Grid"/>
    <w:basedOn w:val="TableNormal"/>
    <w:uiPriority w:val="39"/>
    <w:rsid w:val="00F4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427D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427D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D278E"/>
    <w:pPr>
      <w:ind w:left="720"/>
      <w:contextualSpacing/>
    </w:pPr>
  </w:style>
  <w:style w:type="paragraph" w:styleId="Caption">
    <w:name w:val="caption"/>
    <w:basedOn w:val="Normal"/>
    <w:next w:val="Normal"/>
    <w:uiPriority w:val="35"/>
    <w:unhideWhenUsed/>
    <w:qFormat/>
    <w:rsid w:val="005C4CDA"/>
    <w:pPr>
      <w:spacing w:after="200" w:line="240" w:lineRule="auto"/>
    </w:pPr>
    <w:rPr>
      <w:i/>
      <w:iCs/>
      <w:color w:val="44546A" w:themeColor="text2"/>
      <w:sz w:val="18"/>
      <w:szCs w:val="18"/>
    </w:rPr>
  </w:style>
  <w:style w:type="paragraph" w:styleId="Revision">
    <w:name w:val="Revision"/>
    <w:hidden/>
    <w:uiPriority w:val="99"/>
    <w:semiHidden/>
    <w:rsid w:val="00091D43"/>
    <w:pPr>
      <w:spacing w:after="0" w:line="240" w:lineRule="auto"/>
    </w:pPr>
  </w:style>
  <w:style w:type="paragraph" w:styleId="NoSpacing">
    <w:name w:val="No Spacing"/>
    <w:uiPriority w:val="1"/>
    <w:qFormat/>
    <w:rsid w:val="00112272"/>
    <w:pPr>
      <w:spacing w:after="0" w:line="240" w:lineRule="auto"/>
    </w:pPr>
  </w:style>
  <w:style w:type="table" w:styleId="GridTable4-Accent1">
    <w:name w:val="Grid Table 4 Accent 1"/>
    <w:basedOn w:val="TableNormal"/>
    <w:uiPriority w:val="49"/>
    <w:rsid w:val="0046696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79108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PageNumber">
    <w:name w:val="page number"/>
    <w:basedOn w:val="DefaultParagraphFont"/>
    <w:uiPriority w:val="99"/>
    <w:semiHidden/>
    <w:unhideWhenUsed/>
    <w:rsid w:val="00FA2EEF"/>
  </w:style>
  <w:style w:type="paragraph" w:styleId="NormalWeb">
    <w:name w:val="Normal (Web)"/>
    <w:basedOn w:val="Normal"/>
    <w:uiPriority w:val="99"/>
    <w:unhideWhenUsed/>
    <w:rsid w:val="000834E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6350A"/>
    <w:rPr>
      <w:sz w:val="16"/>
      <w:szCs w:val="16"/>
    </w:rPr>
  </w:style>
  <w:style w:type="paragraph" w:styleId="CommentText">
    <w:name w:val="annotation text"/>
    <w:basedOn w:val="Normal"/>
    <w:link w:val="CommentTextChar"/>
    <w:uiPriority w:val="99"/>
    <w:semiHidden/>
    <w:unhideWhenUsed/>
    <w:rsid w:val="00F6350A"/>
    <w:pPr>
      <w:spacing w:line="240" w:lineRule="auto"/>
    </w:pPr>
    <w:rPr>
      <w:sz w:val="20"/>
      <w:szCs w:val="20"/>
    </w:rPr>
  </w:style>
  <w:style w:type="character" w:customStyle="1" w:styleId="CommentTextChar">
    <w:name w:val="Comment Text Char"/>
    <w:basedOn w:val="DefaultParagraphFont"/>
    <w:link w:val="CommentText"/>
    <w:uiPriority w:val="99"/>
    <w:semiHidden/>
    <w:rsid w:val="00F6350A"/>
    <w:rPr>
      <w:sz w:val="20"/>
      <w:szCs w:val="20"/>
    </w:rPr>
  </w:style>
  <w:style w:type="paragraph" w:styleId="CommentSubject">
    <w:name w:val="annotation subject"/>
    <w:basedOn w:val="CommentText"/>
    <w:next w:val="CommentText"/>
    <w:link w:val="CommentSubjectChar"/>
    <w:uiPriority w:val="99"/>
    <w:semiHidden/>
    <w:unhideWhenUsed/>
    <w:rsid w:val="00F6350A"/>
    <w:rPr>
      <w:b/>
      <w:bCs/>
    </w:rPr>
  </w:style>
  <w:style w:type="character" w:customStyle="1" w:styleId="CommentSubjectChar">
    <w:name w:val="Comment Subject Char"/>
    <w:basedOn w:val="CommentTextChar"/>
    <w:link w:val="CommentSubject"/>
    <w:uiPriority w:val="99"/>
    <w:semiHidden/>
    <w:rsid w:val="00F6350A"/>
    <w:rPr>
      <w:b/>
      <w:bCs/>
      <w:sz w:val="20"/>
      <w:szCs w:val="20"/>
    </w:rPr>
  </w:style>
  <w:style w:type="character" w:styleId="Strong">
    <w:name w:val="Strong"/>
    <w:basedOn w:val="DefaultParagraphFont"/>
    <w:uiPriority w:val="22"/>
    <w:qFormat/>
    <w:rsid w:val="007B4D18"/>
    <w:rPr>
      <w:b/>
      <w:bCs/>
    </w:rPr>
  </w:style>
  <w:style w:type="character" w:styleId="Hyperlink">
    <w:name w:val="Hyperlink"/>
    <w:basedOn w:val="DefaultParagraphFont"/>
    <w:uiPriority w:val="99"/>
    <w:unhideWhenUsed/>
    <w:rsid w:val="003D7373"/>
    <w:rPr>
      <w:color w:val="0563C1" w:themeColor="hyperlink"/>
      <w:u w:val="single"/>
    </w:rPr>
  </w:style>
  <w:style w:type="character" w:styleId="UnresolvedMention">
    <w:name w:val="Unresolved Mention"/>
    <w:basedOn w:val="DefaultParagraphFont"/>
    <w:uiPriority w:val="99"/>
    <w:semiHidden/>
    <w:unhideWhenUsed/>
    <w:rsid w:val="003D7373"/>
    <w:rPr>
      <w:color w:val="605E5C"/>
      <w:shd w:val="clear" w:color="auto" w:fill="E1DFDD"/>
    </w:rPr>
  </w:style>
  <w:style w:type="paragraph" w:styleId="Title">
    <w:name w:val="Title"/>
    <w:basedOn w:val="Normal"/>
    <w:next w:val="Normal"/>
    <w:link w:val="TitleChar"/>
    <w:uiPriority w:val="10"/>
    <w:qFormat/>
    <w:rsid w:val="00A50259"/>
    <w:pPr>
      <w:spacing w:before="120" w:after="80" w:line="192" w:lineRule="auto"/>
      <w:ind w:left="1134"/>
    </w:pPr>
    <w:rPr>
      <w:rFonts w:ascii="Calibri" w:eastAsia="Times New Roman" w:hAnsi="Calibri" w:cs="Times New Roman"/>
      <w:noProof/>
      <w:spacing w:val="-10"/>
      <w:kern w:val="28"/>
      <w:sz w:val="28"/>
      <w:szCs w:val="40"/>
      <w:lang w:val="en-US" w:eastAsia="en-US"/>
    </w:rPr>
  </w:style>
  <w:style w:type="character" w:customStyle="1" w:styleId="TitleChar">
    <w:name w:val="Title Char"/>
    <w:basedOn w:val="DefaultParagraphFont"/>
    <w:link w:val="Title"/>
    <w:uiPriority w:val="10"/>
    <w:rsid w:val="00A50259"/>
    <w:rPr>
      <w:rFonts w:ascii="Calibri" w:eastAsia="Times New Roman" w:hAnsi="Calibri" w:cs="Times New Roman"/>
      <w:noProof/>
      <w:spacing w:val="-10"/>
      <w:kern w:val="28"/>
      <w:sz w:val="28"/>
      <w:szCs w:val="40"/>
      <w:lang w:val="en-US" w:eastAsia="en-US"/>
    </w:rPr>
  </w:style>
  <w:style w:type="paragraph" w:customStyle="1" w:styleId="Default">
    <w:name w:val="Default"/>
    <w:rsid w:val="00260A23"/>
    <w:pPr>
      <w:autoSpaceDE w:val="0"/>
      <w:autoSpaceDN w:val="0"/>
      <w:adjustRightInd w:val="0"/>
      <w:spacing w:after="0" w:line="240" w:lineRule="auto"/>
    </w:pPr>
    <w:rPr>
      <w:rFonts w:ascii="Arial" w:eastAsiaTheme="minorHAns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879285">
      <w:bodyDiv w:val="1"/>
      <w:marLeft w:val="0"/>
      <w:marRight w:val="0"/>
      <w:marTop w:val="0"/>
      <w:marBottom w:val="0"/>
      <w:divBdr>
        <w:top w:val="none" w:sz="0" w:space="0" w:color="auto"/>
        <w:left w:val="none" w:sz="0" w:space="0" w:color="auto"/>
        <w:bottom w:val="none" w:sz="0" w:space="0" w:color="auto"/>
        <w:right w:val="none" w:sz="0" w:space="0" w:color="auto"/>
      </w:divBdr>
    </w:div>
    <w:div w:id="200064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orica.djuranovic@mpsv.gov.m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jana.djukic\Downloads\WB%20IBRD%208930-YF_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5D42E-ED88-4E02-901F-EEC68C64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 IBRD 8930-YF_Template 1</Template>
  <TotalTime>1</TotalTime>
  <Pages>5</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COWI</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Stojic</dc:creator>
  <cp:keywords/>
  <dc:description/>
  <cp:lastModifiedBy>Maja Bozovic</cp:lastModifiedBy>
  <cp:revision>3</cp:revision>
  <dcterms:created xsi:type="dcterms:W3CDTF">2026-07-09T11:07:00Z</dcterms:created>
  <dcterms:modified xsi:type="dcterms:W3CDTF">2026-07-09T12:27:00Z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5275e492-0001-4024-bb3e-41665b94ce64</vt:lpwstr>
  </property>
</Properties>
</file>