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6D797B85" w:rsidR="00675B92" w:rsidRPr="00780441" w:rsidRDefault="00330FA1" w:rsidP="00641AB6">
      <w:pPr>
        <w:jc w:val="center"/>
        <w:rPr>
          <w:rFonts w:ascii="Arial" w:eastAsia="Times New Roman" w:hAnsi="Arial" w:cs="Arial"/>
          <w:b/>
          <w:noProof w:val="0"/>
          <w:color w:val="FF0000"/>
          <w:sz w:val="20"/>
          <w:szCs w:val="20"/>
        </w:rPr>
      </w:pPr>
      <w:r>
        <w:rPr>
          <w:rFonts w:ascii="Arial" w:hAnsi="Arial" w:cs="Arial"/>
          <w:noProof w:val="0"/>
          <w:sz w:val="18"/>
          <w:szCs w:val="18"/>
        </w:rPr>
        <w:t>Zaštićena oznaka porijekla</w:t>
      </w:r>
      <w:r w:rsidR="00675B92">
        <w:rPr>
          <w:rFonts w:ascii="Arial" w:hAnsi="Arial" w:cs="Arial"/>
          <w:noProof w:val="0"/>
          <w:sz w:val="18"/>
          <w:szCs w:val="18"/>
        </w:rPr>
        <w:t xml:space="preserve"> </w:t>
      </w:r>
      <w:r w:rsidR="00053739">
        <w:rPr>
          <w:rFonts w:ascii="Arial" w:hAnsi="Arial" w:cs="Arial"/>
          <w:noProof w:val="0"/>
          <w:sz w:val="18"/>
          <w:szCs w:val="18"/>
        </w:rPr>
        <w:t>Bjelopavlići</w:t>
      </w:r>
    </w:p>
    <w:p w14:paraId="39E7B97F" w14:textId="77777777" w:rsidR="00641AB6" w:rsidRPr="00377759" w:rsidRDefault="00641AB6" w:rsidP="00641AB6">
      <w:pPr>
        <w:rPr>
          <w:rFonts w:ascii="Arial" w:eastAsia="Times New Roman" w:hAnsi="Arial" w:cs="Arial"/>
          <w:noProof w:val="0"/>
        </w:rPr>
      </w:pPr>
    </w:p>
    <w:tbl>
      <w:tblPr>
        <w:tblStyle w:val="TableGrid"/>
        <w:tblW w:w="10440" w:type="dxa"/>
        <w:tblInd w:w="-432" w:type="dxa"/>
        <w:tblLook w:val="04A0" w:firstRow="1" w:lastRow="0" w:firstColumn="1" w:lastColumn="0" w:noHBand="0" w:noVBand="1"/>
      </w:tblPr>
      <w:tblGrid>
        <w:gridCol w:w="2808"/>
        <w:gridCol w:w="1843"/>
        <w:gridCol w:w="5789"/>
      </w:tblGrid>
      <w:tr w:rsidR="00330FA1" w:rsidRPr="008D1092" w14:paraId="4ABD9C6B"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Datum prijema (DD/MM/GGGG) </w:t>
            </w:r>
            <w:r w:rsidRPr="008D1092">
              <w:rPr>
                <w:rFonts w:ascii="Arial" w:hAnsi="Arial" w:cs="Arial"/>
                <w:i/>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8D1092" w:rsidRDefault="00330FA1" w:rsidP="00330FA1">
            <w:pPr>
              <w:spacing w:before="100" w:beforeAutospacing="1" w:after="100" w:afterAutospacing="1" w:line="276" w:lineRule="auto"/>
              <w:rPr>
                <w:rFonts w:ascii="Arial" w:hAnsi="Arial" w:cs="Arial"/>
                <w:sz w:val="18"/>
                <w:szCs w:val="18"/>
              </w:rPr>
            </w:pPr>
          </w:p>
        </w:tc>
      </w:tr>
      <w:tr w:rsidR="00330FA1" w:rsidRPr="008D1092" w14:paraId="2C6A731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 xml:space="preserve">Broj stranica </w:t>
            </w:r>
            <w:r w:rsidRPr="008D1092">
              <w:rPr>
                <w:rFonts w:ascii="Arial" w:hAnsi="Arial" w:cs="Arial"/>
                <w:i/>
                <w:sz w:val="16"/>
                <w:szCs w:val="18"/>
              </w:rPr>
              <w:t>(max. 5 uključujući ovu stranicu)</w:t>
            </w:r>
          </w:p>
        </w:tc>
        <w:tc>
          <w:tcPr>
            <w:tcW w:w="5789" w:type="dxa"/>
            <w:tcBorders>
              <w:top w:val="single" w:sz="4" w:space="0" w:color="auto"/>
              <w:left w:val="single" w:sz="4" w:space="0" w:color="auto"/>
              <w:bottom w:val="single" w:sz="4" w:space="0" w:color="auto"/>
              <w:right w:val="single" w:sz="4" w:space="0" w:color="auto"/>
            </w:tcBorders>
            <w:vAlign w:val="center"/>
          </w:tcPr>
          <w:p w14:paraId="4FC75090" w14:textId="513239FB" w:rsidR="00330FA1" w:rsidRPr="008D1092" w:rsidRDefault="00431C1B"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5</w:t>
            </w:r>
            <w:r w:rsidR="00330FA1" w:rsidRPr="008D1092">
              <w:rPr>
                <w:rFonts w:ascii="Arial" w:hAnsi="Arial" w:cs="Arial"/>
                <w:sz w:val="18"/>
                <w:szCs w:val="18"/>
              </w:rPr>
              <w:t xml:space="preserve"> (</w:t>
            </w:r>
            <w:r w:rsidRPr="008D1092">
              <w:rPr>
                <w:rFonts w:ascii="Arial" w:hAnsi="Arial" w:cs="Arial"/>
                <w:sz w:val="18"/>
                <w:szCs w:val="18"/>
              </w:rPr>
              <w:t>pet</w:t>
            </w:r>
            <w:r w:rsidR="00330FA1" w:rsidRPr="008D1092">
              <w:rPr>
                <w:rFonts w:ascii="Arial" w:hAnsi="Arial" w:cs="Arial"/>
                <w:sz w:val="18"/>
                <w:szCs w:val="18"/>
              </w:rPr>
              <w:t>)</w:t>
            </w:r>
          </w:p>
        </w:tc>
      </w:tr>
      <w:tr w:rsidR="00330FA1" w:rsidRPr="008D1092" w14:paraId="4CD6CC5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Jezik na kojem se podnosi zahtjev* </w:t>
            </w:r>
          </w:p>
        </w:tc>
        <w:tc>
          <w:tcPr>
            <w:tcW w:w="5789"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crnogorski</w:t>
            </w:r>
          </w:p>
        </w:tc>
      </w:tr>
      <w:tr w:rsidR="00330FA1" w:rsidRPr="008D1092" w14:paraId="7EFCF33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Djelovodni broj </w:t>
            </w:r>
            <w:r w:rsidRPr="008D1092">
              <w:rPr>
                <w:rFonts w:ascii="Arial" w:hAnsi="Arial" w:cs="Arial"/>
                <w:i/>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8D1092" w:rsidRDefault="00330FA1" w:rsidP="00330FA1">
            <w:pPr>
              <w:spacing w:before="100" w:beforeAutospacing="1" w:after="100" w:afterAutospacing="1" w:line="276" w:lineRule="auto"/>
              <w:rPr>
                <w:rFonts w:ascii="Arial" w:hAnsi="Arial" w:cs="Arial"/>
                <w:color w:val="FF0000"/>
                <w:sz w:val="18"/>
                <w:szCs w:val="18"/>
              </w:rPr>
            </w:pPr>
          </w:p>
        </w:tc>
      </w:tr>
      <w:tr w:rsidR="00DF5DC9" w:rsidRPr="008D1092" w14:paraId="0429292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8D1092" w:rsidRDefault="00DF5DC9" w:rsidP="00DF5DC9">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8D1092" w:rsidRDefault="00DF5DC9" w:rsidP="00DF5DC9">
            <w:pPr>
              <w:spacing w:before="100" w:beforeAutospacing="1" w:after="100" w:afterAutospacing="1" w:line="276" w:lineRule="auto"/>
              <w:rPr>
                <w:rFonts w:ascii="Arial" w:hAnsi="Arial" w:cs="Arial"/>
                <w:color w:val="FF0000"/>
                <w:sz w:val="18"/>
                <w:szCs w:val="18"/>
              </w:rPr>
            </w:pPr>
          </w:p>
        </w:tc>
      </w:tr>
      <w:tr w:rsidR="00330FA1" w:rsidRPr="008D1092" w14:paraId="28ED0838"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b/>
                <w:sz w:val="18"/>
                <w:szCs w:val="18"/>
              </w:rPr>
              <w:t>Podnosilac Zahtjeva</w:t>
            </w:r>
          </w:p>
        </w:tc>
        <w:tc>
          <w:tcPr>
            <w:tcW w:w="5789"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8D1092" w:rsidRDefault="00330FA1" w:rsidP="00330FA1">
            <w:pPr>
              <w:spacing w:before="100" w:beforeAutospacing="1" w:after="100" w:afterAutospacing="1" w:line="276" w:lineRule="auto"/>
              <w:rPr>
                <w:rFonts w:ascii="Arial" w:hAnsi="Arial" w:cs="Arial"/>
                <w:sz w:val="18"/>
                <w:szCs w:val="18"/>
              </w:rPr>
            </w:pPr>
          </w:p>
        </w:tc>
      </w:tr>
      <w:tr w:rsidR="00330FA1" w:rsidRPr="008D1092" w14:paraId="6ED32267"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Ime fizičkog lica ili naziv pravnog lica </w:t>
            </w:r>
          </w:p>
        </w:tc>
        <w:tc>
          <w:tcPr>
            <w:tcW w:w="5789" w:type="dxa"/>
            <w:tcBorders>
              <w:top w:val="single" w:sz="4" w:space="0" w:color="auto"/>
              <w:left w:val="single" w:sz="4" w:space="0" w:color="auto"/>
              <w:bottom w:val="single" w:sz="4" w:space="0" w:color="auto"/>
              <w:right w:val="single" w:sz="4" w:space="0" w:color="auto"/>
            </w:tcBorders>
            <w:vAlign w:val="center"/>
          </w:tcPr>
          <w:p w14:paraId="2EF7ADCB" w14:textId="613D738D" w:rsidR="00330FA1" w:rsidRPr="008D1092" w:rsidRDefault="00431C1B"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U</w:t>
            </w:r>
            <w:r w:rsidR="00330FA1" w:rsidRPr="008D1092">
              <w:rPr>
                <w:rFonts w:ascii="Arial" w:hAnsi="Arial" w:cs="Arial"/>
                <w:sz w:val="18"/>
                <w:szCs w:val="18"/>
              </w:rPr>
              <w:t xml:space="preserve">druženje vinogradara </w:t>
            </w:r>
            <w:r w:rsidRPr="008D1092">
              <w:rPr>
                <w:rFonts w:ascii="Arial" w:hAnsi="Arial" w:cs="Arial"/>
                <w:sz w:val="18"/>
                <w:szCs w:val="18"/>
              </w:rPr>
              <w:t>Grozd</w:t>
            </w:r>
          </w:p>
        </w:tc>
      </w:tr>
      <w:tr w:rsidR="00330FA1" w:rsidRPr="008D1092" w14:paraId="560ADEBE"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6F1D6725" w14:textId="48DECA93" w:rsidR="00330FA1" w:rsidRPr="008D1092" w:rsidRDefault="00431C1B"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Danilovgrad, Martinići bb</w:t>
            </w:r>
            <w:r w:rsidR="00330FA1" w:rsidRPr="008D1092">
              <w:rPr>
                <w:rFonts w:ascii="Arial" w:hAnsi="Arial" w:cs="Arial"/>
                <w:sz w:val="18"/>
                <w:szCs w:val="18"/>
              </w:rPr>
              <w:t>, Crna Gora</w:t>
            </w:r>
          </w:p>
        </w:tc>
      </w:tr>
      <w:tr w:rsidR="00330FA1" w:rsidRPr="008D1092" w14:paraId="7EFC0449"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 xml:space="preserve">Pravni status, veličina i sastav </w:t>
            </w:r>
            <w:r w:rsidRPr="008D1092">
              <w:rPr>
                <w:rFonts w:ascii="Arial" w:hAnsi="Arial" w:cs="Arial"/>
                <w:i/>
                <w:sz w:val="16"/>
                <w:szCs w:val="18"/>
              </w:rPr>
              <w:t>(u slučaju pravnog lica)</w:t>
            </w:r>
          </w:p>
        </w:tc>
        <w:tc>
          <w:tcPr>
            <w:tcW w:w="5789" w:type="dxa"/>
            <w:tcBorders>
              <w:top w:val="single" w:sz="4" w:space="0" w:color="auto"/>
              <w:left w:val="single" w:sz="4" w:space="0" w:color="auto"/>
              <w:bottom w:val="single" w:sz="4" w:space="0" w:color="auto"/>
              <w:right w:val="single" w:sz="4" w:space="0" w:color="auto"/>
            </w:tcBorders>
            <w:vAlign w:val="center"/>
          </w:tcPr>
          <w:p w14:paraId="50E5124D" w14:textId="2AC40FE3"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NVO</w:t>
            </w:r>
          </w:p>
        </w:tc>
      </w:tr>
      <w:tr w:rsidR="00330FA1" w:rsidRPr="008D1092" w14:paraId="42C71D3C"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Državljanstvo*</w:t>
            </w:r>
          </w:p>
        </w:tc>
        <w:tc>
          <w:tcPr>
            <w:tcW w:w="5789" w:type="dxa"/>
            <w:tcBorders>
              <w:top w:val="single" w:sz="4" w:space="0" w:color="auto"/>
              <w:left w:val="single" w:sz="4" w:space="0" w:color="auto"/>
              <w:bottom w:val="single" w:sz="4" w:space="0" w:color="auto"/>
              <w:right w:val="single" w:sz="4" w:space="0" w:color="auto"/>
            </w:tcBorders>
            <w:vAlign w:val="center"/>
          </w:tcPr>
          <w:p w14:paraId="40E8EC89" w14:textId="77777777" w:rsidR="00330FA1" w:rsidRPr="008D1092" w:rsidRDefault="00330FA1" w:rsidP="00330FA1">
            <w:pPr>
              <w:spacing w:before="100" w:beforeAutospacing="1" w:after="100" w:afterAutospacing="1" w:line="276" w:lineRule="auto"/>
              <w:rPr>
                <w:rFonts w:ascii="Arial" w:hAnsi="Arial" w:cs="Arial"/>
                <w:color w:val="FF0000"/>
                <w:sz w:val="18"/>
                <w:szCs w:val="18"/>
              </w:rPr>
            </w:pPr>
          </w:p>
        </w:tc>
      </w:tr>
      <w:tr w:rsidR="00330FA1" w:rsidRPr="008D1092" w14:paraId="5A491EA2"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330FA1" w:rsidRPr="008D1092" w:rsidRDefault="00330FA1" w:rsidP="00330FA1">
            <w:pPr>
              <w:spacing w:before="100" w:beforeAutospacing="1" w:after="100" w:afterAutospacing="1" w:line="276" w:lineRule="auto"/>
              <w:rPr>
                <w:rFonts w:ascii="Arial" w:hAnsi="Arial" w:cs="Arial"/>
                <w:sz w:val="18"/>
                <w:szCs w:val="18"/>
              </w:rPr>
            </w:pPr>
            <w:r w:rsidRPr="008D1092">
              <w:rPr>
                <w:rFonts w:ascii="Arial" w:hAnsi="Arial" w:cs="Arial"/>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410AE6E8" w14:textId="51298D57" w:rsidR="00330FA1" w:rsidRPr="008D1092" w:rsidRDefault="00A77707" w:rsidP="00330FA1">
            <w:pPr>
              <w:spacing w:before="100" w:beforeAutospacing="1" w:after="100" w:afterAutospacing="1" w:line="276" w:lineRule="auto"/>
              <w:rPr>
                <w:rFonts w:ascii="Arial" w:hAnsi="Arial" w:cs="Arial"/>
                <w:color w:val="FF0000"/>
                <w:sz w:val="18"/>
                <w:szCs w:val="18"/>
              </w:rPr>
            </w:pPr>
            <w:r>
              <w:rPr>
                <w:rFonts w:ascii="Arial" w:hAnsi="Arial" w:cs="Arial"/>
                <w:sz w:val="18"/>
                <w:szCs w:val="18"/>
              </w:rPr>
              <w:t xml:space="preserve">+382 </w:t>
            </w:r>
            <w:r w:rsidR="00431C1B" w:rsidRPr="008D1092">
              <w:rPr>
                <w:rFonts w:ascii="Arial" w:hAnsi="Arial" w:cs="Arial"/>
                <w:sz w:val="18"/>
                <w:szCs w:val="18"/>
              </w:rPr>
              <w:t>67 601 254</w:t>
            </w:r>
          </w:p>
        </w:tc>
      </w:tr>
      <w:tr w:rsidR="00DF5DC9" w:rsidRPr="008D1092" w14:paraId="43F7EBB5" w14:textId="77777777" w:rsidTr="00307DB0">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DF5DC9" w:rsidRPr="008D1092" w:rsidRDefault="00DF5DC9" w:rsidP="00DF5DC9">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B799FE5" w14:textId="77777777" w:rsidR="00DF5DC9" w:rsidRPr="008D1092" w:rsidRDefault="00DF5DC9" w:rsidP="00DF5DC9">
            <w:pPr>
              <w:spacing w:before="100" w:beforeAutospacing="1" w:after="100" w:afterAutospacing="1" w:line="276" w:lineRule="auto"/>
              <w:rPr>
                <w:rFonts w:ascii="Arial" w:hAnsi="Arial" w:cs="Arial"/>
                <w:color w:val="FF0000"/>
                <w:sz w:val="18"/>
                <w:szCs w:val="18"/>
              </w:rPr>
            </w:pPr>
          </w:p>
        </w:tc>
      </w:tr>
      <w:tr w:rsidR="00307DB0" w:rsidRPr="008D1092" w14:paraId="06556B79"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b/>
                <w:sz w:val="18"/>
                <w:szCs w:val="18"/>
              </w:rPr>
              <w:t>Posrednik*</w:t>
            </w:r>
          </w:p>
        </w:tc>
        <w:tc>
          <w:tcPr>
            <w:tcW w:w="5789" w:type="dxa"/>
            <w:tcBorders>
              <w:top w:val="single" w:sz="4" w:space="0" w:color="auto"/>
              <w:left w:val="single" w:sz="4" w:space="0" w:color="auto"/>
              <w:bottom w:val="single" w:sz="4" w:space="0" w:color="auto"/>
              <w:right w:val="single" w:sz="4" w:space="0" w:color="auto"/>
            </w:tcBorders>
            <w:vAlign w:val="center"/>
          </w:tcPr>
          <w:p w14:paraId="23AB868C" w14:textId="77777777" w:rsidR="00307DB0" w:rsidRPr="008D1092" w:rsidRDefault="00307DB0" w:rsidP="00307DB0">
            <w:pPr>
              <w:spacing w:before="100" w:beforeAutospacing="1" w:after="100" w:afterAutospacing="1" w:line="276" w:lineRule="auto"/>
              <w:rPr>
                <w:rFonts w:ascii="Arial" w:hAnsi="Arial" w:cs="Arial"/>
                <w:color w:val="FF0000"/>
                <w:sz w:val="18"/>
                <w:szCs w:val="18"/>
              </w:rPr>
            </w:pPr>
          </w:p>
        </w:tc>
      </w:tr>
      <w:tr w:rsidR="00307DB0" w:rsidRPr="008D1092" w14:paraId="6314823D"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Država*</w:t>
            </w:r>
          </w:p>
        </w:tc>
        <w:tc>
          <w:tcPr>
            <w:tcW w:w="5789" w:type="dxa"/>
            <w:tcBorders>
              <w:top w:val="single" w:sz="4" w:space="0" w:color="auto"/>
              <w:left w:val="single" w:sz="4" w:space="0" w:color="auto"/>
              <w:bottom w:val="single" w:sz="4" w:space="0" w:color="auto"/>
              <w:right w:val="single" w:sz="4" w:space="0" w:color="auto"/>
            </w:tcBorders>
            <w:vAlign w:val="center"/>
          </w:tcPr>
          <w:p w14:paraId="69BF184F" w14:textId="69FC6E89"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Crna Gora</w:t>
            </w:r>
          </w:p>
        </w:tc>
      </w:tr>
      <w:tr w:rsidR="00307DB0" w:rsidRPr="008D1092" w14:paraId="61CDBCED" w14:textId="77777777" w:rsidTr="006E6585">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 xml:space="preserve">Nadležno kontrolno tijelo* </w:t>
            </w:r>
          </w:p>
        </w:tc>
        <w:tc>
          <w:tcPr>
            <w:tcW w:w="5789" w:type="dxa"/>
            <w:tcBorders>
              <w:top w:val="single" w:sz="4" w:space="0" w:color="auto"/>
              <w:left w:val="single" w:sz="4" w:space="0" w:color="auto"/>
              <w:bottom w:val="single" w:sz="4" w:space="0" w:color="auto"/>
              <w:right w:val="single" w:sz="4" w:space="0" w:color="auto"/>
            </w:tcBorders>
            <w:vAlign w:val="center"/>
          </w:tcPr>
          <w:p w14:paraId="443C8BD8" w14:textId="093C3A68" w:rsidR="00307DB0" w:rsidRPr="008D1092" w:rsidRDefault="00307DB0" w:rsidP="00307DB0">
            <w:pPr>
              <w:spacing w:line="276" w:lineRule="auto"/>
              <w:rPr>
                <w:rFonts w:ascii="Arial" w:hAnsi="Arial" w:cs="Arial"/>
                <w:sz w:val="18"/>
                <w:szCs w:val="18"/>
              </w:rPr>
            </w:pPr>
            <w:r w:rsidRPr="008D1092">
              <w:rPr>
                <w:rFonts w:ascii="Arial" w:hAnsi="Arial" w:cs="Arial"/>
                <w:sz w:val="18"/>
                <w:szCs w:val="18"/>
              </w:rPr>
              <w:t>Ministarstvo poljoprivrede, šumarstva i vodoprivrede Crne Gore</w:t>
            </w:r>
            <w:r w:rsidRPr="008D1092">
              <w:rPr>
                <w:rFonts w:ascii="Arial" w:hAnsi="Arial" w:cs="Arial"/>
                <w:sz w:val="18"/>
                <w:szCs w:val="18"/>
              </w:rPr>
              <w:br/>
              <w:t>Direktorat za poljoprivredu</w:t>
            </w:r>
          </w:p>
        </w:tc>
      </w:tr>
      <w:tr w:rsidR="00307DB0" w:rsidRPr="008D1092" w14:paraId="58144720" w14:textId="77777777" w:rsidTr="006E6585">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41BB544D" w14:textId="77777777" w:rsidR="00307DB0" w:rsidRPr="008D1092" w:rsidRDefault="00307DB0" w:rsidP="00307DB0">
            <w:pPr>
              <w:rPr>
                <w:rFonts w:ascii="Arial" w:hAnsi="Arial" w:cs="Arial"/>
                <w:sz w:val="18"/>
                <w:szCs w:val="18"/>
              </w:rPr>
            </w:pPr>
            <w:r w:rsidRPr="008D1092">
              <w:rPr>
                <w:rFonts w:ascii="Arial" w:hAnsi="Arial" w:cs="Arial"/>
                <w:sz w:val="18"/>
                <w:szCs w:val="18"/>
              </w:rPr>
              <w:t>Rimski trg br. 46</w:t>
            </w:r>
          </w:p>
          <w:p w14:paraId="4A9DEA5C" w14:textId="77777777" w:rsidR="00307DB0" w:rsidRPr="008D1092" w:rsidRDefault="00307DB0" w:rsidP="00307DB0">
            <w:pPr>
              <w:rPr>
                <w:rFonts w:ascii="Arial" w:hAnsi="Arial" w:cs="Arial"/>
                <w:sz w:val="18"/>
                <w:szCs w:val="18"/>
              </w:rPr>
            </w:pPr>
            <w:r w:rsidRPr="008D1092">
              <w:rPr>
                <w:rFonts w:ascii="Arial" w:hAnsi="Arial" w:cs="Arial"/>
                <w:sz w:val="18"/>
                <w:szCs w:val="18"/>
              </w:rPr>
              <w:t>81000 Podgorica</w:t>
            </w:r>
          </w:p>
          <w:p w14:paraId="2886D7DF" w14:textId="6CEFB3FA" w:rsidR="00307DB0" w:rsidRPr="008D1092" w:rsidRDefault="00307DB0" w:rsidP="00307DB0">
            <w:pPr>
              <w:spacing w:line="276" w:lineRule="auto"/>
              <w:rPr>
                <w:rFonts w:ascii="Arial" w:hAnsi="Arial" w:cs="Arial"/>
                <w:sz w:val="18"/>
                <w:szCs w:val="18"/>
              </w:rPr>
            </w:pPr>
            <w:r w:rsidRPr="008D1092">
              <w:rPr>
                <w:rFonts w:ascii="Arial" w:hAnsi="Arial" w:cs="Arial"/>
                <w:sz w:val="18"/>
                <w:szCs w:val="18"/>
              </w:rPr>
              <w:t>Crna Gora</w:t>
            </w:r>
          </w:p>
        </w:tc>
      </w:tr>
      <w:tr w:rsidR="00307DB0" w:rsidRPr="008D1092" w14:paraId="71C407F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2779411F" w14:textId="77777777" w:rsidR="00307DB0" w:rsidRPr="008D1092" w:rsidRDefault="00307DB0" w:rsidP="00307DB0">
            <w:pPr>
              <w:spacing w:before="120" w:after="120" w:line="276" w:lineRule="auto"/>
              <w:rPr>
                <w:rFonts w:ascii="Arial" w:hAnsi="Arial" w:cs="Arial"/>
                <w:sz w:val="18"/>
                <w:szCs w:val="18"/>
              </w:rPr>
            </w:pPr>
            <w:r w:rsidRPr="008D1092">
              <w:rPr>
                <w:rFonts w:ascii="Arial" w:hAnsi="Arial" w:cs="Arial"/>
                <w:sz w:val="18"/>
                <w:szCs w:val="18"/>
              </w:rPr>
              <w:t>Tel. +382 20 234 105</w:t>
            </w:r>
          </w:p>
        </w:tc>
      </w:tr>
      <w:tr w:rsidR="00307DB0" w:rsidRPr="008D1092" w14:paraId="2F36B17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b/>
                <w:sz w:val="18"/>
                <w:szCs w:val="18"/>
              </w:rPr>
              <w:t>Naziv oznake za registraciju </w:t>
            </w:r>
          </w:p>
        </w:tc>
        <w:tc>
          <w:tcPr>
            <w:tcW w:w="5789" w:type="dxa"/>
            <w:tcBorders>
              <w:top w:val="single" w:sz="4" w:space="0" w:color="auto"/>
              <w:left w:val="single" w:sz="4" w:space="0" w:color="auto"/>
              <w:bottom w:val="single" w:sz="4" w:space="0" w:color="auto"/>
              <w:right w:val="single" w:sz="4" w:space="0" w:color="auto"/>
            </w:tcBorders>
            <w:vAlign w:val="center"/>
          </w:tcPr>
          <w:p w14:paraId="0AF68AC7" w14:textId="2F125E72" w:rsidR="00307DB0" w:rsidRPr="008D1092" w:rsidRDefault="00053739" w:rsidP="00307DB0">
            <w:pPr>
              <w:spacing w:before="100" w:beforeAutospacing="1" w:after="100" w:afterAutospacing="1" w:line="276" w:lineRule="auto"/>
              <w:rPr>
                <w:rFonts w:ascii="Arial" w:hAnsi="Arial" w:cs="Arial"/>
                <w:b/>
                <w:bCs/>
                <w:sz w:val="18"/>
                <w:szCs w:val="18"/>
              </w:rPr>
            </w:pPr>
            <w:r w:rsidRPr="008D1092">
              <w:rPr>
                <w:rFonts w:ascii="Arial" w:hAnsi="Arial" w:cs="Arial"/>
                <w:b/>
                <w:bCs/>
                <w:sz w:val="18"/>
                <w:szCs w:val="18"/>
              </w:rPr>
              <w:t>Bjelopavlići</w:t>
            </w:r>
          </w:p>
        </w:tc>
      </w:tr>
      <w:tr w:rsidR="00307DB0" w:rsidRPr="008D1092" w14:paraId="53A01021" w14:textId="77777777" w:rsidTr="00280611">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 xml:space="preserve">oznaka porijekla* </w:t>
            </w:r>
          </w:p>
        </w:tc>
        <w:tc>
          <w:tcPr>
            <w:tcW w:w="5789" w:type="dxa"/>
            <w:tcBorders>
              <w:top w:val="single" w:sz="4" w:space="0" w:color="auto"/>
              <w:left w:val="single" w:sz="4" w:space="0" w:color="auto"/>
              <w:bottom w:val="single" w:sz="4" w:space="0" w:color="auto"/>
              <w:right w:val="single" w:sz="4" w:space="0" w:color="auto"/>
            </w:tcBorders>
            <w:vAlign w:val="center"/>
          </w:tcPr>
          <w:p w14:paraId="2223D49B" w14:textId="0D26FD94"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Zaštićena oznaka porijekla</w:t>
            </w:r>
          </w:p>
        </w:tc>
      </w:tr>
      <w:tr w:rsidR="00307DB0" w:rsidRPr="008D1092" w14:paraId="32454B3D" w14:textId="77777777" w:rsidTr="00280611">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307DB0" w:rsidRPr="008D1092" w:rsidRDefault="00307DB0" w:rsidP="00307DB0">
            <w:pPr>
              <w:spacing w:before="100" w:beforeAutospacing="1" w:after="100" w:afterAutospacing="1" w:line="276" w:lineRule="auto"/>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geografska oznaka*</w:t>
            </w:r>
          </w:p>
        </w:tc>
        <w:tc>
          <w:tcPr>
            <w:tcW w:w="5789" w:type="dxa"/>
            <w:tcBorders>
              <w:top w:val="single" w:sz="4" w:space="0" w:color="auto"/>
              <w:left w:val="single" w:sz="4" w:space="0" w:color="auto"/>
              <w:bottom w:val="single" w:sz="4" w:space="0" w:color="auto"/>
              <w:right w:val="single" w:sz="4" w:space="0" w:color="auto"/>
            </w:tcBorders>
            <w:vAlign w:val="center"/>
          </w:tcPr>
          <w:p w14:paraId="5997DEA5" w14:textId="77777777" w:rsidR="00307DB0" w:rsidRPr="008D1092" w:rsidRDefault="00307DB0" w:rsidP="00307DB0">
            <w:pPr>
              <w:spacing w:before="100" w:beforeAutospacing="1" w:after="100" w:afterAutospacing="1" w:line="276" w:lineRule="auto"/>
              <w:rPr>
                <w:rFonts w:ascii="Arial" w:hAnsi="Arial" w:cs="Arial"/>
                <w:sz w:val="18"/>
                <w:szCs w:val="18"/>
              </w:rPr>
            </w:pPr>
          </w:p>
        </w:tc>
      </w:tr>
      <w:tr w:rsidR="00307DB0" w:rsidRPr="008D1092" w14:paraId="66F89BC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Tradicionalni izraz koji se navodi uz naziv oznake porijekla ili geografske oznake</w:t>
            </w:r>
          </w:p>
        </w:tc>
        <w:tc>
          <w:tcPr>
            <w:tcW w:w="5789" w:type="dxa"/>
            <w:tcBorders>
              <w:top w:val="single" w:sz="4" w:space="0" w:color="auto"/>
              <w:left w:val="single" w:sz="4" w:space="0" w:color="auto"/>
              <w:bottom w:val="single" w:sz="4" w:space="0" w:color="auto"/>
              <w:right w:val="single" w:sz="4" w:space="0" w:color="auto"/>
            </w:tcBorders>
            <w:vAlign w:val="center"/>
          </w:tcPr>
          <w:p w14:paraId="4C25F36E" w14:textId="6DE498F9" w:rsidR="00307DB0" w:rsidRPr="008D1092" w:rsidRDefault="00307DB0" w:rsidP="00307DB0">
            <w:pPr>
              <w:spacing w:before="100" w:beforeAutospacing="1" w:after="100" w:afterAutospacing="1" w:line="276" w:lineRule="auto"/>
              <w:rPr>
                <w:rFonts w:ascii="Arial" w:hAnsi="Arial" w:cs="Arial"/>
                <w:sz w:val="18"/>
                <w:szCs w:val="18"/>
              </w:rPr>
            </w:pPr>
          </w:p>
        </w:tc>
      </w:tr>
      <w:tr w:rsidR="00307DB0" w:rsidRPr="008D1092" w14:paraId="3E5310C4"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307DB0" w:rsidRPr="008D1092" w:rsidRDefault="00307DB0" w:rsidP="00307DB0">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0E4385D" w14:textId="77777777" w:rsidR="00307DB0" w:rsidRPr="008D1092" w:rsidRDefault="00307DB0" w:rsidP="00307DB0">
            <w:pPr>
              <w:spacing w:before="100" w:beforeAutospacing="1" w:after="100" w:afterAutospacing="1" w:line="276" w:lineRule="auto"/>
              <w:rPr>
                <w:rFonts w:ascii="Arial" w:hAnsi="Arial" w:cs="Arial"/>
                <w:sz w:val="18"/>
                <w:szCs w:val="18"/>
              </w:rPr>
            </w:pPr>
          </w:p>
        </w:tc>
      </w:tr>
      <w:tr w:rsidR="00307DB0" w:rsidRPr="008D1092" w14:paraId="50DF661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Vrsta proizvoda od grožđa</w:t>
            </w:r>
          </w:p>
        </w:tc>
        <w:tc>
          <w:tcPr>
            <w:tcW w:w="5789" w:type="dxa"/>
            <w:tcBorders>
              <w:top w:val="single" w:sz="4" w:space="0" w:color="auto"/>
              <w:left w:val="single" w:sz="4" w:space="0" w:color="auto"/>
              <w:bottom w:val="single" w:sz="4" w:space="0" w:color="auto"/>
              <w:right w:val="single" w:sz="4" w:space="0" w:color="auto"/>
            </w:tcBorders>
            <w:vAlign w:val="center"/>
          </w:tcPr>
          <w:p w14:paraId="6F6A0219" w14:textId="4F789791" w:rsidR="00307DB0" w:rsidRPr="008D1092" w:rsidRDefault="00307DB0" w:rsidP="00307DB0">
            <w:pPr>
              <w:spacing w:before="100" w:beforeAutospacing="1" w:after="100" w:afterAutospacing="1" w:line="276" w:lineRule="auto"/>
              <w:rPr>
                <w:rFonts w:ascii="Arial" w:hAnsi="Arial" w:cs="Arial"/>
                <w:sz w:val="18"/>
                <w:szCs w:val="18"/>
              </w:rPr>
            </w:pPr>
            <w:r w:rsidRPr="008D1092">
              <w:rPr>
                <w:rFonts w:ascii="Arial" w:hAnsi="Arial" w:cs="Arial"/>
                <w:sz w:val="18"/>
                <w:szCs w:val="18"/>
              </w:rPr>
              <w:t>vino</w:t>
            </w:r>
          </w:p>
        </w:tc>
      </w:tr>
      <w:tr w:rsidR="00307DB0" w:rsidRPr="008D1092" w14:paraId="066CD803"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307DB0" w:rsidRPr="008D1092" w:rsidRDefault="00307DB0" w:rsidP="00307DB0">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75E5A80C" w14:textId="77777777" w:rsidR="00307DB0" w:rsidRPr="008D1092" w:rsidRDefault="00307DB0" w:rsidP="00307DB0">
            <w:pPr>
              <w:spacing w:before="100" w:beforeAutospacing="1" w:after="100" w:afterAutospacing="1" w:line="276" w:lineRule="auto"/>
              <w:rPr>
                <w:rFonts w:ascii="Arial" w:hAnsi="Arial" w:cs="Arial"/>
                <w:color w:val="FF0000"/>
                <w:sz w:val="18"/>
                <w:szCs w:val="18"/>
              </w:rPr>
            </w:pPr>
          </w:p>
        </w:tc>
      </w:tr>
      <w:tr w:rsidR="00307DB0" w:rsidRPr="008D1092" w14:paraId="156F192E"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9BB2F9A" w14:textId="69F5EB2C" w:rsidR="00084FED" w:rsidRPr="00BC4127" w:rsidRDefault="00084FED" w:rsidP="00BC4127">
            <w:pPr>
              <w:spacing w:after="120" w:line="276" w:lineRule="auto"/>
              <w:ind w:right="95"/>
              <w:rPr>
                <w:rFonts w:ascii="Arial" w:hAnsi="Arial" w:cs="Arial"/>
                <w:b/>
                <w:sz w:val="18"/>
                <w:szCs w:val="18"/>
              </w:rPr>
            </w:pPr>
            <w:r w:rsidRPr="00BC4127">
              <w:rPr>
                <w:rFonts w:ascii="Arial" w:hAnsi="Arial" w:cs="Arial"/>
                <w:b/>
                <w:sz w:val="18"/>
                <w:szCs w:val="18"/>
              </w:rPr>
              <w:t xml:space="preserve">Opis proizvoda </w:t>
            </w:r>
            <w:r w:rsidR="00B8700A" w:rsidRPr="00BC4127">
              <w:rPr>
                <w:rFonts w:ascii="Arial" w:hAnsi="Arial" w:cs="Arial"/>
                <w:b/>
                <w:i/>
                <w:sz w:val="14"/>
                <w:szCs w:val="18"/>
              </w:rPr>
              <w:t>(analitička i organoleptička svojstva)</w:t>
            </w:r>
            <w:r w:rsidR="00B8700A" w:rsidRPr="00BC4127">
              <w:rPr>
                <w:rFonts w:ascii="Arial" w:hAnsi="Arial" w:cs="Arial"/>
                <w:b/>
                <w:sz w:val="14"/>
                <w:szCs w:val="18"/>
              </w:rPr>
              <w:t xml:space="preserve"> </w:t>
            </w:r>
          </w:p>
          <w:p w14:paraId="1D1E23C7" w14:textId="77777777" w:rsidR="00084FED" w:rsidRPr="00BC4127" w:rsidRDefault="00084FED" w:rsidP="00BC4127">
            <w:pPr>
              <w:spacing w:after="96" w:line="276" w:lineRule="auto"/>
              <w:ind w:right="95"/>
              <w:jc w:val="both"/>
              <w:rPr>
                <w:rFonts w:ascii="Arial" w:hAnsi="Arial" w:cs="Arial"/>
                <w:b/>
                <w:bCs/>
                <w:sz w:val="18"/>
                <w:szCs w:val="18"/>
              </w:rPr>
            </w:pPr>
            <w:r w:rsidRPr="00BC4127">
              <w:rPr>
                <w:rFonts w:ascii="Arial" w:hAnsi="Arial" w:cs="Arial"/>
                <w:b/>
                <w:bCs/>
                <w:sz w:val="18"/>
                <w:szCs w:val="18"/>
              </w:rPr>
              <w:t>Opis glavnih tipova vina prema boji</w:t>
            </w:r>
          </w:p>
          <w:p w14:paraId="372E6E60" w14:textId="79798528" w:rsidR="00053739" w:rsidRPr="00BC4127" w:rsidRDefault="00053739" w:rsidP="00BC4127">
            <w:pPr>
              <w:spacing w:after="96" w:line="276" w:lineRule="auto"/>
              <w:ind w:right="95"/>
              <w:jc w:val="both"/>
              <w:rPr>
                <w:rFonts w:ascii="Arial" w:hAnsi="Arial" w:cs="Arial"/>
                <w:b/>
                <w:bCs/>
                <w:sz w:val="18"/>
                <w:szCs w:val="18"/>
              </w:rPr>
            </w:pPr>
            <w:r w:rsidRPr="00BC4127">
              <w:rPr>
                <w:rFonts w:ascii="Arial" w:hAnsi="Arial" w:cs="Arial"/>
                <w:b/>
                <w:bCs/>
                <w:sz w:val="18"/>
                <w:szCs w:val="18"/>
              </w:rPr>
              <w:t>Crvena vina</w:t>
            </w:r>
          </w:p>
          <w:p w14:paraId="0EBB13B0" w14:textId="5F5F6F64" w:rsidR="00053739" w:rsidRPr="00BC4127" w:rsidRDefault="00053739" w:rsidP="00BC4127">
            <w:pPr>
              <w:spacing w:after="96" w:line="276" w:lineRule="auto"/>
              <w:ind w:right="95"/>
              <w:jc w:val="both"/>
              <w:rPr>
                <w:rFonts w:ascii="Arial" w:hAnsi="Arial" w:cs="Arial"/>
                <w:bCs/>
                <w:sz w:val="18"/>
                <w:szCs w:val="18"/>
              </w:rPr>
            </w:pPr>
            <w:r w:rsidRPr="00BC4127">
              <w:rPr>
                <w:rFonts w:ascii="Arial" w:hAnsi="Arial" w:cs="Arial"/>
                <w:bCs/>
                <w:sz w:val="18"/>
                <w:szCs w:val="18"/>
              </w:rPr>
              <w:t>Crvena vina proizvedena u subregionu Bjelopavlići pretežno su mirna, suva vina rubin-crvene do ljubičastocrvene boje, sa različito izraženim ljubičastim odsjajima. Odlikuju se umjerenim do umjereno visokim sadržajem alkohola, uravnoteženom kiselošću, relativno nižim sadržajem ukupnih kiselina, povišenim sadržajem ekstrakta i nešto većom gustinom.</w:t>
            </w:r>
          </w:p>
          <w:p w14:paraId="39EEED14" w14:textId="77777777" w:rsidR="00053739" w:rsidRPr="00BC4127" w:rsidRDefault="00053739" w:rsidP="00BC4127">
            <w:pPr>
              <w:spacing w:after="96" w:line="276" w:lineRule="auto"/>
              <w:ind w:right="95"/>
              <w:jc w:val="both"/>
              <w:rPr>
                <w:rFonts w:ascii="Arial" w:hAnsi="Arial" w:cs="Arial"/>
                <w:bCs/>
                <w:sz w:val="18"/>
                <w:szCs w:val="18"/>
              </w:rPr>
            </w:pPr>
            <w:r w:rsidRPr="00BC4127">
              <w:rPr>
                <w:rFonts w:ascii="Arial" w:hAnsi="Arial" w:cs="Arial"/>
                <w:bCs/>
                <w:sz w:val="18"/>
                <w:szCs w:val="18"/>
              </w:rPr>
              <w:t>Aromatski profil ovih vina je složen i harmoničan, sa izraženim cvjetnim, biljnim i zrelim voćnim notama, među kojima dominiraju ljubičica, šljiva i malina. U zavisnosti od stila vina mogu biti prisutne i suptilne biljne note. Na nepcu su srednjeg do punog tijela, sa dobro uklopljenom kiselošću, blagom do umjerenom gorčinom i uravnoteženim, postojanim završetkom. Postojanost arome je uglavnom dobra do odlična, što doprinosi ukupnoj senzornoj harmoniji i izraženom sortnom karakteru.</w:t>
            </w:r>
          </w:p>
          <w:p w14:paraId="1E09F434" w14:textId="77777777" w:rsidR="00053739" w:rsidRPr="00BC4127" w:rsidRDefault="00053739" w:rsidP="00BC4127">
            <w:pPr>
              <w:spacing w:after="96" w:line="276" w:lineRule="auto"/>
              <w:ind w:right="95"/>
              <w:jc w:val="both"/>
              <w:rPr>
                <w:rFonts w:ascii="Arial" w:hAnsi="Arial" w:cs="Arial"/>
                <w:bCs/>
                <w:sz w:val="18"/>
                <w:szCs w:val="18"/>
              </w:rPr>
            </w:pPr>
            <w:r w:rsidRPr="00BC4127">
              <w:rPr>
                <w:rFonts w:ascii="Arial" w:hAnsi="Arial" w:cs="Arial"/>
                <w:bCs/>
                <w:sz w:val="18"/>
                <w:szCs w:val="18"/>
              </w:rPr>
              <w:t>Sa aspekta hemijskog sastava, ova vina se uglavnom odlikuju nižim sadržajem ukupnih polifenola i srednjim do visokim sadržajem antocijana, što doprinosi njihovoj intenzivnoj boji i izraženoj vizuelnoj privlačnosti.</w:t>
            </w:r>
          </w:p>
          <w:p w14:paraId="7EEA43DB" w14:textId="77777777" w:rsidR="00053739" w:rsidRPr="00BC4127" w:rsidRDefault="00053739" w:rsidP="00BC4127">
            <w:pPr>
              <w:spacing w:after="96" w:line="276" w:lineRule="auto"/>
              <w:ind w:right="95"/>
              <w:jc w:val="both"/>
              <w:rPr>
                <w:rFonts w:ascii="Arial" w:hAnsi="Arial" w:cs="Arial"/>
                <w:b/>
                <w:bCs/>
                <w:sz w:val="18"/>
                <w:szCs w:val="18"/>
              </w:rPr>
            </w:pPr>
            <w:r w:rsidRPr="00BC4127">
              <w:rPr>
                <w:rFonts w:ascii="Arial" w:hAnsi="Arial" w:cs="Arial"/>
                <w:b/>
                <w:bCs/>
                <w:sz w:val="18"/>
                <w:szCs w:val="18"/>
              </w:rPr>
              <w:t>Roze vina</w:t>
            </w:r>
          </w:p>
          <w:p w14:paraId="7C3A2802" w14:textId="77777777" w:rsidR="00053739" w:rsidRPr="00BC4127" w:rsidRDefault="00053739" w:rsidP="00BC4127">
            <w:pPr>
              <w:spacing w:after="96" w:line="276" w:lineRule="auto"/>
              <w:ind w:right="95"/>
              <w:jc w:val="both"/>
              <w:rPr>
                <w:rFonts w:ascii="Arial" w:hAnsi="Arial" w:cs="Arial"/>
                <w:bCs/>
                <w:sz w:val="18"/>
                <w:szCs w:val="18"/>
              </w:rPr>
            </w:pPr>
            <w:r w:rsidRPr="00BC4127">
              <w:rPr>
                <w:rFonts w:ascii="Arial" w:hAnsi="Arial" w:cs="Arial"/>
                <w:bCs/>
                <w:sz w:val="18"/>
                <w:szCs w:val="18"/>
              </w:rPr>
              <w:t>Roze vina proizvode se u manjim količinama i odlikuju se svježim, voćnim karakterom i uravnoteženom strukturom. Uglavnom se proizvode kao mirna vina sa umjerenom kiselošću i osvježavajućim senzornim profilom, pri čemu se posebno ističu elegancija, svježina i izražen sortni voćni karakter.</w:t>
            </w:r>
          </w:p>
          <w:p w14:paraId="19096A2F" w14:textId="77777777" w:rsidR="009D794A" w:rsidRPr="00BC4127" w:rsidRDefault="009D794A" w:rsidP="00BC4127">
            <w:pPr>
              <w:spacing w:after="96" w:line="276" w:lineRule="auto"/>
              <w:ind w:right="95"/>
              <w:jc w:val="both"/>
              <w:rPr>
                <w:rFonts w:ascii="Arial" w:hAnsi="Arial" w:cs="Arial"/>
                <w:b/>
                <w:bCs/>
                <w:sz w:val="18"/>
                <w:szCs w:val="18"/>
              </w:rPr>
            </w:pPr>
            <w:r w:rsidRPr="00BC4127">
              <w:rPr>
                <w:rFonts w:ascii="Arial" w:hAnsi="Arial" w:cs="Arial"/>
                <w:b/>
                <w:bCs/>
                <w:sz w:val="18"/>
                <w:szCs w:val="18"/>
              </w:rPr>
              <w:lastRenderedPageBreak/>
              <w:t>Bijela vina</w:t>
            </w:r>
          </w:p>
          <w:p w14:paraId="48DB0582" w14:textId="6CFAF80F" w:rsidR="00307DB0" w:rsidRPr="00BC4127" w:rsidRDefault="00053739" w:rsidP="00BC4127">
            <w:pPr>
              <w:spacing w:after="96" w:line="276" w:lineRule="auto"/>
              <w:ind w:right="95"/>
              <w:jc w:val="both"/>
              <w:rPr>
                <w:rFonts w:ascii="Arial" w:hAnsi="Arial" w:cs="Arial"/>
                <w:bCs/>
                <w:sz w:val="18"/>
                <w:szCs w:val="18"/>
              </w:rPr>
            </w:pPr>
            <w:r w:rsidRPr="00BC4127">
              <w:rPr>
                <w:rFonts w:ascii="Arial" w:hAnsi="Arial" w:cs="Arial"/>
                <w:bCs/>
                <w:sz w:val="18"/>
                <w:szCs w:val="18"/>
              </w:rPr>
              <w:t xml:space="preserve">Bijela vina predstavljaju manju, ali značajnu kategoriju u proizvodnji </w:t>
            </w:r>
            <w:r w:rsidRPr="00BC4127">
              <w:rPr>
                <w:rFonts w:ascii="Arial" w:hAnsi="Arial" w:cs="Arial"/>
                <w:sz w:val="18"/>
                <w:szCs w:val="18"/>
              </w:rPr>
              <w:t>subregiona Bjelopavlići</w:t>
            </w:r>
            <w:r w:rsidRPr="00BC4127">
              <w:rPr>
                <w:rFonts w:ascii="Arial" w:hAnsi="Arial" w:cs="Arial"/>
                <w:bCs/>
                <w:sz w:val="18"/>
                <w:szCs w:val="18"/>
              </w:rPr>
              <w:t xml:space="preserve">. Uglavnom se proizvode kao mirna vina i cijene se zbog svoje svježine, izraženog aromatskog intenziteta i uravnotežene kiselosti. Odlikuju se </w:t>
            </w:r>
            <w:r w:rsidRPr="00BC4127">
              <w:rPr>
                <w:rFonts w:ascii="Arial" w:hAnsi="Arial" w:cs="Arial"/>
                <w:sz w:val="18"/>
                <w:szCs w:val="18"/>
              </w:rPr>
              <w:t>prefinjenim senzornim profilom</w:t>
            </w:r>
            <w:r w:rsidRPr="00BC4127">
              <w:rPr>
                <w:rFonts w:ascii="Arial" w:hAnsi="Arial" w:cs="Arial"/>
                <w:bCs/>
                <w:sz w:val="18"/>
                <w:szCs w:val="18"/>
              </w:rPr>
              <w:t xml:space="preserve">, naglašenim sortnim karakterom i </w:t>
            </w:r>
            <w:r w:rsidRPr="00BC4127">
              <w:rPr>
                <w:rFonts w:ascii="Arial" w:hAnsi="Arial" w:cs="Arial"/>
                <w:sz w:val="18"/>
                <w:szCs w:val="18"/>
              </w:rPr>
              <w:t>harmoničnim gustativnim profilom</w:t>
            </w:r>
            <w:r w:rsidRPr="00BC4127">
              <w:rPr>
                <w:rFonts w:ascii="Arial" w:hAnsi="Arial" w:cs="Arial"/>
                <w:bCs/>
                <w:sz w:val="18"/>
                <w:szCs w:val="18"/>
              </w:rPr>
              <w:t>.</w:t>
            </w:r>
          </w:p>
        </w:tc>
      </w:tr>
      <w:tr w:rsidR="00307DB0" w:rsidRPr="008D1092" w14:paraId="0BD35F0F"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71046CE1" w:rsidR="00307DB0" w:rsidRPr="008D1092" w:rsidRDefault="00B8700A" w:rsidP="00BC4127">
            <w:pPr>
              <w:spacing w:line="276" w:lineRule="auto"/>
              <w:ind w:right="95"/>
              <w:rPr>
                <w:rFonts w:ascii="Arial" w:hAnsi="Arial" w:cs="Arial"/>
                <w:color w:val="FF0000"/>
                <w:sz w:val="18"/>
                <w:szCs w:val="18"/>
              </w:rPr>
            </w:pPr>
            <w:r w:rsidRPr="008D1092">
              <w:rPr>
                <w:rFonts w:ascii="Arial" w:hAnsi="Arial" w:cs="Arial"/>
                <w:b/>
                <w:sz w:val="18"/>
                <w:szCs w:val="18"/>
              </w:rPr>
              <w:lastRenderedPageBreak/>
              <w:t>Posebni enološki postupci</w:t>
            </w:r>
            <w:r w:rsidRPr="008D1092">
              <w:rPr>
                <w:rFonts w:ascii="Arial" w:hAnsi="Arial" w:cs="Arial"/>
                <w:sz w:val="20"/>
                <w:szCs w:val="20"/>
              </w:rPr>
              <w:t xml:space="preserve"> </w:t>
            </w:r>
            <w:r w:rsidRPr="008D1092">
              <w:rPr>
                <w:rFonts w:ascii="Arial" w:hAnsi="Arial" w:cs="Arial"/>
                <w:i/>
                <w:sz w:val="20"/>
                <w:szCs w:val="20"/>
              </w:rPr>
              <w:t>(</w:t>
            </w:r>
            <w:r w:rsidRPr="008D1092">
              <w:rPr>
                <w:rFonts w:ascii="Arial" w:hAnsi="Arial" w:cs="Arial"/>
                <w:i/>
                <w:sz w:val="18"/>
                <w:szCs w:val="18"/>
              </w:rPr>
              <w:t>neobavezno</w:t>
            </w:r>
            <w:r w:rsidR="00307DB0" w:rsidRPr="008D1092">
              <w:rPr>
                <w:rFonts w:ascii="Arial" w:hAnsi="Arial" w:cs="Arial"/>
                <w:i/>
                <w:sz w:val="18"/>
                <w:szCs w:val="18"/>
              </w:rPr>
              <w:t>)</w:t>
            </w:r>
          </w:p>
        </w:tc>
        <w:tc>
          <w:tcPr>
            <w:tcW w:w="5789" w:type="dxa"/>
            <w:tcBorders>
              <w:top w:val="single" w:sz="4" w:space="0" w:color="auto"/>
              <w:left w:val="single" w:sz="4" w:space="0" w:color="auto"/>
              <w:bottom w:val="single" w:sz="4" w:space="0" w:color="auto"/>
              <w:right w:val="single" w:sz="4" w:space="0" w:color="auto"/>
            </w:tcBorders>
            <w:vAlign w:val="center"/>
          </w:tcPr>
          <w:p w14:paraId="5D93D807" w14:textId="77777777" w:rsidR="00307DB0" w:rsidRPr="008D1092" w:rsidRDefault="00307DB0" w:rsidP="00BC4127">
            <w:pPr>
              <w:spacing w:line="276" w:lineRule="auto"/>
              <w:ind w:right="95"/>
              <w:rPr>
                <w:rFonts w:ascii="Arial" w:hAnsi="Arial" w:cs="Arial"/>
                <w:color w:val="FF0000"/>
                <w:sz w:val="18"/>
                <w:szCs w:val="18"/>
              </w:rPr>
            </w:pPr>
          </w:p>
        </w:tc>
      </w:tr>
      <w:tr w:rsidR="00307DB0" w:rsidRPr="008D1092" w14:paraId="12F43DC2"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0EA7B416" w14:textId="7C7FEDC7" w:rsidR="00C81815" w:rsidRPr="008D1092" w:rsidRDefault="00C81815" w:rsidP="00BC4127">
            <w:pPr>
              <w:spacing w:after="120" w:line="276" w:lineRule="auto"/>
              <w:ind w:right="95"/>
              <w:rPr>
                <w:rFonts w:ascii="Arial" w:hAnsi="Arial" w:cs="Arial"/>
                <w:b/>
                <w:sz w:val="18"/>
                <w:szCs w:val="18"/>
              </w:rPr>
            </w:pPr>
            <w:r w:rsidRPr="008D1092">
              <w:rPr>
                <w:rFonts w:ascii="Arial" w:hAnsi="Arial" w:cs="Arial"/>
                <w:b/>
                <w:sz w:val="18"/>
                <w:szCs w:val="18"/>
              </w:rPr>
              <w:t xml:space="preserve">Razgraničenje geografskog </w:t>
            </w:r>
            <w:r w:rsidR="00B8700A" w:rsidRPr="008D1092">
              <w:rPr>
                <w:rFonts w:ascii="Arial" w:hAnsi="Arial" w:cs="Arial"/>
                <w:b/>
                <w:sz w:val="20"/>
                <w:szCs w:val="20"/>
              </w:rPr>
              <w:t>proizvodnog područja</w:t>
            </w:r>
            <w:r w:rsidR="00B8700A" w:rsidRPr="008D1092">
              <w:rPr>
                <w:rFonts w:ascii="Arial" w:hAnsi="Arial" w:cs="Arial"/>
                <w:b/>
                <w:sz w:val="18"/>
                <w:szCs w:val="18"/>
              </w:rPr>
              <w:t xml:space="preserve"> </w:t>
            </w:r>
          </w:p>
          <w:p w14:paraId="77A108B1" w14:textId="77777777" w:rsidR="00F61C56" w:rsidRPr="008D1092" w:rsidRDefault="00F61C56"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Subregion </w:t>
            </w:r>
            <w:r w:rsidRPr="008D1092">
              <w:rPr>
                <w:rFonts w:ascii="Arial" w:hAnsi="Arial" w:cs="Arial"/>
                <w:sz w:val="18"/>
                <w:szCs w:val="18"/>
              </w:rPr>
              <w:t>Bjelopavlići</w:t>
            </w:r>
            <w:r w:rsidRPr="008D1092">
              <w:rPr>
                <w:rFonts w:ascii="Arial" w:hAnsi="Arial" w:cs="Arial"/>
                <w:bCs/>
                <w:sz w:val="18"/>
                <w:szCs w:val="18"/>
              </w:rPr>
              <w:t xml:space="preserve"> obuhvata katastarske opštine iz administrativne opštine Danilovgrad: Bare, Brijestovo I, Ćurilac, Danilovgrad, Donji Zagarač, Glavica, Gorica, Grbe, Grlić, Jastreb, Jelenak, Kosić, Kujava, Martinići, Međeđe I, Glizice, Novo Selo, Pažići, Podglavice, Podkraj, Ržišta, Slap, Slatina I, Spuž, Vrela, Zagorak i Zagreda, kao i katastarske opštine sa područja opštine Nikšić: Bogetići, Drenovštica, Milojevići, Povija i Stubica.</w:t>
            </w:r>
          </w:p>
          <w:p w14:paraId="77D76DFA" w14:textId="77777777" w:rsidR="00F61C56" w:rsidRPr="008D1092" w:rsidRDefault="00F61C56"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Subregion </w:t>
            </w:r>
            <w:r w:rsidRPr="008D1092">
              <w:rPr>
                <w:rFonts w:ascii="Arial" w:hAnsi="Arial" w:cs="Arial"/>
                <w:sz w:val="18"/>
                <w:szCs w:val="18"/>
              </w:rPr>
              <w:t>Bjelopavlići</w:t>
            </w:r>
            <w:r w:rsidRPr="008D1092">
              <w:rPr>
                <w:rFonts w:ascii="Arial" w:hAnsi="Arial" w:cs="Arial"/>
                <w:bCs/>
                <w:sz w:val="18"/>
                <w:szCs w:val="18"/>
              </w:rPr>
              <w:t xml:space="preserve"> ne obuhvata područje gornjeg i srednjeg toka rijeke Zete, od granice KO Spuž do granice KO Grbe na području opštine Danilovgrad na jugu, do granice KO Povija – KO Bogetići na području opštine Nikšić.</w:t>
            </w:r>
          </w:p>
          <w:p w14:paraId="04CBA136" w14:textId="77777777" w:rsidR="00307DB0" w:rsidRPr="008D1092" w:rsidRDefault="00307DB0" w:rsidP="00BC4127">
            <w:pPr>
              <w:spacing w:after="27" w:line="276" w:lineRule="auto"/>
              <w:ind w:right="95"/>
              <w:jc w:val="both"/>
              <w:rPr>
                <w:rFonts w:ascii="Arial" w:hAnsi="Arial" w:cs="Arial"/>
                <w:sz w:val="18"/>
                <w:szCs w:val="18"/>
              </w:rPr>
            </w:pPr>
          </w:p>
        </w:tc>
      </w:tr>
      <w:tr w:rsidR="00307DB0" w:rsidRPr="008D1092" w14:paraId="3B89FD46"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6B607102" w14:textId="59166689" w:rsidR="00C81815" w:rsidRPr="008D1092" w:rsidRDefault="00C81815" w:rsidP="00BC4127">
            <w:pPr>
              <w:spacing w:after="120" w:line="276" w:lineRule="auto"/>
              <w:ind w:right="95"/>
              <w:rPr>
                <w:rFonts w:ascii="Arial" w:hAnsi="Arial" w:cs="Arial"/>
                <w:b/>
                <w:sz w:val="18"/>
                <w:szCs w:val="18"/>
              </w:rPr>
            </w:pPr>
            <w:r w:rsidRPr="008D1092">
              <w:rPr>
                <w:rFonts w:ascii="Arial" w:hAnsi="Arial" w:cs="Arial"/>
                <w:b/>
                <w:sz w:val="18"/>
                <w:szCs w:val="18"/>
              </w:rPr>
              <w:t>Maksimalni prinos po hektaru</w:t>
            </w:r>
          </w:p>
          <w:p w14:paraId="09C4B0FA" w14:textId="77777777" w:rsidR="00F61C56" w:rsidRPr="008D1092" w:rsidRDefault="00F61C56" w:rsidP="00BC4127">
            <w:pPr>
              <w:spacing w:after="96" w:line="276" w:lineRule="auto"/>
              <w:ind w:right="95"/>
              <w:jc w:val="both"/>
              <w:rPr>
                <w:rFonts w:ascii="Arial" w:hAnsi="Arial" w:cs="Arial"/>
                <w:sz w:val="18"/>
                <w:szCs w:val="18"/>
              </w:rPr>
            </w:pPr>
            <w:r w:rsidRPr="008D1092">
              <w:rPr>
                <w:rFonts w:ascii="Arial" w:hAnsi="Arial" w:cs="Arial"/>
                <w:sz w:val="18"/>
                <w:szCs w:val="18"/>
              </w:rPr>
              <w:t xml:space="preserve">Maksimalno dozvoljeni prinosi zavise od broja čokota po hektaru. U vinogradima </w:t>
            </w:r>
            <w:r w:rsidRPr="008D1092">
              <w:rPr>
                <w:rFonts w:ascii="Arial" w:hAnsi="Arial" w:cs="Arial"/>
                <w:bCs/>
                <w:sz w:val="18"/>
                <w:szCs w:val="18"/>
              </w:rPr>
              <w:t>subregiona Bjelopavlići</w:t>
            </w:r>
            <w:r w:rsidRPr="008D1092">
              <w:rPr>
                <w:rFonts w:ascii="Arial" w:hAnsi="Arial" w:cs="Arial"/>
                <w:sz w:val="18"/>
                <w:szCs w:val="18"/>
              </w:rPr>
              <w:t xml:space="preserve">, sa gustinom sadnje od 2.000 do 6.000 čokota po hektaru, </w:t>
            </w:r>
            <w:r w:rsidRPr="008D1092">
              <w:rPr>
                <w:rFonts w:ascii="Arial" w:hAnsi="Arial" w:cs="Arial"/>
                <w:bCs/>
                <w:sz w:val="18"/>
                <w:szCs w:val="18"/>
              </w:rPr>
              <w:t>primjenjuju se standardni prinosi propisani za proizvodnju vina sa zaštićenom oznakom porijekla</w:t>
            </w:r>
            <w:r w:rsidRPr="008D1092">
              <w:rPr>
                <w:rFonts w:ascii="Arial" w:hAnsi="Arial" w:cs="Arial"/>
                <w:sz w:val="18"/>
                <w:szCs w:val="18"/>
              </w:rPr>
              <w:t>.</w:t>
            </w:r>
          </w:p>
          <w:p w14:paraId="59C60BFC" w14:textId="77777777" w:rsidR="00F61C56" w:rsidRPr="008D1092" w:rsidRDefault="00F61C56" w:rsidP="00BC4127">
            <w:pPr>
              <w:spacing w:after="96" w:line="276" w:lineRule="auto"/>
              <w:ind w:right="95"/>
              <w:jc w:val="both"/>
              <w:rPr>
                <w:rFonts w:ascii="Arial" w:hAnsi="Arial" w:cs="Arial"/>
                <w:sz w:val="18"/>
                <w:szCs w:val="18"/>
              </w:rPr>
            </w:pPr>
            <w:r w:rsidRPr="008D1092">
              <w:rPr>
                <w:rFonts w:ascii="Arial" w:hAnsi="Arial" w:cs="Arial"/>
                <w:sz w:val="18"/>
                <w:szCs w:val="18"/>
              </w:rPr>
              <w:t xml:space="preserve">Maksimalno dozvoljeni prinos u komercijalnom vinogradu sa gustinom sadnje od 3.000 do 4.000 čokota po hektaru, namijenjenom za proizvodnju vina sa zaštićenom oznakom porijekla, iznosi </w:t>
            </w:r>
            <w:r w:rsidRPr="008D1092">
              <w:rPr>
                <w:rFonts w:ascii="Arial" w:hAnsi="Arial" w:cs="Arial"/>
                <w:bCs/>
                <w:sz w:val="18"/>
                <w:szCs w:val="18"/>
              </w:rPr>
              <w:t>14.000 kg/ha (3,5 kg po čokotu)</w:t>
            </w:r>
            <w:r w:rsidRPr="008D1092">
              <w:rPr>
                <w:rFonts w:ascii="Arial" w:hAnsi="Arial" w:cs="Arial"/>
                <w:sz w:val="18"/>
                <w:szCs w:val="18"/>
              </w:rPr>
              <w:t xml:space="preserve">, dok u vinogradima sa više od 4.000 čokota po hektaru iznosi </w:t>
            </w:r>
            <w:r w:rsidRPr="008D1092">
              <w:rPr>
                <w:rFonts w:ascii="Arial" w:hAnsi="Arial" w:cs="Arial"/>
                <w:bCs/>
                <w:sz w:val="18"/>
                <w:szCs w:val="18"/>
              </w:rPr>
              <w:t>15.000 kg/ha (3,0 kg po čokotu)</w:t>
            </w:r>
            <w:r w:rsidRPr="008D1092">
              <w:rPr>
                <w:rFonts w:ascii="Arial" w:hAnsi="Arial" w:cs="Arial"/>
                <w:sz w:val="18"/>
                <w:szCs w:val="18"/>
              </w:rPr>
              <w:t>.</w:t>
            </w:r>
          </w:p>
          <w:p w14:paraId="1DC6B6FA" w14:textId="77777777" w:rsidR="00F61C56" w:rsidRPr="008D1092" w:rsidRDefault="00F61C56" w:rsidP="00BC4127">
            <w:pPr>
              <w:spacing w:after="96" w:line="276" w:lineRule="auto"/>
              <w:ind w:right="95"/>
              <w:jc w:val="both"/>
              <w:rPr>
                <w:rFonts w:ascii="Arial" w:hAnsi="Arial" w:cs="Arial"/>
                <w:sz w:val="18"/>
                <w:szCs w:val="18"/>
              </w:rPr>
            </w:pPr>
            <w:r w:rsidRPr="008D1092">
              <w:rPr>
                <w:rFonts w:ascii="Arial" w:hAnsi="Arial" w:cs="Arial"/>
                <w:sz w:val="18"/>
                <w:szCs w:val="18"/>
              </w:rPr>
              <w:t xml:space="preserve">U izuzetno povoljnim godinama prinos se može povećati za dodatnih </w:t>
            </w:r>
            <w:r w:rsidRPr="008D1092">
              <w:rPr>
                <w:rFonts w:ascii="Arial" w:hAnsi="Arial" w:cs="Arial"/>
                <w:bCs/>
                <w:sz w:val="18"/>
                <w:szCs w:val="18"/>
              </w:rPr>
              <w:t>1 kg po čokotu</w:t>
            </w:r>
            <w:r w:rsidRPr="008D1092">
              <w:rPr>
                <w:rFonts w:ascii="Arial" w:hAnsi="Arial" w:cs="Arial"/>
                <w:sz w:val="18"/>
                <w:szCs w:val="18"/>
              </w:rPr>
              <w:t>, pod uslovom da takvo povećanje ne utiče na kvalitet grožđa, niti na kvalitet i karakteristike vina ovog područja u odnosu na njihove prosječne vrijednosti.</w:t>
            </w:r>
          </w:p>
          <w:p w14:paraId="5FA44222" w14:textId="77777777" w:rsidR="00307DB0" w:rsidRPr="008D1092" w:rsidRDefault="00307DB0" w:rsidP="00BC4127">
            <w:pPr>
              <w:widowControl w:val="0"/>
              <w:autoSpaceDE w:val="0"/>
              <w:autoSpaceDN w:val="0"/>
              <w:spacing w:after="120" w:line="276" w:lineRule="auto"/>
              <w:ind w:right="95"/>
              <w:jc w:val="both"/>
              <w:rPr>
                <w:rFonts w:ascii="Arial" w:eastAsia="Arial" w:hAnsi="Arial" w:cs="Arial"/>
                <w:color w:val="FF0000"/>
                <w:sz w:val="18"/>
                <w:szCs w:val="18"/>
                <w:lang w:eastAsia="en-US"/>
              </w:rPr>
            </w:pPr>
          </w:p>
        </w:tc>
      </w:tr>
      <w:tr w:rsidR="00307DB0" w:rsidRPr="008D1092" w14:paraId="57D5A9D5"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37C647FD" w14:textId="5D467B24" w:rsidR="00307DB0" w:rsidRPr="008D1092" w:rsidRDefault="00B8700A" w:rsidP="00307DB0">
            <w:pPr>
              <w:spacing w:after="120" w:line="276" w:lineRule="auto"/>
              <w:rPr>
                <w:rFonts w:ascii="Arial" w:hAnsi="Arial" w:cs="Arial"/>
                <w:b/>
                <w:color w:val="FF0000"/>
                <w:sz w:val="18"/>
                <w:szCs w:val="18"/>
              </w:rPr>
            </w:pPr>
            <w:r w:rsidRPr="008D1092">
              <w:rPr>
                <w:rFonts w:ascii="Arial" w:hAnsi="Arial" w:cs="Arial"/>
                <w:b/>
                <w:sz w:val="18"/>
                <w:szCs w:val="18"/>
              </w:rPr>
              <w:t>Glavne sorte vinove loze upotrijebljene u proizvodnji</w:t>
            </w:r>
          </w:p>
          <w:p w14:paraId="28BF8ECA" w14:textId="1975F50C" w:rsidR="00307DB0" w:rsidRPr="008D1092" w:rsidRDefault="00285F4C" w:rsidP="00BC4127">
            <w:pPr>
              <w:spacing w:after="108" w:line="276" w:lineRule="auto"/>
              <w:ind w:right="150"/>
              <w:jc w:val="both"/>
              <w:rPr>
                <w:rFonts w:ascii="Arial" w:hAnsi="Arial" w:cs="Arial"/>
                <w:sz w:val="18"/>
                <w:szCs w:val="18"/>
              </w:rPr>
            </w:pPr>
            <w:r w:rsidRPr="008D1092">
              <w:rPr>
                <w:rFonts w:ascii="Arial" w:eastAsia="Arial" w:hAnsi="Arial" w:cs="Arial"/>
                <w:sz w:val="18"/>
                <w:szCs w:val="18"/>
                <w:lang w:eastAsia="en-US"/>
              </w:rPr>
              <w:t>Vranac, Kratošija, Cabernet Sauvignon, Syrah, Merlot, Viognier, Chardonnay, Sauvignon Blanc</w:t>
            </w:r>
            <w:r w:rsidR="00307DB0" w:rsidRPr="008D1092">
              <w:rPr>
                <w:rFonts w:ascii="Arial" w:hAnsi="Arial" w:cs="Arial"/>
                <w:sz w:val="18"/>
                <w:szCs w:val="18"/>
              </w:rPr>
              <w:t xml:space="preserve">. </w:t>
            </w:r>
          </w:p>
        </w:tc>
      </w:tr>
      <w:tr w:rsidR="00307DB0" w:rsidRPr="008D1092" w14:paraId="19AEF52F" w14:textId="77777777" w:rsidTr="00280611">
        <w:trPr>
          <w:trHeight w:val="346"/>
        </w:trPr>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781D711" w14:textId="7AEF2071" w:rsidR="00B8700A" w:rsidRPr="008D1092" w:rsidRDefault="00B8700A" w:rsidP="00BC4127">
            <w:pPr>
              <w:tabs>
                <w:tab w:val="left" w:pos="8931"/>
              </w:tabs>
              <w:spacing w:after="120"/>
              <w:ind w:right="95"/>
              <w:rPr>
                <w:rFonts w:ascii="Arial" w:hAnsi="Arial" w:cs="Arial"/>
                <w:i/>
                <w:sz w:val="14"/>
                <w:szCs w:val="20"/>
              </w:rPr>
            </w:pPr>
            <w:r w:rsidRPr="008D1092">
              <w:rPr>
                <w:rFonts w:ascii="Arial" w:hAnsi="Arial" w:cs="Arial"/>
                <w:b/>
                <w:sz w:val="20"/>
                <w:szCs w:val="20"/>
              </w:rPr>
              <w:t>Povezanost s geografskim područjem</w:t>
            </w:r>
            <w:r w:rsidRPr="008D1092">
              <w:rPr>
                <w:rFonts w:ascii="Arial" w:hAnsi="Arial" w:cs="Arial"/>
                <w:sz w:val="20"/>
                <w:szCs w:val="20"/>
              </w:rPr>
              <w:t xml:space="preserve"> </w:t>
            </w:r>
            <w:r w:rsidRPr="008D1092">
              <w:rPr>
                <w:rFonts w:ascii="Arial" w:hAnsi="Arial" w:cs="Arial"/>
                <w:i/>
                <w:sz w:val="14"/>
                <w:szCs w:val="20"/>
              </w:rPr>
              <w:t>(opisati poseban kvalitet  proizvoda, ugled i dr. karakt. koje se mogu  pripisati tom geog. porijeklu)</w:t>
            </w:r>
          </w:p>
          <w:p w14:paraId="20A726F8" w14:textId="77777777" w:rsidR="00A0404F" w:rsidRPr="008D1092" w:rsidRDefault="00A0404F" w:rsidP="00BC4127">
            <w:pPr>
              <w:widowControl w:val="0"/>
              <w:tabs>
                <w:tab w:val="left" w:pos="239"/>
              </w:tabs>
              <w:autoSpaceDE w:val="0"/>
              <w:autoSpaceDN w:val="0"/>
              <w:spacing w:before="120" w:line="276" w:lineRule="auto"/>
              <w:ind w:right="95"/>
              <w:rPr>
                <w:rFonts w:ascii="Arial" w:eastAsia="Arial" w:hAnsi="Arial" w:cs="Arial"/>
                <w:b/>
                <w:sz w:val="18"/>
                <w:szCs w:val="18"/>
                <w:lang w:eastAsia="en-US"/>
              </w:rPr>
            </w:pPr>
            <w:r w:rsidRPr="008D1092">
              <w:rPr>
                <w:rFonts w:ascii="Arial" w:eastAsia="Arial" w:hAnsi="Arial" w:cs="Arial"/>
                <w:b/>
                <w:sz w:val="18"/>
                <w:szCs w:val="18"/>
                <w:lang w:eastAsia="en-US"/>
              </w:rPr>
              <w:t>Uzročno-posljedična povezanost: Istorija</w:t>
            </w:r>
          </w:p>
          <w:p w14:paraId="65685607"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Istorija crnogorskog vinarstva seže do preromaničkog perioda, kada je područje današnje Crne Gore bilo dio ilirske države. Slovensko stanovništvo koje se naselilo na ovim prostorima nastavilo je tradiciju uzgoja vinove loze. Pisani tragovi o istoriji crnogorskog vinarstva nalaze se i u zapisima Rovinskog, koji pominje tradiciju „staru tri ili više vjekova“.</w:t>
            </w:r>
          </w:p>
          <w:p w14:paraId="6EB94725"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Prije Drugog svjetskog rata vinarstvo se na ovom području Crne Gore kontinuirano razvijalo, postavljajući temelje savremenog vinogradarstva. Crna Gora je već 1907. godine osvojila prva priznanja za proizvodnju kvalitetnih vina na izložbi vina u Londonu, dok su 1928. godine crnogorska vina uvrštena među šest najboljih vina na izložbi u Beogradu.</w:t>
            </w:r>
          </w:p>
          <w:p w14:paraId="54EB5944"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U savremenom periodu crnogorska vina osvojila su brojne medalje i priznanja za kvalitet na prestižnim međunarodnim ocjenjivanjima, među kojima su </w:t>
            </w:r>
            <w:r w:rsidRPr="008D1092">
              <w:rPr>
                <w:rFonts w:ascii="Arial" w:hAnsi="Arial" w:cs="Arial"/>
                <w:sz w:val="18"/>
                <w:szCs w:val="18"/>
              </w:rPr>
              <w:t>Decanter World Wine Awards</w:t>
            </w:r>
            <w:r w:rsidRPr="008D1092">
              <w:rPr>
                <w:rFonts w:ascii="Arial" w:hAnsi="Arial" w:cs="Arial"/>
                <w:bCs/>
                <w:sz w:val="18"/>
                <w:szCs w:val="18"/>
              </w:rPr>
              <w:t xml:space="preserve"> u Londonu, </w:t>
            </w:r>
            <w:r w:rsidRPr="008D1092">
              <w:rPr>
                <w:rFonts w:ascii="Arial" w:hAnsi="Arial" w:cs="Arial"/>
                <w:sz w:val="18"/>
                <w:szCs w:val="18"/>
              </w:rPr>
              <w:t>Decanter Asia Wine Awards</w:t>
            </w:r>
            <w:r w:rsidRPr="008D1092">
              <w:rPr>
                <w:rFonts w:ascii="Arial" w:hAnsi="Arial" w:cs="Arial"/>
                <w:bCs/>
                <w:sz w:val="18"/>
                <w:szCs w:val="18"/>
              </w:rPr>
              <w:t xml:space="preserve"> u Hong Kongu, </w:t>
            </w:r>
            <w:r w:rsidRPr="008D1092">
              <w:rPr>
                <w:rFonts w:ascii="Arial" w:hAnsi="Arial" w:cs="Arial"/>
                <w:sz w:val="18"/>
                <w:szCs w:val="18"/>
              </w:rPr>
              <w:t>Monde Selection</w:t>
            </w:r>
            <w:r w:rsidRPr="008D1092">
              <w:rPr>
                <w:rFonts w:ascii="Arial" w:hAnsi="Arial" w:cs="Arial"/>
                <w:bCs/>
                <w:sz w:val="18"/>
                <w:szCs w:val="18"/>
              </w:rPr>
              <w:t xml:space="preserve"> u Briselu, </w:t>
            </w:r>
            <w:r w:rsidRPr="008D1092">
              <w:rPr>
                <w:rFonts w:ascii="Arial" w:hAnsi="Arial" w:cs="Arial"/>
                <w:sz w:val="18"/>
                <w:szCs w:val="18"/>
              </w:rPr>
              <w:t>Mundus Vini</w:t>
            </w:r>
            <w:r w:rsidRPr="008D1092">
              <w:rPr>
                <w:rFonts w:ascii="Arial" w:hAnsi="Arial" w:cs="Arial"/>
                <w:bCs/>
                <w:sz w:val="18"/>
                <w:szCs w:val="18"/>
              </w:rPr>
              <w:t xml:space="preserve"> u Njemačkoj i druga.</w:t>
            </w:r>
          </w:p>
          <w:p w14:paraId="63CC653C"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Naučna istraživanja sprovedena u okviru projekta </w:t>
            </w:r>
            <w:r w:rsidRPr="008D1092">
              <w:rPr>
                <w:rFonts w:ascii="Arial" w:hAnsi="Arial" w:cs="Arial"/>
                <w:sz w:val="18"/>
                <w:szCs w:val="18"/>
              </w:rPr>
              <w:t>„Genetska identifikacija autohtonih sorti vinove loze Crne Gore“</w:t>
            </w:r>
            <w:r w:rsidRPr="008D1092">
              <w:rPr>
                <w:rFonts w:ascii="Arial" w:hAnsi="Arial" w:cs="Arial"/>
                <w:bCs/>
                <w:sz w:val="18"/>
                <w:szCs w:val="18"/>
              </w:rPr>
              <w:t xml:space="preserve"> utvrdila su postojanje čokota starijih od 300 godina, kao i sorti sa velikim brojem genetski srodnih potomaka (genotipova), što predstavlja snažnu potvrdu viševjekovne vinogradarske i vinarske tradicije, kao i dugogodišnje povezanosti stanovništva ovog područja sa vinovom lozom.</w:t>
            </w:r>
          </w:p>
          <w:p w14:paraId="33549F57"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Poštujući ovu tradiciju, lokalni proizvođači kontinuirano unapređuju kvalitet svojih vina, prvenstveno vina proizvedenih od autohtonih crnogorskih sorti vinove loze.</w:t>
            </w:r>
          </w:p>
          <w:p w14:paraId="104F3413" w14:textId="77777777" w:rsidR="00A0404F" w:rsidRPr="008D1092" w:rsidRDefault="00A0404F" w:rsidP="00BC4127">
            <w:pPr>
              <w:widowControl w:val="0"/>
              <w:tabs>
                <w:tab w:val="left" w:pos="239"/>
              </w:tabs>
              <w:autoSpaceDE w:val="0"/>
              <w:autoSpaceDN w:val="0"/>
              <w:spacing w:before="120" w:line="276" w:lineRule="auto"/>
              <w:ind w:right="95"/>
              <w:rPr>
                <w:rFonts w:ascii="Arial" w:eastAsia="Arial" w:hAnsi="Arial" w:cs="Arial"/>
                <w:b/>
                <w:sz w:val="18"/>
                <w:szCs w:val="18"/>
                <w:lang w:eastAsia="en-US"/>
              </w:rPr>
            </w:pPr>
            <w:r w:rsidRPr="008D1092">
              <w:rPr>
                <w:rFonts w:ascii="Arial" w:eastAsia="Arial" w:hAnsi="Arial" w:cs="Arial"/>
                <w:b/>
                <w:sz w:val="18"/>
                <w:szCs w:val="18"/>
                <w:lang w:eastAsia="en-US"/>
              </w:rPr>
              <w:t>Uzročno-posljedična povezanost: Klima</w:t>
            </w:r>
          </w:p>
          <w:p w14:paraId="103C4BF8"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Osnovna reljefna karakteristika </w:t>
            </w:r>
            <w:r w:rsidRPr="008D1092">
              <w:rPr>
                <w:rFonts w:ascii="Arial" w:hAnsi="Arial" w:cs="Arial"/>
                <w:sz w:val="18"/>
                <w:szCs w:val="18"/>
              </w:rPr>
              <w:t>subregiona Bjelopavlići</w:t>
            </w:r>
            <w:r w:rsidRPr="008D1092">
              <w:rPr>
                <w:rFonts w:ascii="Arial" w:hAnsi="Arial" w:cs="Arial"/>
                <w:bCs/>
                <w:sz w:val="18"/>
                <w:szCs w:val="18"/>
              </w:rPr>
              <w:t xml:space="preserve"> je Bjelopavlićka ravnica u donjem toku rijeke Zete. Ravnica se prostire u dužini od 28 km i širini od oko 8 km, u pravcu sjeverozapad–jugoistok. Omeđena je flišnim terasastim padinama planina Veliki Garač i Mali Garač, Planinice i Ostroške grede. Sjeverozapadni dio karakteriše prisustvo više tektonskih rasjeda, dok se prema jugoistoku otvara u prostranu ravnicu u koju se strmo spuštaju grebeni okolnih uzvišenja. Formirana je na krečnjačkoj podlozi, preko koje su nataložena karakteristična glinovita zemljišta nastala sedimentacijom nekadašnjeg jezera.</w:t>
            </w:r>
          </w:p>
          <w:p w14:paraId="743B324C"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Na području subregiona Bjelopavlići preovladava izmijenjena mediteranska klima sa neravnomjernim rasporedom padavina tokom godine. Prosječna mjesečna količina padavina najniža je u julu i iznosi 36,8 mm, dok se najveće količine padavina javljaju krajem jeseni i početkom zime, naročito u novembru, kada prosječno iznose 367,1 mm.</w:t>
            </w:r>
          </w:p>
          <w:p w14:paraId="1E057935"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lastRenderedPageBreak/>
              <w:t xml:space="preserve">Na najvećem dijelu subregiona prosječna suma padavina tokom vegetacionog perioda kreće se između </w:t>
            </w:r>
            <w:r w:rsidRPr="008D1092">
              <w:rPr>
                <w:rFonts w:ascii="Arial" w:hAnsi="Arial" w:cs="Arial"/>
                <w:sz w:val="18"/>
                <w:szCs w:val="18"/>
              </w:rPr>
              <w:t>800 i 1.000 mm</w:t>
            </w:r>
            <w:r w:rsidRPr="008D1092">
              <w:rPr>
                <w:rFonts w:ascii="Arial" w:hAnsi="Arial" w:cs="Arial"/>
                <w:bCs/>
                <w:sz w:val="18"/>
                <w:szCs w:val="18"/>
              </w:rPr>
              <w:t xml:space="preserve">, dok se na manjem dijelu jugoistočnog područja kreće između </w:t>
            </w:r>
            <w:r w:rsidRPr="008D1092">
              <w:rPr>
                <w:rFonts w:ascii="Arial" w:hAnsi="Arial" w:cs="Arial"/>
                <w:sz w:val="18"/>
                <w:szCs w:val="18"/>
              </w:rPr>
              <w:t>600 i 800 mm</w:t>
            </w:r>
            <w:r w:rsidRPr="008D1092">
              <w:rPr>
                <w:rFonts w:ascii="Arial" w:hAnsi="Arial" w:cs="Arial"/>
                <w:bCs/>
                <w:sz w:val="18"/>
                <w:szCs w:val="18"/>
              </w:rPr>
              <w:t xml:space="preserve">. Prosječna godišnja količina padavina uglavnom iznosi </w:t>
            </w:r>
            <w:r w:rsidRPr="008D1092">
              <w:rPr>
                <w:rFonts w:ascii="Arial" w:hAnsi="Arial" w:cs="Arial"/>
                <w:sz w:val="18"/>
                <w:szCs w:val="18"/>
              </w:rPr>
              <w:t>2.000–2.500 mm</w:t>
            </w:r>
            <w:r w:rsidRPr="008D1092">
              <w:rPr>
                <w:rFonts w:ascii="Arial" w:hAnsi="Arial" w:cs="Arial"/>
                <w:bCs/>
                <w:sz w:val="18"/>
                <w:szCs w:val="18"/>
              </w:rPr>
              <w:t xml:space="preserve">, dok se u jugoistočnom dijelu, u okolini Spuža, kreće između </w:t>
            </w:r>
            <w:r w:rsidRPr="008D1092">
              <w:rPr>
                <w:rFonts w:ascii="Arial" w:hAnsi="Arial" w:cs="Arial"/>
                <w:sz w:val="18"/>
                <w:szCs w:val="18"/>
              </w:rPr>
              <w:t>1.500 i 2.000 mm</w:t>
            </w:r>
            <w:r w:rsidRPr="008D1092">
              <w:rPr>
                <w:rFonts w:ascii="Arial" w:hAnsi="Arial" w:cs="Arial"/>
                <w:bCs/>
                <w:sz w:val="18"/>
                <w:szCs w:val="18"/>
              </w:rPr>
              <w:t>.</w:t>
            </w:r>
          </w:p>
          <w:p w14:paraId="5307B9CC"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Umjereno visok indeks suše (DI) ukazuje na to da je snabdijevanje vodom uglavnom dovoljno za proizvodnju grožđa. Međutim, raspored padavina tokom godine, njihov intenzitet, kao i osobine pojedinih tipova zemljišta mogu u određenim uslovima dovesti do nedostatka vlage neophodne za normalan razvoj vinove loze tokom vegetacionog perioda. Najveći dio padavina javlja se u prvim mjesecima vegetacije, kada prosječno padne više od </w:t>
            </w:r>
            <w:r w:rsidRPr="008D1092">
              <w:rPr>
                <w:rFonts w:ascii="Arial" w:hAnsi="Arial" w:cs="Arial"/>
                <w:sz w:val="18"/>
                <w:szCs w:val="18"/>
              </w:rPr>
              <w:t>130 mm</w:t>
            </w:r>
            <w:r w:rsidRPr="008D1092">
              <w:rPr>
                <w:rFonts w:ascii="Arial" w:hAnsi="Arial" w:cs="Arial"/>
                <w:bCs/>
                <w:sz w:val="18"/>
                <w:szCs w:val="18"/>
              </w:rPr>
              <w:t xml:space="preserve"> mjesečno. Tokom ljetnjih mjeseci česti su duži periodi bez padavina koji, u kombinaciji sa visokim temperaturama, povećavaju rizik od posljedica ljetnjih suša. U sušnim godinama period bez padavina može trajati od </w:t>
            </w:r>
            <w:r w:rsidRPr="008D1092">
              <w:rPr>
                <w:rFonts w:ascii="Arial" w:hAnsi="Arial" w:cs="Arial"/>
                <w:sz w:val="18"/>
                <w:szCs w:val="18"/>
              </w:rPr>
              <w:t>30 do 60 dana</w:t>
            </w:r>
            <w:r w:rsidRPr="008D1092">
              <w:rPr>
                <w:rFonts w:ascii="Arial" w:hAnsi="Arial" w:cs="Arial"/>
                <w:bCs/>
                <w:sz w:val="18"/>
                <w:szCs w:val="18"/>
              </w:rPr>
              <w:t>. Dodatno, veliki dio padavina javlja se u obliku obilnih pljuskova, zbog čega se voda ne iskorišćava efikasno. Na plitkim i propusnim zemljištima voda brzo prodire u podzemlje, dok na slabo propusnim zemljištima dolazi do površinskog oticanja, što onemogućava stvaranje dovoljnih rezervi vlage za sušni ljetnji period.</w:t>
            </w:r>
          </w:p>
          <w:p w14:paraId="6A6FB540"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Na najvećem dijelu subregiona Bjelopavlići prosječna godišnja temperatura vazduha kreće se između </w:t>
            </w:r>
            <w:r w:rsidRPr="008D1092">
              <w:rPr>
                <w:rFonts w:ascii="Arial" w:hAnsi="Arial" w:cs="Arial"/>
                <w:sz w:val="18"/>
                <w:szCs w:val="18"/>
              </w:rPr>
              <w:t>14°C i 16°C</w:t>
            </w:r>
            <w:r w:rsidRPr="008D1092">
              <w:rPr>
                <w:rFonts w:ascii="Arial" w:hAnsi="Arial" w:cs="Arial"/>
                <w:bCs/>
                <w:sz w:val="18"/>
                <w:szCs w:val="18"/>
              </w:rPr>
              <w:t xml:space="preserve">. U sjevernom dijelu subregiona, u okolini izvorišta rijeke Zete, duž sjeveroistočne granice na većim nadmorskim visinama, kao i u zapadnom centralnom dijelu, na području Bijelog Polja i Veljeg Polja, prosječna godišnja temperatura kreće se između </w:t>
            </w:r>
            <w:r w:rsidRPr="008D1092">
              <w:rPr>
                <w:rFonts w:ascii="Arial" w:hAnsi="Arial" w:cs="Arial"/>
                <w:sz w:val="18"/>
                <w:szCs w:val="18"/>
              </w:rPr>
              <w:t>12°C i 14°C</w:t>
            </w:r>
            <w:r w:rsidRPr="008D1092">
              <w:rPr>
                <w:rFonts w:ascii="Arial" w:hAnsi="Arial" w:cs="Arial"/>
                <w:bCs/>
                <w:sz w:val="18"/>
                <w:szCs w:val="18"/>
              </w:rPr>
              <w:t xml:space="preserve">. Samo na vrlo malom području jugoistočnog dijela, na lokalitetima Pržine i Zagorski lug, prosječna godišnja temperatura iznosi između </w:t>
            </w:r>
            <w:r w:rsidRPr="008D1092">
              <w:rPr>
                <w:rFonts w:ascii="Arial" w:hAnsi="Arial" w:cs="Arial"/>
                <w:sz w:val="18"/>
                <w:szCs w:val="18"/>
              </w:rPr>
              <w:t>16°C i 18°C</w:t>
            </w:r>
            <w:r w:rsidRPr="008D1092">
              <w:rPr>
                <w:rFonts w:ascii="Arial" w:hAnsi="Arial" w:cs="Arial"/>
                <w:bCs/>
                <w:sz w:val="18"/>
                <w:szCs w:val="18"/>
              </w:rPr>
              <w:t>.</w:t>
            </w:r>
          </w:p>
          <w:p w14:paraId="5A8958E7"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Podaci o prosječnim mjesečnim temperaturama u najhladnijim mjesecima ukazuju na to da subregion Bjelopavlići ima blage zime. Zahvaljujući uticaju toplih vazdušnih masa koje sa Jadranskog mora prodiru dolinom rijeke Bojane i preko Skadarskog jezera, jesen karakterišu više prosječne temperature vazduha. Posmatrano u cjelini, subregion Bjelopavlići ima optimalne prosječne temperature za cvjetanje, porast mladara, formiranje grozdova i sazrijevanje grožđa. Prosječne minimalne temperature vazduha uglavnom se kreću između </w:t>
            </w:r>
            <w:r w:rsidRPr="008D1092">
              <w:rPr>
                <w:rFonts w:ascii="Arial" w:hAnsi="Arial" w:cs="Arial"/>
                <w:sz w:val="18"/>
                <w:szCs w:val="18"/>
              </w:rPr>
              <w:t>1°C i 3°C</w:t>
            </w:r>
            <w:r w:rsidRPr="008D1092">
              <w:rPr>
                <w:rFonts w:ascii="Arial" w:hAnsi="Arial" w:cs="Arial"/>
                <w:bCs/>
                <w:sz w:val="18"/>
                <w:szCs w:val="18"/>
              </w:rPr>
              <w:t>, tako da ni u januaru, najhladnijem mjesecu u godini, ne postoji značajan rizik od izmrzavanja mladara i višegodišnjih djelova čokota.</w:t>
            </w:r>
          </w:p>
          <w:p w14:paraId="62246B09"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Prosječna minimalna temperatura vazduha tokom vegetacionog perioda (april–oktobar) na najvećem dijelu ovog vinogradarskog područja kreće se između </w:t>
            </w:r>
            <w:r w:rsidRPr="008D1092">
              <w:rPr>
                <w:rFonts w:ascii="Arial" w:hAnsi="Arial" w:cs="Arial"/>
                <w:sz w:val="18"/>
                <w:szCs w:val="18"/>
              </w:rPr>
              <w:t>14°C i 16°C</w:t>
            </w:r>
            <w:r w:rsidRPr="008D1092">
              <w:rPr>
                <w:rFonts w:ascii="Arial" w:hAnsi="Arial" w:cs="Arial"/>
                <w:bCs/>
                <w:sz w:val="18"/>
                <w:szCs w:val="18"/>
              </w:rPr>
              <w:t>, pa ne postoji opasnost od usporavanja fizioloških procesa usljed niskih temperatura.</w:t>
            </w:r>
          </w:p>
          <w:p w14:paraId="2A2B1F4C"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 xml:space="preserve">Na najvećem dijelu ovog vinogradarskog područja prosječna maksimalna temperatura vazduha u septembru kreće se između </w:t>
            </w:r>
            <w:r w:rsidRPr="008D1092">
              <w:rPr>
                <w:rFonts w:ascii="Arial" w:hAnsi="Arial" w:cs="Arial"/>
                <w:sz w:val="18"/>
                <w:szCs w:val="18"/>
              </w:rPr>
              <w:t>26°C i 28°C</w:t>
            </w:r>
            <w:r w:rsidRPr="008D1092">
              <w:rPr>
                <w:rFonts w:ascii="Arial" w:hAnsi="Arial" w:cs="Arial"/>
                <w:bCs/>
                <w:sz w:val="18"/>
                <w:szCs w:val="18"/>
              </w:rPr>
              <w:t xml:space="preserve">. U višim predjelima na sjeverozapadu i sjeveru subregiona ona se kreće između </w:t>
            </w:r>
            <w:r w:rsidRPr="008D1092">
              <w:rPr>
                <w:rFonts w:ascii="Arial" w:hAnsi="Arial" w:cs="Arial"/>
                <w:sz w:val="18"/>
                <w:szCs w:val="18"/>
              </w:rPr>
              <w:t>24°C i 26°C</w:t>
            </w:r>
            <w:r w:rsidRPr="008D1092">
              <w:rPr>
                <w:rFonts w:ascii="Arial" w:hAnsi="Arial" w:cs="Arial"/>
                <w:bCs/>
                <w:sz w:val="18"/>
                <w:szCs w:val="18"/>
              </w:rPr>
              <w:t xml:space="preserve">, dok samo veoma mali dio područja bilježi prosječnu maksimalnu septembarsku temperaturu iznad </w:t>
            </w:r>
            <w:r w:rsidRPr="008D1092">
              <w:rPr>
                <w:rFonts w:ascii="Arial" w:hAnsi="Arial" w:cs="Arial"/>
                <w:sz w:val="18"/>
                <w:szCs w:val="18"/>
              </w:rPr>
              <w:t>28°C</w:t>
            </w:r>
            <w:r w:rsidRPr="008D1092">
              <w:rPr>
                <w:rFonts w:ascii="Arial" w:hAnsi="Arial" w:cs="Arial"/>
                <w:bCs/>
                <w:sz w:val="18"/>
                <w:szCs w:val="18"/>
              </w:rPr>
              <w:t>. Takvi temperaturni uslovi pogoduju sazrijevanju grožđa i smanjuju rizik od pojave najznačajnijih bolesti vinove loze.</w:t>
            </w:r>
          </w:p>
          <w:p w14:paraId="535C7715"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S druge strane, podaci o broju dana tokom vegetacionog perioda sa prosječnim maksimalnim temperaturama (</w:t>
            </w:r>
            <w:r w:rsidRPr="008D1092">
              <w:rPr>
                <w:rFonts w:ascii="Arial" w:hAnsi="Arial" w:cs="Arial"/>
                <w:sz w:val="18"/>
                <w:szCs w:val="18"/>
              </w:rPr>
              <w:t>Tx</w:t>
            </w:r>
            <w:r w:rsidRPr="008D1092">
              <w:rPr>
                <w:rFonts w:ascii="Arial" w:hAnsi="Arial" w:cs="Arial"/>
                <w:bCs/>
                <w:sz w:val="18"/>
                <w:szCs w:val="18"/>
              </w:rPr>
              <w:t xml:space="preserve">) od </w:t>
            </w:r>
            <w:r w:rsidRPr="008D1092">
              <w:rPr>
                <w:rFonts w:ascii="Arial" w:hAnsi="Arial" w:cs="Arial"/>
                <w:sz w:val="18"/>
                <w:szCs w:val="18"/>
              </w:rPr>
              <w:t>35°C ili višim</w:t>
            </w:r>
            <w:r w:rsidRPr="008D1092">
              <w:rPr>
                <w:rFonts w:ascii="Arial" w:hAnsi="Arial" w:cs="Arial"/>
                <w:bCs/>
                <w:sz w:val="18"/>
                <w:szCs w:val="18"/>
              </w:rPr>
              <w:t xml:space="preserve"> pokazuju da subregion Bjelopavlići spada u vinogradarska područja sa povećanim rizikom od pojave ekstremno visokih temperatura. One mogu smanjiti asimilaciju ugljen-dioksida, usporiti fotosintezu i povećati potrošnju asimilata usljed intenzivne respiracije. Veći broj dana sa ovakvim temperaturama, u kombinaciji sa izraženim toplim ljetnjim periodom, može izazvati stagnaciju rasta čokota i značajno smanjenje prinosa.</w:t>
            </w:r>
          </w:p>
          <w:p w14:paraId="1D513D9E"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Prosječna relativna vlažnost vazduha u subregionu Bjelopavlići kreće se u optimalnom rasponu od 60% do 80%. Tokom perioda porasta mladara i sazrijevanja grožđa vlažnost vazduha je uglavnom povoljna, dok se prosječna godišnja relativna vlažnost uglavnom kreće do 70%, a u pojedinim višim predjelima dostiže i 75%.</w:t>
            </w:r>
          </w:p>
          <w:p w14:paraId="50B599D5" w14:textId="77777777" w:rsidR="00B845A2"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Ovo vinogradarsko područje raspolaže dovoljnom količinom sunčevog zračenja neophodnog za odvijanje fotosinteze u listovima vinove loze. Svjetlosni uslovi omogućavaju normalan rast i razvoj čokota, cvjetanje, oplodnju i sazrijevanje grožđa odgovarajućeg kvaliteta, kao i postizanje visoke rodnosti.</w:t>
            </w:r>
          </w:p>
          <w:p w14:paraId="5E1EA433" w14:textId="02C7DFFD" w:rsidR="00A0404F" w:rsidRPr="008D1092" w:rsidRDefault="00B845A2" w:rsidP="00BC4127">
            <w:pPr>
              <w:spacing w:after="96" w:line="276" w:lineRule="auto"/>
              <w:ind w:right="95"/>
              <w:jc w:val="both"/>
              <w:rPr>
                <w:rFonts w:ascii="Arial" w:hAnsi="Arial" w:cs="Arial"/>
                <w:bCs/>
                <w:sz w:val="18"/>
                <w:szCs w:val="18"/>
              </w:rPr>
            </w:pPr>
            <w:r w:rsidRPr="008D1092">
              <w:rPr>
                <w:rFonts w:ascii="Arial" w:hAnsi="Arial" w:cs="Arial"/>
                <w:bCs/>
                <w:sz w:val="18"/>
                <w:szCs w:val="18"/>
              </w:rPr>
              <w:t>Zaštićen od neposrednog uticaja morskih vjetrova, subregion Bjelopavlići povremeno je izložen kasnim proljećnim mrazevima, dok ga tokom ljeta karakterišu veoma visoke temperature i povećana vlažnost vazduha. Vinogradi se uglavnom nalaze na nižim nadmorskim visinama, gdje su magle i povećana vlažnost vazduha češće izražene. Ovi uslovi doprinose proizvodnji crvenih vina rubin-crvene do</w:t>
            </w:r>
            <w:r w:rsidRPr="008D1092">
              <w:t xml:space="preserve"> </w:t>
            </w:r>
            <w:r w:rsidRPr="008D1092">
              <w:rPr>
                <w:rFonts w:ascii="Arial" w:hAnsi="Arial" w:cs="Arial"/>
                <w:bCs/>
                <w:sz w:val="18"/>
                <w:szCs w:val="18"/>
              </w:rPr>
              <w:t>ljubičastocrvene boje sa različito izraženim ljubičastim odsjajima, dok bijela vina odlikuju svježina, izražen aromatski intenzitet i dobro uravnotežena kiselost.</w:t>
            </w:r>
          </w:p>
          <w:p w14:paraId="7D25DAE1" w14:textId="77777777" w:rsidR="00A60B4F" w:rsidRPr="008D1092" w:rsidRDefault="00A60B4F" w:rsidP="00BC4127">
            <w:pPr>
              <w:tabs>
                <w:tab w:val="left" w:pos="8931"/>
              </w:tabs>
              <w:spacing w:before="120" w:line="276" w:lineRule="auto"/>
              <w:ind w:right="95"/>
              <w:rPr>
                <w:rFonts w:ascii="Arial" w:hAnsi="Arial" w:cs="Arial"/>
                <w:b/>
                <w:sz w:val="18"/>
                <w:szCs w:val="18"/>
              </w:rPr>
            </w:pPr>
            <w:r w:rsidRPr="008D1092">
              <w:rPr>
                <w:rFonts w:ascii="Arial" w:hAnsi="Arial" w:cs="Arial"/>
                <w:b/>
                <w:sz w:val="18"/>
                <w:szCs w:val="18"/>
              </w:rPr>
              <w:t>Uzročno-posljedična povezanost: Geologija i zemljište</w:t>
            </w:r>
          </w:p>
          <w:p w14:paraId="28B951D5" w14:textId="77777777" w:rsidR="00B845A2" w:rsidRPr="00B845A2" w:rsidRDefault="00B845A2" w:rsidP="00BC4127">
            <w:pPr>
              <w:spacing w:after="96" w:line="276" w:lineRule="auto"/>
              <w:ind w:right="95"/>
              <w:jc w:val="both"/>
              <w:rPr>
                <w:rFonts w:ascii="Arial" w:hAnsi="Arial" w:cs="Arial"/>
                <w:bCs/>
                <w:sz w:val="18"/>
                <w:szCs w:val="18"/>
              </w:rPr>
            </w:pPr>
            <w:r w:rsidRPr="00B845A2">
              <w:rPr>
                <w:rFonts w:ascii="Arial" w:hAnsi="Arial" w:cs="Arial"/>
                <w:bCs/>
                <w:sz w:val="18"/>
                <w:szCs w:val="18"/>
              </w:rPr>
              <w:t>U subregionu Bjelopavlići dominiraju dva tipa zemljišta: smeđa zemljišta – kambisoli, koja zauzimaju oko 47% ukupne površine, i crvenice (terra rossa), koje obuhvataju oko 42% površine subregiona. Ovi tipovi zemljišta odlikuju se dobrim upijanjem i provođenjem vode kroz zemljišni profil. Na manjim površinama zastupljeni su rendzina i pseudoglej, dok se na zanemarljivo malim površinama javlja i glejno zemljište (euglej).</w:t>
            </w:r>
          </w:p>
          <w:p w14:paraId="688529D3" w14:textId="77777777" w:rsidR="00B845A2" w:rsidRPr="00B845A2" w:rsidRDefault="00B845A2" w:rsidP="00BC4127">
            <w:pPr>
              <w:spacing w:after="96" w:line="276" w:lineRule="auto"/>
              <w:ind w:right="95"/>
              <w:jc w:val="both"/>
              <w:rPr>
                <w:rFonts w:ascii="Arial" w:hAnsi="Arial" w:cs="Arial"/>
                <w:bCs/>
                <w:sz w:val="18"/>
                <w:szCs w:val="18"/>
              </w:rPr>
            </w:pPr>
            <w:r w:rsidRPr="00B845A2">
              <w:rPr>
                <w:rFonts w:ascii="Arial" w:hAnsi="Arial" w:cs="Arial"/>
                <w:bCs/>
                <w:sz w:val="18"/>
                <w:szCs w:val="18"/>
              </w:rPr>
              <w:t>Sadržaj karbonata, izražen kao % CaCO</w:t>
            </w:r>
            <w:r w:rsidRPr="00B845A2">
              <w:rPr>
                <w:rFonts w:ascii="Cambria Math" w:hAnsi="Cambria Math" w:cs="Cambria Math"/>
                <w:bCs/>
                <w:sz w:val="18"/>
                <w:szCs w:val="18"/>
              </w:rPr>
              <w:t>₃</w:t>
            </w:r>
            <w:r w:rsidRPr="00B845A2">
              <w:rPr>
                <w:rFonts w:ascii="Arial" w:hAnsi="Arial" w:cs="Arial"/>
                <w:bCs/>
                <w:sz w:val="18"/>
                <w:szCs w:val="18"/>
              </w:rPr>
              <w:t>, nije ujednačen. Kreće se od slabo karbonatnih zemljišta (0–2%) do izrazito karbonatnih zemljišta (više od 10%). Sadržaj humusa, lako pristupačnog kalijuma i fosfora odgovara potrebama ishrane vinove loze. Sadržaj bakra, gvožđa i mangana u pristupačnim oblicima je povoljan i doprinosi izraženoj mineralnosti vina.</w:t>
            </w:r>
          </w:p>
          <w:p w14:paraId="57A26E80" w14:textId="77777777" w:rsidR="00B845A2" w:rsidRPr="00B845A2" w:rsidRDefault="00B845A2" w:rsidP="00BC4127">
            <w:pPr>
              <w:spacing w:after="96" w:line="276" w:lineRule="auto"/>
              <w:ind w:right="95"/>
              <w:jc w:val="both"/>
              <w:rPr>
                <w:rFonts w:ascii="Arial" w:hAnsi="Arial" w:cs="Arial"/>
                <w:bCs/>
                <w:sz w:val="18"/>
                <w:szCs w:val="18"/>
              </w:rPr>
            </w:pPr>
            <w:r w:rsidRPr="00B845A2">
              <w:rPr>
                <w:rFonts w:ascii="Arial" w:hAnsi="Arial" w:cs="Arial"/>
                <w:bCs/>
                <w:sz w:val="18"/>
                <w:szCs w:val="18"/>
              </w:rPr>
              <w:lastRenderedPageBreak/>
              <w:t>Aluvijalno-deluvijalna zemljišta, teška ilovača i plodni glinoviti nanosi, naročito duž doline rijeke Zete, obezbjeđuju kontinuirano prirodno snabdijevanje zemljišta vodom, čime se u velikoj mjeri sprječava pojava ljetnjeg vodnog stresa vinove loze. Takvi uslovi omogućavaju ravnomjerno i ujednačeno sazrijevanje grožđa. Vina se odlikuju zaobljenijim senzornim profilom, mekšom strukturom i izraženim karakterom sočnog voća, uz manje naglašenu taninsku oporost.</w:t>
            </w:r>
          </w:p>
          <w:p w14:paraId="48225944" w14:textId="77777777" w:rsidR="004C3F70" w:rsidRPr="008D1092" w:rsidRDefault="004C3F70" w:rsidP="00BC4127">
            <w:pPr>
              <w:tabs>
                <w:tab w:val="left" w:pos="8931"/>
              </w:tabs>
              <w:spacing w:before="120" w:line="276" w:lineRule="auto"/>
              <w:ind w:right="95"/>
              <w:rPr>
                <w:rFonts w:ascii="Arial" w:hAnsi="Arial" w:cs="Arial"/>
                <w:b/>
                <w:sz w:val="18"/>
                <w:szCs w:val="18"/>
              </w:rPr>
            </w:pPr>
            <w:r w:rsidRPr="008D1092">
              <w:rPr>
                <w:rFonts w:ascii="Arial" w:hAnsi="Arial" w:cs="Arial"/>
                <w:b/>
                <w:sz w:val="18"/>
                <w:szCs w:val="18"/>
              </w:rPr>
              <w:t>Uzročno-posljedična povezanost: Antropogeni faktor</w:t>
            </w:r>
          </w:p>
          <w:p w14:paraId="4A2EB7AC"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Prirodne karakteristike subregiona Bjelopavlići (klimatske, pedološko-geološke i orografske), unaprijeđene uticajem čovjeka i njegovanjem tradicionalnih vinogradarskih i vinarskih praksi, jedinstvene su u Evropi i od ključnog su značaja za precizno definisanje ovog područja i zaštitu porijekla proizvoda specifičnog i autentičnog kvaliteta. Posebno je značajno da, prema klasifikaciji MCC geovinogradarskog sistema, posmatrano na nivou cjelokupne površine ovog vinogradarskog područja, sa klimatskim indeksima HI+3, CI-1 i DI-2 (klasa veoma tople klime sa umjereno hladnim noćima i poluvlažnom klimom), ne postoji drugo vinogradarsko područje u svijetu koje pripada istoj klimatskoj klasi u okviru ovog sistema.</w:t>
            </w:r>
          </w:p>
          <w:p w14:paraId="7D491EB1"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Osnovnu pejzažnu karakteristiku subregiona predstavlja prostrana i plodna Bjelopavlićka ravnica, odnosno dolina rijeke Zete, koja se u južnom dijelu širi i odlikuje brojnim meandrima između kojih su skladno raspoređeni vinogradi, voćnjaci i povrtlarske površine. Ravnica je okružena planinama. U sjevernom dijelu padine okolnih uzvišenja strmo se spuštaju prema dolini, dok su u južnom dijelu blaže, sa mjestimično terasastim terenima. Posebnu vrijednost pejzažu daju šume bukve, hrasta i bora, prirodna staništa ljekovitog bilja, kao i jedinstveni prirodni i kulturni ambijent Ostroške grede sa kompleksom Manastira Ostrog.</w:t>
            </w:r>
          </w:p>
          <w:p w14:paraId="792B6B00"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Pored velikog broja sunčanih sati i povoljnog temperaturnog režima, na koje ukazuju vrijednosti bioklimatskih indeksa, kvalitet grožđa i vina sa ovog područja u značajnoj mjeri određuju zemljišta bez karbonata, izuzetno bogata mikroelementima, koji doprinose izraženoj mineralnosti vina.</w:t>
            </w:r>
          </w:p>
          <w:p w14:paraId="11B4E533" w14:textId="12A34CAB"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Fitotehničke mjere (osnovna rezidba tokom zimskog mirovanja vinove loze, dopunska rezidba u toku vegetacije, vezivanje stabla i lastara, folijarna prihrana, kao i zaštita od bolesti i štetočina) sprovode se u skladu sa godišnjim dobom, agroekološkim uslovima, načinom gajenja i sortnim sastavom vinove loze. Radi očuvanja kvaliteta grožđa namijenjenog proizvodnji vina sa zaštićenom oznakom porijekla, berba grožđa obavlja se ručno.</w:t>
            </w:r>
            <w:r w:rsidR="00BC4127">
              <w:rPr>
                <w:rFonts w:ascii="Arial" w:hAnsi="Arial" w:cs="Arial"/>
                <w:bCs/>
                <w:sz w:val="18"/>
                <w:szCs w:val="18"/>
              </w:rPr>
              <w:t xml:space="preserve"> </w:t>
            </w:r>
          </w:p>
          <w:p w14:paraId="63C9954A"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Agrotehničke mjere, poput duboke obrade zemljišta, uglavnom se izvode mehanizovano, dok se plitka obrada zemljišta tokom vegetacije i uklanjanje korova pretežno obavljaju ručno. Zatravljivanje međurednog prostora predstavlja uobičajenu praksu kojom se smanjuje evapotranspiracija tokom ljetnjih mjeseci sa visokim temperaturama i manjom količinom padavina. U pojedinim vinogradima, zbog veće propusnosti zemljišta, primjenjuje se navodnjavanje, pri čemu se vodi računa o očuvanju karakteristika sorti vinove loze namijenjenih proizvodnji vina sa zaštićenom oznakom porijekla.</w:t>
            </w:r>
          </w:p>
          <w:p w14:paraId="477127D3"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Proizvodnja vina u subregionu Bjelopavlići zasniva se pretežno na primjeni savremene tehnologije uz kontrolisane temperaturne uslove tokom procesa vinifikacije. Maksimalni randman grožđa za proizvodnju crvenih vina iznosi 70%. Sve faze proizvodnje vina, uključujući punjenje u originalnu ambalažu, odvijaju se unutar subregiona ili u njegovoj neposrednoj blizini, čime se obezbjeđuje očuvanje kvaliteta i karakteristika vina, potpuna sljedljivost proizvoda i efikasna kontrola proizvodnje vina sa zaštićenom oznakom porijekla.</w:t>
            </w:r>
          </w:p>
          <w:p w14:paraId="5B11B1BA"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Sve faze proizvodnje vina sa zaštićenom oznakom porijekla u subregionu Bjelopavlići (berba i transport grožđa, muljanje, sulfitisanje, presovanje, dodavanje selekcionisanih kvasaca i enoloških sredstava, bistrenje šire, alkoholna fermentacija uz kontrolu temperature, maceracija, pretakanje, odležavanje, bistrenje i stabilizacija vina, filtracija, punjenje u staklenu ambalažu, kao i primjena ostalih enoloških postupaka i odgovarajuće opreme) obezbjeđuju postojan kvalitet vina i postizanje njegovih karakterističnih kvalitativnih parametara.</w:t>
            </w:r>
          </w:p>
          <w:p w14:paraId="50DC11DF"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Zahvaljujući obilju toplote i velikom broju sunčanih sati, grožđe autohtonih crnogorskih sorti Vranac i Kratošija, koje se tradicionalno i pretežno gaje u ovom subregionu, akumulira izuzetno visok sadržaj šećera. Zbog toga su vina proizvedena od ovih sorti snažna, punog tijela i odlikuju se visokim prirodnim sadržajem alkohola, koji često prelazi 15% vol.</w:t>
            </w:r>
          </w:p>
          <w:p w14:paraId="25A68808" w14:textId="77777777" w:rsidR="00F618FD" w:rsidRPr="00F618FD" w:rsidRDefault="00F618FD" w:rsidP="00BC4127">
            <w:pPr>
              <w:spacing w:after="96" w:line="276" w:lineRule="auto"/>
              <w:ind w:right="95"/>
              <w:jc w:val="both"/>
              <w:rPr>
                <w:rFonts w:ascii="Arial" w:hAnsi="Arial" w:cs="Arial"/>
                <w:bCs/>
                <w:sz w:val="18"/>
                <w:szCs w:val="18"/>
              </w:rPr>
            </w:pPr>
            <w:r w:rsidRPr="00F618FD">
              <w:rPr>
                <w:rFonts w:ascii="Arial" w:hAnsi="Arial" w:cs="Arial"/>
                <w:bCs/>
                <w:sz w:val="18"/>
                <w:szCs w:val="18"/>
              </w:rPr>
              <w:t>Primjena uzgojnih oblika sa uzdignutom lisnom masom omogućava da se vegetativni dio čokota izdigne iznad zone jutarnje vlage i prizemnih mrazeva, čime se stvaraju povoljniji uslovi za razvoj vinove loze i očuvanje kvaliteta grožđa.</w:t>
            </w:r>
          </w:p>
          <w:p w14:paraId="26B570A3" w14:textId="5806A1C0" w:rsidR="004C3F70" w:rsidRPr="008D1092" w:rsidRDefault="004C3F70" w:rsidP="004C3F70">
            <w:pPr>
              <w:widowControl w:val="0"/>
              <w:autoSpaceDE w:val="0"/>
              <w:autoSpaceDN w:val="0"/>
              <w:spacing w:line="276" w:lineRule="auto"/>
              <w:ind w:left="113" w:right="119"/>
              <w:jc w:val="both"/>
              <w:rPr>
                <w:rFonts w:ascii="Arial" w:hAnsi="Arial" w:cs="Arial"/>
                <w:sz w:val="18"/>
                <w:szCs w:val="18"/>
              </w:rPr>
            </w:pPr>
          </w:p>
        </w:tc>
      </w:tr>
      <w:tr w:rsidR="00B8700A" w:rsidRPr="008D1092" w14:paraId="7DB129CD" w14:textId="77777777" w:rsidTr="005E26EE">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B8700A" w:rsidRPr="008D1092" w:rsidRDefault="00B8700A" w:rsidP="00B8700A">
            <w:pPr>
              <w:spacing w:line="276" w:lineRule="auto"/>
              <w:rPr>
                <w:rFonts w:ascii="Arial" w:hAnsi="Arial" w:cs="Arial"/>
                <w:b/>
                <w:sz w:val="18"/>
                <w:szCs w:val="18"/>
              </w:rPr>
            </w:pPr>
            <w:r w:rsidRPr="008D1092">
              <w:rPr>
                <w:b/>
                <w:sz w:val="18"/>
                <w:szCs w:val="20"/>
              </w:rPr>
              <w:lastRenderedPageBreak/>
              <w:t>Veća ili manja geografska cjelina </w:t>
            </w:r>
            <w:r w:rsidRPr="00BC4127">
              <w:rPr>
                <w:b/>
                <w:i/>
                <w:sz w:val="16"/>
                <w:szCs w:val="20"/>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755DD4A0" w14:textId="094CFBAD" w:rsidR="00B8700A" w:rsidRPr="008D1092" w:rsidRDefault="00B8700A" w:rsidP="00BC4127">
            <w:pPr>
              <w:spacing w:line="276" w:lineRule="auto"/>
              <w:ind w:right="5"/>
              <w:jc w:val="both"/>
              <w:rPr>
                <w:rFonts w:ascii="Arial" w:hAnsi="Arial" w:cs="Arial"/>
                <w:sz w:val="18"/>
                <w:szCs w:val="18"/>
              </w:rPr>
            </w:pPr>
            <w:r w:rsidRPr="008D1092">
              <w:rPr>
                <w:rFonts w:ascii="Arial" w:hAnsi="Arial" w:cs="Arial"/>
                <w:sz w:val="18"/>
                <w:szCs w:val="18"/>
              </w:rPr>
              <w:t>Na etiketi se mogu navoditi nazivi sljedećih užih geografskih područja:</w:t>
            </w:r>
          </w:p>
          <w:p w14:paraId="012B859B" w14:textId="7F7B8DEC" w:rsidR="00FB7213" w:rsidRPr="008D1092" w:rsidRDefault="00F618FD" w:rsidP="00FB7213">
            <w:pPr>
              <w:spacing w:after="120" w:line="276" w:lineRule="auto"/>
              <w:jc w:val="both"/>
              <w:rPr>
                <w:rFonts w:ascii="Arial" w:hAnsi="Arial" w:cs="Arial"/>
                <w:sz w:val="18"/>
                <w:szCs w:val="18"/>
              </w:rPr>
            </w:pPr>
            <w:r w:rsidRPr="008D1092">
              <w:rPr>
                <w:rFonts w:ascii="Arial" w:hAnsi="Arial" w:cs="Arial"/>
                <w:sz w:val="18"/>
                <w:szCs w:val="18"/>
              </w:rPr>
              <w:t xml:space="preserve">Danilovgrad, Bare, Brijestovo, Ćurilac, </w:t>
            </w:r>
            <w:bookmarkStart w:id="1" w:name="_GoBack"/>
            <w:bookmarkEnd w:id="1"/>
            <w:r w:rsidRPr="008D1092">
              <w:rPr>
                <w:rFonts w:ascii="Arial" w:hAnsi="Arial" w:cs="Arial"/>
                <w:sz w:val="18"/>
                <w:szCs w:val="18"/>
              </w:rPr>
              <w:t xml:space="preserve">Donji Zagarač, Glavica, Gorica, Grbe, Grlić, Jastreb, Jelenak, Kosić, Kujava, Martinići, Međeđe, Glizice, Novo Selo, Pažići, Podglavice, Podkraj, Ržišta, Slap, Slatina, Spuž, Vrela, Zagorak </w:t>
            </w:r>
            <w:r w:rsidR="004B6A7F">
              <w:rPr>
                <w:rFonts w:ascii="Arial" w:hAnsi="Arial" w:cs="Arial"/>
                <w:sz w:val="18"/>
                <w:szCs w:val="18"/>
              </w:rPr>
              <w:t>i</w:t>
            </w:r>
            <w:r w:rsidRPr="008D1092">
              <w:rPr>
                <w:rFonts w:ascii="Arial" w:hAnsi="Arial" w:cs="Arial"/>
                <w:sz w:val="18"/>
                <w:szCs w:val="18"/>
              </w:rPr>
              <w:t xml:space="preserve"> Zagreda; Nikšić, Bogetići, Drenovštica, Milojevići, Povija </w:t>
            </w:r>
            <w:r w:rsidR="004B6A7F">
              <w:rPr>
                <w:rFonts w:ascii="Arial" w:hAnsi="Arial" w:cs="Arial"/>
                <w:sz w:val="18"/>
                <w:szCs w:val="18"/>
              </w:rPr>
              <w:t>i</w:t>
            </w:r>
            <w:r w:rsidRPr="008D1092">
              <w:rPr>
                <w:rFonts w:ascii="Arial" w:hAnsi="Arial" w:cs="Arial"/>
                <w:sz w:val="18"/>
                <w:szCs w:val="18"/>
              </w:rPr>
              <w:t xml:space="preserve"> Stubica.</w:t>
            </w:r>
          </w:p>
        </w:tc>
      </w:tr>
      <w:tr w:rsidR="00B8700A" w:rsidRPr="008D1092" w14:paraId="559E70D6" w14:textId="77777777" w:rsidTr="005E26EE">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B8700A" w:rsidRPr="008D1092" w:rsidRDefault="00B8700A" w:rsidP="00B8700A">
            <w:pPr>
              <w:rPr>
                <w:rFonts w:ascii="Arial" w:hAnsi="Arial" w:cs="Arial"/>
                <w:b/>
                <w:sz w:val="18"/>
                <w:szCs w:val="18"/>
              </w:rPr>
            </w:pPr>
            <w:r w:rsidRPr="008D1092">
              <w:rPr>
                <w:b/>
                <w:sz w:val="18"/>
                <w:szCs w:val="20"/>
              </w:rPr>
              <w:t>Dodatni objektivni zahtjevi i uslovi Udruženja, koje će koristiti zaštićenu oznaku </w:t>
            </w:r>
            <w:r w:rsidRPr="00BC4127">
              <w:rPr>
                <w:b/>
                <w:i/>
                <w:sz w:val="16"/>
                <w:szCs w:val="20"/>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42FE2E7" w14:textId="77777777" w:rsidR="00B8700A" w:rsidRPr="008D1092" w:rsidRDefault="00B8700A" w:rsidP="00BC4127">
            <w:pPr>
              <w:spacing w:after="120" w:line="276" w:lineRule="auto"/>
              <w:ind w:right="5"/>
              <w:rPr>
                <w:rFonts w:ascii="Arial" w:hAnsi="Arial" w:cs="Arial"/>
                <w:sz w:val="18"/>
                <w:szCs w:val="18"/>
              </w:rPr>
            </w:pPr>
            <w:r w:rsidRPr="008D1092">
              <w:rPr>
                <w:rFonts w:ascii="Arial" w:hAnsi="Arial" w:cs="Arial"/>
                <w:sz w:val="18"/>
                <w:szCs w:val="18"/>
              </w:rPr>
              <w:t>Dozvoljena je upotreba tradicionalnih izraza „arhivsko vino“, „rezerva“ i „probirna berba“.</w:t>
            </w:r>
          </w:p>
          <w:p w14:paraId="4C20A011" w14:textId="77777777" w:rsidR="00B8700A" w:rsidRPr="008D1092" w:rsidRDefault="00B8700A" w:rsidP="00BC4127">
            <w:pPr>
              <w:spacing w:after="120" w:line="276" w:lineRule="auto"/>
              <w:ind w:right="5"/>
              <w:jc w:val="both"/>
              <w:rPr>
                <w:rFonts w:ascii="Arial" w:hAnsi="Arial" w:cs="Arial"/>
                <w:sz w:val="18"/>
                <w:szCs w:val="18"/>
              </w:rPr>
            </w:pPr>
            <w:r w:rsidRPr="008D1092">
              <w:rPr>
                <w:rFonts w:ascii="Arial" w:hAnsi="Arial" w:cs="Arial"/>
                <w:sz w:val="18"/>
                <w:szCs w:val="18"/>
              </w:rPr>
              <w:t>U skladu sa odredbama Zakona o vinu, dozvoljeno je da vina imaju stvarni sadržaj alkohola veći od 15 % vol.</w:t>
            </w:r>
          </w:p>
          <w:p w14:paraId="1AA99873" w14:textId="36F3C114" w:rsidR="00B8700A" w:rsidRPr="008D1092" w:rsidRDefault="00B8700A" w:rsidP="00BC4127">
            <w:pPr>
              <w:spacing w:line="276" w:lineRule="auto"/>
              <w:ind w:right="5"/>
              <w:rPr>
                <w:rFonts w:ascii="Arial" w:hAnsi="Arial" w:cs="Arial"/>
                <w:sz w:val="18"/>
                <w:szCs w:val="18"/>
              </w:rPr>
            </w:pPr>
            <w:r w:rsidRPr="008D1092">
              <w:rPr>
                <w:rFonts w:ascii="Arial" w:hAnsi="Arial" w:cs="Arial"/>
                <w:sz w:val="18"/>
                <w:szCs w:val="18"/>
              </w:rPr>
              <w:lastRenderedPageBreak/>
              <w:t>Ograničenja u pogledu stavljanja vina u promet</w:t>
            </w:r>
            <w:r w:rsidR="00BC4127">
              <w:rPr>
                <w:rFonts w:ascii="Arial" w:hAnsi="Arial" w:cs="Arial"/>
                <w:sz w:val="18"/>
                <w:szCs w:val="18"/>
              </w:rPr>
              <w:t>:</w:t>
            </w:r>
          </w:p>
          <w:p w14:paraId="094C77D9" w14:textId="1E0813FE" w:rsidR="00B8700A" w:rsidRPr="008D1092" w:rsidRDefault="00B8700A" w:rsidP="00BC4127">
            <w:pPr>
              <w:spacing w:after="120" w:line="276" w:lineRule="auto"/>
              <w:ind w:right="5"/>
              <w:jc w:val="both"/>
              <w:rPr>
                <w:rFonts w:ascii="Arial" w:hAnsi="Arial" w:cs="Arial"/>
                <w:sz w:val="18"/>
                <w:szCs w:val="18"/>
              </w:rPr>
            </w:pPr>
            <w:r w:rsidRPr="008D1092">
              <w:rPr>
                <w:rFonts w:ascii="Arial" w:hAnsi="Arial" w:cs="Arial"/>
                <w:sz w:val="18"/>
                <w:szCs w:val="18"/>
              </w:rPr>
              <w:t xml:space="preserve">Vino sa zaštićenom oznakom porijekla, proizvedeno primjenom postupka „odležano u drvenom buretu“, „barik“ ili „barrique“, može se staviti u promet najranije </w:t>
            </w:r>
            <w:r w:rsidR="00BC4127">
              <w:rPr>
                <w:rFonts w:ascii="Arial" w:hAnsi="Arial" w:cs="Arial"/>
                <w:sz w:val="18"/>
                <w:szCs w:val="18"/>
              </w:rPr>
              <w:t>0</w:t>
            </w:r>
            <w:r w:rsidRPr="008D1092">
              <w:rPr>
                <w:rFonts w:ascii="Arial" w:hAnsi="Arial" w:cs="Arial"/>
                <w:sz w:val="18"/>
                <w:szCs w:val="18"/>
              </w:rPr>
              <w:t>1. aprila druge godine nakon godine berbe.</w:t>
            </w:r>
          </w:p>
        </w:tc>
      </w:tr>
      <w:tr w:rsidR="00B8700A" w:rsidRPr="008D1092" w14:paraId="1DA1DD74" w14:textId="77777777" w:rsidTr="00BC4127">
        <w:trPr>
          <w:trHeight w:val="41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B8700A" w:rsidRPr="008D1092" w:rsidRDefault="00B8700A" w:rsidP="00BC4127">
            <w:pPr>
              <w:spacing w:before="120" w:after="120" w:line="276" w:lineRule="auto"/>
              <w:rPr>
                <w:rFonts w:ascii="Arial" w:hAnsi="Arial" w:cs="Arial"/>
                <w:b/>
                <w:sz w:val="18"/>
                <w:szCs w:val="18"/>
              </w:rPr>
            </w:pPr>
            <w:r w:rsidRPr="008D1092">
              <w:rPr>
                <w:b/>
                <w:sz w:val="18"/>
                <w:szCs w:val="20"/>
              </w:rPr>
              <w:lastRenderedPageBreak/>
              <w:t>Upućivanje na objavu Specifikacije proizvoda</w:t>
            </w:r>
          </w:p>
        </w:tc>
        <w:tc>
          <w:tcPr>
            <w:tcW w:w="5789" w:type="dxa"/>
            <w:tcBorders>
              <w:top w:val="single" w:sz="4" w:space="0" w:color="auto"/>
              <w:left w:val="single" w:sz="4" w:space="0" w:color="auto"/>
              <w:bottom w:val="single" w:sz="4" w:space="0" w:color="auto"/>
              <w:right w:val="single" w:sz="4" w:space="0" w:color="auto"/>
            </w:tcBorders>
            <w:vAlign w:val="center"/>
          </w:tcPr>
          <w:p w14:paraId="663BC282" w14:textId="77777777" w:rsidR="00B8700A" w:rsidRPr="008D1092" w:rsidRDefault="00BF1531" w:rsidP="00BC4127">
            <w:pPr>
              <w:spacing w:before="120" w:after="120" w:line="276" w:lineRule="auto"/>
              <w:rPr>
                <w:rFonts w:ascii="Arial" w:hAnsi="Arial" w:cs="Arial"/>
                <w:sz w:val="18"/>
                <w:szCs w:val="18"/>
              </w:rPr>
            </w:pPr>
            <w:hyperlink r:id="rId7" w:history="1">
              <w:r w:rsidR="00B8700A" w:rsidRPr="008D1092">
                <w:rPr>
                  <w:rFonts w:ascii="Arial" w:eastAsia="Times New Roman" w:hAnsi="Arial" w:cs="Arial"/>
                  <w:sz w:val="18"/>
                  <w:szCs w:val="18"/>
                  <w:u w:val="single"/>
                </w:rPr>
                <w:t>www.minpolj.gov.me</w:t>
              </w:r>
            </w:hyperlink>
          </w:p>
        </w:tc>
      </w:tr>
    </w:tbl>
    <w:p w14:paraId="65B97804" w14:textId="77777777" w:rsidR="00641AB6" w:rsidRPr="00E20D8C" w:rsidRDefault="00641AB6" w:rsidP="00641AB6">
      <w:pPr>
        <w:jc w:val="right"/>
        <w:rPr>
          <w:rFonts w:asciiTheme="minorHAnsi" w:eastAsia="Times New Roman" w:hAnsiTheme="minorHAnsi" w:cs="Helvetica"/>
          <w:b/>
          <w:bCs/>
          <w:noProof w:val="0"/>
          <w:color w:val="FF0000"/>
          <w:sz w:val="20"/>
          <w:szCs w:val="20"/>
        </w:rPr>
      </w:pPr>
    </w:p>
    <w:p w14:paraId="173E193B" w14:textId="77777777" w:rsidR="00337024" w:rsidRPr="00E20D8C" w:rsidRDefault="00337024" w:rsidP="003F010B">
      <w:pPr>
        <w:spacing w:after="200" w:line="276" w:lineRule="auto"/>
        <w:rPr>
          <w:color w:val="FF0000"/>
        </w:rPr>
      </w:pPr>
    </w:p>
    <w:sectPr w:rsidR="00337024" w:rsidRPr="00E20D8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70B11" w14:textId="77777777" w:rsidR="00BF1531" w:rsidRDefault="00BF1531" w:rsidP="00B06A99">
      <w:r>
        <w:separator/>
      </w:r>
    </w:p>
  </w:endnote>
  <w:endnote w:type="continuationSeparator" w:id="0">
    <w:p w14:paraId="1B569450" w14:textId="77777777" w:rsidR="00BF1531" w:rsidRDefault="00BF1531"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AA7CB" w14:textId="77777777" w:rsidR="00BF1531" w:rsidRDefault="00BF1531" w:rsidP="00B06A99">
      <w:r>
        <w:separator/>
      </w:r>
    </w:p>
  </w:footnote>
  <w:footnote w:type="continuationSeparator" w:id="0">
    <w:p w14:paraId="7D913171" w14:textId="77777777" w:rsidR="00BF1531" w:rsidRDefault="00BF1531"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4"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6"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7"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8"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0"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1"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5"/>
  </w:num>
  <w:num w:numId="3">
    <w:abstractNumId w:val="11"/>
  </w:num>
  <w:num w:numId="4">
    <w:abstractNumId w:val="6"/>
  </w:num>
  <w:num w:numId="5">
    <w:abstractNumId w:val="3"/>
  </w:num>
  <w:num w:numId="6">
    <w:abstractNumId w:val="2"/>
  </w:num>
  <w:num w:numId="7">
    <w:abstractNumId w:val="7"/>
  </w:num>
  <w:num w:numId="8">
    <w:abstractNumId w:val="9"/>
  </w:num>
  <w:num w:numId="9">
    <w:abstractNumId w:val="10"/>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301C3"/>
    <w:rsid w:val="000378D7"/>
    <w:rsid w:val="00037970"/>
    <w:rsid w:val="00041F4D"/>
    <w:rsid w:val="00045B54"/>
    <w:rsid w:val="00053739"/>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3233E"/>
    <w:rsid w:val="00141A66"/>
    <w:rsid w:val="001428C5"/>
    <w:rsid w:val="00145B99"/>
    <w:rsid w:val="00164D06"/>
    <w:rsid w:val="001849F8"/>
    <w:rsid w:val="00186242"/>
    <w:rsid w:val="001A6A60"/>
    <w:rsid w:val="001B4182"/>
    <w:rsid w:val="001B44C7"/>
    <w:rsid w:val="001D13D5"/>
    <w:rsid w:val="00202706"/>
    <w:rsid w:val="00214AC9"/>
    <w:rsid w:val="00223CAF"/>
    <w:rsid w:val="0022513E"/>
    <w:rsid w:val="00226518"/>
    <w:rsid w:val="00230A93"/>
    <w:rsid w:val="00230DA3"/>
    <w:rsid w:val="00232DFC"/>
    <w:rsid w:val="002363DF"/>
    <w:rsid w:val="00257CFF"/>
    <w:rsid w:val="00261412"/>
    <w:rsid w:val="002750F0"/>
    <w:rsid w:val="00280611"/>
    <w:rsid w:val="00281F37"/>
    <w:rsid w:val="00285F4C"/>
    <w:rsid w:val="002953A3"/>
    <w:rsid w:val="002C0631"/>
    <w:rsid w:val="002C5E0C"/>
    <w:rsid w:val="002E1212"/>
    <w:rsid w:val="002E2F1F"/>
    <w:rsid w:val="002E74D4"/>
    <w:rsid w:val="00307DB0"/>
    <w:rsid w:val="00312A56"/>
    <w:rsid w:val="00330FA1"/>
    <w:rsid w:val="00337024"/>
    <w:rsid w:val="003561C5"/>
    <w:rsid w:val="00367A6B"/>
    <w:rsid w:val="00377759"/>
    <w:rsid w:val="003812EB"/>
    <w:rsid w:val="00382008"/>
    <w:rsid w:val="00383F24"/>
    <w:rsid w:val="003870A5"/>
    <w:rsid w:val="00392970"/>
    <w:rsid w:val="00393884"/>
    <w:rsid w:val="003A5F21"/>
    <w:rsid w:val="003B6C8B"/>
    <w:rsid w:val="003D7428"/>
    <w:rsid w:val="003E46DE"/>
    <w:rsid w:val="003E626F"/>
    <w:rsid w:val="003F010B"/>
    <w:rsid w:val="003F60F0"/>
    <w:rsid w:val="003F6B91"/>
    <w:rsid w:val="00400799"/>
    <w:rsid w:val="00400E5B"/>
    <w:rsid w:val="00404D34"/>
    <w:rsid w:val="004228A1"/>
    <w:rsid w:val="00427F3F"/>
    <w:rsid w:val="00431C1B"/>
    <w:rsid w:val="004516EB"/>
    <w:rsid w:val="00462334"/>
    <w:rsid w:val="004648D4"/>
    <w:rsid w:val="00471B96"/>
    <w:rsid w:val="00476092"/>
    <w:rsid w:val="00483446"/>
    <w:rsid w:val="00483A73"/>
    <w:rsid w:val="00490B0D"/>
    <w:rsid w:val="004960DC"/>
    <w:rsid w:val="00497ECD"/>
    <w:rsid w:val="004A10E8"/>
    <w:rsid w:val="004A4E39"/>
    <w:rsid w:val="004A6E17"/>
    <w:rsid w:val="004B0861"/>
    <w:rsid w:val="004B2E77"/>
    <w:rsid w:val="004B6A7F"/>
    <w:rsid w:val="004C3F70"/>
    <w:rsid w:val="004D4DB7"/>
    <w:rsid w:val="004F40F3"/>
    <w:rsid w:val="004F6CD7"/>
    <w:rsid w:val="004F6DBB"/>
    <w:rsid w:val="00501553"/>
    <w:rsid w:val="005069A2"/>
    <w:rsid w:val="00513FF2"/>
    <w:rsid w:val="005213E5"/>
    <w:rsid w:val="00567EAA"/>
    <w:rsid w:val="005779A7"/>
    <w:rsid w:val="005832BE"/>
    <w:rsid w:val="00597162"/>
    <w:rsid w:val="005A26AD"/>
    <w:rsid w:val="005A4EDA"/>
    <w:rsid w:val="005C48F0"/>
    <w:rsid w:val="005D1E0E"/>
    <w:rsid w:val="005D206E"/>
    <w:rsid w:val="00600B52"/>
    <w:rsid w:val="00606318"/>
    <w:rsid w:val="00622A00"/>
    <w:rsid w:val="00641AB6"/>
    <w:rsid w:val="006624A4"/>
    <w:rsid w:val="00675B9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521E6"/>
    <w:rsid w:val="0075761D"/>
    <w:rsid w:val="0075775A"/>
    <w:rsid w:val="0076165C"/>
    <w:rsid w:val="00776D85"/>
    <w:rsid w:val="00780441"/>
    <w:rsid w:val="0078235E"/>
    <w:rsid w:val="00785F89"/>
    <w:rsid w:val="007C3EC9"/>
    <w:rsid w:val="007E6251"/>
    <w:rsid w:val="007E739D"/>
    <w:rsid w:val="007F5189"/>
    <w:rsid w:val="0081246F"/>
    <w:rsid w:val="00827248"/>
    <w:rsid w:val="00830C81"/>
    <w:rsid w:val="0086292F"/>
    <w:rsid w:val="00863D0B"/>
    <w:rsid w:val="008660DA"/>
    <w:rsid w:val="008B656A"/>
    <w:rsid w:val="008C6912"/>
    <w:rsid w:val="008D1092"/>
    <w:rsid w:val="008D10B4"/>
    <w:rsid w:val="008D6A9A"/>
    <w:rsid w:val="008D7E4B"/>
    <w:rsid w:val="008E400B"/>
    <w:rsid w:val="008E75AA"/>
    <w:rsid w:val="008F28A5"/>
    <w:rsid w:val="008F2D36"/>
    <w:rsid w:val="008F4B88"/>
    <w:rsid w:val="008F69A6"/>
    <w:rsid w:val="00900EC0"/>
    <w:rsid w:val="00903BA5"/>
    <w:rsid w:val="00907AAF"/>
    <w:rsid w:val="00910EBA"/>
    <w:rsid w:val="00911233"/>
    <w:rsid w:val="00911336"/>
    <w:rsid w:val="00912749"/>
    <w:rsid w:val="00922CE0"/>
    <w:rsid w:val="009275AE"/>
    <w:rsid w:val="00936BDC"/>
    <w:rsid w:val="0095498C"/>
    <w:rsid w:val="00954BFD"/>
    <w:rsid w:val="0096016A"/>
    <w:rsid w:val="009768F2"/>
    <w:rsid w:val="00990FD8"/>
    <w:rsid w:val="00994D48"/>
    <w:rsid w:val="009B199E"/>
    <w:rsid w:val="009D794A"/>
    <w:rsid w:val="009F1D73"/>
    <w:rsid w:val="00A00406"/>
    <w:rsid w:val="00A02835"/>
    <w:rsid w:val="00A0404F"/>
    <w:rsid w:val="00A30024"/>
    <w:rsid w:val="00A5242A"/>
    <w:rsid w:val="00A527E8"/>
    <w:rsid w:val="00A5515D"/>
    <w:rsid w:val="00A60B4F"/>
    <w:rsid w:val="00A649F6"/>
    <w:rsid w:val="00A77707"/>
    <w:rsid w:val="00AA59F8"/>
    <w:rsid w:val="00AB649D"/>
    <w:rsid w:val="00AC3163"/>
    <w:rsid w:val="00AC5BC7"/>
    <w:rsid w:val="00AC5FD4"/>
    <w:rsid w:val="00AC63BE"/>
    <w:rsid w:val="00AF5BA2"/>
    <w:rsid w:val="00B06A99"/>
    <w:rsid w:val="00B1262E"/>
    <w:rsid w:val="00B1265F"/>
    <w:rsid w:val="00B16B81"/>
    <w:rsid w:val="00B20269"/>
    <w:rsid w:val="00B26BA6"/>
    <w:rsid w:val="00B26DE1"/>
    <w:rsid w:val="00B301F6"/>
    <w:rsid w:val="00B34C60"/>
    <w:rsid w:val="00B40337"/>
    <w:rsid w:val="00B42B2B"/>
    <w:rsid w:val="00B52AA2"/>
    <w:rsid w:val="00B6512B"/>
    <w:rsid w:val="00B83361"/>
    <w:rsid w:val="00B845A2"/>
    <w:rsid w:val="00B8700A"/>
    <w:rsid w:val="00B97DC5"/>
    <w:rsid w:val="00BA5D51"/>
    <w:rsid w:val="00BC37B2"/>
    <w:rsid w:val="00BC4127"/>
    <w:rsid w:val="00BC4384"/>
    <w:rsid w:val="00BC4AFF"/>
    <w:rsid w:val="00BF1531"/>
    <w:rsid w:val="00C000F1"/>
    <w:rsid w:val="00C1791A"/>
    <w:rsid w:val="00C22D12"/>
    <w:rsid w:val="00C25E42"/>
    <w:rsid w:val="00C47BC4"/>
    <w:rsid w:val="00C571B0"/>
    <w:rsid w:val="00C63D44"/>
    <w:rsid w:val="00C64EEA"/>
    <w:rsid w:val="00C81815"/>
    <w:rsid w:val="00C93596"/>
    <w:rsid w:val="00C96D2E"/>
    <w:rsid w:val="00CA168E"/>
    <w:rsid w:val="00CB1192"/>
    <w:rsid w:val="00CB2744"/>
    <w:rsid w:val="00CB59CC"/>
    <w:rsid w:val="00CC5A72"/>
    <w:rsid w:val="00CC6531"/>
    <w:rsid w:val="00D07CA1"/>
    <w:rsid w:val="00D07EA1"/>
    <w:rsid w:val="00D252B1"/>
    <w:rsid w:val="00D27F17"/>
    <w:rsid w:val="00D32E21"/>
    <w:rsid w:val="00D354A1"/>
    <w:rsid w:val="00D367A2"/>
    <w:rsid w:val="00D452E0"/>
    <w:rsid w:val="00D53B8E"/>
    <w:rsid w:val="00D60366"/>
    <w:rsid w:val="00D75A45"/>
    <w:rsid w:val="00D81F7F"/>
    <w:rsid w:val="00D84D9F"/>
    <w:rsid w:val="00D94E80"/>
    <w:rsid w:val="00DA59A0"/>
    <w:rsid w:val="00DB11CE"/>
    <w:rsid w:val="00DC2FBC"/>
    <w:rsid w:val="00DF5DC9"/>
    <w:rsid w:val="00E20D8C"/>
    <w:rsid w:val="00E31924"/>
    <w:rsid w:val="00E4250A"/>
    <w:rsid w:val="00E461AD"/>
    <w:rsid w:val="00E6046F"/>
    <w:rsid w:val="00E615E9"/>
    <w:rsid w:val="00E66BB2"/>
    <w:rsid w:val="00E90A25"/>
    <w:rsid w:val="00EB1F2B"/>
    <w:rsid w:val="00EB51DA"/>
    <w:rsid w:val="00EC166D"/>
    <w:rsid w:val="00ED1952"/>
    <w:rsid w:val="00EE78F7"/>
    <w:rsid w:val="00EF0D57"/>
    <w:rsid w:val="00F1300C"/>
    <w:rsid w:val="00F23A11"/>
    <w:rsid w:val="00F23FC1"/>
    <w:rsid w:val="00F26FBD"/>
    <w:rsid w:val="00F356D1"/>
    <w:rsid w:val="00F45227"/>
    <w:rsid w:val="00F467F8"/>
    <w:rsid w:val="00F618FD"/>
    <w:rsid w:val="00F61C56"/>
    <w:rsid w:val="00F62BC2"/>
    <w:rsid w:val="00F7622F"/>
    <w:rsid w:val="00F91A2F"/>
    <w:rsid w:val="00F941C3"/>
    <w:rsid w:val="00F95F40"/>
    <w:rsid w:val="00FA53DF"/>
    <w:rsid w:val="00FB26CE"/>
    <w:rsid w:val="00FB721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semiHidden/>
    <w:unhideWhenUsed/>
    <w:rsid w:val="00A0404F"/>
    <w:pPr>
      <w:spacing w:before="100" w:beforeAutospacing="1" w:after="100" w:afterAutospacing="1"/>
    </w:pPr>
    <w:rPr>
      <w:rFonts w:eastAsia="Times New Roman"/>
      <w:noProof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56326">
      <w:bodyDiv w:val="1"/>
      <w:marLeft w:val="0"/>
      <w:marRight w:val="0"/>
      <w:marTop w:val="0"/>
      <w:marBottom w:val="0"/>
      <w:divBdr>
        <w:top w:val="none" w:sz="0" w:space="0" w:color="auto"/>
        <w:left w:val="none" w:sz="0" w:space="0" w:color="auto"/>
        <w:bottom w:val="none" w:sz="0" w:space="0" w:color="auto"/>
        <w:right w:val="none" w:sz="0" w:space="0" w:color="auto"/>
      </w:divBdr>
    </w:div>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231935948">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416513088">
      <w:bodyDiv w:val="1"/>
      <w:marLeft w:val="0"/>
      <w:marRight w:val="0"/>
      <w:marTop w:val="0"/>
      <w:marBottom w:val="0"/>
      <w:divBdr>
        <w:top w:val="none" w:sz="0" w:space="0" w:color="auto"/>
        <w:left w:val="none" w:sz="0" w:space="0" w:color="auto"/>
        <w:bottom w:val="none" w:sz="0" w:space="0" w:color="auto"/>
        <w:right w:val="none" w:sz="0" w:space="0" w:color="auto"/>
      </w:divBdr>
    </w:div>
    <w:div w:id="450899767">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607740816">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777557052">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 w:id="213728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2841</Words>
  <Characters>16198</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25</cp:revision>
  <cp:lastPrinted>2026-07-28T17:29:00Z</cp:lastPrinted>
  <dcterms:created xsi:type="dcterms:W3CDTF">2026-06-11T11:04:00Z</dcterms:created>
  <dcterms:modified xsi:type="dcterms:W3CDTF">2026-09-16T11:21:00Z</dcterms:modified>
</cp:coreProperties>
</file>