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3D" w:rsidRDefault="00B2109F" w:rsidP="00122BCB">
      <w:pPr>
        <w:jc w:val="center"/>
        <w:rPr>
          <w:rFonts w:ascii="Arial" w:hAnsi="Arial" w:cs="Arial"/>
          <w:sz w:val="28"/>
          <w:szCs w:val="28"/>
        </w:rPr>
      </w:pPr>
      <w:bookmarkStart w:id="0" w:name="_GoBack"/>
      <w:bookmarkEnd w:id="0"/>
      <w:r w:rsidRPr="00C723A0">
        <w:rPr>
          <w:rFonts w:ascii="Arial" w:hAnsi="Arial" w:cs="Arial"/>
          <w:noProof/>
          <w:sz w:val="28"/>
          <w:szCs w:val="28"/>
          <w:lang w:val="sr-Latn-RS" w:eastAsia="sr-Latn-RS"/>
        </w:rPr>
        <w:drawing>
          <wp:inline distT="0" distB="0" distL="0" distR="0">
            <wp:extent cx="756285" cy="8477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847725"/>
                    </a:xfrm>
                    <a:prstGeom prst="rect">
                      <a:avLst/>
                    </a:prstGeom>
                    <a:noFill/>
                  </pic:spPr>
                </pic:pic>
              </a:graphicData>
            </a:graphic>
          </wp:inline>
        </w:drawing>
      </w:r>
    </w:p>
    <w:p w:rsidR="00122BCB" w:rsidRPr="00122BCB" w:rsidRDefault="00122BCB" w:rsidP="00122BCB">
      <w:pPr>
        <w:jc w:val="center"/>
        <w:rPr>
          <w:rFonts w:ascii="Arial" w:hAnsi="Arial" w:cs="Arial"/>
          <w:b/>
          <w:sz w:val="20"/>
          <w:szCs w:val="20"/>
        </w:rPr>
      </w:pPr>
      <w:r w:rsidRPr="00122BCB">
        <w:rPr>
          <w:rFonts w:ascii="Arial" w:hAnsi="Arial" w:cs="Arial"/>
          <w:b/>
          <w:sz w:val="20"/>
          <w:szCs w:val="20"/>
        </w:rPr>
        <w:t>CRNA GORA</w:t>
      </w:r>
    </w:p>
    <w:p w:rsidR="00F57EE9" w:rsidRPr="00122BCB" w:rsidRDefault="005F28BB" w:rsidP="00122BCB">
      <w:pPr>
        <w:pStyle w:val="Header"/>
        <w:jc w:val="center"/>
        <w:rPr>
          <w:rFonts w:ascii="Arial" w:hAnsi="Arial" w:cs="Arial"/>
          <w:b/>
        </w:rPr>
      </w:pPr>
      <w:r w:rsidRPr="00122BCB">
        <w:rPr>
          <w:rFonts w:ascii="Arial" w:hAnsi="Arial" w:cs="Arial"/>
          <w:b/>
        </w:rPr>
        <w:t>MINISTARSTVO</w:t>
      </w:r>
      <w:r w:rsidR="00122BCB" w:rsidRPr="00122BCB">
        <w:rPr>
          <w:rFonts w:ascii="Arial" w:hAnsi="Arial" w:cs="Arial"/>
          <w:b/>
        </w:rPr>
        <w:t xml:space="preserve"> ODBRANE</w:t>
      </w:r>
    </w:p>
    <w:p w:rsidR="00F57EE9" w:rsidRPr="00122BCB" w:rsidRDefault="00F57EE9" w:rsidP="00F57EE9">
      <w:pPr>
        <w:rPr>
          <w:rFonts w:ascii="Arial" w:eastAsia="Calibri" w:hAnsi="Arial" w:cs="Arial"/>
          <w:b/>
          <w:sz w:val="20"/>
          <w:szCs w:val="20"/>
          <w:lang w:eastAsia="en-US"/>
        </w:rPr>
      </w:pPr>
      <w:r w:rsidRPr="00122BCB">
        <w:rPr>
          <w:rFonts w:ascii="Arial" w:eastAsia="Calibri" w:hAnsi="Arial" w:cs="Arial"/>
          <w:b/>
          <w:sz w:val="20"/>
          <w:szCs w:val="20"/>
          <w:lang w:eastAsia="en-US"/>
        </w:rPr>
        <w:t xml:space="preserve">Broj: </w:t>
      </w:r>
      <w:r w:rsidR="00543FE8">
        <w:rPr>
          <w:rFonts w:ascii="Arial" w:eastAsia="Calibri" w:hAnsi="Arial" w:cs="Arial"/>
          <w:b/>
          <w:sz w:val="20"/>
          <w:szCs w:val="20"/>
          <w:lang w:eastAsia="en-US"/>
        </w:rPr>
        <w:t>80601-</w:t>
      </w:r>
    </w:p>
    <w:p w:rsidR="00F57EE9" w:rsidRPr="00122BCB" w:rsidRDefault="00543FE8" w:rsidP="00F57EE9">
      <w:pPr>
        <w:spacing w:after="120"/>
        <w:rPr>
          <w:rFonts w:ascii="Arial" w:eastAsia="Calibri" w:hAnsi="Arial" w:cs="Arial"/>
          <w:b/>
          <w:sz w:val="20"/>
          <w:szCs w:val="20"/>
          <w:lang w:eastAsia="en-US"/>
        </w:rPr>
      </w:pPr>
      <w:r>
        <w:rPr>
          <w:rFonts w:ascii="Arial" w:eastAsia="Calibri" w:hAnsi="Arial" w:cs="Arial"/>
          <w:b/>
          <w:sz w:val="20"/>
          <w:szCs w:val="20"/>
          <w:lang w:eastAsia="en-US"/>
        </w:rPr>
        <w:t>Podgorica, _____________</w:t>
      </w:r>
    </w:p>
    <w:p w:rsidR="00FD723D" w:rsidRPr="00C723A0" w:rsidRDefault="00FD723D" w:rsidP="00FD723D">
      <w:pPr>
        <w:pStyle w:val="Header"/>
        <w:jc w:val="center"/>
        <w:rPr>
          <w:rFonts w:ascii="Arial" w:hAnsi="Arial" w:cs="Arial"/>
          <w:b/>
          <w:sz w:val="28"/>
          <w:szCs w:val="28"/>
        </w:rPr>
      </w:pPr>
      <w:r w:rsidRPr="00C723A0">
        <w:rPr>
          <w:rFonts w:ascii="Arial" w:hAnsi="Arial" w:cs="Arial"/>
          <w:b/>
          <w:sz w:val="28"/>
          <w:szCs w:val="28"/>
        </w:rPr>
        <w:t>S E K T O R S K A   A N A L I Z A</w:t>
      </w:r>
    </w:p>
    <w:p w:rsidR="00FD723D" w:rsidRPr="00C723A0" w:rsidRDefault="00FD723D" w:rsidP="00FD723D">
      <w:pPr>
        <w:pStyle w:val="Header"/>
        <w:jc w:val="center"/>
        <w:rPr>
          <w:rFonts w:ascii="Arial" w:hAnsi="Arial" w:cs="Arial"/>
          <w:b/>
          <w:sz w:val="24"/>
          <w:szCs w:val="24"/>
        </w:rPr>
      </w:pPr>
      <w:r w:rsidRPr="00C723A0">
        <w:rPr>
          <w:rFonts w:ascii="Arial" w:hAnsi="Arial" w:cs="Arial"/>
          <w:b/>
          <w:sz w:val="24"/>
          <w:szCs w:val="24"/>
        </w:rPr>
        <w:t xml:space="preserve">za utvrđivanje </w:t>
      </w:r>
      <w:r w:rsidR="00C064D2" w:rsidRPr="00C723A0">
        <w:rPr>
          <w:rFonts w:ascii="Arial" w:hAnsi="Arial" w:cs="Arial"/>
          <w:b/>
          <w:sz w:val="24"/>
          <w:szCs w:val="24"/>
        </w:rPr>
        <w:t xml:space="preserve">predloga </w:t>
      </w:r>
      <w:r w:rsidRPr="00C723A0">
        <w:rPr>
          <w:rFonts w:ascii="Arial" w:hAnsi="Arial" w:cs="Arial"/>
          <w:b/>
          <w:sz w:val="24"/>
          <w:szCs w:val="24"/>
        </w:rPr>
        <w:t xml:space="preserve">prioritetnih oblasti od javnog interesa i potrebnih sredstava </w:t>
      </w:r>
    </w:p>
    <w:p w:rsidR="00FD723D" w:rsidRPr="00C723A0" w:rsidRDefault="00FD723D" w:rsidP="00FD723D">
      <w:pPr>
        <w:pStyle w:val="Header"/>
        <w:jc w:val="center"/>
        <w:rPr>
          <w:rFonts w:ascii="Arial" w:hAnsi="Arial" w:cs="Arial"/>
          <w:b/>
          <w:sz w:val="24"/>
          <w:szCs w:val="24"/>
        </w:rPr>
      </w:pPr>
      <w:r w:rsidRPr="00C723A0">
        <w:rPr>
          <w:rFonts w:ascii="Arial" w:hAnsi="Arial" w:cs="Arial"/>
          <w:b/>
          <w:sz w:val="24"/>
          <w:szCs w:val="24"/>
        </w:rPr>
        <w:t xml:space="preserve"> za finansiranje projekata i programa nevladinih organizacija</w:t>
      </w:r>
    </w:p>
    <w:p w:rsidR="00FD723D" w:rsidRPr="00C723A0" w:rsidRDefault="00543FE8" w:rsidP="00FD723D">
      <w:pPr>
        <w:pStyle w:val="Header"/>
        <w:jc w:val="center"/>
        <w:rPr>
          <w:rFonts w:ascii="Arial" w:hAnsi="Arial" w:cs="Arial"/>
          <w:b/>
          <w:sz w:val="24"/>
          <w:szCs w:val="24"/>
        </w:rPr>
      </w:pPr>
      <w:r>
        <w:rPr>
          <w:rFonts w:ascii="Arial" w:hAnsi="Arial" w:cs="Arial"/>
          <w:b/>
          <w:sz w:val="24"/>
          <w:szCs w:val="24"/>
        </w:rPr>
        <w:t xml:space="preserve"> iz državnog budžeta u 2019</w:t>
      </w:r>
      <w:r w:rsidR="00FD723D" w:rsidRPr="00C723A0">
        <w:rPr>
          <w:rFonts w:ascii="Arial" w:hAnsi="Arial" w:cs="Arial"/>
          <w:b/>
          <w:sz w:val="24"/>
          <w:szCs w:val="24"/>
        </w:rPr>
        <w:t xml:space="preserve">. godini </w:t>
      </w:r>
    </w:p>
    <w:p w:rsidR="00FD723D" w:rsidRPr="00C723A0" w:rsidRDefault="00FD723D" w:rsidP="00FD723D">
      <w:pPr>
        <w:pStyle w:val="Header"/>
        <w:jc w:val="center"/>
        <w:rPr>
          <w:rFonts w:ascii="Arial" w:hAnsi="Arial" w:cs="Arial"/>
          <w:b/>
          <w:sz w:val="24"/>
          <w:szCs w:val="24"/>
        </w:rPr>
      </w:pPr>
    </w:p>
    <w:p w:rsidR="00997CD3" w:rsidRPr="00C723A0"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C723A0">
        <w:rPr>
          <w:rFonts w:ascii="Arial" w:hAnsi="Arial" w:cs="Arial"/>
          <w:b/>
          <w:i/>
          <w:iCs/>
          <w:sz w:val="22"/>
          <w:szCs w:val="22"/>
        </w:rPr>
        <w:t xml:space="preserve">Sektorska analiza </w:t>
      </w:r>
      <w:r w:rsidR="00142C39" w:rsidRPr="00C723A0">
        <w:rPr>
          <w:rFonts w:ascii="Arial" w:hAnsi="Arial" w:cs="Arial"/>
          <w:b/>
          <w:i/>
          <w:iCs/>
          <w:sz w:val="22"/>
          <w:szCs w:val="22"/>
        </w:rPr>
        <w:t>se</w:t>
      </w:r>
      <w:r w:rsidR="003858C3" w:rsidRPr="00C723A0">
        <w:rPr>
          <w:rFonts w:ascii="Arial" w:hAnsi="Arial" w:cs="Arial"/>
          <w:b/>
          <w:i/>
          <w:iCs/>
          <w:sz w:val="22"/>
          <w:szCs w:val="22"/>
        </w:rPr>
        <w:t xml:space="preserve"> </w:t>
      </w:r>
      <w:r w:rsidRPr="00C723A0">
        <w:rPr>
          <w:rFonts w:ascii="Arial" w:hAnsi="Arial" w:cs="Arial"/>
          <w:b/>
          <w:i/>
          <w:iCs/>
          <w:sz w:val="22"/>
          <w:szCs w:val="22"/>
        </w:rPr>
        <w:t xml:space="preserve">sačinjava </w:t>
      </w:r>
      <w:r w:rsidRPr="00C723A0">
        <w:rPr>
          <w:rFonts w:ascii="Arial" w:hAnsi="Arial" w:cs="Arial"/>
          <w:b/>
          <w:i/>
          <w:sz w:val="22"/>
          <w:szCs w:val="22"/>
        </w:rPr>
        <w:t>na osnovu strateških i planskih dokumenata</w:t>
      </w:r>
      <w:r w:rsidR="00B44DAE" w:rsidRPr="00C723A0">
        <w:rPr>
          <w:rFonts w:ascii="Arial" w:hAnsi="Arial" w:cs="Arial"/>
          <w:b/>
          <w:i/>
          <w:sz w:val="22"/>
          <w:szCs w:val="22"/>
        </w:rPr>
        <w:t xml:space="preserve"> odnosno propisa</w:t>
      </w:r>
      <w:r w:rsidRPr="00C723A0">
        <w:rPr>
          <w:rFonts w:ascii="Arial" w:hAnsi="Arial" w:cs="Arial"/>
          <w:b/>
          <w:i/>
          <w:sz w:val="22"/>
          <w:szCs w:val="22"/>
        </w:rPr>
        <w:t xml:space="preserve"> u odg</w:t>
      </w:r>
      <w:r w:rsidR="00F14FAD" w:rsidRPr="00C723A0">
        <w:rPr>
          <w:rFonts w:ascii="Arial" w:hAnsi="Arial" w:cs="Arial"/>
          <w:b/>
          <w:i/>
          <w:sz w:val="22"/>
          <w:szCs w:val="22"/>
        </w:rPr>
        <w:t>ovarajućoj oblasti od javnog in</w:t>
      </w:r>
      <w:r w:rsidRPr="00C723A0">
        <w:rPr>
          <w:rFonts w:ascii="Arial" w:hAnsi="Arial" w:cs="Arial"/>
          <w:b/>
          <w:i/>
          <w:sz w:val="22"/>
          <w:szCs w:val="22"/>
        </w:rPr>
        <w:t>teresa uz konsultacije sa zain</w:t>
      </w:r>
      <w:r w:rsidR="003C53C0" w:rsidRPr="00C723A0">
        <w:rPr>
          <w:rFonts w:ascii="Arial" w:hAnsi="Arial" w:cs="Arial"/>
          <w:b/>
          <w:i/>
          <w:sz w:val="22"/>
          <w:szCs w:val="22"/>
        </w:rPr>
        <w:t>teresovanim nevladinim organiza</w:t>
      </w:r>
      <w:r w:rsidRPr="00C723A0">
        <w:rPr>
          <w:rFonts w:ascii="Arial" w:hAnsi="Arial" w:cs="Arial"/>
          <w:b/>
          <w:i/>
          <w:sz w:val="22"/>
          <w:szCs w:val="22"/>
        </w:rPr>
        <w:t>c</w:t>
      </w:r>
      <w:r w:rsidR="003C53C0" w:rsidRPr="00C723A0">
        <w:rPr>
          <w:rFonts w:ascii="Arial" w:hAnsi="Arial" w:cs="Arial"/>
          <w:b/>
          <w:i/>
          <w:sz w:val="22"/>
          <w:szCs w:val="22"/>
        </w:rPr>
        <w:t>i</w:t>
      </w:r>
      <w:r w:rsidRPr="00C723A0">
        <w:rPr>
          <w:rFonts w:ascii="Arial" w:hAnsi="Arial" w:cs="Arial"/>
          <w:b/>
          <w:i/>
          <w:sz w:val="22"/>
          <w:szCs w:val="22"/>
        </w:rPr>
        <w:t xml:space="preserve">jama, </w:t>
      </w:r>
      <w:r w:rsidRPr="00C723A0">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C723A0">
        <w:rPr>
          <w:rFonts w:ascii="Arial" w:hAnsi="Arial" w:cs="Arial"/>
          <w:b/>
          <w:i/>
          <w:iCs/>
          <w:sz w:val="22"/>
          <w:szCs w:val="22"/>
        </w:rPr>
        <w:t>,</w:t>
      </w:r>
      <w:r w:rsidRPr="00C723A0">
        <w:rPr>
          <w:rFonts w:ascii="Arial" w:hAnsi="Arial" w:cs="Arial"/>
          <w:b/>
          <w:i/>
          <w:sz w:val="22"/>
          <w:szCs w:val="22"/>
        </w:rPr>
        <w:t xml:space="preserve"> u skladu sa Zako</w:t>
      </w:r>
      <w:r w:rsidR="000F4836" w:rsidRPr="00C723A0">
        <w:rPr>
          <w:rFonts w:ascii="Arial" w:hAnsi="Arial" w:cs="Arial"/>
          <w:b/>
          <w:i/>
          <w:sz w:val="22"/>
          <w:szCs w:val="22"/>
        </w:rPr>
        <w:t>nom o nevladinim organizacijama.</w:t>
      </w:r>
      <w:r w:rsidR="00385831" w:rsidRPr="00C723A0">
        <w:rPr>
          <w:rFonts w:ascii="Arial" w:hAnsi="Arial" w:cs="Arial"/>
          <w:b/>
          <w:i/>
          <w:sz w:val="22"/>
          <w:szCs w:val="22"/>
        </w:rPr>
        <w:t xml:space="preserve"> </w:t>
      </w:r>
      <w:r w:rsidRPr="00C723A0">
        <w:rPr>
          <w:rFonts w:ascii="Arial" w:hAnsi="Arial" w:cs="Arial"/>
          <w:b/>
          <w:i/>
          <w:sz w:val="22"/>
          <w:szCs w:val="22"/>
        </w:rPr>
        <w:t>Sektorska analiza se priprema u tekućoj za narednu kalendarsku godinu radi blagovremenog planiranja visine sredstava koja će biti opred</w:t>
      </w:r>
      <w:r w:rsidR="002B619C" w:rsidRPr="00C723A0">
        <w:rPr>
          <w:rFonts w:ascii="Arial" w:hAnsi="Arial" w:cs="Arial"/>
          <w:b/>
          <w:i/>
          <w:sz w:val="22"/>
          <w:szCs w:val="22"/>
        </w:rPr>
        <w:t>i</w:t>
      </w:r>
      <w:r w:rsidRPr="00C723A0">
        <w:rPr>
          <w:rFonts w:ascii="Arial" w:hAnsi="Arial" w:cs="Arial"/>
          <w:b/>
          <w:i/>
          <w:sz w:val="22"/>
          <w:szCs w:val="22"/>
        </w:rPr>
        <w:t>jeljena na pozicijama ministars</w:t>
      </w:r>
      <w:r w:rsidR="000F4836" w:rsidRPr="00C723A0">
        <w:rPr>
          <w:rFonts w:ascii="Arial" w:hAnsi="Arial" w:cs="Arial"/>
          <w:b/>
          <w:i/>
          <w:sz w:val="22"/>
          <w:szCs w:val="22"/>
        </w:rPr>
        <w:t>tava nadležnih za oblasti koje V</w:t>
      </w:r>
      <w:r w:rsidRPr="00C723A0">
        <w:rPr>
          <w:rFonts w:ascii="Arial" w:hAnsi="Arial" w:cs="Arial"/>
          <w:b/>
          <w:i/>
          <w:sz w:val="22"/>
          <w:szCs w:val="22"/>
        </w:rPr>
        <w:t>lada utvrdi kao priorite</w:t>
      </w:r>
      <w:r w:rsidR="00043EAE" w:rsidRPr="00C723A0">
        <w:rPr>
          <w:rFonts w:ascii="Arial" w:hAnsi="Arial" w:cs="Arial"/>
          <w:b/>
          <w:i/>
          <w:sz w:val="22"/>
          <w:szCs w:val="22"/>
        </w:rPr>
        <w:t>t</w:t>
      </w:r>
      <w:r w:rsidRPr="00C723A0">
        <w:rPr>
          <w:rFonts w:ascii="Arial" w:hAnsi="Arial" w:cs="Arial"/>
          <w:b/>
          <w:i/>
          <w:sz w:val="22"/>
          <w:szCs w:val="22"/>
        </w:rPr>
        <w:t xml:space="preserve">ne za </w:t>
      </w:r>
      <w:r w:rsidRPr="00C723A0">
        <w:rPr>
          <w:rFonts w:ascii="Arial" w:hAnsi="Arial" w:cs="Arial"/>
          <w:b/>
          <w:i/>
          <w:iCs/>
          <w:sz w:val="22"/>
          <w:szCs w:val="22"/>
        </w:rPr>
        <w:t>finansiranje projekata i programa nevladinih organizacija</w:t>
      </w:r>
      <w:r w:rsidR="00043EAE" w:rsidRPr="00C723A0">
        <w:rPr>
          <w:rFonts w:ascii="Arial" w:hAnsi="Arial" w:cs="Arial"/>
          <w:b/>
          <w:i/>
          <w:iCs/>
          <w:sz w:val="22"/>
          <w:szCs w:val="22"/>
        </w:rPr>
        <w:t>.</w:t>
      </w:r>
      <w:r w:rsidR="00385831" w:rsidRPr="00C723A0">
        <w:rPr>
          <w:rFonts w:ascii="Arial" w:hAnsi="Arial" w:cs="Arial"/>
          <w:b/>
          <w:i/>
          <w:iCs/>
          <w:sz w:val="22"/>
          <w:szCs w:val="22"/>
        </w:rPr>
        <w:t xml:space="preserve"> </w:t>
      </w:r>
      <w:r w:rsidR="00C53162" w:rsidRPr="00C723A0">
        <w:rPr>
          <w:rFonts w:ascii="Arial" w:hAnsi="Arial" w:cs="Arial"/>
          <w:b/>
          <w:i/>
          <w:sz w:val="22"/>
          <w:szCs w:val="22"/>
        </w:rPr>
        <w:t>A</w:t>
      </w:r>
      <w:r w:rsidRPr="00C723A0">
        <w:rPr>
          <w:rFonts w:ascii="Arial" w:hAnsi="Arial" w:cs="Arial"/>
          <w:b/>
          <w:i/>
          <w:sz w:val="22"/>
          <w:szCs w:val="22"/>
        </w:rPr>
        <w:t>naliza će poslužiti i za pripremu javnih konkursa za raspodjelu sredstava za finansiranje projekata i programa nevladinih organizacija u oblasti koja će</w:t>
      </w:r>
      <w:r w:rsidR="000F4836" w:rsidRPr="00C723A0">
        <w:rPr>
          <w:rFonts w:ascii="Arial" w:hAnsi="Arial" w:cs="Arial"/>
          <w:b/>
          <w:i/>
          <w:sz w:val="22"/>
          <w:szCs w:val="22"/>
        </w:rPr>
        <w:t xml:space="preserve"> biti utvrđena kao prioritetna.</w:t>
      </w:r>
    </w:p>
    <w:p w:rsidR="009B69A9" w:rsidRPr="00C723A0" w:rsidRDefault="009B69A9" w:rsidP="004538A7">
      <w:pPr>
        <w:jc w:val="both"/>
        <w:rPr>
          <w:rFonts w:ascii="Arial" w:hAnsi="Arial" w:cs="Arial"/>
          <w:sz w:val="22"/>
          <w:szCs w:val="22"/>
        </w:rPr>
      </w:pPr>
    </w:p>
    <w:p w:rsidR="00975358" w:rsidRPr="00C723A0" w:rsidRDefault="00385831" w:rsidP="00385831">
      <w:pPr>
        <w:pStyle w:val="Heading1"/>
      </w:pPr>
      <w:r w:rsidRPr="00C723A0">
        <w:t>OBLASTI OD JAVNOG INTERESA U KOJIMA SE PLANIRA FINANSIJSKA PODRŠKA ZA PROJEKTE I PROGRAME NVO</w:t>
      </w:r>
    </w:p>
    <w:p w:rsidR="00385831" w:rsidRPr="00C723A0" w:rsidRDefault="00385831" w:rsidP="00862238">
      <w:pPr>
        <w:rPr>
          <w:rFonts w:ascii="Arial" w:hAnsi="Arial" w:cs="Arial"/>
        </w:rPr>
      </w:pPr>
    </w:p>
    <w:p w:rsidR="00385831" w:rsidRPr="00122BCB" w:rsidRDefault="00713B97" w:rsidP="00385831">
      <w:pPr>
        <w:pStyle w:val="Heading2"/>
        <w:rPr>
          <w:sz w:val="20"/>
          <w:szCs w:val="20"/>
        </w:rPr>
      </w:pPr>
      <w:r w:rsidRPr="00C723A0">
        <w:t xml:space="preserve">Navesti u kojim oblastima od javnog interesa (iz člana 32 Zakona o NVO) </w:t>
      </w:r>
      <w:r w:rsidR="00385831" w:rsidRPr="00C723A0">
        <w:t xml:space="preserve">iz nadležnosti ministarstva </w:t>
      </w:r>
      <w:r w:rsidRPr="00C723A0">
        <w:t xml:space="preserve">planirate finansijsku podršku iz budžeta </w:t>
      </w:r>
      <w:r w:rsidRPr="00122BCB">
        <w:rPr>
          <w:sz w:val="20"/>
          <w:szCs w:val="20"/>
        </w:rPr>
        <w:t>za projekte i programe NVO:</w:t>
      </w:r>
    </w:p>
    <w:tbl>
      <w:tblPr>
        <w:tblStyle w:val="TableGrid"/>
        <w:tblW w:w="0" w:type="auto"/>
        <w:tblLook w:val="04A0" w:firstRow="1" w:lastRow="0" w:firstColumn="1" w:lastColumn="0" w:noHBand="0" w:noVBand="1"/>
      </w:tblPr>
      <w:tblGrid>
        <w:gridCol w:w="4570"/>
        <w:gridCol w:w="4582"/>
        <w:gridCol w:w="5022"/>
      </w:tblGrid>
      <w:tr w:rsidR="00713B97" w:rsidRPr="00122BCB" w:rsidTr="00385831">
        <w:tc>
          <w:tcPr>
            <w:tcW w:w="4570"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socijalna i zdravstvena zaštita</w:t>
            </w:r>
          </w:p>
        </w:tc>
        <w:tc>
          <w:tcPr>
            <w:tcW w:w="458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razvoj  civilnog  društva i volonterizma</w:t>
            </w:r>
          </w:p>
        </w:tc>
        <w:tc>
          <w:tcPr>
            <w:tcW w:w="502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zaštita životne sredine</w:t>
            </w:r>
          </w:p>
        </w:tc>
      </w:tr>
      <w:tr w:rsidR="00713B97" w:rsidRPr="00122BCB" w:rsidTr="00385831">
        <w:tc>
          <w:tcPr>
            <w:tcW w:w="4570"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smanjenje siromaštva</w:t>
            </w:r>
          </w:p>
          <w:p w:rsidR="00713B97" w:rsidRPr="00122BCB" w:rsidRDefault="00713B97" w:rsidP="000C2358">
            <w:pPr>
              <w:rPr>
                <w:rFonts w:ascii="Arial" w:hAnsi="Arial" w:cs="Arial"/>
                <w:sz w:val="20"/>
                <w:szCs w:val="20"/>
              </w:rPr>
            </w:pPr>
          </w:p>
        </w:tc>
        <w:tc>
          <w:tcPr>
            <w:tcW w:w="458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evroatlantske i evropske integracije Crne Gore</w:t>
            </w:r>
          </w:p>
        </w:tc>
        <w:tc>
          <w:tcPr>
            <w:tcW w:w="5022"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poljoprivreda i ruralni razvoj</w:t>
            </w:r>
          </w:p>
          <w:p w:rsidR="00713B97" w:rsidRPr="00122BCB" w:rsidRDefault="00713B97" w:rsidP="000C2358">
            <w:pPr>
              <w:rPr>
                <w:rFonts w:ascii="Arial" w:hAnsi="Arial" w:cs="Arial"/>
                <w:sz w:val="20"/>
                <w:szCs w:val="20"/>
              </w:rPr>
            </w:pPr>
          </w:p>
        </w:tc>
      </w:tr>
      <w:tr w:rsidR="00713B97" w:rsidRPr="00122BCB" w:rsidTr="00385831">
        <w:tc>
          <w:tcPr>
            <w:tcW w:w="4570"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zaštita lica  sa invaliditetom</w:t>
            </w:r>
          </w:p>
        </w:tc>
        <w:tc>
          <w:tcPr>
            <w:tcW w:w="4582"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institucionalno i vaninstitucionalno obrazovanje</w:t>
            </w:r>
          </w:p>
        </w:tc>
        <w:tc>
          <w:tcPr>
            <w:tcW w:w="5022"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održivi razvoj</w:t>
            </w:r>
          </w:p>
          <w:p w:rsidR="00713B97" w:rsidRPr="00122BCB" w:rsidRDefault="00713B97" w:rsidP="000C2358">
            <w:pPr>
              <w:rPr>
                <w:rFonts w:ascii="Arial" w:hAnsi="Arial" w:cs="Arial"/>
                <w:sz w:val="20"/>
                <w:szCs w:val="20"/>
              </w:rPr>
            </w:pPr>
          </w:p>
        </w:tc>
      </w:tr>
      <w:tr w:rsidR="00713B97" w:rsidRPr="00122BCB" w:rsidTr="00385831">
        <w:tc>
          <w:tcPr>
            <w:tcW w:w="4570"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društvena briga o djeci i mladima</w:t>
            </w:r>
          </w:p>
        </w:tc>
        <w:tc>
          <w:tcPr>
            <w:tcW w:w="458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nauka</w:t>
            </w:r>
          </w:p>
        </w:tc>
        <w:tc>
          <w:tcPr>
            <w:tcW w:w="5022"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zaštita potrošača</w:t>
            </w:r>
          </w:p>
        </w:tc>
      </w:tr>
      <w:tr w:rsidR="00713B97" w:rsidRPr="00122BCB" w:rsidTr="00385831">
        <w:tc>
          <w:tcPr>
            <w:tcW w:w="4570"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pomoć starijim licima</w:t>
            </w:r>
          </w:p>
        </w:tc>
        <w:tc>
          <w:tcPr>
            <w:tcW w:w="458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umjetnost</w:t>
            </w:r>
          </w:p>
        </w:tc>
        <w:tc>
          <w:tcPr>
            <w:tcW w:w="502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rodna ravnopravnost</w:t>
            </w:r>
          </w:p>
        </w:tc>
      </w:tr>
      <w:tr w:rsidR="00713B97" w:rsidRPr="00122BCB" w:rsidTr="00385831">
        <w:tc>
          <w:tcPr>
            <w:tcW w:w="4570"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zaštita i promovisanje ljudskih i manjinskih  prava</w:t>
            </w:r>
          </w:p>
        </w:tc>
        <w:tc>
          <w:tcPr>
            <w:tcW w:w="4582"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kultura</w:t>
            </w:r>
          </w:p>
          <w:p w:rsidR="00713B97" w:rsidRPr="00122BCB" w:rsidRDefault="00713B97" w:rsidP="000C2358">
            <w:pPr>
              <w:rPr>
                <w:rFonts w:ascii="Arial" w:hAnsi="Arial" w:cs="Arial"/>
                <w:sz w:val="20"/>
                <w:szCs w:val="20"/>
              </w:rPr>
            </w:pPr>
          </w:p>
        </w:tc>
        <w:tc>
          <w:tcPr>
            <w:tcW w:w="5022" w:type="dxa"/>
          </w:tcPr>
          <w:p w:rsidR="00713B97" w:rsidRPr="00122BCB" w:rsidRDefault="00713B97" w:rsidP="000C235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borba protiv korupcije  i  organizovanog  kriminala</w:t>
            </w:r>
          </w:p>
        </w:tc>
      </w:tr>
      <w:tr w:rsidR="00713B97" w:rsidRPr="00122BCB" w:rsidTr="00385831">
        <w:tc>
          <w:tcPr>
            <w:tcW w:w="4570"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vladavina  prava</w:t>
            </w:r>
          </w:p>
        </w:tc>
        <w:tc>
          <w:tcPr>
            <w:tcW w:w="458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tehnička kultura</w:t>
            </w:r>
          </w:p>
        </w:tc>
        <w:tc>
          <w:tcPr>
            <w:tcW w:w="5022" w:type="dxa"/>
          </w:tcPr>
          <w:p w:rsidR="00713B97" w:rsidRPr="00122BCB" w:rsidRDefault="00713B97" w:rsidP="00385831">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borba  protiv  bolesti  zavisnosti</w:t>
            </w:r>
          </w:p>
        </w:tc>
      </w:tr>
      <w:tr w:rsidR="00385831" w:rsidRPr="00122BCB" w:rsidTr="000C2358">
        <w:tc>
          <w:tcPr>
            <w:tcW w:w="14174" w:type="dxa"/>
            <w:gridSpan w:val="3"/>
          </w:tcPr>
          <w:p w:rsidR="00385831" w:rsidRPr="00122BCB" w:rsidRDefault="00385831" w:rsidP="00543FE8">
            <w:pPr>
              <w:rPr>
                <w:rFonts w:ascii="Arial" w:hAnsi="Arial" w:cs="Arial"/>
                <w:sz w:val="20"/>
                <w:szCs w:val="20"/>
              </w:rPr>
            </w:pPr>
            <w:r w:rsidRPr="00122BCB">
              <w:rPr>
                <w:rFonts w:ascii="Arial" w:hAnsi="Arial" w:cs="Arial"/>
                <w:sz w:val="20"/>
                <w:szCs w:val="20"/>
              </w:rPr>
              <w:sym w:font="Wingdings" w:char="F06F"/>
            </w:r>
            <w:r w:rsidRPr="00122BCB">
              <w:rPr>
                <w:rFonts w:ascii="Arial" w:hAnsi="Arial" w:cs="Arial"/>
                <w:sz w:val="20"/>
                <w:szCs w:val="20"/>
              </w:rPr>
              <w:t xml:space="preserve"> druge  oblasti  od  javnog  interesa  utvrđene posebnim zakonom (navesti koje):  </w:t>
            </w:r>
            <w:r w:rsidRPr="00122BCB">
              <w:rPr>
                <w:rFonts w:ascii="Arial" w:hAnsi="Arial" w:cs="Arial"/>
                <w:sz w:val="20"/>
                <w:szCs w:val="20"/>
                <w:u w:val="single"/>
              </w:rPr>
              <w:t>__</w:t>
            </w:r>
            <w:r w:rsidR="00821055">
              <w:rPr>
                <w:rFonts w:ascii="Arial" w:hAnsi="Arial" w:cs="Arial"/>
                <w:sz w:val="20"/>
                <w:szCs w:val="20"/>
                <w:u w:val="single"/>
              </w:rPr>
              <w:t>odbrane</w:t>
            </w:r>
            <w:r w:rsidR="00B31FE0">
              <w:rPr>
                <w:rFonts w:ascii="Arial" w:hAnsi="Arial" w:cs="Arial"/>
                <w:sz w:val="20"/>
                <w:szCs w:val="20"/>
                <w:u w:val="single"/>
              </w:rPr>
              <w:t xml:space="preserve"> – Zakon o odbrani</w:t>
            </w:r>
            <w:r w:rsidRPr="00122BCB">
              <w:rPr>
                <w:rFonts w:ascii="Arial" w:hAnsi="Arial" w:cs="Arial"/>
                <w:sz w:val="20"/>
                <w:szCs w:val="20"/>
                <w:u w:val="single"/>
              </w:rPr>
              <w:t>__</w:t>
            </w:r>
          </w:p>
        </w:tc>
      </w:tr>
    </w:tbl>
    <w:p w:rsidR="00713B97" w:rsidRPr="00122BCB" w:rsidRDefault="00713B97" w:rsidP="00713B97">
      <w:pPr>
        <w:rPr>
          <w:rFonts w:ascii="Arial" w:hAnsi="Arial" w:cs="Arial"/>
          <w:sz w:val="20"/>
          <w:szCs w:val="20"/>
        </w:rPr>
      </w:pPr>
    </w:p>
    <w:p w:rsidR="00713B97" w:rsidRPr="00C723A0" w:rsidRDefault="00713B97" w:rsidP="004538A7">
      <w:pPr>
        <w:jc w:val="both"/>
        <w:rPr>
          <w:rFonts w:ascii="Arial" w:hAnsi="Arial" w:cs="Arial"/>
          <w:sz w:val="22"/>
          <w:szCs w:val="22"/>
        </w:rPr>
      </w:pPr>
    </w:p>
    <w:p w:rsidR="00877CE9" w:rsidRPr="00C723A0" w:rsidRDefault="00877CE9" w:rsidP="004538A7">
      <w:pPr>
        <w:jc w:val="both"/>
        <w:rPr>
          <w:rFonts w:ascii="Arial" w:hAnsi="Arial" w:cs="Arial"/>
          <w:sz w:val="22"/>
          <w:szCs w:val="22"/>
        </w:rPr>
      </w:pPr>
    </w:p>
    <w:p w:rsidR="001C4B80" w:rsidRPr="00C723A0" w:rsidRDefault="001C4B80" w:rsidP="00902679">
      <w:pPr>
        <w:pStyle w:val="Heading1"/>
      </w:pPr>
      <w:r w:rsidRPr="00C723A0">
        <w:lastRenderedPageBreak/>
        <w:t>PRIORITETNI PROBLEM</w:t>
      </w:r>
      <w:r w:rsidR="00024B89" w:rsidRPr="00C723A0">
        <w:t>I</w:t>
      </w:r>
      <w:r w:rsidRPr="00C723A0">
        <w:t xml:space="preserve"> I POTREB</w:t>
      </w:r>
      <w:r w:rsidR="00024B89" w:rsidRPr="00C723A0">
        <w:t>E</w:t>
      </w:r>
      <w:r w:rsidRPr="00C723A0">
        <w:t xml:space="preserve"> KOJE TREBA RIJEŠITI U 20</w:t>
      </w:r>
      <w:r w:rsidR="00543FE8">
        <w:t>19</w:t>
      </w:r>
      <w:r w:rsidRPr="00C723A0">
        <w:t xml:space="preserve">. </w:t>
      </w:r>
      <w:r w:rsidR="00B266FC" w:rsidRPr="00C723A0">
        <w:t>GODINI</w:t>
      </w:r>
      <w:r w:rsidR="00902679" w:rsidRPr="00C723A0">
        <w:t xml:space="preserve"> </w:t>
      </w:r>
      <w:r w:rsidR="00024B89" w:rsidRPr="00C723A0">
        <w:t>FINANSIRANJEM PROJEKATA I PROGRAMA NVO</w:t>
      </w:r>
    </w:p>
    <w:p w:rsidR="001C4B80" w:rsidRPr="00C723A0" w:rsidRDefault="001C4B80" w:rsidP="004538A7">
      <w:pPr>
        <w:jc w:val="both"/>
        <w:rPr>
          <w:rFonts w:ascii="Arial" w:hAnsi="Arial" w:cs="Arial"/>
          <w:sz w:val="22"/>
          <w:szCs w:val="22"/>
        </w:rPr>
      </w:pPr>
    </w:p>
    <w:p w:rsidR="001C4B80" w:rsidRPr="00C723A0" w:rsidRDefault="001C4B80" w:rsidP="00DF5C60">
      <w:pPr>
        <w:pStyle w:val="Heading2"/>
      </w:pPr>
      <w:r w:rsidRPr="00C723A0">
        <w:t>Nave</w:t>
      </w:r>
      <w:r w:rsidR="00F10DF3" w:rsidRPr="00C723A0">
        <w:t>sti</w:t>
      </w:r>
      <w:r w:rsidR="0010059B" w:rsidRPr="00C723A0">
        <w:t xml:space="preserve"> prioritetne probleme u oblasti</w:t>
      </w:r>
      <w:r w:rsidR="00825AA5" w:rsidRPr="00C723A0">
        <w:t>(</w:t>
      </w:r>
      <w:r w:rsidRPr="00C723A0">
        <w:t>ma</w:t>
      </w:r>
      <w:r w:rsidR="00825AA5" w:rsidRPr="00C723A0">
        <w:t>)</w:t>
      </w:r>
      <w:r w:rsidRPr="00C723A0">
        <w:t xml:space="preserve"> </w:t>
      </w:r>
      <w:r w:rsidR="00AC1B42" w:rsidRPr="00C723A0">
        <w:t xml:space="preserve">iz </w:t>
      </w:r>
      <w:r w:rsidRPr="00C723A0">
        <w:t xml:space="preserve">nadležnosti </w:t>
      </w:r>
      <w:r w:rsidR="009A0729" w:rsidRPr="00C723A0">
        <w:t>m</w:t>
      </w:r>
      <w:r w:rsidR="00F10DF3" w:rsidRPr="00C723A0">
        <w:t>inistarstva</w:t>
      </w:r>
      <w:r w:rsidR="0010059B" w:rsidRPr="00C723A0">
        <w:t xml:space="preserve"> koj</w:t>
      </w:r>
      <w:r w:rsidR="00C53162" w:rsidRPr="00C723A0">
        <w:t>i</w:t>
      </w:r>
      <w:r w:rsidR="0010059B" w:rsidRPr="00C723A0">
        <w:t xml:space="preserve"> </w:t>
      </w:r>
      <w:r w:rsidR="00F10DF3" w:rsidRPr="00C723A0">
        <w:t>se</w:t>
      </w:r>
      <w:r w:rsidR="003B717C" w:rsidRPr="00C723A0">
        <w:t xml:space="preserve"> </w:t>
      </w:r>
      <w:r w:rsidR="0010059B" w:rsidRPr="00C723A0">
        <w:t>planira</w:t>
      </w:r>
      <w:r w:rsidR="00F10DF3" w:rsidRPr="00C723A0">
        <w:t>ju</w:t>
      </w:r>
      <w:r w:rsidR="0010059B" w:rsidRPr="00C723A0">
        <w:t xml:space="preserve"> rješavati finans</w:t>
      </w:r>
      <w:r w:rsidRPr="00C723A0">
        <w:t xml:space="preserve">iranjem projekata i programa </w:t>
      </w:r>
      <w:r w:rsidR="0010059B" w:rsidRPr="00C723A0">
        <w:t xml:space="preserve">nevladinih </w:t>
      </w:r>
      <w:r w:rsidRPr="00C723A0">
        <w:t>organizacija. Opis problema obrazložit</w:t>
      </w:r>
      <w:r w:rsidR="00C53162" w:rsidRPr="00C723A0">
        <w:t>i</w:t>
      </w:r>
      <w:r w:rsidRPr="00C723A0">
        <w:t xml:space="preserve"> koristeći </w:t>
      </w:r>
      <w:r w:rsidR="003C6DFF" w:rsidRPr="00C723A0">
        <w:t xml:space="preserve">konkretne </w:t>
      </w:r>
      <w:r w:rsidRPr="00C723A0">
        <w:t>mjerljive pokazatelje</w:t>
      </w:r>
      <w:r w:rsidR="003C6DFF" w:rsidRPr="00C723A0">
        <w:t xml:space="preserve"> trenutnog</w:t>
      </w:r>
      <w:r w:rsidR="008D565B" w:rsidRPr="00C723A0">
        <w:t xml:space="preserve"> stanja i žel</w:t>
      </w:r>
      <w:r w:rsidR="003C6DFF" w:rsidRPr="00C723A0">
        <w:t>jenog stanja odnosno rješenja</w:t>
      </w:r>
      <w:r w:rsidR="008D565B" w:rsidRPr="00C723A0">
        <w:t xml:space="preserve">, </w:t>
      </w:r>
      <w:r w:rsidR="00DE5BC3" w:rsidRPr="00C723A0">
        <w:t>navodeći izvor u kojem</w:t>
      </w:r>
      <w:r w:rsidR="008D565B" w:rsidRPr="00C723A0">
        <w:t xml:space="preserve"> su takvi podaci dostupni. Pokazatelji mogu biti informacije iz </w:t>
      </w:r>
      <w:r w:rsidR="0010059B" w:rsidRPr="00C723A0">
        <w:t>u</w:t>
      </w:r>
      <w:r w:rsidRPr="00C723A0">
        <w:t>pored</w:t>
      </w:r>
      <w:r w:rsidR="003C6DFF" w:rsidRPr="00C723A0">
        <w:t>n</w:t>
      </w:r>
      <w:r w:rsidR="008D565B" w:rsidRPr="00C723A0">
        <w:t>ih</w:t>
      </w:r>
      <w:r w:rsidRPr="00C723A0">
        <w:t xml:space="preserve"> analiz</w:t>
      </w:r>
      <w:r w:rsidR="008D565B" w:rsidRPr="00C723A0">
        <w:t>a</w:t>
      </w:r>
      <w:r w:rsidR="003C6DFF" w:rsidRPr="00C723A0">
        <w:t xml:space="preserve">, </w:t>
      </w:r>
      <w:r w:rsidR="008D565B" w:rsidRPr="00C723A0">
        <w:t xml:space="preserve">izvještaja, </w:t>
      </w:r>
      <w:r w:rsidRPr="00C723A0">
        <w:t>rezultat</w:t>
      </w:r>
      <w:r w:rsidR="008D565B" w:rsidRPr="00C723A0">
        <w:t>a</w:t>
      </w:r>
      <w:r w:rsidRPr="00C723A0">
        <w:t xml:space="preserve"> istraživanja</w:t>
      </w:r>
      <w:r w:rsidR="003C6DFF" w:rsidRPr="00C723A0">
        <w:t>, studij</w:t>
      </w:r>
      <w:r w:rsidR="008D565B" w:rsidRPr="00C723A0">
        <w:t>a</w:t>
      </w:r>
      <w:r w:rsidR="003C6DFF" w:rsidRPr="00C723A0">
        <w:t xml:space="preserve">, </w:t>
      </w:r>
      <w:r w:rsidR="008D565B" w:rsidRPr="00C723A0">
        <w:t xml:space="preserve">i </w:t>
      </w:r>
      <w:r w:rsidR="003C6DFF" w:rsidRPr="00C723A0">
        <w:t>drug</w:t>
      </w:r>
      <w:r w:rsidR="008D565B" w:rsidRPr="00C723A0">
        <w:t>i</w:t>
      </w:r>
      <w:r w:rsidR="003C6DFF" w:rsidRPr="00C723A0">
        <w:t xml:space="preserve"> dostupn</w:t>
      </w:r>
      <w:r w:rsidR="008D565B" w:rsidRPr="00C723A0">
        <w:t>i</w:t>
      </w:r>
      <w:r w:rsidR="003C6DFF" w:rsidRPr="00C723A0">
        <w:t xml:space="preserve"> statističk</w:t>
      </w:r>
      <w:r w:rsidR="008D565B" w:rsidRPr="00C723A0">
        <w:t>i</w:t>
      </w:r>
      <w:r w:rsidR="003C6DFF" w:rsidRPr="00C723A0">
        <w:t xml:space="preserve"> poda</w:t>
      </w:r>
      <w:r w:rsidR="008D565B" w:rsidRPr="00C723A0">
        <w:t>ci.</w:t>
      </w:r>
    </w:p>
    <w:p w:rsidR="004E6B25" w:rsidRPr="00C723A0"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0"/>
        <w:gridCol w:w="7000"/>
      </w:tblGrid>
      <w:tr w:rsidR="004E6B25" w:rsidRPr="00C723A0" w:rsidTr="00F37BA9">
        <w:trPr>
          <w:trHeight w:val="122"/>
        </w:trPr>
        <w:tc>
          <w:tcPr>
            <w:tcW w:w="14000" w:type="dxa"/>
            <w:gridSpan w:val="2"/>
            <w:shd w:val="clear" w:color="auto" w:fill="FABF8F"/>
            <w:vAlign w:val="center"/>
          </w:tcPr>
          <w:p w:rsidR="004E6B25" w:rsidRPr="00C723A0" w:rsidRDefault="00D2061E" w:rsidP="00D2061E">
            <w:pPr>
              <w:rPr>
                <w:rFonts w:ascii="Arial" w:eastAsia="Calibri" w:hAnsi="Arial" w:cs="Arial"/>
                <w:b/>
                <w:color w:val="FFFFFF"/>
                <w:sz w:val="22"/>
                <w:szCs w:val="22"/>
              </w:rPr>
            </w:pPr>
            <w:r w:rsidRPr="00C723A0">
              <w:rPr>
                <w:rFonts w:ascii="Arial" w:eastAsia="Calibri" w:hAnsi="Arial" w:cs="Arial"/>
                <w:b/>
                <w:color w:val="FFFFFF"/>
                <w:sz w:val="22"/>
                <w:szCs w:val="22"/>
              </w:rPr>
              <w:t>Opis problema:</w:t>
            </w:r>
          </w:p>
        </w:tc>
      </w:tr>
      <w:tr w:rsidR="004E6B25" w:rsidRPr="00C723A0" w:rsidTr="007372E6">
        <w:trPr>
          <w:trHeight w:val="705"/>
        </w:trPr>
        <w:tc>
          <w:tcPr>
            <w:tcW w:w="14000" w:type="dxa"/>
            <w:gridSpan w:val="2"/>
            <w:shd w:val="clear" w:color="auto" w:fill="FFFFFF"/>
          </w:tcPr>
          <w:p w:rsidR="008F6D65" w:rsidRDefault="008F6D65" w:rsidP="00821055">
            <w:pPr>
              <w:shd w:val="clear" w:color="auto" w:fill="FFFFFF"/>
              <w:jc w:val="both"/>
              <w:rPr>
                <w:rFonts w:ascii="Arial" w:eastAsia="Calibri" w:hAnsi="Arial" w:cs="Arial"/>
                <w:sz w:val="22"/>
                <w:szCs w:val="22"/>
              </w:rPr>
            </w:pPr>
            <w:r>
              <w:rPr>
                <w:rFonts w:ascii="Arial" w:eastAsia="Calibri" w:hAnsi="Arial" w:cs="Arial"/>
                <w:sz w:val="22"/>
                <w:szCs w:val="22"/>
              </w:rPr>
              <w:t>Nakon ukidanja obaveznog služenja vojnog roka 2006. godine, kontakt Vojske Crne Gore i mladih je oslabljen. Ministarstvo odbrane</w:t>
            </w:r>
            <w:r w:rsidR="00A76769">
              <w:rPr>
                <w:rFonts w:ascii="Arial" w:eastAsia="Calibri" w:hAnsi="Arial" w:cs="Arial"/>
                <w:sz w:val="22"/>
                <w:szCs w:val="22"/>
              </w:rPr>
              <w:t xml:space="preserve"> prepoznaje potrebu približavanja Vojske Crne Gore i vojnog poziva mladima, u cilju povećanja informisanosti o</w:t>
            </w:r>
            <w:r w:rsidR="006D66F0">
              <w:rPr>
                <w:rFonts w:ascii="Arial" w:eastAsia="Calibri" w:hAnsi="Arial" w:cs="Arial"/>
                <w:sz w:val="22"/>
                <w:szCs w:val="22"/>
              </w:rPr>
              <w:t xml:space="preserve"> njenoj</w:t>
            </w:r>
            <w:r w:rsidR="00A76769">
              <w:rPr>
                <w:rFonts w:ascii="Arial" w:eastAsia="Calibri" w:hAnsi="Arial" w:cs="Arial"/>
                <w:sz w:val="22"/>
                <w:szCs w:val="22"/>
              </w:rPr>
              <w:t xml:space="preserve"> ulozi</w:t>
            </w:r>
            <w:r w:rsidR="006D66F0">
              <w:rPr>
                <w:rFonts w:ascii="Arial" w:eastAsia="Calibri" w:hAnsi="Arial" w:cs="Arial"/>
                <w:sz w:val="22"/>
                <w:szCs w:val="22"/>
              </w:rPr>
              <w:t xml:space="preserve"> i značaju, ali i stepena zainteresovanosti mladih za vojni poziv i obrazovanje na inostranim vojnim akademijama.  </w:t>
            </w:r>
          </w:p>
          <w:p w:rsidR="008F6D65" w:rsidRDefault="008F6D65" w:rsidP="00821055">
            <w:pPr>
              <w:shd w:val="clear" w:color="auto" w:fill="FFFFFF"/>
              <w:jc w:val="both"/>
              <w:rPr>
                <w:rFonts w:ascii="Arial" w:eastAsia="Calibri" w:hAnsi="Arial" w:cs="Arial"/>
                <w:sz w:val="22"/>
                <w:szCs w:val="22"/>
              </w:rPr>
            </w:pPr>
          </w:p>
          <w:p w:rsidR="007372E6" w:rsidRDefault="00821055" w:rsidP="00821055">
            <w:pPr>
              <w:shd w:val="clear" w:color="auto" w:fill="FFFFFF"/>
              <w:jc w:val="both"/>
              <w:rPr>
                <w:rFonts w:ascii="Arial" w:eastAsia="Calibri" w:hAnsi="Arial" w:cs="Arial"/>
                <w:sz w:val="22"/>
                <w:szCs w:val="22"/>
              </w:rPr>
            </w:pPr>
            <w:r w:rsidRPr="00D15D3B">
              <w:rPr>
                <w:rFonts w:ascii="Arial" w:eastAsia="Calibri" w:hAnsi="Arial" w:cs="Arial"/>
                <w:sz w:val="22"/>
                <w:szCs w:val="22"/>
              </w:rPr>
              <w:t>Strategijskim pregledom odbrane identifikovano je da proces upravljanja ljudskim resursima treba razvijati i u pravcu pridobijanja kadra čime bi se obezbijedila povoljnija starosna struktura pripadnika Vojske, usklađena sa njenim misijama i zadacima. Naslijeđena politika upravljanja ljudskim resursima dovela je do neizbalansirane strukture u pogl</w:t>
            </w:r>
            <w:r w:rsidR="00A840BB" w:rsidRPr="00D15D3B">
              <w:rPr>
                <w:rFonts w:ascii="Arial" w:eastAsia="Calibri" w:hAnsi="Arial" w:cs="Arial"/>
                <w:sz w:val="22"/>
                <w:szCs w:val="22"/>
              </w:rPr>
              <w:t xml:space="preserve">edu dostupnih kadrova. Postoji potreba za stalnim prijemom oficira na početne dužnosti. </w:t>
            </w:r>
          </w:p>
          <w:p w:rsidR="008F6D65" w:rsidRPr="00D15D3B" w:rsidRDefault="008F6D65" w:rsidP="00821055">
            <w:pPr>
              <w:shd w:val="clear" w:color="auto" w:fill="FFFFFF"/>
              <w:jc w:val="both"/>
              <w:rPr>
                <w:rFonts w:ascii="Arial" w:eastAsia="Calibri" w:hAnsi="Arial" w:cs="Arial"/>
                <w:sz w:val="22"/>
                <w:szCs w:val="22"/>
              </w:rPr>
            </w:pPr>
          </w:p>
          <w:p w:rsidR="00A840BB" w:rsidRDefault="00A840BB" w:rsidP="00821055">
            <w:pPr>
              <w:shd w:val="clear" w:color="auto" w:fill="FFFFFF"/>
              <w:jc w:val="both"/>
              <w:rPr>
                <w:rFonts w:ascii="Arial" w:eastAsia="Calibri" w:hAnsi="Arial" w:cs="Arial"/>
                <w:sz w:val="22"/>
                <w:szCs w:val="22"/>
              </w:rPr>
            </w:pPr>
            <w:r w:rsidRPr="00D15D3B">
              <w:rPr>
                <w:rFonts w:ascii="Arial" w:eastAsia="Calibri" w:hAnsi="Arial" w:cs="Arial"/>
                <w:sz w:val="22"/>
                <w:szCs w:val="22"/>
              </w:rPr>
              <w:t>Pribavljanje kadrova podrazumijeva privlačenje i obezbjeđivanje utvrđenog profila i broja potrebnih kadrova. Na angažovanje potrebnih struktura kadra, u smislu kompetencija i kvaliteta, utiču: demografski, ekonomski i sociološki aspekti, koji se u savremenom okruženju mijenjaju ubrzanom dinamikom. Privatni sektor, svojim potencijalom za konkurentnije zarade, postaje sve privlačniji</w:t>
            </w:r>
            <w:r w:rsidR="00D521D7" w:rsidRPr="00D15D3B">
              <w:rPr>
                <w:rFonts w:ascii="Arial" w:eastAsia="Calibri" w:hAnsi="Arial" w:cs="Arial"/>
                <w:sz w:val="22"/>
                <w:szCs w:val="22"/>
              </w:rPr>
              <w:t xml:space="preserve"> činilac na crnogoskom tržiš</w:t>
            </w:r>
            <w:r w:rsidRPr="00D15D3B">
              <w:rPr>
                <w:rFonts w:ascii="Arial" w:eastAsia="Calibri" w:hAnsi="Arial" w:cs="Arial"/>
                <w:sz w:val="22"/>
                <w:szCs w:val="22"/>
              </w:rPr>
              <w:t xml:space="preserve">tu rada, što je izazov za Ministarstvo i njegovu konkurentnost </w:t>
            </w:r>
            <w:r w:rsidR="00D521D7" w:rsidRPr="00D15D3B">
              <w:rPr>
                <w:rFonts w:ascii="Arial" w:eastAsia="Calibri" w:hAnsi="Arial" w:cs="Arial"/>
                <w:sz w:val="22"/>
                <w:szCs w:val="22"/>
              </w:rPr>
              <w:t xml:space="preserve">u pribavljanju najkompetentnijih kadrova, sa specifičnim znanjima i vještinama. </w:t>
            </w:r>
          </w:p>
          <w:p w:rsidR="008F6D65" w:rsidRDefault="008F6D65" w:rsidP="00821055">
            <w:pPr>
              <w:shd w:val="clear" w:color="auto" w:fill="FFFFFF"/>
              <w:jc w:val="both"/>
              <w:rPr>
                <w:rFonts w:ascii="Arial" w:eastAsia="Calibri" w:hAnsi="Arial" w:cs="Arial"/>
                <w:sz w:val="22"/>
                <w:szCs w:val="22"/>
              </w:rPr>
            </w:pPr>
          </w:p>
          <w:p w:rsidR="008F6D65" w:rsidRDefault="008F6D65" w:rsidP="00821055">
            <w:pPr>
              <w:shd w:val="clear" w:color="auto" w:fill="FFFFFF"/>
              <w:jc w:val="both"/>
              <w:rPr>
                <w:rFonts w:ascii="Arial" w:eastAsia="Calibri" w:hAnsi="Arial" w:cs="Arial"/>
                <w:sz w:val="22"/>
                <w:szCs w:val="22"/>
              </w:rPr>
            </w:pPr>
            <w:r w:rsidRPr="008F6D65">
              <w:rPr>
                <w:rFonts w:ascii="Arial" w:eastAsia="Calibri" w:hAnsi="Arial" w:cs="Arial"/>
                <w:sz w:val="22"/>
                <w:szCs w:val="22"/>
              </w:rPr>
              <w:t>Pribavljanje kadra je određeno kao posebna programska oblast, u okviru Dugoročnog plana razvoja odbrane. U procesu pribavljanja kadra posebna pažnja će se posvetiti jačanju imidža Ministarstva i Vojske, odnosno promociji vojnog poziva posebno među mlađom populacijom.</w:t>
            </w:r>
          </w:p>
          <w:p w:rsidR="008F6D65" w:rsidRPr="00D15D3B" w:rsidRDefault="008F6D65" w:rsidP="00821055">
            <w:pPr>
              <w:shd w:val="clear" w:color="auto" w:fill="FFFFFF"/>
              <w:jc w:val="both"/>
              <w:rPr>
                <w:rFonts w:ascii="Arial" w:eastAsia="Calibri" w:hAnsi="Arial" w:cs="Arial"/>
                <w:sz w:val="22"/>
                <w:szCs w:val="22"/>
              </w:rPr>
            </w:pPr>
          </w:p>
          <w:p w:rsidR="00D521D7" w:rsidRDefault="00D521D7" w:rsidP="00821055">
            <w:pPr>
              <w:shd w:val="clear" w:color="auto" w:fill="FFFFFF"/>
              <w:jc w:val="both"/>
              <w:rPr>
                <w:rFonts w:ascii="Arial" w:eastAsia="Calibri" w:hAnsi="Arial" w:cs="Arial"/>
                <w:sz w:val="22"/>
                <w:szCs w:val="22"/>
              </w:rPr>
            </w:pPr>
            <w:r w:rsidRPr="00D15D3B">
              <w:rPr>
                <w:rFonts w:ascii="Arial" w:eastAsia="Calibri" w:hAnsi="Arial" w:cs="Arial"/>
                <w:sz w:val="22"/>
                <w:szCs w:val="22"/>
              </w:rPr>
              <w:t>Privlačenje najboljih kandidata ostvarivaće se kroz kvalitetno informisanje i promovisanje Ministarstva, odnosno Vojske, kao primamljivog poslodavca, čime će se uticati na pospješivanje pozitivne percepcije i boljeg razumijevanja vojnog poziva i svih njegovih prednosti. Afirmacija Vojske, kao organizacije u kojoj zaposleni mogu graditi uspješnu karijeru kroz stalno investiranje u njihovo stručno usavršavanje, razvoj i napredovanje kako bi maksimalno ostvarili svoj profesionalni potencijal, jedan je od ključnih elemenata za privlačenje i zadržavanje kvalitetnih kadrova.</w:t>
            </w:r>
          </w:p>
          <w:p w:rsidR="008F6D65" w:rsidRPr="00D15D3B" w:rsidRDefault="008F6D65" w:rsidP="00821055">
            <w:pPr>
              <w:shd w:val="clear" w:color="auto" w:fill="FFFFFF"/>
              <w:jc w:val="both"/>
              <w:rPr>
                <w:rFonts w:ascii="Arial" w:eastAsia="Calibri" w:hAnsi="Arial" w:cs="Arial"/>
                <w:sz w:val="22"/>
                <w:szCs w:val="22"/>
              </w:rPr>
            </w:pPr>
          </w:p>
          <w:p w:rsidR="008B5F40" w:rsidRDefault="008B5F40" w:rsidP="00821055">
            <w:pPr>
              <w:shd w:val="clear" w:color="auto" w:fill="FFFFFF"/>
              <w:jc w:val="both"/>
              <w:rPr>
                <w:rFonts w:ascii="Arial" w:eastAsia="Calibri" w:hAnsi="Arial" w:cs="Arial"/>
                <w:sz w:val="22"/>
                <w:szCs w:val="22"/>
                <w:lang w:val="sr-Latn-ME"/>
              </w:rPr>
            </w:pPr>
            <w:r w:rsidRPr="00D15D3B">
              <w:rPr>
                <w:rFonts w:ascii="Arial" w:eastAsia="Calibri" w:hAnsi="Arial" w:cs="Arial"/>
                <w:sz w:val="22"/>
                <w:szCs w:val="22"/>
              </w:rPr>
              <w:t>U istra</w:t>
            </w:r>
            <w:r w:rsidRPr="00D15D3B">
              <w:rPr>
                <w:rFonts w:ascii="Arial" w:eastAsia="Calibri" w:hAnsi="Arial" w:cs="Arial"/>
                <w:sz w:val="22"/>
                <w:szCs w:val="22"/>
                <w:lang w:val="sr-Latn-ME"/>
              </w:rPr>
              <w:t>živanju koje je sproveo Centar za demokratiju i</w:t>
            </w:r>
            <w:r w:rsidR="00414B15">
              <w:rPr>
                <w:rFonts w:ascii="Arial" w:eastAsia="Calibri" w:hAnsi="Arial" w:cs="Arial"/>
                <w:sz w:val="22"/>
                <w:szCs w:val="22"/>
                <w:lang w:val="sr-Latn-ME"/>
              </w:rPr>
              <w:t xml:space="preserve"> ljudska prava (CEDEM), </w:t>
            </w:r>
            <w:r w:rsidRPr="00D15D3B">
              <w:rPr>
                <w:rFonts w:ascii="Arial" w:eastAsia="Calibri" w:hAnsi="Arial" w:cs="Arial"/>
                <w:sz w:val="22"/>
                <w:szCs w:val="22"/>
                <w:lang w:val="sr-Latn-ME"/>
              </w:rPr>
              <w:t xml:space="preserve">realizovano od </w:t>
            </w:r>
            <w:r w:rsidR="00636A10" w:rsidRPr="00D15D3B">
              <w:rPr>
                <w:rFonts w:ascii="Arial" w:eastAsia="Calibri" w:hAnsi="Arial" w:cs="Arial"/>
                <w:sz w:val="22"/>
                <w:szCs w:val="22"/>
                <w:lang w:val="sr-Latn-ME"/>
              </w:rPr>
              <w:t>20. do 28. marta</w:t>
            </w:r>
            <w:r w:rsidRPr="00D15D3B">
              <w:rPr>
                <w:rFonts w:ascii="Arial" w:eastAsia="Calibri" w:hAnsi="Arial" w:cs="Arial"/>
                <w:sz w:val="22"/>
                <w:szCs w:val="22"/>
                <w:lang w:val="sr-Latn-ME"/>
              </w:rPr>
              <w:t xml:space="preserve"> </w:t>
            </w:r>
            <w:r w:rsidR="00636A10" w:rsidRPr="00D15D3B">
              <w:rPr>
                <w:rFonts w:ascii="Arial" w:eastAsia="Calibri" w:hAnsi="Arial" w:cs="Arial"/>
                <w:sz w:val="22"/>
                <w:szCs w:val="22"/>
                <w:lang w:val="sr-Latn-ME"/>
              </w:rPr>
              <w:t>2018</w:t>
            </w:r>
            <w:r w:rsidRPr="00D15D3B">
              <w:rPr>
                <w:rFonts w:ascii="Arial" w:eastAsia="Calibri" w:hAnsi="Arial" w:cs="Arial"/>
                <w:sz w:val="22"/>
                <w:szCs w:val="22"/>
                <w:lang w:val="sr-Latn-ME"/>
              </w:rPr>
              <w:t xml:space="preserve">. godine, a na uzorku od </w:t>
            </w:r>
            <w:r w:rsidR="00636A10" w:rsidRPr="00D15D3B">
              <w:rPr>
                <w:rFonts w:ascii="Arial" w:eastAsia="Calibri" w:hAnsi="Arial" w:cs="Arial"/>
                <w:sz w:val="22"/>
                <w:szCs w:val="22"/>
                <w:lang w:val="sr-Latn-ME"/>
              </w:rPr>
              <w:t>1004</w:t>
            </w:r>
            <w:r w:rsidRPr="00D15D3B">
              <w:rPr>
                <w:rFonts w:ascii="Arial" w:eastAsia="Calibri" w:hAnsi="Arial" w:cs="Arial"/>
                <w:sz w:val="22"/>
                <w:szCs w:val="22"/>
                <w:lang w:val="sr-Latn-ME"/>
              </w:rPr>
              <w:t xml:space="preserve"> ispita</w:t>
            </w:r>
            <w:r w:rsidR="00636A10" w:rsidRPr="00D15D3B">
              <w:rPr>
                <w:rFonts w:ascii="Arial" w:eastAsia="Calibri" w:hAnsi="Arial" w:cs="Arial"/>
                <w:sz w:val="22"/>
                <w:szCs w:val="22"/>
                <w:lang w:val="sr-Latn-ME"/>
              </w:rPr>
              <w:t>nika, konstatovano je da u Vojsku Crne Gore</w:t>
            </w:r>
            <w:r w:rsidR="00506087">
              <w:rPr>
                <w:rFonts w:ascii="Arial" w:eastAsia="Calibri" w:hAnsi="Arial" w:cs="Arial"/>
                <w:sz w:val="22"/>
                <w:szCs w:val="22"/>
                <w:lang w:val="sr-Latn-ME"/>
              </w:rPr>
              <w:t xml:space="preserve"> povjerenje</w:t>
            </w:r>
            <w:r w:rsidR="00636A10" w:rsidRPr="00D15D3B">
              <w:rPr>
                <w:rFonts w:ascii="Arial" w:eastAsia="Calibri" w:hAnsi="Arial" w:cs="Arial"/>
                <w:sz w:val="22"/>
                <w:szCs w:val="22"/>
                <w:lang w:val="sr-Latn-ME"/>
              </w:rPr>
              <w:t xml:space="preserve"> ima 51,4%</w:t>
            </w:r>
            <w:r w:rsidR="00506087">
              <w:rPr>
                <w:rFonts w:ascii="Arial" w:eastAsia="Calibri" w:hAnsi="Arial" w:cs="Arial"/>
                <w:sz w:val="22"/>
                <w:szCs w:val="22"/>
                <w:lang w:val="sr-Latn-ME"/>
              </w:rPr>
              <w:t xml:space="preserve"> građana</w:t>
            </w:r>
            <w:r w:rsidR="00636A10" w:rsidRPr="00D15D3B">
              <w:rPr>
                <w:rFonts w:ascii="Arial" w:eastAsia="Calibri" w:hAnsi="Arial" w:cs="Arial"/>
                <w:sz w:val="22"/>
                <w:szCs w:val="22"/>
                <w:lang w:val="sr-Latn-ME"/>
              </w:rPr>
              <w:t>, čime je u odnosu na 2017. godinu kada je rađeno istraživanje</w:t>
            </w:r>
            <w:r w:rsidR="00414B15">
              <w:rPr>
                <w:rFonts w:ascii="Arial" w:eastAsia="Calibri" w:hAnsi="Arial" w:cs="Arial"/>
                <w:sz w:val="22"/>
                <w:szCs w:val="22"/>
                <w:lang w:val="sr-Latn-ME"/>
              </w:rPr>
              <w:t>, porastao stepen povjerenja,</w:t>
            </w:r>
            <w:r w:rsidR="00636A10" w:rsidRPr="00D15D3B">
              <w:rPr>
                <w:rFonts w:ascii="Arial" w:eastAsia="Calibri" w:hAnsi="Arial" w:cs="Arial"/>
                <w:sz w:val="22"/>
                <w:szCs w:val="22"/>
                <w:lang w:val="sr-Latn-ME"/>
              </w:rPr>
              <w:t xml:space="preserve"> kada je ono bilo 43,6%</w:t>
            </w:r>
            <w:r w:rsidRPr="00D15D3B">
              <w:rPr>
                <w:rFonts w:ascii="Arial" w:eastAsia="Calibri" w:hAnsi="Arial" w:cs="Arial"/>
                <w:sz w:val="22"/>
                <w:szCs w:val="22"/>
                <w:lang w:val="sr-Latn-ME"/>
              </w:rPr>
              <w:t xml:space="preserve">. </w:t>
            </w:r>
          </w:p>
          <w:p w:rsidR="008F6D65" w:rsidRPr="00D15D3B" w:rsidRDefault="008F6D65" w:rsidP="00821055">
            <w:pPr>
              <w:shd w:val="clear" w:color="auto" w:fill="FFFFFF"/>
              <w:jc w:val="both"/>
              <w:rPr>
                <w:rFonts w:ascii="Arial" w:eastAsia="Calibri" w:hAnsi="Arial" w:cs="Arial"/>
                <w:sz w:val="22"/>
                <w:szCs w:val="22"/>
                <w:lang w:val="sr-Latn-ME"/>
              </w:rPr>
            </w:pPr>
          </w:p>
          <w:p w:rsidR="002D5650" w:rsidRDefault="002D5650" w:rsidP="00821055">
            <w:pPr>
              <w:shd w:val="clear" w:color="auto" w:fill="FFFFFF"/>
              <w:jc w:val="both"/>
              <w:rPr>
                <w:rFonts w:ascii="Arial" w:eastAsia="Calibri" w:hAnsi="Arial" w:cs="Arial"/>
                <w:sz w:val="22"/>
                <w:szCs w:val="22"/>
                <w:lang w:val="sr-Latn-ME"/>
              </w:rPr>
            </w:pPr>
            <w:r w:rsidRPr="00D15D3B">
              <w:rPr>
                <w:rFonts w:ascii="Arial" w:eastAsia="Calibri" w:hAnsi="Arial" w:cs="Arial"/>
                <w:sz w:val="22"/>
                <w:szCs w:val="22"/>
                <w:lang w:val="sr-Latn-ME"/>
              </w:rPr>
              <w:t>Ministarstvo odbrane, kako bi prevazišlo izazove, posebno u dijelu približavanja Vojske Crne Gore i vojnog poziva</w:t>
            </w:r>
            <w:r w:rsidR="00414B15">
              <w:rPr>
                <w:rFonts w:ascii="Arial" w:eastAsia="Calibri" w:hAnsi="Arial" w:cs="Arial"/>
                <w:sz w:val="22"/>
                <w:szCs w:val="22"/>
                <w:lang w:val="sr-Latn-ME"/>
              </w:rPr>
              <w:t xml:space="preserve"> mladima</w:t>
            </w:r>
            <w:r w:rsidRPr="00D15D3B">
              <w:rPr>
                <w:rFonts w:ascii="Arial" w:eastAsia="Calibri" w:hAnsi="Arial" w:cs="Arial"/>
                <w:sz w:val="22"/>
                <w:szCs w:val="22"/>
                <w:lang w:val="sr-Latn-ME"/>
              </w:rPr>
              <w:t>, kao i ispunjavanja strateških ciljeva, 2016. godine je započelo projekat Ljetnji vojni kamp za mlade i uspostavilo je saradnju sa nevladinim sektorom. Ministarstvo odbrane prepoznaje NVO kao partnera u promociji Vojske Crne Gore i afirmaciji Ministarstva odbrane kao poželjnog poslodavca. U prethodnom periodu, Ministar</w:t>
            </w:r>
            <w:r w:rsidR="00414B15">
              <w:rPr>
                <w:rFonts w:ascii="Arial" w:eastAsia="Calibri" w:hAnsi="Arial" w:cs="Arial"/>
                <w:sz w:val="22"/>
                <w:szCs w:val="22"/>
                <w:lang w:val="sr-Latn-ME"/>
              </w:rPr>
              <w:t xml:space="preserve">stvo </w:t>
            </w:r>
            <w:r w:rsidRPr="00D15D3B">
              <w:rPr>
                <w:rFonts w:ascii="Arial" w:eastAsia="Calibri" w:hAnsi="Arial" w:cs="Arial"/>
                <w:sz w:val="22"/>
                <w:szCs w:val="22"/>
                <w:lang w:val="sr-Latn-ME"/>
              </w:rPr>
              <w:t xml:space="preserve">je, u saradnji sa Ministarstvom odbrane Ujedinjenog Kraljevstva Velike Britanije i Sjeverne Irske koje je bilo finansijer najboljeg projektnog rješenja, raspisalo Javni poziv nevladinim organizacijama za dostavljanje prijedloga projekata </w:t>
            </w:r>
            <w:r w:rsidRPr="00D15D3B">
              <w:rPr>
                <w:rFonts w:ascii="Arial" w:eastAsia="Calibri" w:hAnsi="Arial" w:cs="Arial"/>
                <w:sz w:val="22"/>
                <w:szCs w:val="22"/>
                <w:lang w:val="sr-Latn-ME"/>
              </w:rPr>
              <w:lastRenderedPageBreak/>
              <w:t>na temu ''Vojska Crne Gore i mladi – udružimo potencijale''. Kao najbolje projektno rješenje izabran  je projekat ''Centra za multimedijalnu produkciju'' (CEZAM), za izradu dokumentarno-eduk</w:t>
            </w:r>
            <w:r w:rsidR="00C9799F">
              <w:rPr>
                <w:rFonts w:ascii="Arial" w:eastAsia="Calibri" w:hAnsi="Arial" w:cs="Arial"/>
                <w:sz w:val="22"/>
                <w:szCs w:val="22"/>
                <w:lang w:val="sr-Latn-ME"/>
              </w:rPr>
              <w:t>ativnog filma</w:t>
            </w:r>
            <w:r w:rsidRPr="00D15D3B">
              <w:rPr>
                <w:rFonts w:ascii="Arial" w:eastAsia="Calibri" w:hAnsi="Arial" w:cs="Arial"/>
                <w:sz w:val="22"/>
                <w:szCs w:val="22"/>
                <w:lang w:val="sr-Latn-ME"/>
              </w:rPr>
              <w:t xml:space="preserve">. </w:t>
            </w:r>
            <w:r w:rsidR="00414B15">
              <w:rPr>
                <w:rFonts w:ascii="Arial" w:eastAsia="Calibri" w:hAnsi="Arial" w:cs="Arial"/>
                <w:sz w:val="22"/>
                <w:szCs w:val="22"/>
                <w:lang w:val="sr-Latn-ME"/>
              </w:rPr>
              <w:t xml:space="preserve">Pored toga, </w:t>
            </w:r>
            <w:r w:rsidRPr="00D15D3B">
              <w:rPr>
                <w:rFonts w:ascii="Arial" w:eastAsia="Calibri" w:hAnsi="Arial" w:cs="Arial"/>
                <w:sz w:val="22"/>
                <w:szCs w:val="22"/>
                <w:lang w:val="sr-Latn-ME"/>
              </w:rPr>
              <w:t xml:space="preserve">Ministarstvo je nastavilo sa realizacijom dana otvorenih vrata i drugim promotivnim aktivnostima. </w:t>
            </w:r>
          </w:p>
          <w:p w:rsidR="008F6D65" w:rsidRPr="00D15D3B" w:rsidRDefault="008F6D65" w:rsidP="00821055">
            <w:pPr>
              <w:shd w:val="clear" w:color="auto" w:fill="FFFFFF"/>
              <w:jc w:val="both"/>
              <w:rPr>
                <w:rFonts w:ascii="Arial" w:eastAsia="Calibri" w:hAnsi="Arial" w:cs="Arial"/>
                <w:sz w:val="22"/>
                <w:szCs w:val="22"/>
                <w:lang w:val="sr-Latn-ME"/>
              </w:rPr>
            </w:pPr>
          </w:p>
          <w:p w:rsidR="00821055" w:rsidRDefault="002D5650" w:rsidP="00821055">
            <w:pPr>
              <w:shd w:val="clear" w:color="auto" w:fill="FFFFFF"/>
              <w:jc w:val="both"/>
              <w:rPr>
                <w:rFonts w:ascii="Arial" w:eastAsia="Calibri" w:hAnsi="Arial" w:cs="Arial"/>
                <w:sz w:val="22"/>
                <w:szCs w:val="22"/>
              </w:rPr>
            </w:pPr>
            <w:r w:rsidRPr="00D15D3B">
              <w:rPr>
                <w:rFonts w:ascii="Arial" w:eastAsia="Calibri" w:hAnsi="Arial" w:cs="Arial"/>
                <w:sz w:val="22"/>
                <w:szCs w:val="22"/>
                <w:lang w:val="sr-Latn-ME"/>
              </w:rPr>
              <w:t>Na kraju Ljetnjeg vojnog kampa 2017</w:t>
            </w:r>
            <w:r w:rsidR="0067545E" w:rsidRPr="00D15D3B">
              <w:rPr>
                <w:rFonts w:ascii="Arial" w:eastAsia="Calibri" w:hAnsi="Arial" w:cs="Arial"/>
                <w:sz w:val="22"/>
                <w:szCs w:val="22"/>
                <w:lang w:val="sr-Latn-ME"/>
              </w:rPr>
              <w:t>. godine, na osnovu rezultata anketa koje su rađene tokom trajanja Kampa</w:t>
            </w:r>
            <w:r w:rsidR="00D15D3B" w:rsidRPr="00D15D3B">
              <w:rPr>
                <w:rFonts w:ascii="Arial" w:eastAsia="Calibri" w:hAnsi="Arial" w:cs="Arial"/>
                <w:sz w:val="22"/>
                <w:szCs w:val="22"/>
                <w:lang w:val="sr-Latn-ME"/>
              </w:rPr>
              <w:t xml:space="preserve">, došlo se do zaključka da je opšti cilj projekta koji se odnosi na poboljšanje politika privlačenja mlađeg kadra za obrazovanje na inostranim vojnim akademijama ispunjen. Takođe, zaključeno je da Ministarstvo treba da nastavi sa promocijom Vojske Crne Gore i vojnog poziva. </w:t>
            </w:r>
            <w:r w:rsidRPr="00D15D3B">
              <w:rPr>
                <w:rFonts w:ascii="Arial" w:eastAsia="Calibri" w:hAnsi="Arial" w:cs="Arial"/>
                <w:sz w:val="22"/>
                <w:szCs w:val="22"/>
              </w:rPr>
              <w:t>Za specifičan sistem kao što je odbrana veoma je važno uključiti lica koja imaju prethodni interes za aktivnosti Ministarstva i Vojske, kako bi na taj način vršili promociju vojnog poziva i Vojske među vršnjacima (pasivni marketing), sprovodili zajedničke aktivnosti sa Ministarstvom ili pristupili Vojsci (prethodni interes za vojni poziv, koji bi se održavao vremenom, uticao bi i na njihov ostanak u službi i motivaciju za veći doprinos organizaciji) i najvažnije je uključiti mlade kao glavne stejkholdere</w:t>
            </w:r>
            <w:r w:rsidR="00414B15">
              <w:rPr>
                <w:rFonts w:ascii="Arial" w:eastAsia="Calibri" w:hAnsi="Arial" w:cs="Arial"/>
                <w:sz w:val="22"/>
                <w:szCs w:val="22"/>
              </w:rPr>
              <w:t>,</w:t>
            </w:r>
            <w:r w:rsidRPr="00D15D3B">
              <w:rPr>
                <w:rFonts w:ascii="Arial" w:eastAsia="Calibri" w:hAnsi="Arial" w:cs="Arial"/>
                <w:sz w:val="22"/>
                <w:szCs w:val="22"/>
              </w:rPr>
              <w:t xml:space="preserve"> jer ih aktivnosti Ministarstva u ovoj oblasti najviše tangiraju, u kreiranju zajedničkih projektnih rješenja, što bi u krajnjem uticalo na ostvarivanje svih projektnih ciljeva.  </w:t>
            </w:r>
          </w:p>
          <w:p w:rsidR="00001016" w:rsidRPr="00D15D3B" w:rsidRDefault="00001016" w:rsidP="00821055">
            <w:pPr>
              <w:shd w:val="clear" w:color="auto" w:fill="FFFFFF"/>
              <w:jc w:val="both"/>
              <w:rPr>
                <w:rFonts w:ascii="Arial" w:eastAsia="Calibri" w:hAnsi="Arial" w:cs="Arial"/>
                <w:sz w:val="22"/>
                <w:szCs w:val="22"/>
                <w:lang w:val="sr-Latn-ME"/>
              </w:rPr>
            </w:pPr>
          </w:p>
        </w:tc>
      </w:tr>
      <w:tr w:rsidR="002B7D18" w:rsidRPr="00C723A0" w:rsidTr="00562DC9">
        <w:tc>
          <w:tcPr>
            <w:tcW w:w="7000" w:type="dxa"/>
            <w:shd w:val="clear" w:color="auto" w:fill="FABF8F"/>
          </w:tcPr>
          <w:p w:rsidR="002B7D18" w:rsidRPr="00C723A0" w:rsidRDefault="002B7D18" w:rsidP="00041E21">
            <w:pPr>
              <w:rPr>
                <w:rFonts w:ascii="Arial" w:eastAsia="Calibri" w:hAnsi="Arial" w:cs="Arial"/>
                <w:b/>
                <w:color w:val="FFFFFF"/>
                <w:sz w:val="22"/>
                <w:szCs w:val="22"/>
              </w:rPr>
            </w:pPr>
            <w:r w:rsidRPr="00C723A0">
              <w:rPr>
                <w:rFonts w:ascii="Arial" w:eastAsia="Calibri" w:hAnsi="Arial" w:cs="Arial"/>
                <w:b/>
                <w:color w:val="FFFFFF"/>
                <w:sz w:val="22"/>
                <w:szCs w:val="22"/>
              </w:rPr>
              <w:lastRenderedPageBreak/>
              <w:t>Podaci (analize, studije, statistički izvještaji, itd.) koji dodatno pojašnjavaju navedeni problem</w:t>
            </w:r>
          </w:p>
        </w:tc>
        <w:tc>
          <w:tcPr>
            <w:tcW w:w="7000" w:type="dxa"/>
            <w:shd w:val="clear" w:color="auto" w:fill="FABF8F"/>
          </w:tcPr>
          <w:p w:rsidR="002B7D18" w:rsidRPr="00C723A0" w:rsidRDefault="002B7D18" w:rsidP="004E6B25">
            <w:pPr>
              <w:jc w:val="both"/>
              <w:rPr>
                <w:rFonts w:ascii="Arial" w:eastAsia="Calibri" w:hAnsi="Arial" w:cs="Arial"/>
                <w:b/>
                <w:color w:val="FFFFFF"/>
                <w:sz w:val="22"/>
                <w:szCs w:val="22"/>
              </w:rPr>
            </w:pPr>
            <w:r w:rsidRPr="00C723A0">
              <w:rPr>
                <w:rFonts w:ascii="Arial" w:eastAsia="Calibri" w:hAnsi="Arial" w:cs="Arial"/>
                <w:b/>
                <w:color w:val="FFFFFF"/>
                <w:sz w:val="22"/>
                <w:szCs w:val="22"/>
              </w:rPr>
              <w:t>Izvor(i) podataka</w:t>
            </w:r>
          </w:p>
        </w:tc>
      </w:tr>
      <w:tr w:rsidR="002B7D18" w:rsidRPr="00C723A0" w:rsidTr="000E749C">
        <w:trPr>
          <w:trHeight w:val="1599"/>
        </w:trPr>
        <w:tc>
          <w:tcPr>
            <w:tcW w:w="7000" w:type="dxa"/>
            <w:shd w:val="clear" w:color="auto" w:fill="auto"/>
          </w:tcPr>
          <w:p w:rsidR="003B26C8" w:rsidRDefault="003B26C8" w:rsidP="004758A9">
            <w:pPr>
              <w:jc w:val="both"/>
              <w:rPr>
                <w:rFonts w:ascii="Arial" w:eastAsia="Calibri" w:hAnsi="Arial" w:cs="Arial"/>
                <w:sz w:val="22"/>
                <w:szCs w:val="22"/>
              </w:rPr>
            </w:pPr>
          </w:p>
          <w:p w:rsidR="004758A9" w:rsidRPr="004758A9" w:rsidRDefault="004758A9" w:rsidP="004758A9">
            <w:pPr>
              <w:jc w:val="both"/>
              <w:rPr>
                <w:rFonts w:ascii="Arial" w:eastAsia="Calibri" w:hAnsi="Arial" w:cs="Arial"/>
                <w:sz w:val="22"/>
                <w:szCs w:val="22"/>
              </w:rPr>
            </w:pPr>
            <w:r w:rsidRPr="004758A9">
              <w:rPr>
                <w:rFonts w:ascii="Arial" w:eastAsia="Calibri" w:hAnsi="Arial" w:cs="Arial"/>
                <w:sz w:val="22"/>
                <w:szCs w:val="22"/>
              </w:rPr>
              <w:t>Analiza problema, uzroka i posledica, u okviru predloga projekta: Ljetnji vojni kamp za mlade 2018</w:t>
            </w:r>
            <w:r w:rsidR="000608C9">
              <w:rPr>
                <w:rFonts w:ascii="Arial" w:eastAsia="Calibri" w:hAnsi="Arial" w:cs="Arial"/>
                <w:sz w:val="22"/>
                <w:szCs w:val="22"/>
              </w:rPr>
              <w:t>.</w:t>
            </w:r>
            <w:r w:rsidRPr="004758A9">
              <w:rPr>
                <w:rFonts w:ascii="Arial" w:eastAsia="Calibri" w:hAnsi="Arial" w:cs="Arial"/>
                <w:sz w:val="22"/>
                <w:szCs w:val="22"/>
              </w:rPr>
              <w:t xml:space="preserve"> </w:t>
            </w:r>
          </w:p>
          <w:p w:rsidR="004758A9" w:rsidRPr="004758A9" w:rsidRDefault="004758A9" w:rsidP="004758A9">
            <w:pPr>
              <w:jc w:val="both"/>
              <w:rPr>
                <w:rFonts w:ascii="Arial" w:eastAsia="Calibri" w:hAnsi="Arial" w:cs="Arial"/>
                <w:sz w:val="22"/>
                <w:szCs w:val="22"/>
              </w:rPr>
            </w:pPr>
          </w:p>
          <w:p w:rsidR="004758A9" w:rsidRPr="004758A9" w:rsidRDefault="004758A9" w:rsidP="004758A9">
            <w:pPr>
              <w:jc w:val="both"/>
              <w:rPr>
                <w:rFonts w:ascii="Arial" w:eastAsia="Calibri" w:hAnsi="Arial" w:cs="Arial"/>
                <w:sz w:val="22"/>
                <w:szCs w:val="22"/>
              </w:rPr>
            </w:pPr>
            <w:r w:rsidRPr="004758A9">
              <w:rPr>
                <w:rFonts w:ascii="Arial" w:eastAsia="Calibri" w:hAnsi="Arial" w:cs="Arial"/>
                <w:sz w:val="22"/>
                <w:szCs w:val="22"/>
              </w:rPr>
              <w:t>Analiza upitnika Ljetnjeg vojnog kampa za mlade 2017</w:t>
            </w:r>
            <w:r w:rsidR="000608C9">
              <w:rPr>
                <w:rFonts w:ascii="Arial" w:eastAsia="Calibri" w:hAnsi="Arial" w:cs="Arial"/>
                <w:sz w:val="22"/>
                <w:szCs w:val="22"/>
              </w:rPr>
              <w:t>.</w:t>
            </w:r>
          </w:p>
          <w:p w:rsidR="004758A9" w:rsidRPr="004758A9" w:rsidRDefault="004758A9" w:rsidP="004758A9">
            <w:pPr>
              <w:jc w:val="both"/>
              <w:rPr>
                <w:rFonts w:ascii="Arial" w:eastAsia="Calibri" w:hAnsi="Arial" w:cs="Arial"/>
                <w:sz w:val="22"/>
                <w:szCs w:val="22"/>
              </w:rPr>
            </w:pPr>
          </w:p>
          <w:p w:rsidR="004758A9" w:rsidRPr="004758A9" w:rsidRDefault="004758A9" w:rsidP="004758A9">
            <w:pPr>
              <w:jc w:val="both"/>
              <w:rPr>
                <w:rFonts w:ascii="Arial" w:eastAsia="Calibri" w:hAnsi="Arial" w:cs="Arial"/>
                <w:sz w:val="22"/>
                <w:szCs w:val="22"/>
              </w:rPr>
            </w:pPr>
            <w:r w:rsidRPr="004758A9">
              <w:rPr>
                <w:rFonts w:ascii="Arial" w:eastAsia="Calibri" w:hAnsi="Arial" w:cs="Arial"/>
                <w:sz w:val="22"/>
                <w:szCs w:val="22"/>
              </w:rPr>
              <w:t>Pregled kadra po starosnoj strukturi Vojske Crne Gore</w:t>
            </w:r>
          </w:p>
          <w:p w:rsidR="004758A9" w:rsidRPr="004758A9" w:rsidRDefault="004758A9" w:rsidP="004758A9">
            <w:pPr>
              <w:jc w:val="both"/>
              <w:rPr>
                <w:rFonts w:ascii="Arial" w:eastAsia="Calibri" w:hAnsi="Arial" w:cs="Arial"/>
                <w:sz w:val="22"/>
                <w:szCs w:val="22"/>
              </w:rPr>
            </w:pPr>
          </w:p>
          <w:p w:rsidR="00A15A4D" w:rsidRPr="00386872" w:rsidRDefault="000608C9" w:rsidP="000608C9">
            <w:pPr>
              <w:jc w:val="both"/>
              <w:rPr>
                <w:rFonts w:ascii="Arial" w:eastAsia="Calibri" w:hAnsi="Arial" w:cs="Arial"/>
                <w:sz w:val="22"/>
                <w:szCs w:val="22"/>
              </w:rPr>
            </w:pPr>
            <w:r>
              <w:rPr>
                <w:rFonts w:ascii="Arial" w:eastAsia="Calibri" w:hAnsi="Arial" w:cs="Arial"/>
                <w:sz w:val="22"/>
                <w:szCs w:val="22"/>
              </w:rPr>
              <w:t>P</w:t>
            </w:r>
            <w:r w:rsidRPr="000608C9">
              <w:rPr>
                <w:rFonts w:ascii="Arial" w:eastAsia="Calibri" w:hAnsi="Arial" w:cs="Arial"/>
                <w:sz w:val="22"/>
                <w:szCs w:val="22"/>
              </w:rPr>
              <w:t>olitičko javno mnjenje</w:t>
            </w:r>
            <w:r>
              <w:rPr>
                <w:rFonts w:ascii="Arial" w:eastAsia="Calibri" w:hAnsi="Arial" w:cs="Arial"/>
                <w:sz w:val="22"/>
                <w:szCs w:val="22"/>
              </w:rPr>
              <w:t xml:space="preserve"> Crne G</w:t>
            </w:r>
            <w:r w:rsidRPr="000608C9">
              <w:rPr>
                <w:rFonts w:ascii="Arial" w:eastAsia="Calibri" w:hAnsi="Arial" w:cs="Arial"/>
                <w:sz w:val="22"/>
                <w:szCs w:val="22"/>
              </w:rPr>
              <w:t>ore</w:t>
            </w:r>
          </w:p>
        </w:tc>
        <w:tc>
          <w:tcPr>
            <w:tcW w:w="7000" w:type="dxa"/>
            <w:shd w:val="clear" w:color="auto" w:fill="FFFFFF"/>
          </w:tcPr>
          <w:p w:rsidR="002B7D18" w:rsidRPr="00C723A0" w:rsidRDefault="002B7D18" w:rsidP="004E6B25">
            <w:pPr>
              <w:jc w:val="both"/>
              <w:rPr>
                <w:rFonts w:ascii="Arial" w:eastAsia="Calibri" w:hAnsi="Arial" w:cs="Arial"/>
                <w:sz w:val="22"/>
                <w:szCs w:val="22"/>
              </w:rPr>
            </w:pPr>
          </w:p>
          <w:p w:rsidR="004758A9" w:rsidRPr="004758A9" w:rsidRDefault="004758A9" w:rsidP="004758A9">
            <w:pPr>
              <w:rPr>
                <w:rFonts w:ascii="Arial" w:eastAsia="Calibri" w:hAnsi="Arial" w:cs="Arial"/>
                <w:sz w:val="22"/>
                <w:szCs w:val="22"/>
              </w:rPr>
            </w:pPr>
            <w:r w:rsidRPr="004758A9">
              <w:rPr>
                <w:rFonts w:ascii="Arial" w:eastAsia="Calibri" w:hAnsi="Arial" w:cs="Arial"/>
                <w:sz w:val="22"/>
                <w:szCs w:val="22"/>
              </w:rPr>
              <w:t>Ministarstvo odbrane</w:t>
            </w:r>
          </w:p>
          <w:p w:rsidR="004758A9" w:rsidRPr="004758A9" w:rsidRDefault="004758A9" w:rsidP="004758A9">
            <w:pPr>
              <w:rPr>
                <w:rFonts w:ascii="Arial" w:eastAsia="Calibri" w:hAnsi="Arial" w:cs="Arial"/>
                <w:sz w:val="22"/>
                <w:szCs w:val="22"/>
              </w:rPr>
            </w:pPr>
            <w:r w:rsidRPr="004758A9">
              <w:rPr>
                <w:rFonts w:ascii="Arial" w:eastAsia="Calibri" w:hAnsi="Arial" w:cs="Arial"/>
                <w:sz w:val="22"/>
                <w:szCs w:val="22"/>
              </w:rPr>
              <w:t>Nevladine organizacije</w:t>
            </w:r>
          </w:p>
          <w:p w:rsidR="004758A9" w:rsidRPr="004758A9" w:rsidRDefault="004758A9" w:rsidP="004758A9">
            <w:pPr>
              <w:rPr>
                <w:rFonts w:ascii="Arial" w:eastAsia="Calibri" w:hAnsi="Arial" w:cs="Arial"/>
                <w:sz w:val="22"/>
                <w:szCs w:val="22"/>
              </w:rPr>
            </w:pPr>
          </w:p>
          <w:p w:rsidR="004758A9" w:rsidRPr="004758A9" w:rsidRDefault="004758A9" w:rsidP="004758A9">
            <w:pPr>
              <w:rPr>
                <w:rFonts w:ascii="Arial" w:eastAsia="Calibri" w:hAnsi="Arial" w:cs="Arial"/>
                <w:sz w:val="22"/>
                <w:szCs w:val="22"/>
              </w:rPr>
            </w:pPr>
            <w:r w:rsidRPr="004758A9">
              <w:rPr>
                <w:rFonts w:ascii="Arial" w:eastAsia="Calibri" w:hAnsi="Arial" w:cs="Arial"/>
                <w:sz w:val="22"/>
                <w:szCs w:val="22"/>
              </w:rPr>
              <w:t>Ministarstvo odbrane</w:t>
            </w:r>
          </w:p>
          <w:p w:rsidR="004758A9" w:rsidRPr="004758A9" w:rsidRDefault="004758A9" w:rsidP="004758A9">
            <w:pPr>
              <w:rPr>
                <w:rFonts w:ascii="Arial" w:eastAsia="Calibri" w:hAnsi="Arial" w:cs="Arial"/>
                <w:sz w:val="22"/>
                <w:szCs w:val="22"/>
              </w:rPr>
            </w:pPr>
          </w:p>
          <w:p w:rsidR="004758A9" w:rsidRPr="004758A9" w:rsidRDefault="004758A9" w:rsidP="004758A9">
            <w:pPr>
              <w:rPr>
                <w:rFonts w:ascii="Arial" w:eastAsia="Calibri" w:hAnsi="Arial" w:cs="Arial"/>
                <w:sz w:val="22"/>
                <w:szCs w:val="22"/>
              </w:rPr>
            </w:pPr>
            <w:r w:rsidRPr="004758A9">
              <w:rPr>
                <w:rFonts w:ascii="Arial" w:eastAsia="Calibri" w:hAnsi="Arial" w:cs="Arial"/>
                <w:sz w:val="22"/>
                <w:szCs w:val="22"/>
              </w:rPr>
              <w:t>Ministarstvo odbrane</w:t>
            </w:r>
          </w:p>
          <w:p w:rsidR="004758A9" w:rsidRPr="004758A9" w:rsidRDefault="004758A9" w:rsidP="004758A9">
            <w:pPr>
              <w:rPr>
                <w:rFonts w:ascii="Arial" w:eastAsia="Calibri" w:hAnsi="Arial" w:cs="Arial"/>
                <w:sz w:val="22"/>
                <w:szCs w:val="22"/>
              </w:rPr>
            </w:pPr>
          </w:p>
          <w:p w:rsidR="00A15A4D" w:rsidRPr="00A15A4D" w:rsidRDefault="000608C9" w:rsidP="004758A9">
            <w:pPr>
              <w:rPr>
                <w:rFonts w:ascii="Arial" w:eastAsia="Calibri" w:hAnsi="Arial" w:cs="Arial"/>
                <w:sz w:val="22"/>
                <w:szCs w:val="22"/>
              </w:rPr>
            </w:pPr>
            <w:r w:rsidRPr="000608C9">
              <w:rPr>
                <w:rFonts w:ascii="Arial" w:eastAsia="Calibri" w:hAnsi="Arial" w:cs="Arial"/>
                <w:sz w:val="22"/>
                <w:szCs w:val="22"/>
              </w:rPr>
              <w:t>Centar za demokratiju i ljudska prava (CEDEM</w:t>
            </w:r>
            <w:r>
              <w:rPr>
                <w:rFonts w:ascii="Arial" w:eastAsia="Calibri" w:hAnsi="Arial" w:cs="Arial"/>
                <w:sz w:val="22"/>
                <w:szCs w:val="22"/>
              </w:rPr>
              <w:t xml:space="preserve">), mart 2018, </w:t>
            </w:r>
            <w:r w:rsidRPr="000608C9">
              <w:rPr>
                <w:rFonts w:ascii="Arial" w:eastAsia="Calibri" w:hAnsi="Arial" w:cs="Arial"/>
                <w:sz w:val="22"/>
                <w:szCs w:val="22"/>
              </w:rPr>
              <w:t>https://www.cedem.me/images/CEDEM_Mart_2018_-_final.compressed.pdf</w:t>
            </w:r>
          </w:p>
        </w:tc>
      </w:tr>
    </w:tbl>
    <w:p w:rsidR="00877CE9" w:rsidRPr="00C723A0" w:rsidRDefault="00877CE9" w:rsidP="00122BCB">
      <w:pPr>
        <w:jc w:val="both"/>
        <w:rPr>
          <w:rFonts w:ascii="Arial" w:hAnsi="Arial" w:cs="Arial"/>
          <w:b/>
          <w:sz w:val="22"/>
          <w:szCs w:val="22"/>
        </w:rPr>
      </w:pPr>
    </w:p>
    <w:p w:rsidR="001C4B80" w:rsidRPr="00C723A0" w:rsidRDefault="001C4B80" w:rsidP="00DF5C60">
      <w:pPr>
        <w:pStyle w:val="Heading2"/>
      </w:pPr>
      <w:r w:rsidRPr="00C723A0">
        <w:t>Nave</w:t>
      </w:r>
      <w:r w:rsidR="00C53162" w:rsidRPr="00C723A0">
        <w:t>sti</w:t>
      </w:r>
      <w:r w:rsidRPr="00C723A0">
        <w:t xml:space="preserve"> </w:t>
      </w:r>
      <w:r w:rsidR="00DE421F" w:rsidRPr="00C723A0">
        <w:t>ključne</w:t>
      </w:r>
      <w:r w:rsidR="00431C22" w:rsidRPr="00C723A0">
        <w:t xml:space="preserve"> </w:t>
      </w:r>
      <w:r w:rsidRPr="00C723A0">
        <w:t>stratešk</w:t>
      </w:r>
      <w:r w:rsidR="00BE50B2" w:rsidRPr="00C723A0">
        <w:t>o-planske</w:t>
      </w:r>
      <w:r w:rsidRPr="00C723A0">
        <w:t xml:space="preserve"> dokumente </w:t>
      </w:r>
      <w:r w:rsidR="00B44DAE" w:rsidRPr="00C723A0">
        <w:t xml:space="preserve">odnosno propise </w:t>
      </w:r>
      <w:r w:rsidRPr="00C723A0">
        <w:t xml:space="preserve">koji prepoznaju važnost problema </w:t>
      </w:r>
      <w:r w:rsidR="00752ACE" w:rsidRPr="00C723A0">
        <w:t>iden</w:t>
      </w:r>
      <w:r w:rsidR="00DE421F" w:rsidRPr="00C723A0">
        <w:t>tifikovanih pod ta</w:t>
      </w:r>
      <w:r w:rsidR="00FA238B" w:rsidRPr="00C723A0">
        <w:t>čkom 2</w:t>
      </w:r>
      <w:r w:rsidR="003A5B13" w:rsidRPr="00C723A0">
        <w:t xml:space="preserve">.1., kao i </w:t>
      </w:r>
      <w:r w:rsidRPr="00C723A0">
        <w:t>specifične mjere</w:t>
      </w:r>
      <w:r w:rsidR="00DE421F" w:rsidRPr="00C723A0">
        <w:t>/d</w:t>
      </w:r>
      <w:r w:rsidR="003C6DFF" w:rsidRPr="00C723A0">
        <w:t>jelove</w:t>
      </w:r>
      <w:r w:rsidR="00DE421F" w:rsidRPr="00C723A0">
        <w:t xml:space="preserve"> tih dokumenata </w:t>
      </w:r>
      <w:r w:rsidR="003A5B13" w:rsidRPr="00C723A0">
        <w:t>koj</w:t>
      </w:r>
      <w:r w:rsidR="00C53162" w:rsidRPr="00C723A0">
        <w:t>i su u vezi sa</w:t>
      </w:r>
      <w:r w:rsidR="00184B48" w:rsidRPr="00C723A0">
        <w:t xml:space="preserve"> </w:t>
      </w:r>
      <w:r w:rsidR="00DE421F" w:rsidRPr="00C723A0">
        <w:t>identifikov</w:t>
      </w:r>
      <w:r w:rsidRPr="00C723A0">
        <w:t>ani</w:t>
      </w:r>
      <w:r w:rsidR="00C53162" w:rsidRPr="00C723A0">
        <w:t>m</w:t>
      </w:r>
      <w:r w:rsidRPr="00C723A0">
        <w:t xml:space="preserve"> problemi</w:t>
      </w:r>
      <w:r w:rsidR="00C53162" w:rsidRPr="00C723A0">
        <w:t>ma</w:t>
      </w:r>
      <w:r w:rsidRPr="00C723A0">
        <w:t>.</w:t>
      </w:r>
    </w:p>
    <w:p w:rsidR="004E6B25" w:rsidRPr="00C723A0"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6946"/>
      </w:tblGrid>
      <w:tr w:rsidR="004E6B25" w:rsidRPr="00C723A0" w:rsidTr="00562DC9">
        <w:tc>
          <w:tcPr>
            <w:tcW w:w="7054" w:type="dxa"/>
            <w:shd w:val="clear" w:color="auto" w:fill="FABF8F"/>
            <w:hideMark/>
          </w:tcPr>
          <w:p w:rsidR="004E6B25" w:rsidRPr="00C723A0" w:rsidRDefault="004E6B25" w:rsidP="00C53162">
            <w:pPr>
              <w:jc w:val="both"/>
              <w:rPr>
                <w:rFonts w:ascii="Arial" w:eastAsia="Calibri" w:hAnsi="Arial" w:cs="Arial"/>
                <w:b/>
                <w:color w:val="FFFFFF"/>
                <w:sz w:val="22"/>
                <w:szCs w:val="22"/>
                <w:lang w:eastAsia="zh-CN"/>
              </w:rPr>
            </w:pPr>
            <w:r w:rsidRPr="00C723A0">
              <w:rPr>
                <w:rFonts w:ascii="Arial" w:eastAsia="Calibri" w:hAnsi="Arial" w:cs="Arial"/>
                <w:b/>
                <w:color w:val="FFFFFF"/>
                <w:sz w:val="22"/>
                <w:szCs w:val="22"/>
                <w:lang w:eastAsia="zh-CN"/>
              </w:rPr>
              <w:t>Naziv strateškog</w:t>
            </w:r>
            <w:r w:rsidR="002C470B" w:rsidRPr="00C723A0">
              <w:rPr>
                <w:rFonts w:ascii="Arial" w:eastAsia="Calibri" w:hAnsi="Arial" w:cs="Arial"/>
                <w:b/>
                <w:color w:val="FFFFFF"/>
                <w:sz w:val="22"/>
                <w:szCs w:val="22"/>
                <w:lang w:eastAsia="zh-CN"/>
              </w:rPr>
              <w:t>/</w:t>
            </w:r>
            <w:r w:rsidR="00C53162" w:rsidRPr="00C723A0">
              <w:rPr>
                <w:rFonts w:ascii="Arial" w:eastAsia="Calibri" w:hAnsi="Arial" w:cs="Arial"/>
                <w:b/>
                <w:color w:val="FFFFFF"/>
                <w:sz w:val="22"/>
                <w:szCs w:val="22"/>
                <w:lang w:eastAsia="zh-CN"/>
              </w:rPr>
              <w:t xml:space="preserve">planskog </w:t>
            </w:r>
            <w:r w:rsidRPr="00C723A0">
              <w:rPr>
                <w:rFonts w:ascii="Arial" w:eastAsia="Calibri" w:hAnsi="Arial" w:cs="Arial"/>
                <w:b/>
                <w:color w:val="FFFFFF"/>
                <w:sz w:val="22"/>
                <w:szCs w:val="22"/>
                <w:lang w:eastAsia="zh-CN"/>
              </w:rPr>
              <w:t>dokumenta</w:t>
            </w:r>
            <w:r w:rsidR="00B44DAE" w:rsidRPr="00C723A0">
              <w:rPr>
                <w:rFonts w:ascii="Arial" w:eastAsia="Calibri" w:hAnsi="Arial" w:cs="Arial"/>
                <w:b/>
                <w:color w:val="FFFFFF"/>
                <w:sz w:val="22"/>
                <w:szCs w:val="22"/>
                <w:lang w:eastAsia="zh-CN"/>
              </w:rPr>
              <w:t>/propisa</w:t>
            </w:r>
          </w:p>
        </w:tc>
        <w:tc>
          <w:tcPr>
            <w:tcW w:w="6946" w:type="dxa"/>
            <w:shd w:val="clear" w:color="auto" w:fill="FABF8F"/>
            <w:hideMark/>
          </w:tcPr>
          <w:p w:rsidR="004E6B25" w:rsidRPr="00C723A0" w:rsidRDefault="004E6B25" w:rsidP="005462E0">
            <w:pPr>
              <w:jc w:val="both"/>
              <w:rPr>
                <w:rFonts w:ascii="Arial" w:eastAsia="Calibri" w:hAnsi="Arial" w:cs="Arial"/>
                <w:b/>
                <w:color w:val="FFFFFF"/>
                <w:sz w:val="22"/>
                <w:szCs w:val="22"/>
                <w:lang w:eastAsia="zh-CN"/>
              </w:rPr>
            </w:pPr>
            <w:r w:rsidRPr="00C723A0">
              <w:rPr>
                <w:rFonts w:ascii="Arial" w:eastAsia="Calibri" w:hAnsi="Arial" w:cs="Arial"/>
                <w:b/>
                <w:color w:val="FFFFFF"/>
                <w:sz w:val="22"/>
                <w:szCs w:val="22"/>
                <w:lang w:eastAsia="zh-CN"/>
              </w:rPr>
              <w:t>Naziv poglavlj</w:t>
            </w:r>
            <w:r w:rsidR="005462E0" w:rsidRPr="00C723A0">
              <w:rPr>
                <w:rFonts w:ascii="Arial" w:eastAsia="Calibri" w:hAnsi="Arial" w:cs="Arial"/>
                <w:b/>
                <w:color w:val="FFFFFF"/>
                <w:sz w:val="22"/>
                <w:szCs w:val="22"/>
                <w:lang w:eastAsia="zh-CN"/>
              </w:rPr>
              <w:t>a/ mjere/ aktivnosti</w:t>
            </w:r>
          </w:p>
        </w:tc>
      </w:tr>
      <w:tr w:rsidR="00B216E7" w:rsidRPr="00C723A0" w:rsidTr="007372E6">
        <w:tc>
          <w:tcPr>
            <w:tcW w:w="7054" w:type="dxa"/>
          </w:tcPr>
          <w:p w:rsidR="00B216E7" w:rsidRPr="00C723A0" w:rsidRDefault="00B216E7" w:rsidP="000F7CBB">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Strategijski pregled odbrane (usvojen 2013. godine),</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 xml:space="preserve">http://www.odbrana.gov.me/biblioteka/strategije </w:t>
            </w: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 xml:space="preserve">Dugoročni plan razvoja odbrane 2016-2025 (usvojen 2015. godine), http://www.odbrana.gov.me/biblioteka/strategije </w:t>
            </w: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lastRenderedPageBreak/>
              <w:t>Strategija upravljanja ljudskim resursima u Ministarstvu odbrane i Vojsci Crne Gore (jul 2016. godine),</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 xml:space="preserve">http://www.odbrana.gov.me/biblioteka/strategije </w:t>
            </w: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p>
          <w:p w:rsidR="00352698"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 xml:space="preserve">Akcioni plan za implementaciju Strategije upravljanja ljudskim resursima u Ministarstvu odbrane i Vojsci Crne Gore u </w:t>
            </w:r>
            <w:r w:rsidR="00001016">
              <w:rPr>
                <w:rFonts w:ascii="Arial" w:eastAsia="Calibri" w:hAnsi="Arial" w:cs="Arial"/>
                <w:sz w:val="22"/>
                <w:szCs w:val="22"/>
                <w:lang w:eastAsia="zh-CN"/>
              </w:rPr>
              <w:t>2018. godini      (januar 2018</w:t>
            </w:r>
            <w:r w:rsidRPr="00A11ED0">
              <w:rPr>
                <w:rFonts w:ascii="Arial" w:eastAsia="Calibri" w:hAnsi="Arial" w:cs="Arial"/>
                <w:sz w:val="22"/>
                <w:szCs w:val="22"/>
                <w:lang w:eastAsia="zh-CN"/>
              </w:rPr>
              <w:t>. godine).</w:t>
            </w:r>
          </w:p>
          <w:p w:rsidR="00352698" w:rsidRDefault="00352698" w:rsidP="001C2AAF">
            <w:pPr>
              <w:jc w:val="both"/>
              <w:rPr>
                <w:rFonts w:ascii="Arial" w:eastAsia="Calibri" w:hAnsi="Arial" w:cs="Arial"/>
                <w:sz w:val="22"/>
                <w:szCs w:val="22"/>
                <w:lang w:eastAsia="zh-CN"/>
              </w:rPr>
            </w:pPr>
          </w:p>
          <w:p w:rsidR="00352698" w:rsidRDefault="00352698" w:rsidP="001C2AAF">
            <w:pPr>
              <w:jc w:val="both"/>
              <w:rPr>
                <w:rFonts w:ascii="Arial" w:eastAsia="Calibri" w:hAnsi="Arial" w:cs="Arial"/>
                <w:sz w:val="22"/>
                <w:szCs w:val="22"/>
                <w:lang w:eastAsia="zh-CN"/>
              </w:rPr>
            </w:pPr>
          </w:p>
          <w:p w:rsidR="00352698" w:rsidRPr="00C723A0" w:rsidRDefault="00352698" w:rsidP="00A84687">
            <w:pPr>
              <w:jc w:val="both"/>
              <w:rPr>
                <w:rFonts w:ascii="Arial" w:eastAsia="Calibri" w:hAnsi="Arial" w:cs="Arial"/>
                <w:sz w:val="22"/>
                <w:szCs w:val="22"/>
                <w:lang w:eastAsia="zh-CN"/>
              </w:rPr>
            </w:pPr>
          </w:p>
        </w:tc>
        <w:tc>
          <w:tcPr>
            <w:tcW w:w="6946" w:type="dxa"/>
          </w:tcPr>
          <w:p w:rsidR="003B26C8" w:rsidRDefault="003B26C8"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7.3. Ljudski resursi</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7.3.1. Poboljšanje upravljanja ljudskim resursima</w:t>
            </w: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3.1. Ljudski resursi</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3.1.1 Stanje u oblasti ljudskih resursa</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3.1.3. Programske oblasti upravljanja ljudskim resursima</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Pribavljanje kadra</w:t>
            </w: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I dio: Misija, Ciljevi</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lastRenderedPageBreak/>
              <w:t>II dio: SWOT</w:t>
            </w: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III dio: 3. Politika pribavljanja i zapošljavanja najkompetentnijih kadrova</w:t>
            </w: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p>
          <w:p w:rsidR="00A11ED0" w:rsidRPr="00A11ED0"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Politika pribavljanja i zapošljavanja najkompetentnijih kandidata</w:t>
            </w:r>
          </w:p>
          <w:p w:rsidR="00352698" w:rsidRDefault="00A11ED0" w:rsidP="00A11ED0">
            <w:pPr>
              <w:jc w:val="both"/>
              <w:rPr>
                <w:rFonts w:ascii="Arial" w:eastAsia="Calibri" w:hAnsi="Arial" w:cs="Arial"/>
                <w:sz w:val="22"/>
                <w:szCs w:val="22"/>
                <w:lang w:eastAsia="zh-CN"/>
              </w:rPr>
            </w:pPr>
            <w:r w:rsidRPr="00A11ED0">
              <w:rPr>
                <w:rFonts w:ascii="Arial" w:eastAsia="Calibri" w:hAnsi="Arial" w:cs="Arial"/>
                <w:sz w:val="22"/>
                <w:szCs w:val="22"/>
                <w:lang w:eastAsia="zh-CN"/>
              </w:rPr>
              <w:t>Cilj:uspostavljeni mehanizmi za privlačenje najkvalitetnijih kadrova</w:t>
            </w:r>
          </w:p>
          <w:p w:rsidR="008C009B" w:rsidRDefault="008C009B" w:rsidP="000F7CBB">
            <w:pPr>
              <w:jc w:val="both"/>
              <w:rPr>
                <w:rFonts w:ascii="Arial" w:eastAsia="Calibri" w:hAnsi="Arial" w:cs="Arial"/>
                <w:sz w:val="22"/>
                <w:szCs w:val="22"/>
                <w:lang w:eastAsia="zh-CN"/>
              </w:rPr>
            </w:pPr>
          </w:p>
          <w:p w:rsidR="00A11ED0" w:rsidRPr="00A11ED0" w:rsidRDefault="00001016" w:rsidP="00A11ED0">
            <w:pPr>
              <w:jc w:val="both"/>
              <w:rPr>
                <w:rFonts w:ascii="Arial" w:eastAsia="Calibri" w:hAnsi="Arial" w:cs="Arial"/>
                <w:sz w:val="22"/>
                <w:szCs w:val="22"/>
                <w:lang w:eastAsia="zh-CN"/>
              </w:rPr>
            </w:pPr>
            <w:r>
              <w:rPr>
                <w:rFonts w:ascii="Arial" w:eastAsia="Calibri" w:hAnsi="Arial" w:cs="Arial"/>
                <w:sz w:val="22"/>
                <w:szCs w:val="22"/>
                <w:lang w:eastAsia="zh-CN"/>
              </w:rPr>
              <w:t>3.1</w:t>
            </w:r>
            <w:r w:rsidR="00A11ED0" w:rsidRPr="00A11ED0">
              <w:rPr>
                <w:rFonts w:ascii="Arial" w:eastAsia="Calibri" w:hAnsi="Arial" w:cs="Arial"/>
                <w:sz w:val="22"/>
                <w:szCs w:val="22"/>
                <w:lang w:eastAsia="zh-CN"/>
              </w:rPr>
              <w:t>. Izrada Plana promotivnih aktivnosti na privlačenju kadrova za potrebe VCG u 2018. godini (Indikator uspjeha: Razvijene nove metode privlačenja kandidata)</w:t>
            </w:r>
          </w:p>
          <w:p w:rsidR="00A11ED0" w:rsidRPr="00A11ED0" w:rsidRDefault="00A11ED0" w:rsidP="00A11ED0">
            <w:pPr>
              <w:jc w:val="both"/>
              <w:rPr>
                <w:rFonts w:ascii="Arial" w:eastAsia="Calibri" w:hAnsi="Arial" w:cs="Arial"/>
                <w:sz w:val="22"/>
                <w:szCs w:val="22"/>
                <w:lang w:eastAsia="zh-CN"/>
              </w:rPr>
            </w:pPr>
          </w:p>
          <w:p w:rsidR="008C009B" w:rsidRDefault="00001016" w:rsidP="00A11ED0">
            <w:pPr>
              <w:jc w:val="both"/>
              <w:rPr>
                <w:rFonts w:ascii="Arial" w:eastAsia="Calibri" w:hAnsi="Arial" w:cs="Arial"/>
                <w:sz w:val="22"/>
                <w:szCs w:val="22"/>
                <w:lang w:eastAsia="zh-CN"/>
              </w:rPr>
            </w:pPr>
            <w:r>
              <w:rPr>
                <w:rFonts w:ascii="Arial" w:eastAsia="Calibri" w:hAnsi="Arial" w:cs="Arial"/>
                <w:sz w:val="22"/>
                <w:szCs w:val="22"/>
                <w:lang w:eastAsia="zh-CN"/>
              </w:rPr>
              <w:t>3.2</w:t>
            </w:r>
            <w:r w:rsidR="00A11ED0" w:rsidRPr="00A11ED0">
              <w:rPr>
                <w:rFonts w:ascii="Arial" w:eastAsia="Calibri" w:hAnsi="Arial" w:cs="Arial"/>
                <w:sz w:val="22"/>
                <w:szCs w:val="22"/>
                <w:lang w:eastAsia="zh-CN"/>
              </w:rPr>
              <w:t>: Izrada i implementacija projekata za privlačenje kadrova za potrebe VCG (Indikator uspjeha: Proširena baza kvalitetnih kandidata za obrazovanje na vojnim akademijama i vojni poziv)</w:t>
            </w:r>
          </w:p>
          <w:p w:rsidR="00001016" w:rsidRDefault="00001016" w:rsidP="00A11ED0">
            <w:pPr>
              <w:jc w:val="both"/>
              <w:rPr>
                <w:rFonts w:ascii="Arial" w:eastAsia="Calibri" w:hAnsi="Arial" w:cs="Arial"/>
                <w:sz w:val="22"/>
                <w:szCs w:val="22"/>
                <w:lang w:eastAsia="zh-CN"/>
              </w:rPr>
            </w:pPr>
            <w:r>
              <w:rPr>
                <w:rFonts w:ascii="Arial" w:eastAsia="Calibri" w:hAnsi="Arial" w:cs="Arial"/>
                <w:sz w:val="22"/>
                <w:szCs w:val="22"/>
                <w:lang w:eastAsia="zh-CN"/>
              </w:rPr>
              <w:t xml:space="preserve">3.3. </w:t>
            </w:r>
            <w:r w:rsidRPr="00001016">
              <w:rPr>
                <w:rFonts w:ascii="Arial" w:eastAsia="Calibri" w:hAnsi="Arial" w:cs="Arial"/>
                <w:sz w:val="22"/>
                <w:szCs w:val="22"/>
                <w:lang w:eastAsia="zh-CN"/>
              </w:rPr>
              <w:t>Sprovođenje projekta Vojska Crne Gore i mladi-udružimo potencijale</w:t>
            </w:r>
          </w:p>
          <w:p w:rsidR="00001016" w:rsidRPr="00C723A0" w:rsidRDefault="00001016" w:rsidP="00A11ED0">
            <w:pPr>
              <w:jc w:val="both"/>
              <w:rPr>
                <w:rFonts w:ascii="Arial" w:eastAsia="Calibri" w:hAnsi="Arial" w:cs="Arial"/>
                <w:sz w:val="22"/>
                <w:szCs w:val="22"/>
                <w:lang w:eastAsia="zh-CN"/>
              </w:rPr>
            </w:pPr>
            <w:r>
              <w:rPr>
                <w:rFonts w:ascii="Arial" w:eastAsia="Calibri" w:hAnsi="Arial" w:cs="Arial"/>
                <w:sz w:val="22"/>
                <w:szCs w:val="22"/>
                <w:lang w:eastAsia="zh-CN"/>
              </w:rPr>
              <w:t xml:space="preserve">3.4. </w:t>
            </w:r>
            <w:r w:rsidRPr="00001016">
              <w:rPr>
                <w:rFonts w:ascii="Arial" w:eastAsia="Calibri" w:hAnsi="Arial" w:cs="Arial"/>
                <w:sz w:val="22"/>
                <w:szCs w:val="22"/>
                <w:lang w:eastAsia="zh-CN"/>
              </w:rPr>
              <w:t>Objavljivanje javnih konkursa za finansiranje projekata i programa NVO: uspostavljanje Savjetodavne kancelarije i formiranje savjetodavnog tima; Izrada sajta za promovisanje vojnog poziva; Nevladin sektor kao partner u promociji vojnog poziva</w:t>
            </w:r>
          </w:p>
        </w:tc>
      </w:tr>
    </w:tbl>
    <w:p w:rsidR="001A66A4" w:rsidRPr="00C723A0" w:rsidRDefault="001A66A4" w:rsidP="00FA7F83">
      <w:pPr>
        <w:rPr>
          <w:rFonts w:ascii="Arial" w:hAnsi="Arial" w:cs="Arial"/>
          <w:b/>
          <w:sz w:val="22"/>
          <w:szCs w:val="22"/>
        </w:rPr>
      </w:pPr>
    </w:p>
    <w:p w:rsidR="003C6DFF" w:rsidRPr="00C723A0" w:rsidRDefault="001C4B80" w:rsidP="00DF5C60">
      <w:pPr>
        <w:pStyle w:val="Heading2"/>
      </w:pPr>
      <w:r w:rsidRPr="00C723A0">
        <w:t>Obrazloži</w:t>
      </w:r>
      <w:r w:rsidR="00C53162" w:rsidRPr="00C723A0">
        <w:t>iti na koji</w:t>
      </w:r>
      <w:r w:rsidR="00E23E73" w:rsidRPr="00C723A0">
        <w:t xml:space="preserve"> </w:t>
      </w:r>
      <w:r w:rsidR="00D0527A" w:rsidRPr="00C723A0">
        <w:t>način</w:t>
      </w:r>
      <w:r w:rsidRPr="00C723A0">
        <w:t xml:space="preserve"> </w:t>
      </w:r>
      <w:r w:rsidR="00DE421F" w:rsidRPr="00C723A0">
        <w:t>nevladin</w:t>
      </w:r>
      <w:r w:rsidR="00C53162" w:rsidRPr="00C723A0">
        <w:t xml:space="preserve">e </w:t>
      </w:r>
      <w:r w:rsidRPr="00C723A0">
        <w:t>organizacij</w:t>
      </w:r>
      <w:r w:rsidR="00C53162" w:rsidRPr="00C723A0">
        <w:t>e mogu</w:t>
      </w:r>
      <w:r w:rsidR="00E23E73" w:rsidRPr="00C723A0">
        <w:t xml:space="preserve"> doprin</w:t>
      </w:r>
      <w:r w:rsidR="00C53162" w:rsidRPr="00C723A0">
        <w:t xml:space="preserve">ijeti </w:t>
      </w:r>
      <w:r w:rsidRPr="00C723A0">
        <w:t>rješavanju problema</w:t>
      </w:r>
      <w:r w:rsidR="00DE421F" w:rsidRPr="00C723A0">
        <w:t xml:space="preserve"> identifikov</w:t>
      </w:r>
      <w:r w:rsidR="00752ACE" w:rsidRPr="00C723A0">
        <w:t xml:space="preserve">anih pod </w:t>
      </w:r>
      <w:r w:rsidR="004F6DEE" w:rsidRPr="00C723A0">
        <w:t xml:space="preserve">tačkom </w:t>
      </w:r>
      <w:r w:rsidR="00403460" w:rsidRPr="00C723A0">
        <w:t>2</w:t>
      </w:r>
      <w:r w:rsidR="00752ACE" w:rsidRPr="00C723A0">
        <w:t>.1.</w:t>
      </w:r>
      <w:r w:rsidR="003C6DFF" w:rsidRPr="00C723A0">
        <w:t xml:space="preserve">, </w:t>
      </w:r>
      <w:r w:rsidR="00C53162" w:rsidRPr="00C723A0">
        <w:t xml:space="preserve">kako se planira praćenje i vrednovanje njihovog doprinosa </w:t>
      </w:r>
      <w:r w:rsidR="00DE421F" w:rsidRPr="00C723A0">
        <w:t xml:space="preserve">rješavanju </w:t>
      </w:r>
      <w:r w:rsidRPr="00C723A0">
        <w:t>pomenutih problema</w:t>
      </w:r>
      <w:r w:rsidR="003C6DFF" w:rsidRPr="00C723A0">
        <w:t>. Nave</w:t>
      </w:r>
      <w:r w:rsidR="00C53162" w:rsidRPr="00C723A0">
        <w:t xml:space="preserve">sti </w:t>
      </w:r>
      <w:r w:rsidR="003C6DFF" w:rsidRPr="00C723A0">
        <w:t>konkretne mjerljive pokazatelje</w:t>
      </w:r>
      <w:r w:rsidR="00E23E73" w:rsidRPr="00C723A0">
        <w:t>/</w:t>
      </w:r>
      <w:r w:rsidR="00C53162" w:rsidRPr="00C723A0">
        <w:t>indikatore</w:t>
      </w:r>
      <w:r w:rsidR="003C6DFF" w:rsidRPr="00C723A0">
        <w:t xml:space="preserve"> (</w:t>
      </w:r>
      <w:r w:rsidR="00DE421F" w:rsidRPr="00C723A0">
        <w:t>informacije iz u</w:t>
      </w:r>
      <w:r w:rsidR="00EB3929" w:rsidRPr="00C723A0">
        <w:t>porednih analiza, izvještaja, rezultata istraživanja, studija, i drugi dostupni statistički podaci</w:t>
      </w:r>
      <w:r w:rsidR="003C6DFF" w:rsidRPr="00C723A0">
        <w:t>)</w:t>
      </w:r>
      <w:r w:rsidR="0054217F" w:rsidRPr="00C723A0">
        <w:t>,</w:t>
      </w:r>
      <w:r w:rsidR="003C6DFF" w:rsidRPr="00C723A0">
        <w:t xml:space="preserve"> </w:t>
      </w:r>
      <w:r w:rsidR="00EB3929" w:rsidRPr="00C723A0">
        <w:t xml:space="preserve">kojima </w:t>
      </w:r>
      <w:r w:rsidR="00C53162" w:rsidRPr="00C723A0">
        <w:t xml:space="preserve">se </w:t>
      </w:r>
      <w:r w:rsidR="00EB3929" w:rsidRPr="00C723A0">
        <w:t>planira</w:t>
      </w:r>
      <w:r w:rsidR="00C53162" w:rsidRPr="00C723A0">
        <w:t xml:space="preserve"> </w:t>
      </w:r>
      <w:r w:rsidR="00EB3929" w:rsidRPr="00C723A0">
        <w:t>mjer</w:t>
      </w:r>
      <w:r w:rsidR="00C53162" w:rsidRPr="00C723A0">
        <w:t xml:space="preserve">enje </w:t>
      </w:r>
      <w:r w:rsidR="00EB3929" w:rsidRPr="00C723A0">
        <w:t>doprinos</w:t>
      </w:r>
      <w:r w:rsidR="00C53162" w:rsidRPr="00C723A0">
        <w:t>a</w:t>
      </w:r>
      <w:r w:rsidR="00EB3929" w:rsidRPr="00C723A0">
        <w:t xml:space="preserve"> </w:t>
      </w:r>
      <w:r w:rsidR="00DE421F" w:rsidRPr="00C723A0">
        <w:t xml:space="preserve">nevladinih </w:t>
      </w:r>
      <w:r w:rsidR="00EB3929" w:rsidRPr="00C723A0">
        <w:t xml:space="preserve">organizacija </w:t>
      </w:r>
      <w:r w:rsidR="00DE421F" w:rsidRPr="00C723A0">
        <w:t>rješavanju identifikova</w:t>
      </w:r>
      <w:r w:rsidR="0054217F" w:rsidRPr="00C723A0">
        <w:t>nih problema i</w:t>
      </w:r>
      <w:r w:rsidR="00EB3929" w:rsidRPr="00C723A0">
        <w:t xml:space="preserve"> izvor </w:t>
      </w:r>
      <w:r w:rsidR="008D78FF" w:rsidRPr="00C723A0">
        <w:t>u kojem</w:t>
      </w:r>
      <w:r w:rsidR="00EB3929" w:rsidRPr="00C723A0">
        <w:t xml:space="preserve"> su takvi podaci dostupni.</w:t>
      </w:r>
    </w:p>
    <w:p w:rsidR="001C4B80" w:rsidRPr="00C723A0"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7"/>
        <w:gridCol w:w="4667"/>
      </w:tblGrid>
      <w:tr w:rsidR="00760575" w:rsidRPr="00C723A0" w:rsidTr="00562DC9">
        <w:tc>
          <w:tcPr>
            <w:tcW w:w="4666" w:type="dxa"/>
            <w:shd w:val="clear" w:color="auto" w:fill="FABF8F"/>
            <w:vAlign w:val="center"/>
          </w:tcPr>
          <w:p w:rsidR="00EB3929" w:rsidRPr="00C723A0" w:rsidRDefault="00EB3929" w:rsidP="00C53162">
            <w:pPr>
              <w:jc w:val="center"/>
              <w:rPr>
                <w:rFonts w:ascii="Arial" w:eastAsia="Calibri" w:hAnsi="Arial" w:cs="Arial"/>
                <w:b/>
                <w:color w:val="FFFFFF"/>
                <w:sz w:val="22"/>
                <w:szCs w:val="22"/>
              </w:rPr>
            </w:pPr>
            <w:r w:rsidRPr="00C723A0">
              <w:rPr>
                <w:rFonts w:ascii="Arial" w:eastAsia="Calibri" w:hAnsi="Arial" w:cs="Arial"/>
                <w:b/>
                <w:color w:val="FFFFFF"/>
                <w:sz w:val="22"/>
                <w:szCs w:val="22"/>
              </w:rPr>
              <w:t xml:space="preserve">Opis </w:t>
            </w:r>
            <w:r w:rsidR="00C53162" w:rsidRPr="00C723A0">
              <w:rPr>
                <w:rFonts w:ascii="Arial" w:eastAsia="Calibri" w:hAnsi="Arial" w:cs="Arial"/>
                <w:b/>
                <w:color w:val="FFFFFF"/>
                <w:sz w:val="22"/>
                <w:szCs w:val="22"/>
              </w:rPr>
              <w:t xml:space="preserve">načina </w:t>
            </w:r>
            <w:r w:rsidRPr="00C723A0">
              <w:rPr>
                <w:rFonts w:ascii="Arial" w:eastAsia="Calibri" w:hAnsi="Arial" w:cs="Arial"/>
                <w:b/>
                <w:color w:val="FFFFFF"/>
                <w:sz w:val="22"/>
                <w:szCs w:val="22"/>
              </w:rPr>
              <w:t xml:space="preserve">doprinosa </w:t>
            </w:r>
            <w:r w:rsidR="00DE421F" w:rsidRPr="00C723A0">
              <w:rPr>
                <w:rFonts w:ascii="Arial" w:eastAsia="Calibri" w:hAnsi="Arial" w:cs="Arial"/>
                <w:b/>
                <w:color w:val="FFFFFF"/>
                <w:sz w:val="22"/>
                <w:szCs w:val="22"/>
              </w:rPr>
              <w:t>nevladinih organizacija</w:t>
            </w:r>
            <w:r w:rsidRPr="00C723A0">
              <w:rPr>
                <w:rFonts w:ascii="Arial" w:eastAsia="Calibri" w:hAnsi="Arial" w:cs="Arial"/>
                <w:b/>
                <w:color w:val="FFFFFF"/>
                <w:sz w:val="22"/>
                <w:szCs w:val="22"/>
              </w:rPr>
              <w:t xml:space="preserve"> u rješavanju problema</w:t>
            </w:r>
            <w:r w:rsidR="00184B48" w:rsidRPr="00C723A0">
              <w:rPr>
                <w:rFonts w:ascii="Arial" w:eastAsia="Calibri" w:hAnsi="Arial" w:cs="Arial"/>
                <w:b/>
                <w:color w:val="FFFFFF"/>
                <w:sz w:val="22"/>
                <w:szCs w:val="22"/>
              </w:rPr>
              <w:t xml:space="preserve"> </w:t>
            </w:r>
          </w:p>
        </w:tc>
        <w:tc>
          <w:tcPr>
            <w:tcW w:w="4667" w:type="dxa"/>
            <w:shd w:val="clear" w:color="auto" w:fill="FABF8F"/>
            <w:vAlign w:val="center"/>
          </w:tcPr>
          <w:p w:rsidR="00EB3929" w:rsidRPr="00C723A0" w:rsidRDefault="00D24D22" w:rsidP="00760575">
            <w:pPr>
              <w:jc w:val="center"/>
              <w:rPr>
                <w:rFonts w:ascii="Arial" w:eastAsia="Calibri" w:hAnsi="Arial" w:cs="Arial"/>
                <w:b/>
                <w:color w:val="FFFFFF"/>
                <w:sz w:val="22"/>
                <w:szCs w:val="22"/>
              </w:rPr>
            </w:pPr>
            <w:r w:rsidRPr="00C723A0">
              <w:rPr>
                <w:rFonts w:ascii="Arial" w:eastAsia="Calibri" w:hAnsi="Arial" w:cs="Arial"/>
                <w:b/>
                <w:color w:val="FFFFFF"/>
                <w:sz w:val="22"/>
                <w:szCs w:val="22"/>
              </w:rPr>
              <w:t>Konkretni mjer</w:t>
            </w:r>
            <w:r w:rsidR="00EB3929" w:rsidRPr="00C723A0">
              <w:rPr>
                <w:rFonts w:ascii="Arial" w:eastAsia="Calibri" w:hAnsi="Arial" w:cs="Arial"/>
                <w:b/>
                <w:color w:val="FFFFFF"/>
                <w:sz w:val="22"/>
                <w:szCs w:val="22"/>
              </w:rPr>
              <w:t xml:space="preserve">ljivi pokazatelji doprinosa </w:t>
            </w:r>
            <w:r w:rsidR="00DE421F" w:rsidRPr="00C723A0">
              <w:rPr>
                <w:rFonts w:ascii="Arial" w:eastAsia="Calibri" w:hAnsi="Arial" w:cs="Arial"/>
                <w:b/>
                <w:color w:val="FFFFFF"/>
                <w:sz w:val="22"/>
                <w:szCs w:val="22"/>
              </w:rPr>
              <w:t>nevladinih organizacija</w:t>
            </w:r>
          </w:p>
        </w:tc>
        <w:tc>
          <w:tcPr>
            <w:tcW w:w="4667" w:type="dxa"/>
            <w:shd w:val="clear" w:color="auto" w:fill="FABF8F"/>
            <w:vAlign w:val="center"/>
          </w:tcPr>
          <w:p w:rsidR="00EB3929" w:rsidRPr="00C723A0" w:rsidRDefault="00EB3929" w:rsidP="00760575">
            <w:pPr>
              <w:jc w:val="center"/>
              <w:rPr>
                <w:rFonts w:ascii="Arial" w:eastAsia="Calibri" w:hAnsi="Arial" w:cs="Arial"/>
                <w:b/>
                <w:color w:val="FFFFFF"/>
                <w:sz w:val="22"/>
                <w:szCs w:val="22"/>
              </w:rPr>
            </w:pPr>
            <w:r w:rsidRPr="00C723A0">
              <w:rPr>
                <w:rFonts w:ascii="Arial" w:eastAsia="Calibri" w:hAnsi="Arial" w:cs="Arial"/>
                <w:b/>
                <w:color w:val="FFFFFF"/>
                <w:sz w:val="22"/>
                <w:szCs w:val="22"/>
              </w:rPr>
              <w:t>Izvor(i) podataka</w:t>
            </w:r>
          </w:p>
        </w:tc>
      </w:tr>
      <w:tr w:rsidR="00760575" w:rsidRPr="00C723A0" w:rsidTr="007461DA">
        <w:trPr>
          <w:trHeight w:val="159"/>
        </w:trPr>
        <w:tc>
          <w:tcPr>
            <w:tcW w:w="4666" w:type="dxa"/>
          </w:tcPr>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Kroz saradnju sa NVO koje se bave projektima namijenjenim djeci u osnovnim i srednjim školama, kao i univerzitetskoj populaciji, povećava se informisanost o Vojsci, njenoj ulozi i značaju u sistemu odbrane</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 xml:space="preserve">- Kroz zajediničke aktivnosti, Vojska Crne Gore postaje otvoreniji sistem </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 Povećava se broj zainteresovanih za vojni poziv i obrazovanje na vojnim akademijama</w:t>
            </w:r>
          </w:p>
          <w:p w:rsidR="007372E6" w:rsidRPr="00C723A0" w:rsidRDefault="00C9799F" w:rsidP="00A11ED0">
            <w:pPr>
              <w:jc w:val="both"/>
              <w:rPr>
                <w:rFonts w:ascii="Arial" w:eastAsia="Calibri" w:hAnsi="Arial" w:cs="Arial"/>
                <w:sz w:val="22"/>
                <w:szCs w:val="22"/>
              </w:rPr>
            </w:pPr>
            <w:r>
              <w:rPr>
                <w:rFonts w:ascii="Arial" w:eastAsia="Calibri" w:hAnsi="Arial" w:cs="Arial"/>
                <w:sz w:val="22"/>
                <w:szCs w:val="22"/>
              </w:rPr>
              <w:t>-</w:t>
            </w:r>
            <w:r w:rsidR="00A11ED0" w:rsidRPr="00A11ED0">
              <w:rPr>
                <w:rFonts w:ascii="Arial" w:eastAsia="Calibri" w:hAnsi="Arial" w:cs="Arial"/>
                <w:sz w:val="22"/>
                <w:szCs w:val="22"/>
              </w:rPr>
              <w:t xml:space="preserve">Povećanjem broja zainteresovanih omogućava se selekcija najboljih i </w:t>
            </w:r>
            <w:r w:rsidR="00A11ED0" w:rsidRPr="00A11ED0">
              <w:rPr>
                <w:rFonts w:ascii="Arial" w:eastAsia="Calibri" w:hAnsi="Arial" w:cs="Arial"/>
                <w:sz w:val="22"/>
                <w:szCs w:val="22"/>
              </w:rPr>
              <w:lastRenderedPageBreak/>
              <w:t>najkvalitetnijih kandidata</w:t>
            </w:r>
          </w:p>
          <w:p w:rsidR="007372E6" w:rsidRPr="00C723A0" w:rsidRDefault="007372E6" w:rsidP="004758A9">
            <w:pPr>
              <w:jc w:val="both"/>
              <w:rPr>
                <w:rFonts w:ascii="Arial" w:eastAsia="Calibri" w:hAnsi="Arial" w:cs="Arial"/>
                <w:sz w:val="22"/>
                <w:szCs w:val="22"/>
              </w:rPr>
            </w:pPr>
          </w:p>
        </w:tc>
        <w:tc>
          <w:tcPr>
            <w:tcW w:w="4667" w:type="dxa"/>
            <w:shd w:val="clear" w:color="auto" w:fill="FFFFFF"/>
          </w:tcPr>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lastRenderedPageBreak/>
              <w:t>-</w:t>
            </w:r>
            <w:r w:rsidRPr="00A11ED0">
              <w:rPr>
                <w:rFonts w:ascii="Arial" w:eastAsia="Calibri" w:hAnsi="Arial" w:cs="Arial"/>
                <w:sz w:val="22"/>
                <w:szCs w:val="22"/>
              </w:rPr>
              <w:tab/>
              <w:t>Povećana informisanost djece u osnovnim i srednjim školama, i univerzitetske populacije o Vojsci</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w:t>
            </w:r>
            <w:r w:rsidRPr="00A11ED0">
              <w:rPr>
                <w:rFonts w:ascii="Arial" w:eastAsia="Calibri" w:hAnsi="Arial" w:cs="Arial"/>
                <w:sz w:val="22"/>
                <w:szCs w:val="22"/>
              </w:rPr>
              <w:tab/>
              <w:t>Povećana informisanost o projektima Ministarstva namijenjenim mlađoj populaciji</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w:t>
            </w:r>
            <w:r w:rsidRPr="00A11ED0">
              <w:rPr>
                <w:rFonts w:ascii="Arial" w:eastAsia="Calibri" w:hAnsi="Arial" w:cs="Arial"/>
                <w:sz w:val="22"/>
                <w:szCs w:val="22"/>
              </w:rPr>
              <w:tab/>
              <w:t xml:space="preserve">Proširena baza kvalitetnih  broj kandidata za obrazovanje na vojnim akademijama i stipendiranje na obrazovnim institucijama u zemlji za potrebe VCG </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w:t>
            </w:r>
            <w:r w:rsidRPr="00A11ED0">
              <w:rPr>
                <w:rFonts w:ascii="Arial" w:eastAsia="Calibri" w:hAnsi="Arial" w:cs="Arial"/>
                <w:sz w:val="22"/>
                <w:szCs w:val="22"/>
              </w:rPr>
              <w:tab/>
              <w:t>Povećan broj učesnika u projektima Ministarstva</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w:t>
            </w:r>
            <w:r w:rsidRPr="00A11ED0">
              <w:rPr>
                <w:rFonts w:ascii="Arial" w:eastAsia="Calibri" w:hAnsi="Arial" w:cs="Arial"/>
                <w:sz w:val="22"/>
                <w:szCs w:val="22"/>
              </w:rPr>
              <w:tab/>
              <w:t xml:space="preserve">Obezbijeđen zadovoljavajući broj </w:t>
            </w:r>
            <w:r w:rsidRPr="00A11ED0">
              <w:rPr>
                <w:rFonts w:ascii="Arial" w:eastAsia="Calibri" w:hAnsi="Arial" w:cs="Arial"/>
                <w:sz w:val="22"/>
                <w:szCs w:val="22"/>
              </w:rPr>
              <w:lastRenderedPageBreak/>
              <w:t>kvalitetnih kandidata za stipendiranje i buduće dobrovoljno služenje vojnog roka</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w:t>
            </w:r>
            <w:r w:rsidRPr="00A11ED0">
              <w:rPr>
                <w:rFonts w:ascii="Arial" w:eastAsia="Calibri" w:hAnsi="Arial" w:cs="Arial"/>
                <w:sz w:val="22"/>
                <w:szCs w:val="22"/>
              </w:rPr>
              <w:tab/>
              <w:t>Povećan broj aktivnosti (rasprava/ događaja) u partnerstvu Ministarstva i nevladinih organizacija</w:t>
            </w:r>
          </w:p>
          <w:p w:rsidR="00B3369C" w:rsidRPr="00543FE8" w:rsidRDefault="00A11ED0" w:rsidP="00A11ED0">
            <w:pPr>
              <w:jc w:val="both"/>
              <w:rPr>
                <w:rFonts w:ascii="Arial" w:eastAsia="Calibri" w:hAnsi="Arial" w:cs="Arial"/>
                <w:sz w:val="22"/>
                <w:szCs w:val="22"/>
              </w:rPr>
            </w:pPr>
            <w:r w:rsidRPr="00A11ED0">
              <w:rPr>
                <w:rFonts w:ascii="Arial" w:eastAsia="Calibri" w:hAnsi="Arial" w:cs="Arial"/>
                <w:sz w:val="22"/>
                <w:szCs w:val="22"/>
              </w:rPr>
              <w:t>-</w:t>
            </w:r>
            <w:r w:rsidRPr="00A11ED0">
              <w:rPr>
                <w:rFonts w:ascii="Arial" w:eastAsia="Calibri" w:hAnsi="Arial" w:cs="Arial"/>
                <w:sz w:val="22"/>
                <w:szCs w:val="22"/>
              </w:rPr>
              <w:tab/>
              <w:t>Povećan broj medijskih objava o održanim zajedničkim aktivnostima</w:t>
            </w:r>
          </w:p>
        </w:tc>
        <w:tc>
          <w:tcPr>
            <w:tcW w:w="4667" w:type="dxa"/>
            <w:shd w:val="clear" w:color="auto" w:fill="FFFFFF"/>
          </w:tcPr>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lastRenderedPageBreak/>
              <w:t>Izvještaji nevladinih organizacija o uspješnosti projektnih rješenja</w:t>
            </w:r>
          </w:p>
          <w:p w:rsidR="00A11ED0" w:rsidRPr="00A11ED0" w:rsidRDefault="00A11ED0" w:rsidP="00A11ED0">
            <w:pPr>
              <w:jc w:val="both"/>
              <w:rPr>
                <w:rFonts w:ascii="Arial" w:eastAsia="Calibri" w:hAnsi="Arial" w:cs="Arial"/>
                <w:sz w:val="22"/>
                <w:szCs w:val="22"/>
              </w:rPr>
            </w:pP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Istraživanja javnog mnjenja</w:t>
            </w:r>
          </w:p>
          <w:p w:rsidR="00A11ED0" w:rsidRPr="00A11ED0" w:rsidRDefault="00A11ED0" w:rsidP="00A11ED0">
            <w:pPr>
              <w:jc w:val="both"/>
              <w:rPr>
                <w:rFonts w:ascii="Arial" w:eastAsia="Calibri" w:hAnsi="Arial" w:cs="Arial"/>
                <w:sz w:val="22"/>
                <w:szCs w:val="22"/>
              </w:rPr>
            </w:pP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Analize Ministarstva o sprovođenju javnih oglasa</w:t>
            </w:r>
          </w:p>
          <w:p w:rsidR="00A11ED0" w:rsidRPr="00A11ED0" w:rsidRDefault="00A11ED0" w:rsidP="00A11ED0">
            <w:pPr>
              <w:jc w:val="both"/>
              <w:rPr>
                <w:rFonts w:ascii="Arial" w:eastAsia="Calibri" w:hAnsi="Arial" w:cs="Arial"/>
                <w:sz w:val="22"/>
                <w:szCs w:val="22"/>
              </w:rPr>
            </w:pP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Analize Minstarstva o uspješnosti projekata</w:t>
            </w:r>
          </w:p>
          <w:p w:rsidR="00A11ED0" w:rsidRPr="00A11ED0" w:rsidRDefault="00A11ED0" w:rsidP="00A11ED0">
            <w:pPr>
              <w:jc w:val="both"/>
              <w:rPr>
                <w:rFonts w:ascii="Arial" w:eastAsia="Calibri" w:hAnsi="Arial" w:cs="Arial"/>
                <w:sz w:val="22"/>
                <w:szCs w:val="22"/>
              </w:rPr>
            </w:pP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 xml:space="preserve">Analize Ministarstva o sprovođenju oglasa za stipendiranje, odnosno dobrovoljno služenje </w:t>
            </w:r>
            <w:r w:rsidRPr="00A11ED0">
              <w:rPr>
                <w:rFonts w:ascii="Arial" w:eastAsia="Calibri" w:hAnsi="Arial" w:cs="Arial"/>
                <w:sz w:val="22"/>
                <w:szCs w:val="22"/>
              </w:rPr>
              <w:lastRenderedPageBreak/>
              <w:t>vojnog roka</w:t>
            </w:r>
          </w:p>
          <w:p w:rsidR="00A11ED0" w:rsidRPr="00A11ED0" w:rsidRDefault="00A11ED0" w:rsidP="00A11ED0">
            <w:pPr>
              <w:jc w:val="both"/>
              <w:rPr>
                <w:rFonts w:ascii="Arial" w:eastAsia="Calibri" w:hAnsi="Arial" w:cs="Arial"/>
                <w:sz w:val="22"/>
                <w:szCs w:val="22"/>
              </w:rPr>
            </w:pPr>
          </w:p>
          <w:p w:rsidR="00B3369C" w:rsidRPr="00C723A0" w:rsidRDefault="00A11ED0" w:rsidP="00A11ED0">
            <w:pPr>
              <w:jc w:val="both"/>
              <w:rPr>
                <w:rFonts w:ascii="Arial" w:eastAsia="Calibri" w:hAnsi="Arial" w:cs="Arial"/>
                <w:sz w:val="22"/>
                <w:szCs w:val="22"/>
              </w:rPr>
            </w:pPr>
            <w:r w:rsidRPr="00A11ED0">
              <w:rPr>
                <w:rFonts w:ascii="Arial" w:eastAsia="Calibri" w:hAnsi="Arial" w:cs="Arial"/>
                <w:sz w:val="22"/>
                <w:szCs w:val="22"/>
              </w:rPr>
              <w:t>Izvještaji o saradnji sa NVO</w:t>
            </w:r>
          </w:p>
        </w:tc>
      </w:tr>
    </w:tbl>
    <w:p w:rsidR="003B26C8" w:rsidRPr="00C723A0" w:rsidRDefault="003B26C8" w:rsidP="00DF5C60">
      <w:pPr>
        <w:rPr>
          <w:rFonts w:ascii="Arial" w:hAnsi="Arial" w:cs="Arial"/>
        </w:rPr>
      </w:pPr>
    </w:p>
    <w:p w:rsidR="001C4B80" w:rsidRPr="00C723A0" w:rsidRDefault="00A458F0" w:rsidP="00DF5C60">
      <w:pPr>
        <w:pStyle w:val="Heading1"/>
      </w:pPr>
      <w:r w:rsidRPr="00C723A0">
        <w:t xml:space="preserve">OSTVARIVANJE </w:t>
      </w:r>
      <w:r w:rsidR="001C4B80" w:rsidRPr="00C723A0">
        <w:t>STRATEŠKI</w:t>
      </w:r>
      <w:r w:rsidRPr="00C723A0">
        <w:t>H</w:t>
      </w:r>
      <w:r w:rsidR="001C4B80" w:rsidRPr="00C723A0">
        <w:t xml:space="preserve"> </w:t>
      </w:r>
      <w:r w:rsidRPr="00C723A0">
        <w:t>CILJEVA</w:t>
      </w:r>
    </w:p>
    <w:p w:rsidR="00830A6E" w:rsidRPr="00C723A0" w:rsidRDefault="00830A6E" w:rsidP="00DF5C60">
      <w:pPr>
        <w:rPr>
          <w:rFonts w:ascii="Arial" w:hAnsi="Arial" w:cs="Arial"/>
        </w:rPr>
      </w:pPr>
    </w:p>
    <w:p w:rsidR="001C4B80" w:rsidRPr="00C723A0" w:rsidRDefault="001C4B80" w:rsidP="00DF5C60">
      <w:pPr>
        <w:pStyle w:val="Heading2"/>
      </w:pPr>
      <w:r w:rsidRPr="00C723A0">
        <w:t>Nave</w:t>
      </w:r>
      <w:r w:rsidR="00830A6E" w:rsidRPr="00C723A0">
        <w:t>sti</w:t>
      </w:r>
      <w:r w:rsidRPr="00C723A0">
        <w:t xml:space="preserve"> ključne strateške ciljeve iz sektorske nadležnosti </w:t>
      </w:r>
      <w:r w:rsidR="00752ACE" w:rsidRPr="00C723A0">
        <w:t xml:space="preserve">čijem </w:t>
      </w:r>
      <w:r w:rsidR="009C2BA7" w:rsidRPr="00C723A0">
        <w:t xml:space="preserve">će </w:t>
      </w:r>
      <w:r w:rsidR="00752ACE" w:rsidRPr="00C723A0">
        <w:t xml:space="preserve">ostvarenju </w:t>
      </w:r>
      <w:r w:rsidRPr="00C723A0">
        <w:t>u 20</w:t>
      </w:r>
      <w:r w:rsidR="00543FE8">
        <w:t>19</w:t>
      </w:r>
      <w:r w:rsidR="00830A6E" w:rsidRPr="00C723A0">
        <w:t xml:space="preserve">. godini </w:t>
      </w:r>
      <w:r w:rsidR="00752ACE" w:rsidRPr="00C723A0">
        <w:t xml:space="preserve">doprinijeti projekti i programi </w:t>
      </w:r>
      <w:r w:rsidR="006A3D46" w:rsidRPr="00C723A0">
        <w:t xml:space="preserve">nevladinih </w:t>
      </w:r>
      <w:r w:rsidRPr="00C723A0">
        <w:t xml:space="preserve">organizacija </w:t>
      </w:r>
      <w:r w:rsidR="006A3D46" w:rsidRPr="00C723A0">
        <w:t>koj</w:t>
      </w:r>
      <w:r w:rsidR="00830A6E" w:rsidRPr="00C723A0">
        <w:t>i se</w:t>
      </w:r>
      <w:r w:rsidR="008005DC" w:rsidRPr="00C723A0">
        <w:t xml:space="preserve"> </w:t>
      </w:r>
      <w:r w:rsidR="006A3D46" w:rsidRPr="00C723A0">
        <w:t>planira</w:t>
      </w:r>
      <w:r w:rsidR="00830A6E" w:rsidRPr="00C723A0">
        <w:t xml:space="preserve">ju </w:t>
      </w:r>
      <w:r w:rsidR="006A3D46" w:rsidRPr="00C723A0">
        <w:t>finans</w:t>
      </w:r>
      <w:r w:rsidR="0030282D" w:rsidRPr="00C723A0">
        <w:t>irati.</w:t>
      </w:r>
    </w:p>
    <w:p w:rsidR="001C4B80" w:rsidRPr="00C723A0" w:rsidRDefault="001C4B80" w:rsidP="00DF5C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458F0" w:rsidRPr="00C723A0" w:rsidTr="00562DC9">
        <w:trPr>
          <w:trHeight w:val="881"/>
        </w:trPr>
        <w:tc>
          <w:tcPr>
            <w:tcW w:w="7071" w:type="dxa"/>
            <w:shd w:val="clear" w:color="auto" w:fill="FABF8F"/>
            <w:vAlign w:val="center"/>
          </w:tcPr>
          <w:p w:rsidR="006E4F7F" w:rsidRPr="00C723A0" w:rsidRDefault="00A458F0" w:rsidP="00E443ED">
            <w:pPr>
              <w:jc w:val="center"/>
              <w:rPr>
                <w:rFonts w:ascii="Arial" w:eastAsia="Calibri" w:hAnsi="Arial" w:cs="Arial"/>
                <w:b/>
                <w:color w:val="FFFFFF"/>
                <w:sz w:val="22"/>
                <w:szCs w:val="22"/>
              </w:rPr>
            </w:pPr>
            <w:r w:rsidRPr="00C723A0">
              <w:rPr>
                <w:rFonts w:ascii="Arial" w:eastAsia="Calibri" w:hAnsi="Arial" w:cs="Arial"/>
                <w:b/>
                <w:color w:val="FFFFFF"/>
                <w:sz w:val="22"/>
                <w:szCs w:val="22"/>
              </w:rPr>
              <w:t xml:space="preserve">Strateški cilj(evi) čijem ostvarenju će doprinijeti </w:t>
            </w:r>
            <w:r w:rsidR="008060A7" w:rsidRPr="00C723A0">
              <w:rPr>
                <w:rFonts w:ascii="Arial" w:eastAsia="Calibri" w:hAnsi="Arial" w:cs="Arial"/>
                <w:b/>
                <w:color w:val="FFFFFF"/>
                <w:sz w:val="22"/>
                <w:szCs w:val="22"/>
              </w:rPr>
              <w:t xml:space="preserve">javni </w:t>
            </w:r>
            <w:r w:rsidR="006A3D46" w:rsidRPr="00C723A0">
              <w:rPr>
                <w:rFonts w:ascii="Arial" w:eastAsia="Calibri" w:hAnsi="Arial" w:cs="Arial"/>
                <w:b/>
                <w:color w:val="FFFFFF"/>
                <w:sz w:val="22"/>
                <w:szCs w:val="22"/>
              </w:rPr>
              <w:t>konkurs</w:t>
            </w:r>
            <w:r w:rsidRPr="00C723A0">
              <w:rPr>
                <w:rFonts w:ascii="Arial" w:eastAsia="Calibri" w:hAnsi="Arial" w:cs="Arial"/>
                <w:b/>
                <w:color w:val="FFFFFF"/>
                <w:sz w:val="22"/>
                <w:szCs w:val="22"/>
              </w:rPr>
              <w:t xml:space="preserve"> za projekte i programe </w:t>
            </w:r>
            <w:r w:rsidR="006A3D46" w:rsidRPr="00C723A0">
              <w:rPr>
                <w:rFonts w:ascii="Arial" w:eastAsia="Calibri" w:hAnsi="Arial" w:cs="Arial"/>
                <w:b/>
                <w:color w:val="FFFFFF"/>
                <w:sz w:val="22"/>
                <w:szCs w:val="22"/>
              </w:rPr>
              <w:t>nevladinih organizacija</w:t>
            </w:r>
            <w:r w:rsidRPr="00C723A0">
              <w:rPr>
                <w:rFonts w:ascii="Arial" w:eastAsia="Calibri" w:hAnsi="Arial" w:cs="Arial"/>
                <w:b/>
                <w:color w:val="FFFFFF"/>
                <w:sz w:val="22"/>
                <w:szCs w:val="22"/>
              </w:rPr>
              <w:t xml:space="preserve"> </w:t>
            </w:r>
          </w:p>
          <w:p w:rsidR="00A458F0" w:rsidRPr="00C723A0" w:rsidDel="00752ACE" w:rsidRDefault="00A458F0" w:rsidP="008005DC">
            <w:pPr>
              <w:jc w:val="center"/>
              <w:rPr>
                <w:rFonts w:ascii="Arial" w:eastAsia="Calibri" w:hAnsi="Arial" w:cs="Arial"/>
                <w:b/>
                <w:color w:val="FFFFFF"/>
                <w:sz w:val="22"/>
                <w:szCs w:val="22"/>
              </w:rPr>
            </w:pPr>
            <w:r w:rsidRPr="00C723A0">
              <w:rPr>
                <w:rFonts w:ascii="Arial" w:eastAsia="Calibri" w:hAnsi="Arial" w:cs="Arial"/>
                <w:b/>
                <w:color w:val="FFFFFF"/>
                <w:sz w:val="22"/>
                <w:szCs w:val="22"/>
              </w:rPr>
              <w:t>u 20</w:t>
            </w:r>
            <w:r w:rsidR="00543FE8">
              <w:rPr>
                <w:rFonts w:ascii="Arial" w:eastAsia="Calibri" w:hAnsi="Arial" w:cs="Arial"/>
                <w:b/>
                <w:color w:val="FFFFFF"/>
                <w:sz w:val="22"/>
                <w:szCs w:val="22"/>
              </w:rPr>
              <w:t>19</w:t>
            </w:r>
            <w:r w:rsidRPr="00C723A0">
              <w:rPr>
                <w:rFonts w:ascii="Arial" w:eastAsia="Calibri" w:hAnsi="Arial" w:cs="Arial"/>
                <w:b/>
                <w:color w:val="FFFFFF"/>
                <w:sz w:val="22"/>
                <w:szCs w:val="22"/>
              </w:rPr>
              <w:t>.</w:t>
            </w:r>
            <w:r w:rsidR="000D45D7" w:rsidRPr="00C723A0">
              <w:rPr>
                <w:rFonts w:ascii="Arial" w:eastAsia="Calibri" w:hAnsi="Arial" w:cs="Arial"/>
                <w:b/>
                <w:color w:val="FFFFFF"/>
                <w:sz w:val="22"/>
                <w:szCs w:val="22"/>
              </w:rPr>
              <w:t xml:space="preserve"> </w:t>
            </w:r>
            <w:r w:rsidR="00B44DAE" w:rsidRPr="00C723A0">
              <w:rPr>
                <w:rFonts w:ascii="Arial" w:eastAsia="Calibri" w:hAnsi="Arial" w:cs="Arial"/>
                <w:b/>
                <w:color w:val="FFFFFF"/>
                <w:sz w:val="22"/>
                <w:szCs w:val="22"/>
              </w:rPr>
              <w:t>g</w:t>
            </w:r>
            <w:r w:rsidR="000D45D7" w:rsidRPr="00C723A0">
              <w:rPr>
                <w:rFonts w:ascii="Arial" w:eastAsia="Calibri" w:hAnsi="Arial" w:cs="Arial"/>
                <w:b/>
                <w:color w:val="FFFFFF"/>
                <w:sz w:val="22"/>
                <w:szCs w:val="22"/>
              </w:rPr>
              <w:t>odini</w:t>
            </w:r>
          </w:p>
        </w:tc>
        <w:tc>
          <w:tcPr>
            <w:tcW w:w="7071" w:type="dxa"/>
            <w:shd w:val="clear" w:color="auto" w:fill="FABF8F"/>
            <w:vAlign w:val="center"/>
          </w:tcPr>
          <w:p w:rsidR="001E0AD9" w:rsidRPr="00C723A0" w:rsidRDefault="00A458F0" w:rsidP="00213DB8">
            <w:pPr>
              <w:jc w:val="center"/>
              <w:rPr>
                <w:rFonts w:ascii="Arial" w:eastAsia="Calibri" w:hAnsi="Arial" w:cs="Arial"/>
                <w:b/>
                <w:color w:val="FFFFFF"/>
                <w:sz w:val="22"/>
                <w:szCs w:val="22"/>
              </w:rPr>
            </w:pPr>
            <w:r w:rsidRPr="00C723A0">
              <w:rPr>
                <w:rFonts w:ascii="Arial" w:eastAsia="Calibri" w:hAnsi="Arial" w:cs="Arial"/>
                <w:b/>
                <w:color w:val="FFFFFF"/>
                <w:sz w:val="22"/>
                <w:szCs w:val="22"/>
              </w:rPr>
              <w:t xml:space="preserve">Način na koji će </w:t>
            </w:r>
            <w:r w:rsidR="00AF3997" w:rsidRPr="00C723A0">
              <w:rPr>
                <w:rFonts w:ascii="Arial" w:eastAsia="Calibri" w:hAnsi="Arial" w:cs="Arial"/>
                <w:b/>
                <w:color w:val="FFFFFF"/>
                <w:sz w:val="22"/>
                <w:szCs w:val="22"/>
              </w:rPr>
              <w:t xml:space="preserve">javni </w:t>
            </w:r>
            <w:r w:rsidR="006A3D46" w:rsidRPr="00C723A0">
              <w:rPr>
                <w:rFonts w:ascii="Arial" w:eastAsia="Calibri" w:hAnsi="Arial" w:cs="Arial"/>
                <w:b/>
                <w:color w:val="FFFFFF"/>
                <w:sz w:val="22"/>
                <w:szCs w:val="22"/>
              </w:rPr>
              <w:t>konkurs</w:t>
            </w:r>
            <w:r w:rsidRPr="00C723A0">
              <w:rPr>
                <w:rFonts w:ascii="Arial" w:eastAsia="Calibri" w:hAnsi="Arial" w:cs="Arial"/>
                <w:b/>
                <w:color w:val="FFFFFF"/>
                <w:sz w:val="22"/>
                <w:szCs w:val="22"/>
              </w:rPr>
              <w:t xml:space="preserve"> za projekte i programe </w:t>
            </w:r>
            <w:r w:rsidR="006A3D46" w:rsidRPr="00C723A0">
              <w:rPr>
                <w:rFonts w:ascii="Arial" w:eastAsia="Calibri" w:hAnsi="Arial" w:cs="Arial"/>
                <w:b/>
                <w:color w:val="FFFFFF"/>
                <w:sz w:val="22"/>
                <w:szCs w:val="22"/>
              </w:rPr>
              <w:t xml:space="preserve">nevladinih organizacija </w:t>
            </w:r>
            <w:r w:rsidRPr="00C723A0">
              <w:rPr>
                <w:rFonts w:ascii="Arial" w:eastAsia="Calibri" w:hAnsi="Arial" w:cs="Arial"/>
                <w:b/>
                <w:color w:val="FFFFFF"/>
                <w:sz w:val="22"/>
                <w:szCs w:val="22"/>
              </w:rPr>
              <w:t>doprinijeti ostvarenju strat</w:t>
            </w:r>
            <w:r w:rsidR="000D45D7" w:rsidRPr="00C723A0">
              <w:rPr>
                <w:rFonts w:ascii="Arial" w:eastAsia="Calibri" w:hAnsi="Arial" w:cs="Arial"/>
                <w:b/>
                <w:color w:val="FFFFFF"/>
                <w:sz w:val="22"/>
                <w:szCs w:val="22"/>
              </w:rPr>
              <w:t xml:space="preserve">eških ciljeva </w:t>
            </w:r>
          </w:p>
          <w:p w:rsidR="00A458F0" w:rsidRPr="00C723A0" w:rsidRDefault="000D45D7" w:rsidP="00213DB8">
            <w:pPr>
              <w:jc w:val="center"/>
              <w:rPr>
                <w:rFonts w:ascii="Arial" w:eastAsia="Calibri" w:hAnsi="Arial" w:cs="Arial"/>
                <w:b/>
                <w:color w:val="FFFFFF"/>
                <w:sz w:val="22"/>
                <w:szCs w:val="22"/>
              </w:rPr>
            </w:pPr>
            <w:r w:rsidRPr="00C723A0">
              <w:rPr>
                <w:rFonts w:ascii="Arial" w:eastAsia="Calibri" w:hAnsi="Arial" w:cs="Arial"/>
                <w:b/>
                <w:color w:val="FFFFFF"/>
                <w:sz w:val="22"/>
                <w:szCs w:val="22"/>
              </w:rPr>
              <w:t>(ukratko opi</w:t>
            </w:r>
            <w:r w:rsidR="00213DB8" w:rsidRPr="00C723A0">
              <w:rPr>
                <w:rFonts w:ascii="Arial" w:eastAsia="Calibri" w:hAnsi="Arial" w:cs="Arial"/>
                <w:b/>
                <w:color w:val="FFFFFF"/>
                <w:sz w:val="22"/>
                <w:szCs w:val="22"/>
              </w:rPr>
              <w:t>sati</w:t>
            </w:r>
            <w:r w:rsidRPr="00C723A0">
              <w:rPr>
                <w:rFonts w:ascii="Arial" w:eastAsia="Calibri" w:hAnsi="Arial" w:cs="Arial"/>
                <w:b/>
                <w:color w:val="FFFFFF"/>
                <w:sz w:val="22"/>
                <w:szCs w:val="22"/>
              </w:rPr>
              <w:t>)</w:t>
            </w:r>
          </w:p>
        </w:tc>
      </w:tr>
      <w:tr w:rsidR="00A458F0" w:rsidRPr="00C723A0" w:rsidTr="00AF3569">
        <w:trPr>
          <w:trHeight w:val="70"/>
        </w:trPr>
        <w:tc>
          <w:tcPr>
            <w:tcW w:w="7071" w:type="dxa"/>
          </w:tcPr>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Privlačenje i zapošljavanje kvalitetnih kadrova sa adekvatnim kompetencijama i potencijalom za napredak.</w:t>
            </w:r>
          </w:p>
          <w:p w:rsidR="00A11ED0" w:rsidRPr="00A11ED0" w:rsidRDefault="00A11ED0" w:rsidP="00A11ED0">
            <w:pPr>
              <w:jc w:val="both"/>
              <w:rPr>
                <w:rFonts w:ascii="Arial" w:eastAsia="Calibri" w:hAnsi="Arial" w:cs="Arial"/>
                <w:sz w:val="22"/>
                <w:szCs w:val="22"/>
              </w:rPr>
            </w:pP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Uspostavljeni mehanizmi za privlačenje najkvalitetnih kadrova.</w:t>
            </w:r>
          </w:p>
          <w:p w:rsidR="00A11ED0" w:rsidRPr="00A11ED0" w:rsidRDefault="00A11ED0" w:rsidP="00A11ED0">
            <w:pPr>
              <w:jc w:val="both"/>
              <w:rPr>
                <w:rFonts w:ascii="Arial" w:eastAsia="Calibri" w:hAnsi="Arial" w:cs="Arial"/>
                <w:sz w:val="22"/>
                <w:szCs w:val="22"/>
              </w:rPr>
            </w:pP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Kvalitetno informisanje i promovisanje Ministarstva kao primamljivog poslodavca i afirmacija Vojske, kao organizacije u kojoj zaposleni mogu graditi uspješnu karijeru.</w:t>
            </w:r>
          </w:p>
          <w:p w:rsidR="00A11ED0" w:rsidRPr="00A11ED0" w:rsidRDefault="00A11ED0" w:rsidP="00A11ED0">
            <w:pPr>
              <w:jc w:val="both"/>
              <w:rPr>
                <w:rFonts w:ascii="Arial" w:eastAsia="Calibri" w:hAnsi="Arial" w:cs="Arial"/>
                <w:sz w:val="22"/>
                <w:szCs w:val="22"/>
              </w:rPr>
            </w:pPr>
          </w:p>
          <w:p w:rsidR="00A458F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Ojačano partnerstvo s nevladinim organizacijama u sprovođenju rasprava o strateškim ciljevima Ministarstva i Vojske.</w:t>
            </w:r>
          </w:p>
          <w:p w:rsidR="00EF33D2" w:rsidRPr="00B3369C" w:rsidRDefault="00EF33D2" w:rsidP="00D70EFC">
            <w:pPr>
              <w:jc w:val="both"/>
              <w:rPr>
                <w:rFonts w:ascii="Arial" w:eastAsia="Calibri" w:hAnsi="Arial" w:cs="Arial"/>
                <w:sz w:val="22"/>
                <w:szCs w:val="22"/>
              </w:rPr>
            </w:pPr>
          </w:p>
          <w:p w:rsidR="00EF33D2" w:rsidRPr="00B3369C" w:rsidRDefault="00EF33D2" w:rsidP="00D70EFC">
            <w:pPr>
              <w:jc w:val="both"/>
              <w:rPr>
                <w:rFonts w:ascii="Arial" w:eastAsia="Calibri" w:hAnsi="Arial" w:cs="Arial"/>
                <w:sz w:val="22"/>
                <w:szCs w:val="22"/>
              </w:rPr>
            </w:pPr>
          </w:p>
          <w:p w:rsidR="00B3369C" w:rsidRDefault="00B3369C" w:rsidP="00D70EFC">
            <w:pPr>
              <w:jc w:val="both"/>
              <w:rPr>
                <w:rFonts w:ascii="Arial" w:eastAsia="Calibri" w:hAnsi="Arial" w:cs="Arial"/>
                <w:sz w:val="22"/>
                <w:szCs w:val="22"/>
              </w:rPr>
            </w:pPr>
          </w:p>
          <w:p w:rsidR="00B3369C" w:rsidRPr="00B3369C" w:rsidRDefault="00B3369C" w:rsidP="00D70EFC">
            <w:pPr>
              <w:jc w:val="both"/>
              <w:rPr>
                <w:rFonts w:ascii="Arial" w:eastAsia="Calibri" w:hAnsi="Arial" w:cs="Arial"/>
                <w:sz w:val="22"/>
                <w:szCs w:val="22"/>
              </w:rPr>
            </w:pPr>
          </w:p>
          <w:p w:rsidR="007372E6" w:rsidRPr="00C723A0" w:rsidRDefault="007372E6" w:rsidP="00D70EFC">
            <w:pPr>
              <w:jc w:val="both"/>
              <w:rPr>
                <w:rFonts w:ascii="Arial" w:eastAsia="Calibri" w:hAnsi="Arial" w:cs="Arial"/>
                <w:b/>
                <w:sz w:val="22"/>
                <w:szCs w:val="22"/>
              </w:rPr>
            </w:pPr>
          </w:p>
        </w:tc>
        <w:tc>
          <w:tcPr>
            <w:tcW w:w="7071" w:type="dxa"/>
          </w:tcPr>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 xml:space="preserve">Javni konkursi će doprinijeti informisanju šire populacije, edukaciji osnovaca, srednjoškolaca i univerzitetske populacije o ulozi i značaju Vojske, i prevazilaženju ad hoc pristupa u promovisanju određenih aktivnosti Ministarstva. </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 xml:space="preserve">Tako se mogućnosti vojnog poziva mogu promovisati u kontinuitetu, ne samo neposredno prije, odnosno tokom oglašavanja. Takođe, održaće se veza sa zainteresovanim licima koja su učestvovala u aktivnostima Ministarstva. </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S obzirom da je cilj provući kvalitetne kandidate, odnosno stvoriti kvalitativnu bazu iz koje će se selektovati najbolji, posebnu pažnju posvetiti informisanju i edukaciji onih koji su se pokazali kao odlični učenici tokom srednjoškolskog obrazovanja.</w:t>
            </w:r>
          </w:p>
          <w:p w:rsidR="00531303" w:rsidRPr="00C723A0" w:rsidRDefault="00A11ED0" w:rsidP="00A11ED0">
            <w:pPr>
              <w:jc w:val="both"/>
              <w:rPr>
                <w:rFonts w:ascii="Arial" w:eastAsia="Calibri" w:hAnsi="Arial" w:cs="Arial"/>
                <w:sz w:val="22"/>
                <w:szCs w:val="22"/>
              </w:rPr>
            </w:pPr>
            <w:r w:rsidRPr="00A11ED0">
              <w:rPr>
                <w:rFonts w:ascii="Arial" w:eastAsia="Calibri" w:hAnsi="Arial" w:cs="Arial"/>
                <w:sz w:val="22"/>
                <w:szCs w:val="22"/>
              </w:rPr>
              <w:t>U krajnjem, potrebno je stvoriti mehanizme, odnosno projekta rješenja koja će biti održiva nakon završetka projekata.</w:t>
            </w:r>
          </w:p>
        </w:tc>
      </w:tr>
    </w:tbl>
    <w:p w:rsidR="00D70EFC" w:rsidRPr="00C723A0" w:rsidRDefault="00D70EFC" w:rsidP="00DF5C60">
      <w:pPr>
        <w:rPr>
          <w:rFonts w:ascii="Arial" w:hAnsi="Arial" w:cs="Arial"/>
        </w:rPr>
      </w:pPr>
    </w:p>
    <w:p w:rsidR="001C4B80" w:rsidRPr="00C723A0" w:rsidRDefault="005831F9" w:rsidP="00DF5C60">
      <w:pPr>
        <w:pStyle w:val="Heading1"/>
      </w:pPr>
      <w:r w:rsidRPr="00C723A0">
        <w:t xml:space="preserve">JAVNI KONKURSI ZA FINANSIRANJE PROJEKATA I PROGRAMA NVO - DOPRINOS </w:t>
      </w:r>
      <w:r w:rsidR="001C4B80" w:rsidRPr="00C723A0">
        <w:t>OSTVAR</w:t>
      </w:r>
      <w:r w:rsidRPr="00C723A0">
        <w:t>ENJU</w:t>
      </w:r>
      <w:r w:rsidR="001C4B80" w:rsidRPr="00C723A0">
        <w:t xml:space="preserve"> STRATEŠKIH CILJEVA</w:t>
      </w:r>
      <w:r w:rsidRPr="00C723A0">
        <w:t xml:space="preserve"> IZ SEKTORSKE NADLEŽNOSTI MINISTARSTVA</w:t>
      </w:r>
    </w:p>
    <w:p w:rsidR="001C4B80" w:rsidRPr="00C723A0" w:rsidRDefault="001C4B80" w:rsidP="00DF5C60">
      <w:pPr>
        <w:rPr>
          <w:rFonts w:ascii="Arial" w:hAnsi="Arial" w:cs="Arial"/>
        </w:rPr>
      </w:pPr>
    </w:p>
    <w:p w:rsidR="001C4B80" w:rsidRPr="00C723A0" w:rsidRDefault="001C4B80" w:rsidP="00DF5C60">
      <w:pPr>
        <w:pStyle w:val="Heading2"/>
      </w:pPr>
      <w:r w:rsidRPr="00C723A0">
        <w:t>Nave</w:t>
      </w:r>
      <w:r w:rsidR="00213DB8" w:rsidRPr="00C723A0">
        <w:t xml:space="preserve">sti </w:t>
      </w:r>
      <w:r w:rsidR="00F85524" w:rsidRPr="00C723A0">
        <w:t xml:space="preserve">javne konkurse </w:t>
      </w:r>
      <w:r w:rsidR="00376223" w:rsidRPr="00C723A0">
        <w:t>koji se predlažu</w:t>
      </w:r>
      <w:r w:rsidRPr="00C723A0">
        <w:t xml:space="preserve"> </w:t>
      </w:r>
      <w:r w:rsidR="004C6010" w:rsidRPr="00C723A0">
        <w:t xml:space="preserve">za objavljivanje </w:t>
      </w:r>
      <w:r w:rsidRPr="00C723A0">
        <w:t>u 20</w:t>
      </w:r>
      <w:r w:rsidR="00543FE8">
        <w:t>19</w:t>
      </w:r>
      <w:r w:rsidRPr="00C723A0">
        <w:t xml:space="preserve">. </w:t>
      </w:r>
      <w:r w:rsidR="002B6027" w:rsidRPr="00C723A0">
        <w:t xml:space="preserve">godini </w:t>
      </w:r>
      <w:r w:rsidRPr="00C723A0">
        <w:t xml:space="preserve">u </w:t>
      </w:r>
      <w:r w:rsidR="004F521D" w:rsidRPr="00C723A0">
        <w:t>cilju</w:t>
      </w:r>
      <w:r w:rsidRPr="00C723A0">
        <w:t xml:space="preserve"> </w:t>
      </w:r>
      <w:r w:rsidR="00A458F0" w:rsidRPr="00C723A0">
        <w:t xml:space="preserve">doprinosa </w:t>
      </w:r>
      <w:r w:rsidRPr="00C723A0">
        <w:t>ostvarenj</w:t>
      </w:r>
      <w:r w:rsidR="00A458F0" w:rsidRPr="00C723A0">
        <w:t>u</w:t>
      </w:r>
      <w:r w:rsidRPr="00C723A0">
        <w:t xml:space="preserve"> strateških ciljeva</w:t>
      </w:r>
      <w:r w:rsidR="00A458F0" w:rsidRPr="00C723A0">
        <w:t xml:space="preserve"> </w:t>
      </w:r>
      <w:r w:rsidRPr="00C723A0">
        <w:t xml:space="preserve">iz sektorske nadležnosti </w:t>
      </w:r>
      <w:r w:rsidR="00286D44" w:rsidRPr="00C723A0">
        <w:t>(iz ta</w:t>
      </w:r>
      <w:r w:rsidR="00A458F0" w:rsidRPr="00C723A0">
        <w:t xml:space="preserve">čke 3.1.), </w:t>
      </w:r>
      <w:r w:rsidRPr="00C723A0">
        <w:t>uz prijedlog potrebnih iznosa</w:t>
      </w:r>
      <w:r w:rsidR="000B06D8" w:rsidRPr="00C723A0">
        <w:t>,</w:t>
      </w:r>
      <w:r w:rsidR="00213DB8" w:rsidRPr="00C723A0">
        <w:t xml:space="preserve"> kao i naziv odnosno klasifikacijsku oznaku budžetkog programa/aktivnosti na kojoj će se planirati sredstva za finansiranje programa/projekata NVO (navesti i naziv nove aktivnost/programa u budžetu, ako još ne </w:t>
      </w:r>
      <w:r w:rsidR="00213DB8" w:rsidRPr="00C723A0">
        <w:lastRenderedPageBreak/>
        <w:t>postoji)</w:t>
      </w:r>
      <w:r w:rsidRPr="00C723A0">
        <w:t>.</w:t>
      </w:r>
      <w:r w:rsidR="0078638A" w:rsidRPr="00C723A0">
        <w:t xml:space="preserve"> Ukoliko postoji mog</w:t>
      </w:r>
      <w:r w:rsidR="00286D44" w:rsidRPr="00C723A0">
        <w:t xml:space="preserve">ućnost preklapanja s </w:t>
      </w:r>
      <w:r w:rsidR="00261526" w:rsidRPr="00C723A0">
        <w:t xml:space="preserve">javnim </w:t>
      </w:r>
      <w:r w:rsidR="00286D44" w:rsidRPr="00C723A0">
        <w:t>konkursima</w:t>
      </w:r>
      <w:r w:rsidR="0078638A" w:rsidRPr="00C723A0">
        <w:t xml:space="preserve"> iz nacionalnih</w:t>
      </w:r>
      <w:r w:rsidR="001C2AAF" w:rsidRPr="00C723A0">
        <w:t xml:space="preserve">, </w:t>
      </w:r>
      <w:r w:rsidR="0078638A" w:rsidRPr="00C723A0">
        <w:t xml:space="preserve">sredstava </w:t>
      </w:r>
      <w:r w:rsidR="00AD0B9C" w:rsidRPr="00C723A0">
        <w:t xml:space="preserve">EU </w:t>
      </w:r>
      <w:r w:rsidR="001C2AAF" w:rsidRPr="00C723A0">
        <w:t xml:space="preserve">ili drugih </w:t>
      </w:r>
      <w:r w:rsidR="00497DA5" w:rsidRPr="00C723A0">
        <w:t>vanjskih</w:t>
      </w:r>
      <w:r w:rsidR="001C2AAF" w:rsidRPr="00C723A0">
        <w:t xml:space="preserve"> fondova </w:t>
      </w:r>
      <w:r w:rsidR="0078638A" w:rsidRPr="00C723A0">
        <w:t xml:space="preserve">iz nadležnosti </w:t>
      </w:r>
      <w:r w:rsidR="0075059C" w:rsidRPr="00C723A0">
        <w:t>neke druge institucije, navesti</w:t>
      </w:r>
      <w:r w:rsidR="0078638A" w:rsidRPr="00C723A0">
        <w:t xml:space="preserve"> s kojim </w:t>
      </w:r>
      <w:r w:rsidR="00286D44" w:rsidRPr="00C723A0">
        <w:t xml:space="preserve">organom </w:t>
      </w:r>
      <w:r w:rsidR="0078638A" w:rsidRPr="00C723A0">
        <w:t xml:space="preserve">je potrebno koordinirati </w:t>
      </w:r>
      <w:r w:rsidR="0099408C" w:rsidRPr="00C723A0">
        <w:t>oblasti finans</w:t>
      </w:r>
      <w:r w:rsidR="0078638A" w:rsidRPr="00C723A0">
        <w:t>iranja.</w:t>
      </w:r>
      <w:r w:rsidR="00A95507" w:rsidRPr="00C723A0">
        <w:t xml:space="preserve"> </w:t>
      </w:r>
    </w:p>
    <w:p w:rsidR="001C4B80" w:rsidRPr="00C723A0" w:rsidRDefault="001C4B80" w:rsidP="00DF5C6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06"/>
        <w:gridCol w:w="1869"/>
        <w:gridCol w:w="2381"/>
        <w:gridCol w:w="2234"/>
        <w:gridCol w:w="4081"/>
      </w:tblGrid>
      <w:tr w:rsidR="00147ACC" w:rsidRPr="00C723A0" w:rsidTr="005C1282">
        <w:trPr>
          <w:trHeight w:val="469"/>
        </w:trPr>
        <w:tc>
          <w:tcPr>
            <w:tcW w:w="1246" w:type="pct"/>
            <w:shd w:val="clear" w:color="auto" w:fill="FABF8F"/>
            <w:tcMar>
              <w:top w:w="0" w:type="dxa"/>
              <w:left w:w="108" w:type="dxa"/>
              <w:bottom w:w="0" w:type="dxa"/>
              <w:right w:w="108" w:type="dxa"/>
            </w:tcMar>
            <w:vAlign w:val="center"/>
          </w:tcPr>
          <w:p w:rsidR="005E014D" w:rsidRPr="00C723A0" w:rsidRDefault="00147ACC" w:rsidP="003229BF">
            <w:pPr>
              <w:keepNext/>
              <w:jc w:val="center"/>
              <w:rPr>
                <w:rFonts w:ascii="Arial" w:eastAsia="Calibri" w:hAnsi="Arial" w:cs="Arial"/>
                <w:b/>
                <w:bCs/>
                <w:color w:val="FFFFFF"/>
                <w:sz w:val="22"/>
                <w:szCs w:val="22"/>
              </w:rPr>
            </w:pPr>
            <w:r w:rsidRPr="00C723A0">
              <w:rPr>
                <w:rFonts w:ascii="Arial" w:eastAsia="Calibri" w:hAnsi="Arial" w:cs="Arial"/>
                <w:b/>
                <w:bCs/>
                <w:color w:val="FFFFFF"/>
                <w:sz w:val="22"/>
                <w:szCs w:val="22"/>
              </w:rPr>
              <w:t xml:space="preserve">Naziv </w:t>
            </w:r>
            <w:r w:rsidR="003229BF" w:rsidRPr="00C723A0">
              <w:rPr>
                <w:rFonts w:ascii="Arial" w:eastAsia="Calibri" w:hAnsi="Arial" w:cs="Arial"/>
                <w:b/>
                <w:bCs/>
                <w:color w:val="FFFFFF"/>
                <w:sz w:val="22"/>
                <w:szCs w:val="22"/>
              </w:rPr>
              <w:t xml:space="preserve">javnog </w:t>
            </w:r>
            <w:r w:rsidR="00DE3AF2" w:rsidRPr="00C723A0">
              <w:rPr>
                <w:rFonts w:ascii="Arial" w:eastAsia="Calibri" w:hAnsi="Arial" w:cs="Arial"/>
                <w:b/>
                <w:bCs/>
                <w:color w:val="FFFFFF"/>
                <w:sz w:val="22"/>
                <w:szCs w:val="22"/>
              </w:rPr>
              <w:t>konkursa</w:t>
            </w:r>
            <w:r w:rsidRPr="00C723A0">
              <w:rPr>
                <w:rFonts w:ascii="Arial" w:eastAsia="Calibri" w:hAnsi="Arial" w:cs="Arial"/>
                <w:b/>
                <w:bCs/>
                <w:color w:val="FFFFFF"/>
                <w:sz w:val="22"/>
                <w:szCs w:val="22"/>
              </w:rPr>
              <w:t xml:space="preserve"> </w:t>
            </w:r>
          </w:p>
          <w:p w:rsidR="005E014D" w:rsidRPr="00C723A0" w:rsidRDefault="00147ACC" w:rsidP="003229BF">
            <w:pPr>
              <w:keepNext/>
              <w:jc w:val="center"/>
              <w:rPr>
                <w:rFonts w:ascii="Arial" w:eastAsia="Calibri" w:hAnsi="Arial" w:cs="Arial"/>
                <w:b/>
                <w:bCs/>
                <w:color w:val="FFFFFF"/>
                <w:sz w:val="22"/>
                <w:szCs w:val="22"/>
              </w:rPr>
            </w:pPr>
            <w:r w:rsidRPr="00C723A0">
              <w:rPr>
                <w:rFonts w:ascii="Arial" w:eastAsia="Calibri" w:hAnsi="Arial" w:cs="Arial"/>
                <w:b/>
                <w:bCs/>
                <w:color w:val="FFFFFF"/>
                <w:sz w:val="22"/>
                <w:szCs w:val="22"/>
              </w:rPr>
              <w:t xml:space="preserve">kojim će se doprinijeti </w:t>
            </w:r>
          </w:p>
          <w:p w:rsidR="00147ACC" w:rsidRPr="00C723A0" w:rsidRDefault="00147ACC" w:rsidP="003229BF">
            <w:pPr>
              <w:keepNext/>
              <w:jc w:val="center"/>
              <w:rPr>
                <w:rFonts w:ascii="Arial" w:eastAsia="Calibri" w:hAnsi="Arial" w:cs="Arial"/>
                <w:b/>
                <w:bCs/>
                <w:color w:val="FFFFFF"/>
                <w:sz w:val="22"/>
                <w:szCs w:val="22"/>
              </w:rPr>
            </w:pPr>
            <w:r w:rsidRPr="00C723A0">
              <w:rPr>
                <w:rFonts w:ascii="Arial" w:eastAsia="Calibri" w:hAnsi="Arial" w:cs="Arial"/>
                <w:b/>
                <w:bCs/>
                <w:color w:val="FFFFFF"/>
                <w:sz w:val="22"/>
                <w:szCs w:val="22"/>
              </w:rPr>
              <w:t>u ostvarenju cilja</w:t>
            </w:r>
          </w:p>
        </w:tc>
        <w:tc>
          <w:tcPr>
            <w:tcW w:w="664" w:type="pct"/>
            <w:shd w:val="clear" w:color="auto" w:fill="FABF8F"/>
            <w:vAlign w:val="center"/>
          </w:tcPr>
          <w:p w:rsidR="00147ACC" w:rsidRPr="00C723A0" w:rsidRDefault="00147ACC" w:rsidP="00147ACC">
            <w:pPr>
              <w:keepNext/>
              <w:jc w:val="center"/>
              <w:rPr>
                <w:rFonts w:ascii="Arial" w:eastAsia="Calibri" w:hAnsi="Arial" w:cs="Arial"/>
                <w:b/>
                <w:bCs/>
                <w:color w:val="FFFFFF"/>
                <w:sz w:val="22"/>
                <w:szCs w:val="22"/>
              </w:rPr>
            </w:pPr>
            <w:r w:rsidRPr="00C723A0">
              <w:rPr>
                <w:rFonts w:ascii="Arial" w:eastAsia="Calibri" w:hAnsi="Arial" w:cs="Arial"/>
                <w:b/>
                <w:bCs/>
                <w:color w:val="FFFFFF"/>
                <w:sz w:val="22"/>
                <w:szCs w:val="22"/>
              </w:rPr>
              <w:t>Iznos</w:t>
            </w:r>
          </w:p>
        </w:tc>
        <w:tc>
          <w:tcPr>
            <w:tcW w:w="846" w:type="pct"/>
            <w:shd w:val="clear" w:color="auto" w:fill="FABF8F"/>
            <w:vAlign w:val="center"/>
          </w:tcPr>
          <w:p w:rsidR="00147ACC" w:rsidRPr="00C723A0" w:rsidRDefault="00213DB8" w:rsidP="00213DB8">
            <w:pPr>
              <w:keepNext/>
              <w:jc w:val="center"/>
              <w:rPr>
                <w:rFonts w:ascii="Arial" w:eastAsia="Calibri" w:hAnsi="Arial" w:cs="Arial"/>
                <w:b/>
                <w:bCs/>
                <w:color w:val="FFFFFF"/>
                <w:sz w:val="22"/>
                <w:szCs w:val="22"/>
              </w:rPr>
            </w:pPr>
            <w:r w:rsidRPr="00C723A0">
              <w:rPr>
                <w:rFonts w:ascii="Arial" w:eastAsia="Calibri" w:hAnsi="Arial" w:cs="Arial"/>
                <w:b/>
                <w:bCs/>
                <w:color w:val="FFFFFF"/>
                <w:sz w:val="22"/>
                <w:szCs w:val="22"/>
              </w:rPr>
              <w:t>Naziv programa/ a</w:t>
            </w:r>
            <w:r w:rsidR="00147ACC" w:rsidRPr="00C723A0">
              <w:rPr>
                <w:rFonts w:ascii="Arial" w:eastAsia="Calibri" w:hAnsi="Arial" w:cs="Arial"/>
                <w:b/>
                <w:bCs/>
                <w:color w:val="FFFFFF"/>
                <w:sz w:val="22"/>
                <w:szCs w:val="22"/>
              </w:rPr>
              <w:t>ktivnost</w:t>
            </w:r>
            <w:r w:rsidRPr="00C723A0">
              <w:rPr>
                <w:rFonts w:ascii="Arial" w:eastAsia="Calibri" w:hAnsi="Arial" w:cs="Arial"/>
                <w:b/>
                <w:bCs/>
                <w:color w:val="FFFFFF"/>
                <w:sz w:val="22"/>
                <w:szCs w:val="22"/>
              </w:rPr>
              <w:t>i u budžetu</w:t>
            </w:r>
          </w:p>
        </w:tc>
        <w:tc>
          <w:tcPr>
            <w:tcW w:w="794" w:type="pct"/>
            <w:shd w:val="clear" w:color="auto" w:fill="FABF8F"/>
            <w:vAlign w:val="center"/>
          </w:tcPr>
          <w:p w:rsidR="00147ACC" w:rsidRPr="00C723A0" w:rsidRDefault="00213DB8" w:rsidP="00147ACC">
            <w:pPr>
              <w:keepNext/>
              <w:jc w:val="center"/>
              <w:rPr>
                <w:rFonts w:ascii="Arial" w:eastAsia="Calibri" w:hAnsi="Arial" w:cs="Arial"/>
                <w:b/>
                <w:bCs/>
                <w:color w:val="FFFFFF"/>
                <w:sz w:val="22"/>
                <w:szCs w:val="22"/>
              </w:rPr>
            </w:pPr>
            <w:r w:rsidRPr="00C723A0">
              <w:rPr>
                <w:rFonts w:ascii="Arial" w:hAnsi="Arial" w:cs="Arial"/>
                <w:b/>
                <w:iCs/>
                <w:color w:val="FFFFFF"/>
                <w:sz w:val="22"/>
                <w:szCs w:val="22"/>
              </w:rPr>
              <w:t>Klasifikacijska oznaka programa/ aktivnosti u budžetu</w:t>
            </w:r>
          </w:p>
        </w:tc>
        <w:tc>
          <w:tcPr>
            <w:tcW w:w="1450" w:type="pct"/>
            <w:shd w:val="clear" w:color="auto" w:fill="FABF8F"/>
            <w:vAlign w:val="center"/>
          </w:tcPr>
          <w:p w:rsidR="005E014D" w:rsidRPr="00C723A0" w:rsidRDefault="00147ACC" w:rsidP="0099408C">
            <w:pPr>
              <w:keepNext/>
              <w:jc w:val="center"/>
              <w:rPr>
                <w:rFonts w:ascii="Arial" w:eastAsia="Calibri" w:hAnsi="Arial" w:cs="Arial"/>
                <w:b/>
                <w:bCs/>
                <w:color w:val="FFFFFF"/>
                <w:sz w:val="22"/>
                <w:szCs w:val="22"/>
              </w:rPr>
            </w:pPr>
            <w:r w:rsidRPr="00C723A0">
              <w:rPr>
                <w:rFonts w:ascii="Arial" w:eastAsia="Calibri" w:hAnsi="Arial" w:cs="Arial"/>
                <w:b/>
                <w:bCs/>
                <w:color w:val="FFFFFF"/>
                <w:sz w:val="22"/>
                <w:szCs w:val="22"/>
              </w:rPr>
              <w:t xml:space="preserve">Drugi </w:t>
            </w:r>
            <w:r w:rsidR="00DE3AF2" w:rsidRPr="00C723A0">
              <w:rPr>
                <w:rFonts w:ascii="Arial" w:eastAsia="Calibri" w:hAnsi="Arial" w:cs="Arial"/>
                <w:b/>
                <w:bCs/>
                <w:color w:val="FFFFFF"/>
                <w:sz w:val="22"/>
                <w:szCs w:val="22"/>
              </w:rPr>
              <w:t>organi državne uprave</w:t>
            </w:r>
            <w:r w:rsidRPr="00C723A0">
              <w:rPr>
                <w:rFonts w:ascii="Arial" w:eastAsia="Calibri" w:hAnsi="Arial" w:cs="Arial"/>
                <w:b/>
                <w:bCs/>
                <w:color w:val="FFFFFF"/>
                <w:sz w:val="22"/>
                <w:szCs w:val="22"/>
              </w:rPr>
              <w:t xml:space="preserve"> </w:t>
            </w:r>
          </w:p>
          <w:p w:rsidR="00147ACC" w:rsidRPr="00C723A0" w:rsidRDefault="00147ACC" w:rsidP="0099408C">
            <w:pPr>
              <w:keepNext/>
              <w:jc w:val="center"/>
              <w:rPr>
                <w:rFonts w:ascii="Arial" w:eastAsia="Calibri" w:hAnsi="Arial" w:cs="Arial"/>
                <w:b/>
                <w:bCs/>
                <w:color w:val="FFFFFF"/>
                <w:sz w:val="22"/>
                <w:szCs w:val="22"/>
              </w:rPr>
            </w:pPr>
            <w:r w:rsidRPr="00C723A0">
              <w:rPr>
                <w:rFonts w:ascii="Arial" w:eastAsia="Calibri" w:hAnsi="Arial" w:cs="Arial"/>
                <w:b/>
                <w:bCs/>
                <w:color w:val="FFFFFF"/>
                <w:sz w:val="22"/>
                <w:szCs w:val="22"/>
              </w:rPr>
              <w:t>s kojim</w:t>
            </w:r>
            <w:r w:rsidR="00DE3AF2" w:rsidRPr="00C723A0">
              <w:rPr>
                <w:rFonts w:ascii="Arial" w:eastAsia="Calibri" w:hAnsi="Arial" w:cs="Arial"/>
                <w:b/>
                <w:bCs/>
                <w:color w:val="FFFFFF"/>
                <w:sz w:val="22"/>
                <w:szCs w:val="22"/>
              </w:rPr>
              <w:t>a</w:t>
            </w:r>
            <w:r w:rsidRPr="00C723A0">
              <w:rPr>
                <w:rFonts w:ascii="Arial" w:eastAsia="Calibri" w:hAnsi="Arial" w:cs="Arial"/>
                <w:b/>
                <w:bCs/>
                <w:color w:val="FFFFFF"/>
                <w:sz w:val="22"/>
                <w:szCs w:val="22"/>
              </w:rPr>
              <w:t xml:space="preserve"> je potrebno koordinirati </w:t>
            </w:r>
            <w:r w:rsidR="0099408C" w:rsidRPr="00C723A0">
              <w:rPr>
                <w:rFonts w:ascii="Arial" w:eastAsia="Calibri" w:hAnsi="Arial" w:cs="Arial"/>
                <w:b/>
                <w:bCs/>
                <w:color w:val="FFFFFF"/>
                <w:sz w:val="22"/>
                <w:szCs w:val="22"/>
              </w:rPr>
              <w:t>oblasti finans</w:t>
            </w:r>
            <w:r w:rsidRPr="00C723A0">
              <w:rPr>
                <w:rFonts w:ascii="Arial" w:eastAsia="Calibri" w:hAnsi="Arial" w:cs="Arial"/>
                <w:b/>
                <w:bCs/>
                <w:color w:val="FFFFFF"/>
                <w:sz w:val="22"/>
                <w:szCs w:val="22"/>
              </w:rPr>
              <w:t>iranja</w:t>
            </w:r>
          </w:p>
        </w:tc>
      </w:tr>
      <w:tr w:rsidR="00183866" w:rsidRPr="00C723A0" w:rsidTr="00DA3259">
        <w:trPr>
          <w:trHeight w:val="959"/>
        </w:trPr>
        <w:tc>
          <w:tcPr>
            <w:tcW w:w="1246" w:type="pct"/>
            <w:tcMar>
              <w:top w:w="0" w:type="dxa"/>
              <w:left w:w="108" w:type="dxa"/>
              <w:bottom w:w="0" w:type="dxa"/>
              <w:right w:w="108" w:type="dxa"/>
            </w:tcMar>
          </w:tcPr>
          <w:p w:rsidR="00183866" w:rsidRPr="00C723A0" w:rsidRDefault="000A2D82" w:rsidP="00DA3259">
            <w:pPr>
              <w:outlineLvl w:val="0"/>
              <w:rPr>
                <w:rFonts w:ascii="Arial" w:hAnsi="Arial" w:cs="Arial"/>
                <w:iCs/>
                <w:sz w:val="22"/>
                <w:szCs w:val="22"/>
              </w:rPr>
            </w:pPr>
            <w:r w:rsidRPr="000A2D82">
              <w:rPr>
                <w:rFonts w:ascii="Arial" w:hAnsi="Arial" w:cs="Arial"/>
                <w:iCs/>
                <w:sz w:val="22"/>
                <w:szCs w:val="22"/>
              </w:rPr>
              <w:t>Vojska Crne Gore u tvom gradu – info stanice</w:t>
            </w:r>
          </w:p>
        </w:tc>
        <w:tc>
          <w:tcPr>
            <w:tcW w:w="664" w:type="pct"/>
            <w:tcMar>
              <w:top w:w="0" w:type="dxa"/>
              <w:left w:w="108" w:type="dxa"/>
              <w:bottom w:w="0" w:type="dxa"/>
              <w:right w:w="108" w:type="dxa"/>
            </w:tcMar>
            <w:vAlign w:val="center"/>
          </w:tcPr>
          <w:p w:rsidR="00183866" w:rsidRPr="00386872" w:rsidRDefault="000A2D82" w:rsidP="00DA3259">
            <w:pPr>
              <w:rPr>
                <w:rFonts w:ascii="Arial" w:eastAsia="Calibri" w:hAnsi="Arial" w:cs="Arial"/>
                <w:sz w:val="22"/>
                <w:szCs w:val="22"/>
              </w:rPr>
            </w:pPr>
            <w:r>
              <w:rPr>
                <w:rFonts w:ascii="Arial" w:eastAsia="Calibri" w:hAnsi="Arial" w:cs="Arial"/>
                <w:sz w:val="22"/>
                <w:szCs w:val="22"/>
              </w:rPr>
              <w:t>10.000</w:t>
            </w:r>
          </w:p>
        </w:tc>
        <w:tc>
          <w:tcPr>
            <w:tcW w:w="846" w:type="pct"/>
          </w:tcPr>
          <w:p w:rsidR="00183866" w:rsidRPr="00C723A0" w:rsidRDefault="00183866" w:rsidP="00DA3259">
            <w:pPr>
              <w:ind w:left="68" w:hanging="181"/>
              <w:jc w:val="center"/>
              <w:rPr>
                <w:rFonts w:ascii="Arial" w:eastAsia="Calibri" w:hAnsi="Arial" w:cs="Arial"/>
                <w:sz w:val="22"/>
                <w:szCs w:val="22"/>
              </w:rPr>
            </w:pPr>
          </w:p>
        </w:tc>
        <w:tc>
          <w:tcPr>
            <w:tcW w:w="794" w:type="pct"/>
          </w:tcPr>
          <w:p w:rsidR="00FA7F83" w:rsidRPr="00C723A0" w:rsidRDefault="00FA7F83" w:rsidP="00DA3259">
            <w:pPr>
              <w:ind w:left="68" w:hanging="181"/>
              <w:rPr>
                <w:rFonts w:ascii="Arial" w:eastAsia="Calibri" w:hAnsi="Arial" w:cs="Arial"/>
                <w:sz w:val="22"/>
                <w:szCs w:val="22"/>
              </w:rPr>
            </w:pPr>
          </w:p>
        </w:tc>
        <w:tc>
          <w:tcPr>
            <w:tcW w:w="1450" w:type="pct"/>
          </w:tcPr>
          <w:p w:rsidR="00183866" w:rsidRPr="00C723A0" w:rsidRDefault="00183866" w:rsidP="00DA3259">
            <w:pPr>
              <w:jc w:val="center"/>
              <w:rPr>
                <w:rFonts w:ascii="Arial" w:eastAsia="Calibri" w:hAnsi="Arial" w:cs="Arial"/>
                <w:sz w:val="22"/>
                <w:szCs w:val="22"/>
              </w:rPr>
            </w:pPr>
          </w:p>
        </w:tc>
      </w:tr>
      <w:tr w:rsidR="00FA7F83" w:rsidRPr="00C723A0" w:rsidTr="007372E6">
        <w:trPr>
          <w:trHeight w:val="959"/>
        </w:trPr>
        <w:tc>
          <w:tcPr>
            <w:tcW w:w="1246" w:type="pct"/>
            <w:tcMar>
              <w:top w:w="0" w:type="dxa"/>
              <w:left w:w="108" w:type="dxa"/>
              <w:bottom w:w="0" w:type="dxa"/>
              <w:right w:w="108" w:type="dxa"/>
            </w:tcMar>
          </w:tcPr>
          <w:p w:rsidR="00FA7F83" w:rsidRPr="00C723A0" w:rsidRDefault="00A105A3" w:rsidP="00FA7F83">
            <w:pPr>
              <w:outlineLvl w:val="0"/>
              <w:rPr>
                <w:rFonts w:ascii="Arial" w:hAnsi="Arial" w:cs="Arial"/>
                <w:iCs/>
                <w:sz w:val="22"/>
                <w:szCs w:val="22"/>
              </w:rPr>
            </w:pPr>
            <w:r>
              <w:rPr>
                <w:rFonts w:ascii="Arial" w:hAnsi="Arial" w:cs="Arial"/>
                <w:iCs/>
                <w:sz w:val="22"/>
                <w:szCs w:val="22"/>
              </w:rPr>
              <w:t xml:space="preserve">Dvodnevni seminar za mlade o ulozi i značaju Vojske </w:t>
            </w:r>
          </w:p>
        </w:tc>
        <w:tc>
          <w:tcPr>
            <w:tcW w:w="664" w:type="pct"/>
            <w:tcMar>
              <w:top w:w="0" w:type="dxa"/>
              <w:left w:w="108" w:type="dxa"/>
              <w:bottom w:w="0" w:type="dxa"/>
              <w:right w:w="108" w:type="dxa"/>
            </w:tcMar>
            <w:vAlign w:val="center"/>
          </w:tcPr>
          <w:p w:rsidR="00FA7F83" w:rsidRPr="00386872" w:rsidRDefault="0030796E" w:rsidP="00FA7F83">
            <w:pPr>
              <w:rPr>
                <w:rFonts w:ascii="Arial" w:eastAsia="Calibri" w:hAnsi="Arial" w:cs="Arial"/>
                <w:sz w:val="22"/>
                <w:szCs w:val="22"/>
              </w:rPr>
            </w:pPr>
            <w:r>
              <w:rPr>
                <w:rFonts w:ascii="Arial" w:eastAsia="Calibri" w:hAnsi="Arial" w:cs="Arial"/>
                <w:sz w:val="22"/>
                <w:szCs w:val="22"/>
              </w:rPr>
              <w:t>15.000</w:t>
            </w:r>
          </w:p>
        </w:tc>
        <w:tc>
          <w:tcPr>
            <w:tcW w:w="846" w:type="pct"/>
          </w:tcPr>
          <w:p w:rsidR="00FA7F83" w:rsidRPr="00C723A0" w:rsidRDefault="00FA7F83" w:rsidP="00FA7F83">
            <w:pPr>
              <w:ind w:left="68" w:hanging="181"/>
              <w:jc w:val="center"/>
              <w:rPr>
                <w:rFonts w:ascii="Arial" w:eastAsia="Calibri" w:hAnsi="Arial" w:cs="Arial"/>
                <w:sz w:val="22"/>
                <w:szCs w:val="22"/>
              </w:rPr>
            </w:pPr>
          </w:p>
        </w:tc>
        <w:tc>
          <w:tcPr>
            <w:tcW w:w="794" w:type="pct"/>
          </w:tcPr>
          <w:p w:rsidR="00FA7F83" w:rsidRPr="00C723A0" w:rsidRDefault="00FA7F83" w:rsidP="00851959">
            <w:pPr>
              <w:ind w:left="68" w:hanging="23"/>
              <w:rPr>
                <w:rFonts w:ascii="Arial" w:eastAsia="Calibri" w:hAnsi="Arial" w:cs="Arial"/>
                <w:sz w:val="22"/>
                <w:szCs w:val="22"/>
              </w:rPr>
            </w:pPr>
          </w:p>
        </w:tc>
        <w:tc>
          <w:tcPr>
            <w:tcW w:w="1450" w:type="pct"/>
          </w:tcPr>
          <w:p w:rsidR="00FA7F83" w:rsidRPr="00C723A0" w:rsidRDefault="00FA7F83" w:rsidP="00FA7F83">
            <w:pPr>
              <w:jc w:val="center"/>
              <w:rPr>
                <w:rFonts w:ascii="Arial" w:eastAsia="Calibri" w:hAnsi="Arial" w:cs="Arial"/>
                <w:sz w:val="22"/>
                <w:szCs w:val="22"/>
              </w:rPr>
            </w:pPr>
          </w:p>
        </w:tc>
      </w:tr>
      <w:tr w:rsidR="00FA7F83" w:rsidRPr="00C723A0" w:rsidTr="007372E6">
        <w:trPr>
          <w:trHeight w:val="959"/>
        </w:trPr>
        <w:tc>
          <w:tcPr>
            <w:tcW w:w="1246" w:type="pct"/>
            <w:tcMar>
              <w:top w:w="0" w:type="dxa"/>
              <w:left w:w="108" w:type="dxa"/>
              <w:bottom w:w="0" w:type="dxa"/>
              <w:right w:w="108" w:type="dxa"/>
            </w:tcMar>
          </w:tcPr>
          <w:p w:rsidR="00FA7F83" w:rsidRDefault="00FA7F83" w:rsidP="00FA7F83">
            <w:pPr>
              <w:outlineLvl w:val="0"/>
              <w:rPr>
                <w:rFonts w:ascii="Arial" w:hAnsi="Arial" w:cs="Arial"/>
                <w:iCs/>
                <w:sz w:val="22"/>
                <w:szCs w:val="22"/>
              </w:rPr>
            </w:pPr>
          </w:p>
        </w:tc>
        <w:tc>
          <w:tcPr>
            <w:tcW w:w="664" w:type="pct"/>
            <w:tcMar>
              <w:top w:w="0" w:type="dxa"/>
              <w:left w:w="108" w:type="dxa"/>
              <w:bottom w:w="0" w:type="dxa"/>
              <w:right w:w="108" w:type="dxa"/>
            </w:tcMar>
            <w:vAlign w:val="center"/>
          </w:tcPr>
          <w:p w:rsidR="00FA7F83" w:rsidRPr="00386872" w:rsidRDefault="00FA7F83" w:rsidP="00FA7F83">
            <w:pPr>
              <w:rPr>
                <w:rFonts w:ascii="Arial" w:eastAsia="Calibri" w:hAnsi="Arial" w:cs="Arial"/>
                <w:sz w:val="22"/>
                <w:szCs w:val="22"/>
              </w:rPr>
            </w:pPr>
          </w:p>
        </w:tc>
        <w:tc>
          <w:tcPr>
            <w:tcW w:w="846" w:type="pct"/>
          </w:tcPr>
          <w:p w:rsidR="00FA7F83" w:rsidRPr="00C723A0" w:rsidRDefault="00FA7F83" w:rsidP="00FA7F83">
            <w:pPr>
              <w:ind w:left="68" w:hanging="181"/>
              <w:jc w:val="center"/>
              <w:rPr>
                <w:rFonts w:ascii="Arial" w:eastAsia="Calibri" w:hAnsi="Arial" w:cs="Arial"/>
                <w:sz w:val="22"/>
                <w:szCs w:val="22"/>
              </w:rPr>
            </w:pPr>
          </w:p>
        </w:tc>
        <w:tc>
          <w:tcPr>
            <w:tcW w:w="794" w:type="pct"/>
          </w:tcPr>
          <w:p w:rsidR="00FA7F83" w:rsidRPr="00C723A0" w:rsidRDefault="00FA7F83" w:rsidP="00543FE8">
            <w:pPr>
              <w:ind w:left="68" w:hanging="181"/>
              <w:rPr>
                <w:rFonts w:ascii="Arial" w:eastAsia="Calibri" w:hAnsi="Arial" w:cs="Arial"/>
                <w:sz w:val="22"/>
                <w:szCs w:val="22"/>
              </w:rPr>
            </w:pPr>
            <w:r>
              <w:rPr>
                <w:rFonts w:ascii="Arial" w:eastAsia="Calibri" w:hAnsi="Arial" w:cs="Arial"/>
                <w:sz w:val="22"/>
                <w:szCs w:val="22"/>
              </w:rPr>
              <w:t xml:space="preserve">   </w:t>
            </w:r>
          </w:p>
        </w:tc>
        <w:tc>
          <w:tcPr>
            <w:tcW w:w="1450" w:type="pct"/>
          </w:tcPr>
          <w:p w:rsidR="00FA7F83" w:rsidRPr="00C723A0" w:rsidRDefault="00FA7F83" w:rsidP="00FA7F83">
            <w:pPr>
              <w:rPr>
                <w:rFonts w:ascii="Arial" w:eastAsia="Calibri" w:hAnsi="Arial" w:cs="Arial"/>
                <w:sz w:val="22"/>
                <w:szCs w:val="22"/>
              </w:rPr>
            </w:pPr>
          </w:p>
        </w:tc>
      </w:tr>
    </w:tbl>
    <w:p w:rsidR="00FA7F83" w:rsidRPr="00C723A0" w:rsidRDefault="00FA7F83" w:rsidP="00217E50">
      <w:pPr>
        <w:jc w:val="both"/>
        <w:rPr>
          <w:rFonts w:ascii="Arial" w:hAnsi="Arial" w:cs="Arial"/>
          <w:b/>
          <w:iCs/>
          <w:sz w:val="22"/>
          <w:szCs w:val="22"/>
        </w:rPr>
      </w:pPr>
    </w:p>
    <w:p w:rsidR="001C4B80" w:rsidRPr="00C723A0" w:rsidRDefault="00096491" w:rsidP="00DF5C60">
      <w:pPr>
        <w:pStyle w:val="Heading2"/>
      </w:pPr>
      <w:r w:rsidRPr="00C723A0">
        <w:t>Nave</w:t>
      </w:r>
      <w:r w:rsidR="00213DB8" w:rsidRPr="00C723A0">
        <w:t xml:space="preserve">sti </w:t>
      </w:r>
      <w:r w:rsidRPr="00C723A0">
        <w:t>k</w:t>
      </w:r>
      <w:r w:rsidR="001C4B80" w:rsidRPr="00C723A0">
        <w:t>o su predviđeni glavni korisnici projeka</w:t>
      </w:r>
      <w:r w:rsidR="0099408C" w:rsidRPr="00C723A0">
        <w:t xml:space="preserve">ta i programa koji će se finansirati putem </w:t>
      </w:r>
      <w:r w:rsidR="003A093F" w:rsidRPr="00C723A0">
        <w:t xml:space="preserve">javnog </w:t>
      </w:r>
      <w:r w:rsidR="0099408C" w:rsidRPr="00C723A0">
        <w:t>konkursa</w:t>
      </w:r>
      <w:r w:rsidR="003411FD" w:rsidRPr="00C723A0">
        <w:t xml:space="preserve">. </w:t>
      </w:r>
      <w:r w:rsidR="00A458F0" w:rsidRPr="00C723A0">
        <w:t>Uk</w:t>
      </w:r>
      <w:r w:rsidR="001C4B80" w:rsidRPr="00C723A0">
        <w:t>ratko opi</w:t>
      </w:r>
      <w:r w:rsidR="00213DB8" w:rsidRPr="00C723A0">
        <w:t xml:space="preserve">sati </w:t>
      </w:r>
      <w:r w:rsidR="00A458F0" w:rsidRPr="00C723A0">
        <w:t>korisnike</w:t>
      </w:r>
      <w:r w:rsidRPr="00C723A0">
        <w:t xml:space="preserve"> navodeći</w:t>
      </w:r>
      <w:r w:rsidR="00A458F0" w:rsidRPr="00C723A0">
        <w:t xml:space="preserve"> </w:t>
      </w:r>
      <w:r w:rsidR="00577BEA" w:rsidRPr="00C723A0">
        <w:t xml:space="preserve">glavna </w:t>
      </w:r>
      <w:r w:rsidR="00A458F0" w:rsidRPr="00C723A0">
        <w:t xml:space="preserve">obilježja svake </w:t>
      </w:r>
      <w:r w:rsidR="005317E8" w:rsidRPr="00C723A0">
        <w:t>grupe korisnika</w:t>
      </w:r>
      <w:r w:rsidR="00A458F0" w:rsidRPr="00C723A0">
        <w:t>, njihov broj</w:t>
      </w:r>
      <w:r w:rsidR="00C52186" w:rsidRPr="00C723A0">
        <w:t xml:space="preserve"> i</w:t>
      </w:r>
      <w:r w:rsidR="00577BEA" w:rsidRPr="00C723A0">
        <w:t xml:space="preserve"> njihove</w:t>
      </w:r>
      <w:r w:rsidR="00A458F0" w:rsidRPr="00C723A0">
        <w:t xml:space="preserve"> </w:t>
      </w:r>
      <w:r w:rsidR="00577BEA" w:rsidRPr="00C723A0">
        <w:t xml:space="preserve">potrebe na </w:t>
      </w:r>
      <w:r w:rsidR="0095228E" w:rsidRPr="00C723A0">
        <w:t>koje projekti i programi treba da</w:t>
      </w:r>
      <w:r w:rsidR="00577BEA" w:rsidRPr="00C723A0">
        <w:t xml:space="preserve"> odgo</w:t>
      </w:r>
      <w:r w:rsidR="0095228E" w:rsidRPr="00C723A0">
        <w:t>vore</w:t>
      </w:r>
      <w:r w:rsidR="00577BEA" w:rsidRPr="00C723A0">
        <w:t xml:space="preserve"> u 20</w:t>
      </w:r>
      <w:r w:rsidR="00543FE8">
        <w:t>19</w:t>
      </w:r>
      <w:r w:rsidR="000D7828" w:rsidRPr="00C723A0">
        <w:t>. godini</w:t>
      </w:r>
      <w:r w:rsidR="00AD5114" w:rsidRPr="00C723A0">
        <w:t>.</w:t>
      </w:r>
    </w:p>
    <w:p w:rsidR="001C4B80" w:rsidRPr="00C723A0" w:rsidRDefault="001C4B80" w:rsidP="00DF5C60">
      <w:pPr>
        <w:rPr>
          <w:rFonts w:ascii="Arial" w:hAnsi="Arial"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C723A0" w:rsidTr="00562DC9">
        <w:tc>
          <w:tcPr>
            <w:tcW w:w="14142" w:type="dxa"/>
            <w:shd w:val="clear" w:color="auto" w:fill="FABF8F"/>
          </w:tcPr>
          <w:p w:rsidR="00323B91" w:rsidRPr="00C723A0" w:rsidRDefault="00577BEA" w:rsidP="005317E8">
            <w:pPr>
              <w:rPr>
                <w:rFonts w:ascii="Arial" w:eastAsia="Calibri" w:hAnsi="Arial" w:cs="Arial"/>
                <w:b/>
                <w:color w:val="FFFFFF"/>
                <w:sz w:val="22"/>
                <w:szCs w:val="22"/>
              </w:rPr>
            </w:pPr>
            <w:r w:rsidRPr="00C723A0">
              <w:rPr>
                <w:rFonts w:ascii="Arial" w:eastAsia="Calibri" w:hAnsi="Arial" w:cs="Arial"/>
                <w:b/>
                <w:color w:val="FFFFFF"/>
                <w:sz w:val="22"/>
                <w:szCs w:val="22"/>
              </w:rPr>
              <w:t>Opis g</w:t>
            </w:r>
            <w:r w:rsidR="001C4B80" w:rsidRPr="00C723A0">
              <w:rPr>
                <w:rFonts w:ascii="Arial" w:eastAsia="Calibri" w:hAnsi="Arial" w:cs="Arial"/>
                <w:b/>
                <w:color w:val="FFFFFF"/>
                <w:sz w:val="22"/>
                <w:szCs w:val="22"/>
              </w:rPr>
              <w:t>lavni</w:t>
            </w:r>
            <w:r w:rsidRPr="00C723A0">
              <w:rPr>
                <w:rFonts w:ascii="Arial" w:eastAsia="Calibri" w:hAnsi="Arial" w:cs="Arial"/>
                <w:b/>
                <w:color w:val="FFFFFF"/>
                <w:sz w:val="22"/>
                <w:szCs w:val="22"/>
              </w:rPr>
              <w:t>h</w:t>
            </w:r>
            <w:r w:rsidR="001C4B80" w:rsidRPr="00C723A0">
              <w:rPr>
                <w:rFonts w:ascii="Arial" w:eastAsia="Calibri" w:hAnsi="Arial" w:cs="Arial"/>
                <w:b/>
                <w:color w:val="FFFFFF"/>
                <w:sz w:val="22"/>
                <w:szCs w:val="22"/>
              </w:rPr>
              <w:t xml:space="preserve"> </w:t>
            </w:r>
            <w:r w:rsidR="007E7683" w:rsidRPr="00C723A0">
              <w:rPr>
                <w:rFonts w:ascii="Arial" w:eastAsia="Calibri" w:hAnsi="Arial" w:cs="Arial"/>
                <w:b/>
                <w:color w:val="FFFFFF"/>
                <w:sz w:val="22"/>
                <w:szCs w:val="22"/>
              </w:rPr>
              <w:t>grupa</w:t>
            </w:r>
            <w:r w:rsidR="005317E8" w:rsidRPr="00C723A0">
              <w:rPr>
                <w:rFonts w:ascii="Arial" w:eastAsia="Calibri" w:hAnsi="Arial" w:cs="Arial"/>
                <w:b/>
                <w:color w:val="FFFFFF"/>
                <w:sz w:val="22"/>
                <w:szCs w:val="22"/>
              </w:rPr>
              <w:t xml:space="preserve"> korisnika</w:t>
            </w:r>
            <w:r w:rsidR="00A458F0" w:rsidRPr="00C723A0">
              <w:rPr>
                <w:rFonts w:ascii="Arial" w:eastAsia="Calibri" w:hAnsi="Arial" w:cs="Arial"/>
                <w:b/>
                <w:color w:val="FFFFFF"/>
                <w:sz w:val="22"/>
                <w:szCs w:val="22"/>
              </w:rPr>
              <w:t xml:space="preserve">, njihov broj i </w:t>
            </w:r>
            <w:r w:rsidRPr="00C723A0">
              <w:rPr>
                <w:rFonts w:ascii="Arial" w:eastAsia="Calibri" w:hAnsi="Arial" w:cs="Arial"/>
                <w:b/>
                <w:color w:val="FFFFFF"/>
                <w:sz w:val="22"/>
                <w:szCs w:val="22"/>
              </w:rPr>
              <w:t>potrebe</w:t>
            </w:r>
          </w:p>
        </w:tc>
      </w:tr>
      <w:tr w:rsidR="00A458F0" w:rsidRPr="00C723A0" w:rsidTr="007372E6">
        <w:trPr>
          <w:trHeight w:val="525"/>
        </w:trPr>
        <w:tc>
          <w:tcPr>
            <w:tcW w:w="14142" w:type="dxa"/>
          </w:tcPr>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Benefiti korisnika se ogledaju u sljedećem:</w:t>
            </w:r>
          </w:p>
          <w:p w:rsidR="00A11ED0" w:rsidRPr="00A11ED0" w:rsidRDefault="00A11ED0" w:rsidP="00A11ED0">
            <w:pPr>
              <w:jc w:val="both"/>
              <w:rPr>
                <w:rFonts w:ascii="Arial" w:eastAsia="Calibri" w:hAnsi="Arial" w:cs="Arial"/>
                <w:sz w:val="22"/>
                <w:szCs w:val="22"/>
              </w:rPr>
            </w:pPr>
            <w:r w:rsidRPr="00A11ED0">
              <w:rPr>
                <w:rFonts w:ascii="Arial" w:eastAsia="Calibri" w:hAnsi="Arial" w:cs="Arial"/>
                <w:sz w:val="22"/>
                <w:szCs w:val="22"/>
              </w:rPr>
              <w:t>1. Za MO CG i VCG – razvoj politika prema mlađoj populaciji, obezbjeđenje nedostajućeg kadra;</w:t>
            </w:r>
          </w:p>
          <w:p w:rsidR="00323B91" w:rsidRPr="00913E65" w:rsidRDefault="00A11ED0" w:rsidP="00A11ED0">
            <w:pPr>
              <w:jc w:val="both"/>
              <w:rPr>
                <w:rFonts w:ascii="Arial" w:eastAsia="Calibri" w:hAnsi="Arial" w:cs="Arial"/>
                <w:sz w:val="22"/>
                <w:szCs w:val="22"/>
              </w:rPr>
            </w:pPr>
            <w:r w:rsidRPr="00A11ED0">
              <w:rPr>
                <w:rFonts w:ascii="Arial" w:eastAsia="Calibri" w:hAnsi="Arial" w:cs="Arial"/>
                <w:sz w:val="22"/>
                <w:szCs w:val="22"/>
              </w:rPr>
              <w:t>2. Za osnovce, srednjoškolce i univerzitetsku populaciju – razvoj vještina, sticanje znanja i informisanje o mogućnostima vojnog poziva, mogućnost zaposlenja;</w:t>
            </w:r>
          </w:p>
        </w:tc>
      </w:tr>
    </w:tbl>
    <w:p w:rsidR="00674071" w:rsidRPr="00C723A0" w:rsidRDefault="00674071" w:rsidP="00DF5C60">
      <w:pPr>
        <w:rPr>
          <w:rFonts w:ascii="Arial" w:hAnsi="Arial" w:cs="Arial"/>
        </w:rPr>
      </w:pPr>
    </w:p>
    <w:p w:rsidR="00C96499" w:rsidRDefault="008D4369" w:rsidP="00DF5C60">
      <w:pPr>
        <w:pStyle w:val="Heading2"/>
      </w:pPr>
      <w:r w:rsidRPr="00C723A0">
        <w:t>Nave</w:t>
      </w:r>
      <w:r w:rsidR="00536C64" w:rsidRPr="00C723A0">
        <w:t>sti</w:t>
      </w:r>
      <w:r w:rsidRPr="00C723A0">
        <w:t xml:space="preserve"> </w:t>
      </w:r>
      <w:r w:rsidR="001C4B80" w:rsidRPr="00C723A0">
        <w:t xml:space="preserve">očekivani ukupni broj </w:t>
      </w:r>
      <w:r w:rsidR="00536C64" w:rsidRPr="00C723A0">
        <w:t xml:space="preserve">ugovorenih projekata, odnosno </w:t>
      </w:r>
      <w:r w:rsidR="001C4B80" w:rsidRPr="00C723A0">
        <w:t xml:space="preserve">ugovora koji se planira </w:t>
      </w:r>
      <w:r w:rsidR="00B43A39" w:rsidRPr="00C723A0">
        <w:t>zaključiti</w:t>
      </w:r>
      <w:r w:rsidR="001C4B80" w:rsidRPr="00C723A0">
        <w:t xml:space="preserve"> s </w:t>
      </w:r>
      <w:r w:rsidR="007E7683" w:rsidRPr="00C723A0">
        <w:t xml:space="preserve">nevladinim </w:t>
      </w:r>
      <w:r w:rsidR="001C4B80" w:rsidRPr="00C723A0">
        <w:t xml:space="preserve">organizacijama </w:t>
      </w:r>
      <w:r w:rsidR="007E7683" w:rsidRPr="00C723A0">
        <w:t xml:space="preserve">na osnovu </w:t>
      </w:r>
      <w:r w:rsidR="003A093F" w:rsidRPr="00C723A0">
        <w:t xml:space="preserve">javnog </w:t>
      </w:r>
      <w:r w:rsidRPr="00C723A0">
        <w:t>kon</w:t>
      </w:r>
      <w:r w:rsidR="00C96499" w:rsidRPr="00C723A0">
        <w:t>kursa</w:t>
      </w:r>
      <w:r w:rsidR="00B43A39" w:rsidRPr="00C723A0">
        <w:t>.</w:t>
      </w:r>
    </w:p>
    <w:p w:rsidR="00AF3569" w:rsidRPr="00AF3569" w:rsidRDefault="00AF3569" w:rsidP="00AF35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3"/>
        <w:gridCol w:w="4715"/>
      </w:tblGrid>
      <w:tr w:rsidR="001C4B80" w:rsidRPr="00C723A0" w:rsidTr="00FA7F83">
        <w:trPr>
          <w:trHeight w:val="164"/>
        </w:trPr>
        <w:tc>
          <w:tcPr>
            <w:tcW w:w="13948" w:type="dxa"/>
            <w:gridSpan w:val="2"/>
            <w:shd w:val="clear" w:color="auto" w:fill="FABF8F"/>
            <w:vAlign w:val="center"/>
          </w:tcPr>
          <w:p w:rsidR="001C4B80" w:rsidRPr="00C723A0" w:rsidRDefault="001C4B80" w:rsidP="00112F10">
            <w:pPr>
              <w:jc w:val="center"/>
              <w:rPr>
                <w:rFonts w:ascii="Arial" w:eastAsia="Calibri" w:hAnsi="Arial" w:cs="Arial"/>
                <w:b/>
                <w:color w:val="FFFFFF"/>
                <w:sz w:val="22"/>
                <w:szCs w:val="22"/>
              </w:rPr>
            </w:pPr>
            <w:r w:rsidRPr="00C723A0">
              <w:rPr>
                <w:rFonts w:ascii="Arial" w:eastAsia="Calibri" w:hAnsi="Arial" w:cs="Arial"/>
                <w:b/>
                <w:color w:val="FFFFFF"/>
                <w:sz w:val="22"/>
                <w:szCs w:val="22"/>
              </w:rPr>
              <w:t>Očekivani broj p</w:t>
            </w:r>
            <w:r w:rsidR="00E3214A" w:rsidRPr="00C723A0">
              <w:rPr>
                <w:rFonts w:ascii="Arial" w:eastAsia="Calibri" w:hAnsi="Arial" w:cs="Arial"/>
                <w:b/>
                <w:color w:val="FFFFFF"/>
                <w:sz w:val="22"/>
                <w:szCs w:val="22"/>
              </w:rPr>
              <w:t xml:space="preserve">rojekata koji </w:t>
            </w:r>
            <w:r w:rsidR="00536C64" w:rsidRPr="00C723A0">
              <w:rPr>
                <w:rFonts w:ascii="Arial" w:eastAsia="Calibri" w:hAnsi="Arial" w:cs="Arial"/>
                <w:b/>
                <w:color w:val="FFFFFF"/>
                <w:sz w:val="22"/>
                <w:szCs w:val="22"/>
              </w:rPr>
              <w:t xml:space="preserve">se planira finansirati / broj ugovora koje se planira </w:t>
            </w:r>
            <w:r w:rsidR="0035743D" w:rsidRPr="00C723A0">
              <w:rPr>
                <w:rFonts w:ascii="Arial" w:eastAsia="Calibri" w:hAnsi="Arial" w:cs="Arial"/>
                <w:b/>
                <w:color w:val="FFFFFF"/>
                <w:sz w:val="22"/>
                <w:szCs w:val="22"/>
              </w:rPr>
              <w:t>zaključ</w:t>
            </w:r>
            <w:r w:rsidR="00112F10" w:rsidRPr="00C723A0">
              <w:rPr>
                <w:rFonts w:ascii="Arial" w:eastAsia="Calibri" w:hAnsi="Arial" w:cs="Arial"/>
                <w:b/>
                <w:color w:val="FFFFFF"/>
                <w:sz w:val="22"/>
                <w:szCs w:val="22"/>
              </w:rPr>
              <w:t>iti</w:t>
            </w:r>
            <w:r w:rsidR="003064BF" w:rsidRPr="00C723A0">
              <w:rPr>
                <w:rFonts w:ascii="Arial" w:eastAsia="Calibri" w:hAnsi="Arial" w:cs="Arial"/>
                <w:b/>
                <w:color w:val="FFFFFF"/>
                <w:sz w:val="22"/>
                <w:szCs w:val="22"/>
              </w:rPr>
              <w:t xml:space="preserve"> s</w:t>
            </w:r>
            <w:r w:rsidR="00536C64" w:rsidRPr="00C723A0">
              <w:rPr>
                <w:rFonts w:ascii="Arial" w:eastAsia="Calibri" w:hAnsi="Arial" w:cs="Arial"/>
                <w:b/>
                <w:color w:val="FFFFFF"/>
                <w:sz w:val="22"/>
                <w:szCs w:val="22"/>
              </w:rPr>
              <w:t xml:space="preserve"> NVO</w:t>
            </w:r>
          </w:p>
        </w:tc>
      </w:tr>
      <w:tr w:rsidR="00577BEA" w:rsidRPr="00C723A0" w:rsidTr="00FA7F83">
        <w:trPr>
          <w:trHeight w:val="278"/>
        </w:trPr>
        <w:tc>
          <w:tcPr>
            <w:tcW w:w="9233" w:type="dxa"/>
            <w:shd w:val="clear" w:color="auto" w:fill="FABF8F"/>
            <w:vAlign w:val="center"/>
          </w:tcPr>
          <w:p w:rsidR="00577BEA" w:rsidRPr="00C723A0" w:rsidRDefault="00577BEA" w:rsidP="00B65AAB">
            <w:pPr>
              <w:jc w:val="center"/>
              <w:rPr>
                <w:rFonts w:ascii="Arial" w:eastAsia="Calibri" w:hAnsi="Arial" w:cs="Arial"/>
                <w:b/>
                <w:color w:val="FFFFFF"/>
                <w:sz w:val="22"/>
                <w:szCs w:val="22"/>
              </w:rPr>
            </w:pPr>
            <w:r w:rsidRPr="00C723A0">
              <w:rPr>
                <w:rFonts w:ascii="Arial" w:eastAsia="Calibri" w:hAnsi="Arial" w:cs="Arial"/>
                <w:b/>
                <w:color w:val="FFFFFF"/>
                <w:sz w:val="22"/>
                <w:szCs w:val="22"/>
              </w:rPr>
              <w:t xml:space="preserve">Naziv </w:t>
            </w:r>
            <w:r w:rsidR="00B65AAB" w:rsidRPr="00C723A0">
              <w:rPr>
                <w:rFonts w:ascii="Arial" w:eastAsia="Calibri" w:hAnsi="Arial" w:cs="Arial"/>
                <w:b/>
                <w:color w:val="FFFFFF"/>
                <w:sz w:val="22"/>
                <w:szCs w:val="22"/>
              </w:rPr>
              <w:t xml:space="preserve">javnog </w:t>
            </w:r>
            <w:r w:rsidR="00E3214A" w:rsidRPr="00C723A0">
              <w:rPr>
                <w:rFonts w:ascii="Arial" w:eastAsia="Calibri" w:hAnsi="Arial" w:cs="Arial"/>
                <w:b/>
                <w:color w:val="FFFFFF"/>
                <w:sz w:val="22"/>
                <w:szCs w:val="22"/>
              </w:rPr>
              <w:t>konkursa</w:t>
            </w:r>
          </w:p>
        </w:tc>
        <w:tc>
          <w:tcPr>
            <w:tcW w:w="4715" w:type="dxa"/>
            <w:shd w:val="clear" w:color="auto" w:fill="FABF8F"/>
            <w:vAlign w:val="center"/>
          </w:tcPr>
          <w:p w:rsidR="00577BEA" w:rsidRPr="00C723A0" w:rsidRDefault="00577BEA" w:rsidP="00760575">
            <w:pPr>
              <w:jc w:val="center"/>
              <w:rPr>
                <w:rFonts w:ascii="Arial" w:eastAsia="Calibri" w:hAnsi="Arial" w:cs="Arial"/>
                <w:b/>
                <w:color w:val="FFFFFF"/>
                <w:sz w:val="22"/>
                <w:szCs w:val="22"/>
              </w:rPr>
            </w:pPr>
            <w:r w:rsidRPr="00C723A0">
              <w:rPr>
                <w:rFonts w:ascii="Arial" w:eastAsia="Calibri" w:hAnsi="Arial" w:cs="Arial"/>
                <w:b/>
                <w:color w:val="FFFFFF"/>
                <w:sz w:val="22"/>
                <w:szCs w:val="22"/>
              </w:rPr>
              <w:t>Očekivani broj projekata/ugovora</w:t>
            </w:r>
          </w:p>
        </w:tc>
      </w:tr>
      <w:tr w:rsidR="008C4360" w:rsidRPr="00C723A0" w:rsidTr="00FA7F83">
        <w:trPr>
          <w:trHeight w:val="277"/>
        </w:trPr>
        <w:tc>
          <w:tcPr>
            <w:tcW w:w="9233" w:type="dxa"/>
          </w:tcPr>
          <w:p w:rsidR="008C4360" w:rsidRPr="00C723A0" w:rsidRDefault="000A2D82" w:rsidP="00913E65">
            <w:pPr>
              <w:outlineLvl w:val="0"/>
              <w:rPr>
                <w:rFonts w:ascii="Arial" w:hAnsi="Arial" w:cs="Arial"/>
                <w:iCs/>
                <w:sz w:val="22"/>
                <w:szCs w:val="22"/>
              </w:rPr>
            </w:pPr>
            <w:r>
              <w:rPr>
                <w:rFonts w:ascii="Arial" w:hAnsi="Arial" w:cs="Arial"/>
                <w:iCs/>
                <w:sz w:val="22"/>
                <w:szCs w:val="22"/>
              </w:rPr>
              <w:t>Vojska Crne Gore u tvom gradu – info stanice</w:t>
            </w:r>
            <w:r w:rsidR="004758A9">
              <w:rPr>
                <w:rFonts w:ascii="Arial" w:hAnsi="Arial" w:cs="Arial"/>
                <w:iCs/>
                <w:sz w:val="22"/>
                <w:szCs w:val="22"/>
              </w:rPr>
              <w:t xml:space="preserve"> (pultovi)</w:t>
            </w:r>
          </w:p>
        </w:tc>
        <w:tc>
          <w:tcPr>
            <w:tcW w:w="4715" w:type="dxa"/>
          </w:tcPr>
          <w:p w:rsidR="008C4360" w:rsidRPr="00C723A0" w:rsidRDefault="000A2D82" w:rsidP="000D56D3">
            <w:pPr>
              <w:jc w:val="center"/>
              <w:rPr>
                <w:rFonts w:ascii="Arial" w:eastAsia="Calibri" w:hAnsi="Arial" w:cs="Arial"/>
                <w:sz w:val="22"/>
                <w:szCs w:val="22"/>
              </w:rPr>
            </w:pPr>
            <w:r>
              <w:rPr>
                <w:rFonts w:ascii="Arial" w:eastAsia="Calibri" w:hAnsi="Arial" w:cs="Arial"/>
                <w:sz w:val="22"/>
                <w:szCs w:val="22"/>
              </w:rPr>
              <w:t>5</w:t>
            </w:r>
          </w:p>
        </w:tc>
      </w:tr>
      <w:tr w:rsidR="00FA7F83" w:rsidRPr="00C723A0" w:rsidTr="00FA7F83">
        <w:trPr>
          <w:trHeight w:val="277"/>
        </w:trPr>
        <w:tc>
          <w:tcPr>
            <w:tcW w:w="9233" w:type="dxa"/>
          </w:tcPr>
          <w:p w:rsidR="00FA7F83" w:rsidRPr="00C723A0" w:rsidRDefault="00414B15" w:rsidP="00A315CE">
            <w:pPr>
              <w:outlineLvl w:val="0"/>
              <w:rPr>
                <w:rFonts w:ascii="Arial" w:hAnsi="Arial" w:cs="Arial"/>
                <w:iCs/>
                <w:sz w:val="22"/>
                <w:szCs w:val="22"/>
              </w:rPr>
            </w:pPr>
            <w:r w:rsidRPr="00414B15">
              <w:rPr>
                <w:rFonts w:ascii="Arial" w:hAnsi="Arial" w:cs="Arial"/>
                <w:iCs/>
                <w:sz w:val="22"/>
                <w:szCs w:val="22"/>
              </w:rPr>
              <w:t>Dvodnevni seminar za mlade o ulozi i značaju Vojske</w:t>
            </w:r>
          </w:p>
        </w:tc>
        <w:tc>
          <w:tcPr>
            <w:tcW w:w="4715" w:type="dxa"/>
          </w:tcPr>
          <w:p w:rsidR="00FA7F83" w:rsidRPr="00C723A0" w:rsidRDefault="00414B15" w:rsidP="00A315CE">
            <w:pPr>
              <w:jc w:val="center"/>
              <w:rPr>
                <w:rFonts w:ascii="Arial" w:eastAsia="Calibri" w:hAnsi="Arial" w:cs="Arial"/>
                <w:sz w:val="22"/>
                <w:szCs w:val="22"/>
              </w:rPr>
            </w:pPr>
            <w:r>
              <w:rPr>
                <w:rFonts w:ascii="Arial" w:eastAsia="Calibri" w:hAnsi="Arial" w:cs="Arial"/>
                <w:sz w:val="22"/>
                <w:szCs w:val="22"/>
              </w:rPr>
              <w:t>5</w:t>
            </w:r>
          </w:p>
        </w:tc>
      </w:tr>
      <w:tr w:rsidR="008C4360" w:rsidRPr="00C723A0" w:rsidTr="00FA7F83">
        <w:trPr>
          <w:trHeight w:val="277"/>
        </w:trPr>
        <w:tc>
          <w:tcPr>
            <w:tcW w:w="9233" w:type="dxa"/>
          </w:tcPr>
          <w:p w:rsidR="008C4360" w:rsidRDefault="008C4360" w:rsidP="001D22E4">
            <w:pPr>
              <w:outlineLvl w:val="0"/>
              <w:rPr>
                <w:rFonts w:ascii="Arial" w:hAnsi="Arial" w:cs="Arial"/>
                <w:iCs/>
                <w:sz w:val="22"/>
                <w:szCs w:val="22"/>
              </w:rPr>
            </w:pPr>
          </w:p>
        </w:tc>
        <w:tc>
          <w:tcPr>
            <w:tcW w:w="4715" w:type="dxa"/>
          </w:tcPr>
          <w:p w:rsidR="008C4360" w:rsidRPr="00C723A0" w:rsidRDefault="008C4360" w:rsidP="000D56D3">
            <w:pPr>
              <w:jc w:val="center"/>
              <w:rPr>
                <w:rFonts w:ascii="Arial" w:eastAsia="Calibri" w:hAnsi="Arial" w:cs="Arial"/>
                <w:sz w:val="22"/>
                <w:szCs w:val="22"/>
              </w:rPr>
            </w:pPr>
          </w:p>
        </w:tc>
      </w:tr>
    </w:tbl>
    <w:p w:rsidR="001A66A4" w:rsidRPr="00C723A0" w:rsidRDefault="001A66A4" w:rsidP="00DF5C60">
      <w:pPr>
        <w:rPr>
          <w:rFonts w:ascii="Arial" w:hAnsi="Arial" w:cs="Arial"/>
        </w:rPr>
      </w:pPr>
    </w:p>
    <w:p w:rsidR="001C4B80" w:rsidRPr="00C723A0" w:rsidRDefault="008D4369" w:rsidP="00DF5C60">
      <w:pPr>
        <w:pStyle w:val="Heading2"/>
      </w:pPr>
      <w:r w:rsidRPr="00C723A0">
        <w:t>Nave</w:t>
      </w:r>
      <w:r w:rsidR="00536C64" w:rsidRPr="00C723A0">
        <w:t>sti n</w:t>
      </w:r>
      <w:r w:rsidR="00836BC7" w:rsidRPr="00C723A0">
        <w:t xml:space="preserve">ajviši </w:t>
      </w:r>
      <w:r w:rsidR="00E17C83" w:rsidRPr="00C723A0">
        <w:t xml:space="preserve">i </w:t>
      </w:r>
      <w:r w:rsidR="00836BC7" w:rsidRPr="00C723A0">
        <w:t>najniži</w:t>
      </w:r>
      <w:r w:rsidR="00E3214A" w:rsidRPr="00C723A0">
        <w:t xml:space="preserve"> iznosi finans</w:t>
      </w:r>
      <w:r w:rsidR="00E17C83" w:rsidRPr="00C723A0">
        <w:t>ijske podrške koj</w:t>
      </w:r>
      <w:r w:rsidR="00536C64" w:rsidRPr="00C723A0">
        <w:t xml:space="preserve">u </w:t>
      </w:r>
      <w:r w:rsidR="00E17C83" w:rsidRPr="00C723A0">
        <w:t>će biti moguće ostvariti</w:t>
      </w:r>
      <w:r w:rsidR="00E3214A" w:rsidRPr="00C723A0">
        <w:t xml:space="preserve"> na osnovu </w:t>
      </w:r>
      <w:r w:rsidR="002A4AA1" w:rsidRPr="00C723A0">
        <w:t>pojedinačn</w:t>
      </w:r>
      <w:r w:rsidR="00536C64" w:rsidRPr="00C723A0">
        <w:t xml:space="preserve">og </w:t>
      </w:r>
      <w:r w:rsidR="00B65AAB" w:rsidRPr="00C723A0">
        <w:t>javn</w:t>
      </w:r>
      <w:r w:rsidR="00536C64" w:rsidRPr="00C723A0">
        <w:t xml:space="preserve">og </w:t>
      </w:r>
      <w:r w:rsidR="00E3214A" w:rsidRPr="00C723A0">
        <w:t>konkursa</w:t>
      </w:r>
      <w:r w:rsidR="00E17C83" w:rsidRPr="00C723A0">
        <w:t xml:space="preserve"> </w:t>
      </w:r>
      <w:r w:rsidR="009047F8" w:rsidRPr="00C723A0">
        <w:t>navedenog</w:t>
      </w:r>
      <w:r w:rsidR="00E3214A" w:rsidRPr="00C723A0">
        <w:t xml:space="preserve"> u tačk</w:t>
      </w:r>
      <w:r w:rsidR="00E17C83" w:rsidRPr="00C723A0">
        <w:t>i 4.1</w:t>
      </w:r>
      <w:r w:rsidR="00E3214A" w:rsidRPr="00C723A0">
        <w:t>.</w:t>
      </w:r>
    </w:p>
    <w:p w:rsidR="001C4B80" w:rsidRPr="00C723A0" w:rsidRDefault="001C4B80" w:rsidP="00DF5C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C723A0" w:rsidTr="00562DC9">
        <w:tc>
          <w:tcPr>
            <w:tcW w:w="7071" w:type="dxa"/>
            <w:shd w:val="clear" w:color="auto" w:fill="FABF8F"/>
          </w:tcPr>
          <w:p w:rsidR="001C4B80" w:rsidRPr="00C723A0" w:rsidRDefault="00D0527A" w:rsidP="00760575">
            <w:pPr>
              <w:jc w:val="center"/>
              <w:rPr>
                <w:rFonts w:ascii="Arial" w:eastAsia="Calibri" w:hAnsi="Arial" w:cs="Arial"/>
                <w:b/>
                <w:color w:val="FFFFFF"/>
                <w:sz w:val="22"/>
                <w:szCs w:val="22"/>
              </w:rPr>
            </w:pPr>
            <w:r w:rsidRPr="00C723A0">
              <w:rPr>
                <w:rFonts w:ascii="Arial" w:eastAsia="Calibri" w:hAnsi="Arial" w:cs="Arial"/>
                <w:b/>
                <w:color w:val="FFFFFF"/>
                <w:sz w:val="22"/>
                <w:szCs w:val="22"/>
              </w:rPr>
              <w:lastRenderedPageBreak/>
              <w:t xml:space="preserve">Najniži </w:t>
            </w:r>
            <w:r w:rsidR="001C4B80" w:rsidRPr="00C723A0">
              <w:rPr>
                <w:rFonts w:ascii="Arial" w:eastAsia="Calibri" w:hAnsi="Arial" w:cs="Arial"/>
                <w:b/>
                <w:color w:val="FFFFFF"/>
                <w:sz w:val="22"/>
                <w:szCs w:val="22"/>
              </w:rPr>
              <w:t>iznos za projek</w:t>
            </w:r>
            <w:r w:rsidR="00914DE0" w:rsidRPr="00C723A0">
              <w:rPr>
                <w:rFonts w:ascii="Arial" w:eastAsia="Calibri" w:hAnsi="Arial" w:cs="Arial"/>
                <w:b/>
                <w:color w:val="FFFFFF"/>
                <w:sz w:val="22"/>
                <w:szCs w:val="22"/>
              </w:rPr>
              <w:t>a</w:t>
            </w:r>
            <w:r w:rsidR="001C4B80" w:rsidRPr="00C723A0">
              <w:rPr>
                <w:rFonts w:ascii="Arial" w:eastAsia="Calibri" w:hAnsi="Arial" w:cs="Arial"/>
                <w:b/>
                <w:color w:val="FFFFFF"/>
                <w:sz w:val="22"/>
                <w:szCs w:val="22"/>
              </w:rPr>
              <w:t>t</w:t>
            </w:r>
            <w:r w:rsidR="004E6B25" w:rsidRPr="00C723A0">
              <w:rPr>
                <w:rFonts w:ascii="Arial" w:eastAsia="Calibri" w:hAnsi="Arial" w:cs="Arial"/>
                <w:b/>
                <w:color w:val="FFFFFF"/>
                <w:sz w:val="22"/>
                <w:szCs w:val="22"/>
              </w:rPr>
              <w:t>/program</w:t>
            </w:r>
          </w:p>
        </w:tc>
        <w:tc>
          <w:tcPr>
            <w:tcW w:w="7071" w:type="dxa"/>
            <w:shd w:val="clear" w:color="auto" w:fill="FABF8F"/>
          </w:tcPr>
          <w:p w:rsidR="001C4B80" w:rsidRPr="00C723A0" w:rsidRDefault="00D0527A" w:rsidP="00760575">
            <w:pPr>
              <w:jc w:val="center"/>
              <w:rPr>
                <w:rFonts w:ascii="Arial" w:eastAsia="Calibri" w:hAnsi="Arial" w:cs="Arial"/>
                <w:b/>
                <w:color w:val="FFFFFF"/>
                <w:sz w:val="22"/>
                <w:szCs w:val="22"/>
              </w:rPr>
            </w:pPr>
            <w:r w:rsidRPr="00C723A0">
              <w:rPr>
                <w:rFonts w:ascii="Arial" w:eastAsia="Calibri" w:hAnsi="Arial" w:cs="Arial"/>
                <w:b/>
                <w:color w:val="FFFFFF"/>
                <w:sz w:val="22"/>
                <w:szCs w:val="22"/>
              </w:rPr>
              <w:t>Najviši</w:t>
            </w:r>
            <w:r w:rsidR="001C4B80" w:rsidRPr="00C723A0">
              <w:rPr>
                <w:rFonts w:ascii="Arial" w:eastAsia="Calibri" w:hAnsi="Arial" w:cs="Arial"/>
                <w:b/>
                <w:color w:val="FFFFFF"/>
                <w:sz w:val="22"/>
                <w:szCs w:val="22"/>
              </w:rPr>
              <w:t xml:space="preserve"> iznos za projek</w:t>
            </w:r>
            <w:r w:rsidR="00914DE0" w:rsidRPr="00C723A0">
              <w:rPr>
                <w:rFonts w:ascii="Arial" w:eastAsia="Calibri" w:hAnsi="Arial" w:cs="Arial"/>
                <w:b/>
                <w:color w:val="FFFFFF"/>
                <w:sz w:val="22"/>
                <w:szCs w:val="22"/>
              </w:rPr>
              <w:t>a</w:t>
            </w:r>
            <w:r w:rsidR="001C4B80" w:rsidRPr="00C723A0">
              <w:rPr>
                <w:rFonts w:ascii="Arial" w:eastAsia="Calibri" w:hAnsi="Arial" w:cs="Arial"/>
                <w:b/>
                <w:color w:val="FFFFFF"/>
                <w:sz w:val="22"/>
                <w:szCs w:val="22"/>
              </w:rPr>
              <w:t>t</w:t>
            </w:r>
            <w:r w:rsidR="004E6B25" w:rsidRPr="00C723A0">
              <w:rPr>
                <w:rFonts w:ascii="Arial" w:eastAsia="Calibri" w:hAnsi="Arial" w:cs="Arial"/>
                <w:b/>
                <w:color w:val="FFFFFF"/>
                <w:sz w:val="22"/>
                <w:szCs w:val="22"/>
              </w:rPr>
              <w:t>/program</w:t>
            </w:r>
          </w:p>
        </w:tc>
      </w:tr>
      <w:tr w:rsidR="001C4B80" w:rsidRPr="00C723A0" w:rsidTr="002467B0">
        <w:trPr>
          <w:trHeight w:val="384"/>
        </w:trPr>
        <w:tc>
          <w:tcPr>
            <w:tcW w:w="7071" w:type="dxa"/>
          </w:tcPr>
          <w:p w:rsidR="007372E6" w:rsidRPr="00C723A0" w:rsidRDefault="000A2D82" w:rsidP="00760575">
            <w:pPr>
              <w:jc w:val="both"/>
              <w:rPr>
                <w:rFonts w:ascii="Arial" w:eastAsia="Calibri" w:hAnsi="Arial" w:cs="Arial"/>
                <w:sz w:val="22"/>
                <w:szCs w:val="22"/>
              </w:rPr>
            </w:pPr>
            <w:r>
              <w:rPr>
                <w:rFonts w:ascii="Arial" w:eastAsia="Calibri" w:hAnsi="Arial" w:cs="Arial"/>
                <w:sz w:val="22"/>
                <w:szCs w:val="22"/>
              </w:rPr>
              <w:t>2</w:t>
            </w:r>
            <w:r w:rsidR="003E752B">
              <w:rPr>
                <w:rFonts w:ascii="Arial" w:eastAsia="Calibri" w:hAnsi="Arial" w:cs="Arial"/>
                <w:sz w:val="22"/>
                <w:szCs w:val="22"/>
              </w:rPr>
              <w:t>.</w:t>
            </w:r>
            <w:r>
              <w:rPr>
                <w:rFonts w:ascii="Arial" w:eastAsia="Calibri" w:hAnsi="Arial" w:cs="Arial"/>
                <w:sz w:val="22"/>
                <w:szCs w:val="22"/>
              </w:rPr>
              <w:t>000</w:t>
            </w:r>
            <w:r w:rsidR="003E752B">
              <w:rPr>
                <w:rFonts w:ascii="Arial" w:eastAsia="Calibri" w:hAnsi="Arial" w:cs="Arial"/>
                <w:sz w:val="22"/>
                <w:szCs w:val="22"/>
              </w:rPr>
              <w:t>,00 €</w:t>
            </w:r>
          </w:p>
          <w:p w:rsidR="007372E6" w:rsidRPr="00C723A0" w:rsidRDefault="007372E6" w:rsidP="00760575">
            <w:pPr>
              <w:jc w:val="both"/>
              <w:rPr>
                <w:rFonts w:ascii="Arial" w:eastAsia="Calibri" w:hAnsi="Arial" w:cs="Arial"/>
                <w:sz w:val="22"/>
                <w:szCs w:val="22"/>
              </w:rPr>
            </w:pPr>
          </w:p>
        </w:tc>
        <w:tc>
          <w:tcPr>
            <w:tcW w:w="7071" w:type="dxa"/>
          </w:tcPr>
          <w:p w:rsidR="00EE0BAB" w:rsidRPr="00C723A0" w:rsidRDefault="000A2D82" w:rsidP="00363C82">
            <w:pPr>
              <w:jc w:val="center"/>
              <w:rPr>
                <w:rFonts w:ascii="Arial" w:eastAsia="Calibri" w:hAnsi="Arial" w:cs="Arial"/>
                <w:sz w:val="22"/>
                <w:szCs w:val="22"/>
              </w:rPr>
            </w:pPr>
            <w:r>
              <w:rPr>
                <w:rFonts w:ascii="Arial" w:eastAsia="Calibri" w:hAnsi="Arial" w:cs="Arial"/>
                <w:sz w:val="22"/>
                <w:szCs w:val="22"/>
              </w:rPr>
              <w:t>2</w:t>
            </w:r>
            <w:r w:rsidR="003E752B">
              <w:rPr>
                <w:rFonts w:ascii="Arial" w:eastAsia="Calibri" w:hAnsi="Arial" w:cs="Arial"/>
                <w:sz w:val="22"/>
                <w:szCs w:val="22"/>
              </w:rPr>
              <w:t>.</w:t>
            </w:r>
            <w:r>
              <w:rPr>
                <w:rFonts w:ascii="Arial" w:eastAsia="Calibri" w:hAnsi="Arial" w:cs="Arial"/>
                <w:sz w:val="22"/>
                <w:szCs w:val="22"/>
              </w:rPr>
              <w:t>000</w:t>
            </w:r>
            <w:r w:rsidR="003E752B">
              <w:rPr>
                <w:rFonts w:ascii="Arial" w:eastAsia="Calibri" w:hAnsi="Arial" w:cs="Arial"/>
                <w:sz w:val="22"/>
                <w:szCs w:val="22"/>
              </w:rPr>
              <w:t>,00 €</w:t>
            </w:r>
          </w:p>
        </w:tc>
      </w:tr>
      <w:tr w:rsidR="0030796E" w:rsidRPr="00C723A0" w:rsidTr="002467B0">
        <w:trPr>
          <w:trHeight w:val="384"/>
        </w:trPr>
        <w:tc>
          <w:tcPr>
            <w:tcW w:w="7071" w:type="dxa"/>
          </w:tcPr>
          <w:p w:rsidR="0030796E" w:rsidRDefault="00001016" w:rsidP="00760575">
            <w:pPr>
              <w:jc w:val="both"/>
              <w:rPr>
                <w:rFonts w:ascii="Arial" w:eastAsia="Calibri" w:hAnsi="Arial" w:cs="Arial"/>
                <w:sz w:val="22"/>
                <w:szCs w:val="22"/>
              </w:rPr>
            </w:pPr>
            <w:r>
              <w:rPr>
                <w:rFonts w:ascii="Arial" w:eastAsia="Calibri" w:hAnsi="Arial" w:cs="Arial"/>
                <w:sz w:val="22"/>
                <w:szCs w:val="22"/>
              </w:rPr>
              <w:t>3</w:t>
            </w:r>
            <w:r w:rsidR="0030796E">
              <w:rPr>
                <w:rFonts w:ascii="Arial" w:eastAsia="Calibri" w:hAnsi="Arial" w:cs="Arial"/>
                <w:sz w:val="22"/>
                <w:szCs w:val="22"/>
              </w:rPr>
              <w:t>.000,00€</w:t>
            </w:r>
          </w:p>
        </w:tc>
        <w:tc>
          <w:tcPr>
            <w:tcW w:w="7071" w:type="dxa"/>
          </w:tcPr>
          <w:p w:rsidR="0030796E" w:rsidRDefault="00001016" w:rsidP="00363C82">
            <w:pPr>
              <w:jc w:val="center"/>
              <w:rPr>
                <w:rFonts w:ascii="Arial" w:eastAsia="Calibri" w:hAnsi="Arial" w:cs="Arial"/>
                <w:sz w:val="22"/>
                <w:szCs w:val="22"/>
              </w:rPr>
            </w:pPr>
            <w:r>
              <w:rPr>
                <w:rFonts w:ascii="Arial" w:eastAsia="Calibri" w:hAnsi="Arial" w:cs="Arial"/>
                <w:sz w:val="22"/>
                <w:szCs w:val="22"/>
              </w:rPr>
              <w:t>3</w:t>
            </w:r>
            <w:r w:rsidR="0030796E">
              <w:rPr>
                <w:rFonts w:ascii="Arial" w:eastAsia="Calibri" w:hAnsi="Arial" w:cs="Arial"/>
                <w:sz w:val="22"/>
                <w:szCs w:val="22"/>
              </w:rPr>
              <w:t>.000,00€</w:t>
            </w:r>
          </w:p>
        </w:tc>
      </w:tr>
    </w:tbl>
    <w:p w:rsidR="0063434E" w:rsidRDefault="0063434E" w:rsidP="00DF5C60">
      <w:pPr>
        <w:rPr>
          <w:rFonts w:ascii="Arial" w:hAnsi="Arial" w:cs="Arial"/>
        </w:rPr>
      </w:pPr>
    </w:p>
    <w:p w:rsidR="00FA7F83" w:rsidRPr="00C723A0" w:rsidRDefault="00FA7F83" w:rsidP="00DF5C60">
      <w:pPr>
        <w:rPr>
          <w:rFonts w:ascii="Arial" w:hAnsi="Arial" w:cs="Arial"/>
        </w:rPr>
      </w:pPr>
    </w:p>
    <w:p w:rsidR="003A7340" w:rsidRPr="00C723A0" w:rsidRDefault="003A7340" w:rsidP="003A7340">
      <w:pPr>
        <w:pStyle w:val="Heading1"/>
      </w:pPr>
      <w:r w:rsidRPr="00C723A0">
        <w:t>KONSULTACIJE SA ZAINTERESOVANIM NEVLADINIM ORGANIZAICJAMA</w:t>
      </w:r>
    </w:p>
    <w:p w:rsidR="003A7340" w:rsidRPr="00C723A0" w:rsidRDefault="003A7340" w:rsidP="00862238">
      <w:pPr>
        <w:rPr>
          <w:rFonts w:ascii="Arial" w:hAnsi="Arial" w:cs="Arial"/>
        </w:rPr>
      </w:pPr>
    </w:p>
    <w:p w:rsidR="003A7340" w:rsidRPr="00C723A0" w:rsidRDefault="003A7340" w:rsidP="003A7340">
      <w:pPr>
        <w:pStyle w:val="Heading2"/>
      </w:pPr>
      <w:r w:rsidRPr="00C723A0">
        <w:t>Navesti na koji način je u skladu sa Uredbom obavljen proces konsultovanja NVO u procesu pripreme sektorske analize.</w:t>
      </w:r>
    </w:p>
    <w:p w:rsidR="001A66A4" w:rsidRPr="00C723A0" w:rsidRDefault="001A66A4" w:rsidP="001A66A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263"/>
        <w:gridCol w:w="4890"/>
      </w:tblGrid>
      <w:tr w:rsidR="001A66A4" w:rsidRPr="00C723A0" w:rsidTr="00FA7F83">
        <w:tc>
          <w:tcPr>
            <w:tcW w:w="4795" w:type="dxa"/>
            <w:shd w:val="clear" w:color="auto" w:fill="FABF8F"/>
          </w:tcPr>
          <w:p w:rsidR="001A66A4" w:rsidRPr="00C723A0" w:rsidRDefault="001A66A4" w:rsidP="001A66A4">
            <w:pPr>
              <w:jc w:val="both"/>
              <w:outlineLvl w:val="0"/>
              <w:rPr>
                <w:rFonts w:ascii="Arial" w:hAnsi="Arial" w:cs="Arial"/>
                <w:b/>
                <w:iCs/>
                <w:sz w:val="22"/>
                <w:szCs w:val="22"/>
              </w:rPr>
            </w:pPr>
            <w:r w:rsidRPr="00C723A0">
              <w:rPr>
                <w:rFonts w:ascii="Arial" w:hAnsi="Arial" w:cs="Arial"/>
                <w:b/>
                <w:iCs/>
                <w:sz w:val="22"/>
                <w:szCs w:val="22"/>
              </w:rPr>
              <w:t>Metoda konsultacija (npr. web, email, konsultativni sastanak, itd.)</w:t>
            </w:r>
          </w:p>
        </w:tc>
        <w:tc>
          <w:tcPr>
            <w:tcW w:w="4263" w:type="dxa"/>
            <w:shd w:val="clear" w:color="auto" w:fill="FABF8F"/>
          </w:tcPr>
          <w:p w:rsidR="001A66A4" w:rsidRPr="00C723A0" w:rsidRDefault="001A66A4" w:rsidP="000C2358">
            <w:pPr>
              <w:jc w:val="both"/>
              <w:outlineLvl w:val="0"/>
              <w:rPr>
                <w:rFonts w:ascii="Arial" w:hAnsi="Arial" w:cs="Arial"/>
                <w:b/>
                <w:iCs/>
                <w:sz w:val="22"/>
                <w:szCs w:val="22"/>
              </w:rPr>
            </w:pPr>
            <w:r w:rsidRPr="00C723A0">
              <w:rPr>
                <w:rFonts w:ascii="Arial" w:hAnsi="Arial" w:cs="Arial"/>
                <w:b/>
                <w:iCs/>
                <w:sz w:val="22"/>
                <w:szCs w:val="22"/>
              </w:rPr>
              <w:t>Datumi sprovedenih konsultacija</w:t>
            </w:r>
          </w:p>
        </w:tc>
        <w:tc>
          <w:tcPr>
            <w:tcW w:w="4890" w:type="dxa"/>
            <w:shd w:val="clear" w:color="auto" w:fill="FABF8F"/>
          </w:tcPr>
          <w:p w:rsidR="001A66A4" w:rsidRPr="00C723A0" w:rsidRDefault="001A66A4" w:rsidP="000C2358">
            <w:pPr>
              <w:jc w:val="both"/>
              <w:outlineLvl w:val="0"/>
              <w:rPr>
                <w:rFonts w:ascii="Arial" w:hAnsi="Arial" w:cs="Arial"/>
                <w:b/>
                <w:iCs/>
                <w:sz w:val="22"/>
                <w:szCs w:val="22"/>
              </w:rPr>
            </w:pPr>
            <w:r w:rsidRPr="00C723A0">
              <w:rPr>
                <w:rFonts w:ascii="Arial" w:hAnsi="Arial" w:cs="Arial"/>
                <w:b/>
                <w:iCs/>
                <w:sz w:val="22"/>
                <w:szCs w:val="22"/>
              </w:rPr>
              <w:t>Naziv  NVO koji su učestvovali u konsultacijama</w:t>
            </w:r>
          </w:p>
        </w:tc>
      </w:tr>
      <w:tr w:rsidR="001A66A4" w:rsidRPr="00C723A0" w:rsidTr="00FA7F83">
        <w:tc>
          <w:tcPr>
            <w:tcW w:w="4795" w:type="dxa"/>
            <w:shd w:val="clear" w:color="auto" w:fill="auto"/>
          </w:tcPr>
          <w:p w:rsidR="001A66A4" w:rsidRPr="00FA7F83" w:rsidRDefault="001A66A4" w:rsidP="000C2358">
            <w:pPr>
              <w:jc w:val="both"/>
              <w:outlineLvl w:val="0"/>
              <w:rPr>
                <w:rFonts w:ascii="Arial" w:hAnsi="Arial" w:cs="Arial"/>
                <w:iCs/>
                <w:sz w:val="22"/>
                <w:szCs w:val="22"/>
              </w:rPr>
            </w:pPr>
          </w:p>
          <w:p w:rsidR="001A66A4" w:rsidRDefault="001A66A4" w:rsidP="000C2358">
            <w:pPr>
              <w:jc w:val="both"/>
              <w:outlineLvl w:val="0"/>
              <w:rPr>
                <w:rFonts w:ascii="Arial" w:hAnsi="Arial" w:cs="Arial"/>
                <w:iCs/>
                <w:sz w:val="22"/>
                <w:szCs w:val="22"/>
              </w:rPr>
            </w:pPr>
          </w:p>
          <w:p w:rsidR="00543FE8" w:rsidRDefault="00543FE8" w:rsidP="000C2358">
            <w:pPr>
              <w:jc w:val="both"/>
              <w:outlineLvl w:val="0"/>
              <w:rPr>
                <w:rFonts w:ascii="Arial" w:hAnsi="Arial" w:cs="Arial"/>
                <w:iCs/>
                <w:sz w:val="22"/>
                <w:szCs w:val="22"/>
              </w:rPr>
            </w:pPr>
          </w:p>
          <w:p w:rsidR="00543FE8" w:rsidRDefault="00543FE8" w:rsidP="000C2358">
            <w:pPr>
              <w:jc w:val="both"/>
              <w:outlineLvl w:val="0"/>
              <w:rPr>
                <w:rFonts w:ascii="Arial" w:hAnsi="Arial" w:cs="Arial"/>
                <w:iCs/>
                <w:sz w:val="22"/>
                <w:szCs w:val="22"/>
              </w:rPr>
            </w:pPr>
          </w:p>
          <w:p w:rsidR="00543FE8" w:rsidRDefault="00543FE8" w:rsidP="000C2358">
            <w:pPr>
              <w:jc w:val="both"/>
              <w:outlineLvl w:val="0"/>
              <w:rPr>
                <w:rFonts w:ascii="Arial" w:hAnsi="Arial" w:cs="Arial"/>
                <w:iCs/>
                <w:sz w:val="22"/>
                <w:szCs w:val="22"/>
              </w:rPr>
            </w:pPr>
          </w:p>
          <w:p w:rsidR="00543FE8" w:rsidRDefault="00543FE8" w:rsidP="000C2358">
            <w:pPr>
              <w:jc w:val="both"/>
              <w:outlineLvl w:val="0"/>
              <w:rPr>
                <w:rFonts w:ascii="Arial" w:hAnsi="Arial" w:cs="Arial"/>
                <w:iCs/>
                <w:sz w:val="22"/>
                <w:szCs w:val="22"/>
              </w:rPr>
            </w:pPr>
          </w:p>
          <w:p w:rsidR="00543FE8" w:rsidRPr="00FA7F83" w:rsidRDefault="00543FE8" w:rsidP="000C2358">
            <w:pPr>
              <w:jc w:val="both"/>
              <w:outlineLvl w:val="0"/>
              <w:rPr>
                <w:rFonts w:ascii="Arial" w:hAnsi="Arial" w:cs="Arial"/>
                <w:iCs/>
                <w:sz w:val="22"/>
                <w:szCs w:val="22"/>
              </w:rPr>
            </w:pPr>
          </w:p>
        </w:tc>
        <w:tc>
          <w:tcPr>
            <w:tcW w:w="4263" w:type="dxa"/>
          </w:tcPr>
          <w:p w:rsidR="001A66A4" w:rsidRPr="00FA7F83" w:rsidRDefault="001A66A4" w:rsidP="000C2358">
            <w:pPr>
              <w:jc w:val="both"/>
              <w:outlineLvl w:val="0"/>
              <w:rPr>
                <w:rFonts w:ascii="Arial" w:hAnsi="Arial" w:cs="Arial"/>
                <w:iCs/>
                <w:sz w:val="22"/>
                <w:szCs w:val="22"/>
              </w:rPr>
            </w:pPr>
          </w:p>
        </w:tc>
        <w:tc>
          <w:tcPr>
            <w:tcW w:w="4890" w:type="dxa"/>
            <w:shd w:val="clear" w:color="auto" w:fill="auto"/>
          </w:tcPr>
          <w:p w:rsidR="001A66A4" w:rsidRPr="00FA7F83" w:rsidRDefault="001A66A4" w:rsidP="000C2358">
            <w:pPr>
              <w:jc w:val="both"/>
              <w:outlineLvl w:val="0"/>
              <w:rPr>
                <w:rFonts w:ascii="Arial" w:hAnsi="Arial" w:cs="Arial"/>
                <w:iCs/>
                <w:sz w:val="22"/>
                <w:szCs w:val="22"/>
              </w:rPr>
            </w:pPr>
          </w:p>
        </w:tc>
      </w:tr>
    </w:tbl>
    <w:p w:rsidR="00543FE8" w:rsidRPr="00C723A0" w:rsidRDefault="00543FE8" w:rsidP="00DF5C60">
      <w:pPr>
        <w:rPr>
          <w:rFonts w:ascii="Arial" w:hAnsi="Arial" w:cs="Arial"/>
        </w:rPr>
      </w:pPr>
    </w:p>
    <w:p w:rsidR="001C4B80" w:rsidRPr="00C723A0" w:rsidRDefault="00D2061E" w:rsidP="00562DC9">
      <w:pPr>
        <w:numPr>
          <w:ilvl w:val="0"/>
          <w:numId w:val="2"/>
        </w:numPr>
        <w:shd w:val="clear" w:color="auto" w:fill="FABF8F"/>
        <w:jc w:val="both"/>
        <w:outlineLvl w:val="0"/>
        <w:rPr>
          <w:rFonts w:ascii="Arial" w:hAnsi="Arial" w:cs="Arial"/>
          <w:b/>
          <w:iCs/>
          <w:sz w:val="22"/>
          <w:szCs w:val="22"/>
        </w:rPr>
      </w:pPr>
      <w:r w:rsidRPr="00C723A0">
        <w:rPr>
          <w:rFonts w:ascii="Arial" w:hAnsi="Arial" w:cs="Arial"/>
          <w:b/>
          <w:iCs/>
          <w:sz w:val="22"/>
          <w:szCs w:val="22"/>
          <w:u w:val="single"/>
        </w:rPr>
        <w:t>KAPACITETI</w:t>
      </w:r>
      <w:r w:rsidRPr="00C723A0">
        <w:rPr>
          <w:rFonts w:ascii="Arial" w:hAnsi="Arial" w:cs="Arial"/>
          <w:b/>
          <w:iCs/>
          <w:sz w:val="22"/>
          <w:szCs w:val="22"/>
        </w:rPr>
        <w:t xml:space="preserve"> ZA </w:t>
      </w:r>
      <w:r w:rsidR="00B2669B" w:rsidRPr="00C723A0">
        <w:rPr>
          <w:rFonts w:ascii="Arial" w:hAnsi="Arial" w:cs="Arial"/>
          <w:b/>
          <w:iCs/>
          <w:sz w:val="22"/>
          <w:szCs w:val="22"/>
        </w:rPr>
        <w:t xml:space="preserve">SPROVOĐENJE </w:t>
      </w:r>
      <w:r w:rsidR="00B65AAB" w:rsidRPr="00C723A0">
        <w:rPr>
          <w:rFonts w:ascii="Arial" w:hAnsi="Arial" w:cs="Arial"/>
          <w:b/>
          <w:iCs/>
          <w:sz w:val="22"/>
          <w:szCs w:val="22"/>
        </w:rPr>
        <w:t>JAVNOG KONKURSA</w:t>
      </w:r>
    </w:p>
    <w:p w:rsidR="002E69AA" w:rsidRPr="00C723A0" w:rsidRDefault="002E69AA" w:rsidP="00D0527A">
      <w:pPr>
        <w:ind w:left="567" w:hanging="567"/>
        <w:jc w:val="both"/>
        <w:rPr>
          <w:rFonts w:ascii="Arial" w:hAnsi="Arial" w:cs="Arial"/>
          <w:b/>
          <w:iCs/>
          <w:sz w:val="22"/>
          <w:szCs w:val="22"/>
        </w:rPr>
      </w:pPr>
    </w:p>
    <w:p w:rsidR="001C4B80" w:rsidRPr="00C723A0" w:rsidRDefault="00C74FFC" w:rsidP="00DF5C60">
      <w:pPr>
        <w:pStyle w:val="Heading2"/>
      </w:pPr>
      <w:r w:rsidRPr="00C723A0">
        <w:t>Nave</w:t>
      </w:r>
      <w:r w:rsidR="00536C64" w:rsidRPr="00C723A0">
        <w:t xml:space="preserve">sti </w:t>
      </w:r>
      <w:r w:rsidRPr="00C723A0">
        <w:t>b</w:t>
      </w:r>
      <w:r w:rsidR="001C4B80" w:rsidRPr="00C723A0">
        <w:t xml:space="preserve">roj </w:t>
      </w:r>
      <w:r w:rsidR="00B2669B" w:rsidRPr="00C723A0">
        <w:t>službenika/ica i spoljnih sa</w:t>
      </w:r>
      <w:r w:rsidR="000F7B5E" w:rsidRPr="00C723A0">
        <w:t>radnika</w:t>
      </w:r>
      <w:r w:rsidR="001C4B80" w:rsidRPr="00C723A0">
        <w:t xml:space="preserve"> koji će biti zaduženi za </w:t>
      </w:r>
      <w:r w:rsidR="00B2669B" w:rsidRPr="00C723A0">
        <w:t xml:space="preserve">sprovođenje </w:t>
      </w:r>
      <w:r w:rsidR="00B65AAB" w:rsidRPr="00C723A0">
        <w:t xml:space="preserve">javnog </w:t>
      </w:r>
      <w:r w:rsidR="00B2669B" w:rsidRPr="00C723A0">
        <w:t>konkursa</w:t>
      </w:r>
      <w:r w:rsidR="001C4B80" w:rsidRPr="00C723A0">
        <w:t xml:space="preserve"> </w:t>
      </w:r>
      <w:r w:rsidR="00B2669B" w:rsidRPr="00C723A0">
        <w:t xml:space="preserve">i praćenje </w:t>
      </w:r>
      <w:r w:rsidR="0010064A" w:rsidRPr="00C723A0">
        <w:t>realizacije</w:t>
      </w:r>
      <w:r w:rsidR="00B2669B" w:rsidRPr="00C723A0">
        <w:t xml:space="preserve"> finans</w:t>
      </w:r>
      <w:r w:rsidR="001C4B80" w:rsidRPr="00C723A0">
        <w:t xml:space="preserve">iranih projekata i programa </w:t>
      </w:r>
      <w:r w:rsidR="00B2669B" w:rsidRPr="00C723A0">
        <w:t>nevladinih organizacija</w:t>
      </w:r>
      <w:r w:rsidRPr="00C723A0">
        <w:t xml:space="preserve"> (uključujući najmanje jed</w:t>
      </w:r>
      <w:r w:rsidR="001C4B80" w:rsidRPr="00C723A0">
        <w:t>n</w:t>
      </w:r>
      <w:r w:rsidRPr="00C723A0">
        <w:t>u</w:t>
      </w:r>
      <w:r w:rsidR="001C4B80" w:rsidRPr="00C723A0">
        <w:t xml:space="preserve"> terensk</w:t>
      </w:r>
      <w:r w:rsidR="00B2669B" w:rsidRPr="00C723A0">
        <w:t>u</w:t>
      </w:r>
      <w:r w:rsidR="001C4B80" w:rsidRPr="00C723A0">
        <w:t xml:space="preserve"> posjet</w:t>
      </w:r>
      <w:r w:rsidR="00B2669B" w:rsidRPr="00C723A0">
        <w:t>u to</w:t>
      </w:r>
      <w:r w:rsidR="001C4B80" w:rsidRPr="00C723A0">
        <w:t>kom 20</w:t>
      </w:r>
      <w:r w:rsidR="00543FE8">
        <w:t>19</w:t>
      </w:r>
      <w:r w:rsidR="00536C64" w:rsidRPr="00C723A0">
        <w:t>. godine</w:t>
      </w:r>
      <w:r w:rsidRPr="00C723A0">
        <w:t xml:space="preserve">, </w:t>
      </w:r>
      <w:r w:rsidR="00536C64" w:rsidRPr="00C723A0">
        <w:t xml:space="preserve">prilikom koje </w:t>
      </w:r>
      <w:r w:rsidR="001C4B80" w:rsidRPr="00C723A0">
        <w:t>će se provjeravati izvršavanje ugovornih ob</w:t>
      </w:r>
      <w:r w:rsidR="00B2669B" w:rsidRPr="00C723A0">
        <w:t>a</w:t>
      </w:r>
      <w:r w:rsidR="001C4B80" w:rsidRPr="00C723A0">
        <w:t>veza, namjensko trošenje sredstava</w:t>
      </w:r>
      <w:r w:rsidR="00B2669B" w:rsidRPr="00C723A0">
        <w:t>,</w:t>
      </w:r>
      <w:r w:rsidR="001C4B80" w:rsidRPr="00C723A0">
        <w:t xml:space="preserve"> te </w:t>
      </w:r>
      <w:r w:rsidR="008A7D78" w:rsidRPr="00C723A0">
        <w:t>postizanje</w:t>
      </w:r>
      <w:r w:rsidR="001C4B80" w:rsidRPr="00C723A0">
        <w:t xml:space="preserve"> rezultata p</w:t>
      </w:r>
      <w:r w:rsidR="00F0103F" w:rsidRPr="00C723A0">
        <w:t>laniranih</w:t>
      </w:r>
      <w:r w:rsidR="001C4B80" w:rsidRPr="00C723A0">
        <w:t xml:space="preserve"> </w:t>
      </w:r>
      <w:r w:rsidR="00B65AAB" w:rsidRPr="00C723A0">
        <w:t xml:space="preserve">javnim </w:t>
      </w:r>
      <w:r w:rsidR="00B2669B" w:rsidRPr="00C723A0">
        <w:t>konkursom</w:t>
      </w:r>
      <w:r w:rsidR="001C4B80" w:rsidRPr="00C723A0">
        <w:t xml:space="preserve">). </w:t>
      </w:r>
    </w:p>
    <w:p w:rsidR="001C4B80" w:rsidRPr="00C723A0" w:rsidRDefault="001C4B80" w:rsidP="008B1D3F">
      <w:pPr>
        <w:jc w:val="both"/>
        <w:rPr>
          <w:rFonts w:ascii="Arial" w:hAnsi="Arial" w:cs="Arial"/>
          <w:iCs/>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2828"/>
        <w:gridCol w:w="2829"/>
        <w:gridCol w:w="2828"/>
        <w:gridCol w:w="2829"/>
      </w:tblGrid>
      <w:tr w:rsidR="00D2061E" w:rsidRPr="00C723A0" w:rsidTr="00FA7F83">
        <w:tc>
          <w:tcPr>
            <w:tcW w:w="2828" w:type="dxa"/>
            <w:shd w:val="clear" w:color="auto" w:fill="FABF8F"/>
            <w:vAlign w:val="center"/>
          </w:tcPr>
          <w:p w:rsidR="00427880" w:rsidRPr="00C723A0" w:rsidRDefault="00427880" w:rsidP="00AD0B9C">
            <w:pPr>
              <w:jc w:val="center"/>
              <w:rPr>
                <w:rFonts w:ascii="Arial" w:hAnsi="Arial" w:cs="Arial"/>
                <w:b/>
                <w:iCs/>
                <w:color w:val="FFFFFF"/>
                <w:sz w:val="22"/>
                <w:szCs w:val="22"/>
              </w:rPr>
            </w:pPr>
            <w:r w:rsidRPr="00C723A0">
              <w:rPr>
                <w:rFonts w:ascii="Arial" w:hAnsi="Arial" w:cs="Arial"/>
                <w:b/>
                <w:iCs/>
                <w:color w:val="FFFFFF"/>
                <w:sz w:val="22"/>
                <w:szCs w:val="22"/>
              </w:rPr>
              <w:t xml:space="preserve">Naziv </w:t>
            </w:r>
            <w:r w:rsidR="00B65AAB" w:rsidRPr="00C723A0">
              <w:rPr>
                <w:rFonts w:ascii="Arial" w:hAnsi="Arial" w:cs="Arial"/>
                <w:b/>
                <w:iCs/>
                <w:color w:val="FFFFFF"/>
                <w:sz w:val="22"/>
                <w:szCs w:val="22"/>
              </w:rPr>
              <w:t xml:space="preserve">javnog </w:t>
            </w:r>
            <w:r w:rsidR="00B2669B" w:rsidRPr="00C723A0">
              <w:rPr>
                <w:rFonts w:ascii="Arial" w:hAnsi="Arial" w:cs="Arial"/>
                <w:b/>
                <w:iCs/>
                <w:color w:val="FFFFFF"/>
                <w:sz w:val="22"/>
                <w:szCs w:val="22"/>
              </w:rPr>
              <w:t>konkursa</w:t>
            </w:r>
          </w:p>
        </w:tc>
        <w:tc>
          <w:tcPr>
            <w:tcW w:w="2828" w:type="dxa"/>
            <w:shd w:val="clear" w:color="auto" w:fill="FABF8F"/>
            <w:vAlign w:val="center"/>
          </w:tcPr>
          <w:p w:rsidR="00427880" w:rsidRPr="00C723A0" w:rsidRDefault="00427880" w:rsidP="00AD0B9C">
            <w:pPr>
              <w:jc w:val="center"/>
              <w:rPr>
                <w:rFonts w:ascii="Arial" w:hAnsi="Arial" w:cs="Arial"/>
                <w:b/>
                <w:iCs/>
                <w:color w:val="FFFFFF"/>
                <w:sz w:val="22"/>
                <w:szCs w:val="22"/>
              </w:rPr>
            </w:pPr>
            <w:r w:rsidRPr="00C723A0">
              <w:rPr>
                <w:rFonts w:ascii="Arial" w:hAnsi="Arial" w:cs="Arial"/>
                <w:b/>
                <w:iCs/>
                <w:color w:val="FFFFFF"/>
                <w:sz w:val="22"/>
                <w:szCs w:val="22"/>
              </w:rPr>
              <w:t xml:space="preserve">Broj </w:t>
            </w:r>
            <w:r w:rsidR="00B2669B" w:rsidRPr="00C723A0">
              <w:rPr>
                <w:rFonts w:ascii="Arial" w:hAnsi="Arial" w:cs="Arial"/>
                <w:b/>
                <w:iCs/>
                <w:color w:val="FFFFFF"/>
                <w:sz w:val="22"/>
                <w:szCs w:val="22"/>
              </w:rPr>
              <w:t>službenika/</w:t>
            </w:r>
            <w:r w:rsidRPr="00C723A0">
              <w:rPr>
                <w:rFonts w:ascii="Arial" w:hAnsi="Arial" w:cs="Arial"/>
                <w:b/>
                <w:iCs/>
                <w:color w:val="FFFFFF"/>
                <w:sz w:val="22"/>
                <w:szCs w:val="22"/>
              </w:rPr>
              <w:t xml:space="preserve">ica </w:t>
            </w:r>
            <w:r w:rsidR="00B2669B" w:rsidRPr="00C723A0">
              <w:rPr>
                <w:rFonts w:ascii="Arial" w:hAnsi="Arial" w:cs="Arial"/>
                <w:b/>
                <w:color w:val="FFFFFF"/>
                <w:sz w:val="22"/>
                <w:szCs w:val="22"/>
              </w:rPr>
              <w:t>koji su zapošlj</w:t>
            </w:r>
            <w:r w:rsidRPr="00C723A0">
              <w:rPr>
                <w:rFonts w:ascii="Arial" w:hAnsi="Arial" w:cs="Arial"/>
                <w:b/>
                <w:color w:val="FFFFFF"/>
                <w:sz w:val="22"/>
                <w:szCs w:val="22"/>
              </w:rPr>
              <w:t xml:space="preserve">eni na puno radno vrijeme na </w:t>
            </w:r>
            <w:r w:rsidRPr="00C723A0">
              <w:rPr>
                <w:rFonts w:ascii="Arial" w:hAnsi="Arial" w:cs="Arial"/>
                <w:b/>
                <w:iCs/>
                <w:color w:val="FFFFFF"/>
                <w:sz w:val="22"/>
                <w:szCs w:val="22"/>
              </w:rPr>
              <w:t>tim poslovima</w:t>
            </w:r>
          </w:p>
        </w:tc>
        <w:tc>
          <w:tcPr>
            <w:tcW w:w="2829" w:type="dxa"/>
            <w:shd w:val="clear" w:color="auto" w:fill="FABF8F"/>
            <w:vAlign w:val="center"/>
          </w:tcPr>
          <w:p w:rsidR="00427880" w:rsidRPr="00C723A0" w:rsidRDefault="00427880" w:rsidP="00350F78">
            <w:pPr>
              <w:jc w:val="center"/>
              <w:rPr>
                <w:rFonts w:ascii="Arial" w:hAnsi="Arial" w:cs="Arial"/>
                <w:b/>
                <w:iCs/>
                <w:color w:val="FFFFFF"/>
                <w:sz w:val="22"/>
                <w:szCs w:val="22"/>
              </w:rPr>
            </w:pPr>
            <w:r w:rsidRPr="00C723A0">
              <w:rPr>
                <w:rFonts w:ascii="Arial" w:hAnsi="Arial" w:cs="Arial"/>
                <w:b/>
                <w:color w:val="FFFFFF"/>
                <w:sz w:val="22"/>
                <w:szCs w:val="22"/>
              </w:rPr>
              <w:t xml:space="preserve">Broj </w:t>
            </w:r>
            <w:r w:rsidR="00B2669B" w:rsidRPr="00C723A0">
              <w:rPr>
                <w:rFonts w:ascii="Arial" w:hAnsi="Arial" w:cs="Arial"/>
                <w:b/>
                <w:iCs/>
                <w:color w:val="FFFFFF"/>
                <w:sz w:val="22"/>
                <w:szCs w:val="22"/>
              </w:rPr>
              <w:t>službenika/ica</w:t>
            </w:r>
            <w:r w:rsidR="00350F78" w:rsidRPr="00C723A0">
              <w:rPr>
                <w:rFonts w:ascii="Arial" w:hAnsi="Arial" w:cs="Arial"/>
                <w:b/>
                <w:color w:val="FFFFFF"/>
                <w:sz w:val="22"/>
                <w:szCs w:val="22"/>
              </w:rPr>
              <w:t>*</w:t>
            </w:r>
            <w:r w:rsidR="00B2669B" w:rsidRPr="00C723A0">
              <w:rPr>
                <w:rFonts w:ascii="Arial" w:hAnsi="Arial" w:cs="Arial"/>
                <w:b/>
                <w:iCs/>
                <w:color w:val="FFFFFF"/>
                <w:sz w:val="22"/>
                <w:szCs w:val="22"/>
              </w:rPr>
              <w:t xml:space="preserve"> </w:t>
            </w:r>
            <w:r w:rsidRPr="00C723A0">
              <w:rPr>
                <w:rFonts w:ascii="Arial" w:hAnsi="Arial" w:cs="Arial"/>
                <w:b/>
                <w:color w:val="FFFFFF"/>
                <w:sz w:val="22"/>
                <w:szCs w:val="22"/>
              </w:rPr>
              <w:t>koji p</w:t>
            </w:r>
            <w:r w:rsidRPr="00C723A0">
              <w:rPr>
                <w:rFonts w:ascii="Arial" w:hAnsi="Arial" w:cs="Arial"/>
                <w:b/>
                <w:iCs/>
                <w:color w:val="FFFFFF"/>
                <w:sz w:val="22"/>
                <w:szCs w:val="22"/>
              </w:rPr>
              <w:t xml:space="preserve">ovremeno </w:t>
            </w:r>
            <w:r w:rsidR="00B2669B" w:rsidRPr="00C723A0">
              <w:rPr>
                <w:rFonts w:ascii="Arial" w:hAnsi="Arial" w:cs="Arial"/>
                <w:b/>
                <w:iCs/>
                <w:color w:val="FFFFFF"/>
                <w:sz w:val="22"/>
                <w:szCs w:val="22"/>
              </w:rPr>
              <w:t>rade</w:t>
            </w:r>
            <w:r w:rsidRPr="00C723A0">
              <w:rPr>
                <w:rFonts w:ascii="Arial" w:hAnsi="Arial" w:cs="Arial"/>
                <w:b/>
                <w:iCs/>
                <w:color w:val="FFFFFF"/>
                <w:sz w:val="22"/>
                <w:szCs w:val="22"/>
              </w:rPr>
              <w:t xml:space="preserve"> na tim poslovima</w:t>
            </w:r>
          </w:p>
        </w:tc>
        <w:tc>
          <w:tcPr>
            <w:tcW w:w="2828" w:type="dxa"/>
            <w:shd w:val="clear" w:color="auto" w:fill="FABF8F"/>
            <w:vAlign w:val="center"/>
          </w:tcPr>
          <w:p w:rsidR="00427880" w:rsidRPr="00C723A0" w:rsidRDefault="00427880" w:rsidP="00AD0B9C">
            <w:pPr>
              <w:jc w:val="center"/>
              <w:rPr>
                <w:rFonts w:ascii="Arial" w:hAnsi="Arial" w:cs="Arial"/>
                <w:b/>
                <w:iCs/>
                <w:color w:val="FFFFFF"/>
                <w:sz w:val="22"/>
                <w:szCs w:val="22"/>
              </w:rPr>
            </w:pPr>
            <w:r w:rsidRPr="00C723A0">
              <w:rPr>
                <w:rFonts w:ascii="Arial" w:hAnsi="Arial" w:cs="Arial"/>
                <w:b/>
                <w:color w:val="FFFFFF"/>
                <w:sz w:val="22"/>
                <w:szCs w:val="22"/>
              </w:rPr>
              <w:t xml:space="preserve">Broj </w:t>
            </w:r>
            <w:r w:rsidR="00B2669B" w:rsidRPr="00C723A0">
              <w:rPr>
                <w:rFonts w:ascii="Arial" w:hAnsi="Arial" w:cs="Arial"/>
                <w:b/>
                <w:iCs/>
                <w:color w:val="FFFFFF"/>
                <w:sz w:val="22"/>
                <w:szCs w:val="22"/>
              </w:rPr>
              <w:t>spoljnih sa</w:t>
            </w:r>
            <w:r w:rsidRPr="00C723A0">
              <w:rPr>
                <w:rFonts w:ascii="Arial" w:hAnsi="Arial" w:cs="Arial"/>
                <w:b/>
                <w:iCs/>
                <w:color w:val="FFFFFF"/>
                <w:sz w:val="22"/>
                <w:szCs w:val="22"/>
              </w:rPr>
              <w:t>radnika</w:t>
            </w:r>
            <w:r w:rsidR="00DD3BF6" w:rsidRPr="00C723A0">
              <w:rPr>
                <w:rFonts w:ascii="Arial" w:hAnsi="Arial" w:cs="Arial"/>
                <w:b/>
                <w:color w:val="FFFFFF"/>
                <w:sz w:val="22"/>
                <w:szCs w:val="22"/>
              </w:rPr>
              <w:t>*</w:t>
            </w:r>
            <w:r w:rsidRPr="00C723A0">
              <w:rPr>
                <w:rFonts w:ascii="Arial" w:hAnsi="Arial" w:cs="Arial"/>
                <w:b/>
                <w:iCs/>
                <w:color w:val="FFFFFF"/>
                <w:sz w:val="22"/>
                <w:szCs w:val="22"/>
              </w:rPr>
              <w:t xml:space="preserve"> na poslovima </w:t>
            </w:r>
            <w:r w:rsidR="00DD3BF6" w:rsidRPr="00C723A0">
              <w:rPr>
                <w:rFonts w:ascii="Arial" w:hAnsi="Arial" w:cs="Arial"/>
                <w:b/>
                <w:iCs/>
                <w:color w:val="FFFFFF"/>
                <w:sz w:val="22"/>
                <w:szCs w:val="22"/>
              </w:rPr>
              <w:t>sprovo</w:t>
            </w:r>
            <w:r w:rsidR="00B2669B" w:rsidRPr="00C723A0">
              <w:rPr>
                <w:rFonts w:ascii="Arial" w:hAnsi="Arial" w:cs="Arial"/>
                <w:b/>
                <w:iCs/>
                <w:color w:val="FFFFFF"/>
                <w:sz w:val="22"/>
                <w:szCs w:val="22"/>
              </w:rPr>
              <w:t xml:space="preserve">đenja </w:t>
            </w:r>
            <w:r w:rsidR="00B65AAB" w:rsidRPr="00C723A0">
              <w:rPr>
                <w:rFonts w:ascii="Arial" w:hAnsi="Arial" w:cs="Arial"/>
                <w:b/>
                <w:iCs/>
                <w:color w:val="FFFFFF"/>
                <w:sz w:val="22"/>
                <w:szCs w:val="22"/>
              </w:rPr>
              <w:t xml:space="preserve">javnog </w:t>
            </w:r>
            <w:r w:rsidR="00B2669B" w:rsidRPr="00C723A0">
              <w:rPr>
                <w:rFonts w:ascii="Arial" w:hAnsi="Arial" w:cs="Arial"/>
                <w:b/>
                <w:iCs/>
                <w:color w:val="FFFFFF"/>
                <w:sz w:val="22"/>
                <w:szCs w:val="22"/>
              </w:rPr>
              <w:t>konkursa</w:t>
            </w:r>
            <w:r w:rsidRPr="00C723A0">
              <w:rPr>
                <w:rFonts w:ascii="Arial" w:hAnsi="Arial" w:cs="Arial"/>
                <w:b/>
                <w:iCs/>
                <w:color w:val="FFFFFF"/>
                <w:sz w:val="22"/>
                <w:szCs w:val="22"/>
              </w:rPr>
              <w:t xml:space="preserve"> </w:t>
            </w:r>
            <w:r w:rsidR="00B2669B" w:rsidRPr="00C723A0">
              <w:rPr>
                <w:rFonts w:ascii="Arial" w:hAnsi="Arial" w:cs="Arial"/>
                <w:b/>
                <w:iCs/>
                <w:color w:val="FFFFFF"/>
                <w:sz w:val="22"/>
                <w:szCs w:val="22"/>
              </w:rPr>
              <w:t>i praćenj</w:t>
            </w:r>
            <w:r w:rsidR="00DD3BF6" w:rsidRPr="00C723A0">
              <w:rPr>
                <w:rFonts w:ascii="Arial" w:hAnsi="Arial" w:cs="Arial"/>
                <w:b/>
                <w:iCs/>
                <w:color w:val="FFFFFF"/>
                <w:sz w:val="22"/>
                <w:szCs w:val="22"/>
              </w:rPr>
              <w:t>a</w:t>
            </w:r>
            <w:r w:rsidR="00B2669B" w:rsidRPr="00C723A0">
              <w:rPr>
                <w:rFonts w:ascii="Arial" w:hAnsi="Arial" w:cs="Arial"/>
                <w:b/>
                <w:iCs/>
                <w:color w:val="FFFFFF"/>
                <w:sz w:val="22"/>
                <w:szCs w:val="22"/>
              </w:rPr>
              <w:t xml:space="preserve"> finans</w:t>
            </w:r>
            <w:r w:rsidRPr="00C723A0">
              <w:rPr>
                <w:rFonts w:ascii="Arial" w:hAnsi="Arial" w:cs="Arial"/>
                <w:b/>
                <w:iCs/>
                <w:color w:val="FFFFFF"/>
                <w:sz w:val="22"/>
                <w:szCs w:val="22"/>
              </w:rPr>
              <w:t>iranih projekata i programa</w:t>
            </w:r>
            <w:r w:rsidR="00B2669B" w:rsidRPr="00C723A0">
              <w:rPr>
                <w:rFonts w:ascii="Arial" w:hAnsi="Arial" w:cs="Arial"/>
                <w:b/>
                <w:iCs/>
                <w:color w:val="FFFFFF"/>
                <w:sz w:val="22"/>
                <w:szCs w:val="22"/>
              </w:rPr>
              <w:t xml:space="preserve"> nevladinih organizacija</w:t>
            </w:r>
          </w:p>
        </w:tc>
        <w:tc>
          <w:tcPr>
            <w:tcW w:w="2829" w:type="dxa"/>
            <w:shd w:val="clear" w:color="auto" w:fill="FABF8F"/>
            <w:vAlign w:val="center"/>
          </w:tcPr>
          <w:p w:rsidR="00427880" w:rsidRPr="00C723A0" w:rsidRDefault="00427880" w:rsidP="00AD0B9C">
            <w:pPr>
              <w:jc w:val="center"/>
              <w:rPr>
                <w:rFonts w:ascii="Arial" w:hAnsi="Arial" w:cs="Arial"/>
                <w:b/>
                <w:iCs/>
                <w:color w:val="FFFFFF"/>
                <w:sz w:val="22"/>
                <w:szCs w:val="22"/>
              </w:rPr>
            </w:pPr>
            <w:r w:rsidRPr="00C723A0">
              <w:rPr>
                <w:rFonts w:ascii="Arial" w:hAnsi="Arial" w:cs="Arial"/>
                <w:b/>
                <w:iCs/>
                <w:color w:val="FFFFFF"/>
                <w:sz w:val="22"/>
                <w:szCs w:val="22"/>
              </w:rPr>
              <w:t xml:space="preserve">Imena </w:t>
            </w:r>
            <w:r w:rsidR="00D2061E" w:rsidRPr="00C723A0">
              <w:rPr>
                <w:rFonts w:ascii="Arial" w:hAnsi="Arial" w:cs="Arial"/>
                <w:b/>
                <w:iCs/>
                <w:color w:val="FFFFFF"/>
                <w:sz w:val="22"/>
                <w:szCs w:val="22"/>
              </w:rPr>
              <w:t>osob</w:t>
            </w:r>
            <w:r w:rsidRPr="00C723A0">
              <w:rPr>
                <w:rFonts w:ascii="Arial" w:hAnsi="Arial" w:cs="Arial"/>
                <w:b/>
                <w:iCs/>
                <w:color w:val="FFFFFF"/>
                <w:sz w:val="22"/>
                <w:szCs w:val="22"/>
              </w:rPr>
              <w:t xml:space="preserve">a zaduženih za </w:t>
            </w:r>
            <w:r w:rsidR="00FB3B53" w:rsidRPr="00C723A0">
              <w:rPr>
                <w:rFonts w:ascii="Arial" w:hAnsi="Arial" w:cs="Arial"/>
                <w:b/>
                <w:iCs/>
                <w:color w:val="FFFFFF"/>
                <w:sz w:val="22"/>
                <w:szCs w:val="22"/>
              </w:rPr>
              <w:t xml:space="preserve">sprovođenje </w:t>
            </w:r>
            <w:r w:rsidR="00B65AAB" w:rsidRPr="00C723A0">
              <w:rPr>
                <w:rFonts w:ascii="Arial" w:hAnsi="Arial" w:cs="Arial"/>
                <w:b/>
                <w:iCs/>
                <w:color w:val="FFFFFF"/>
                <w:sz w:val="22"/>
                <w:szCs w:val="22"/>
              </w:rPr>
              <w:t xml:space="preserve">javnog </w:t>
            </w:r>
            <w:r w:rsidR="00FB3B53" w:rsidRPr="00C723A0">
              <w:rPr>
                <w:rFonts w:ascii="Arial" w:hAnsi="Arial" w:cs="Arial"/>
                <w:b/>
                <w:iCs/>
                <w:color w:val="FFFFFF"/>
                <w:sz w:val="22"/>
                <w:szCs w:val="22"/>
              </w:rPr>
              <w:t>konkurs</w:t>
            </w:r>
            <w:r w:rsidRPr="00C723A0">
              <w:rPr>
                <w:rFonts w:ascii="Arial" w:hAnsi="Arial" w:cs="Arial"/>
                <w:b/>
                <w:iCs/>
                <w:color w:val="FFFFFF"/>
                <w:sz w:val="22"/>
                <w:szCs w:val="22"/>
              </w:rPr>
              <w:t>a</w:t>
            </w:r>
            <w:r w:rsidR="00477DB9" w:rsidRPr="00C723A0">
              <w:rPr>
                <w:rFonts w:ascii="Arial" w:hAnsi="Arial" w:cs="Arial"/>
                <w:b/>
                <w:iCs/>
                <w:color w:val="FFFFFF"/>
                <w:sz w:val="22"/>
                <w:szCs w:val="22"/>
              </w:rPr>
              <w:t xml:space="preserve"> </w:t>
            </w:r>
            <w:r w:rsidR="00B65AAB" w:rsidRPr="00C723A0">
              <w:rPr>
                <w:rFonts w:ascii="Arial" w:hAnsi="Arial" w:cs="Arial"/>
                <w:b/>
                <w:iCs/>
                <w:color w:val="FFFFFF"/>
                <w:sz w:val="22"/>
                <w:szCs w:val="22"/>
              </w:rPr>
              <w:t>i prać</w:t>
            </w:r>
            <w:r w:rsidR="00FB3B53" w:rsidRPr="00C723A0">
              <w:rPr>
                <w:rFonts w:ascii="Arial" w:hAnsi="Arial" w:cs="Arial"/>
                <w:b/>
                <w:iCs/>
                <w:color w:val="FFFFFF"/>
                <w:sz w:val="22"/>
                <w:szCs w:val="22"/>
              </w:rPr>
              <w:t>enje finans</w:t>
            </w:r>
            <w:r w:rsidRPr="00C723A0">
              <w:rPr>
                <w:rFonts w:ascii="Arial" w:hAnsi="Arial" w:cs="Arial"/>
                <w:b/>
                <w:iCs/>
                <w:color w:val="FFFFFF"/>
                <w:sz w:val="22"/>
                <w:szCs w:val="22"/>
              </w:rPr>
              <w:t>iranih projekata i programa</w:t>
            </w:r>
            <w:r w:rsidR="00041E21" w:rsidRPr="00C723A0">
              <w:rPr>
                <w:rFonts w:ascii="Arial" w:hAnsi="Arial" w:cs="Arial"/>
                <w:b/>
                <w:iCs/>
                <w:color w:val="FFFFFF"/>
                <w:sz w:val="22"/>
                <w:szCs w:val="22"/>
              </w:rPr>
              <w:t xml:space="preserve"> </w:t>
            </w:r>
            <w:r w:rsidR="00FB3B53" w:rsidRPr="00C723A0">
              <w:rPr>
                <w:rFonts w:ascii="Arial" w:hAnsi="Arial" w:cs="Arial"/>
                <w:b/>
                <w:iCs/>
                <w:color w:val="FFFFFF"/>
                <w:sz w:val="22"/>
                <w:szCs w:val="22"/>
              </w:rPr>
              <w:t>nevladinih organizacija</w:t>
            </w:r>
          </w:p>
        </w:tc>
      </w:tr>
      <w:tr w:rsidR="0030796E" w:rsidRPr="00C723A0" w:rsidTr="00FA7F83">
        <w:tc>
          <w:tcPr>
            <w:tcW w:w="2828" w:type="dxa"/>
          </w:tcPr>
          <w:p w:rsidR="0030796E" w:rsidRPr="00C723A0" w:rsidRDefault="0030796E" w:rsidP="0030796E">
            <w:pPr>
              <w:outlineLvl w:val="0"/>
              <w:rPr>
                <w:rFonts w:ascii="Arial" w:hAnsi="Arial" w:cs="Arial"/>
                <w:iCs/>
                <w:sz w:val="22"/>
                <w:szCs w:val="22"/>
              </w:rPr>
            </w:pPr>
            <w:r w:rsidRPr="000A2D82">
              <w:rPr>
                <w:rFonts w:ascii="Arial" w:hAnsi="Arial" w:cs="Arial"/>
                <w:iCs/>
                <w:sz w:val="22"/>
                <w:szCs w:val="22"/>
              </w:rPr>
              <w:t>Vojska Crne Gore u tvom gradu – info stanice</w:t>
            </w:r>
          </w:p>
        </w:tc>
        <w:tc>
          <w:tcPr>
            <w:tcW w:w="2828" w:type="dxa"/>
          </w:tcPr>
          <w:p w:rsidR="0030796E" w:rsidRPr="00C723A0" w:rsidRDefault="0030796E" w:rsidP="0030796E">
            <w:pPr>
              <w:jc w:val="center"/>
              <w:rPr>
                <w:rFonts w:ascii="Arial" w:hAnsi="Arial" w:cs="Arial"/>
                <w:iCs/>
                <w:sz w:val="22"/>
                <w:szCs w:val="22"/>
              </w:rPr>
            </w:pPr>
            <w:r>
              <w:rPr>
                <w:rFonts w:ascii="Arial" w:hAnsi="Arial" w:cs="Arial"/>
                <w:iCs/>
                <w:sz w:val="22"/>
                <w:szCs w:val="22"/>
              </w:rPr>
              <w:t>2</w:t>
            </w:r>
          </w:p>
        </w:tc>
        <w:tc>
          <w:tcPr>
            <w:tcW w:w="2829" w:type="dxa"/>
          </w:tcPr>
          <w:p w:rsidR="0030796E" w:rsidRPr="00C723A0" w:rsidRDefault="0030796E" w:rsidP="0030796E">
            <w:pPr>
              <w:jc w:val="center"/>
              <w:rPr>
                <w:rFonts w:ascii="Arial" w:hAnsi="Arial" w:cs="Arial"/>
                <w:iCs/>
                <w:sz w:val="22"/>
                <w:szCs w:val="22"/>
              </w:rPr>
            </w:pPr>
            <w:r>
              <w:rPr>
                <w:rFonts w:ascii="Arial" w:hAnsi="Arial" w:cs="Arial"/>
                <w:iCs/>
                <w:sz w:val="22"/>
                <w:szCs w:val="22"/>
              </w:rPr>
              <w:t>0</w:t>
            </w:r>
          </w:p>
        </w:tc>
        <w:tc>
          <w:tcPr>
            <w:tcW w:w="2828" w:type="dxa"/>
          </w:tcPr>
          <w:p w:rsidR="0030796E" w:rsidRPr="0030796E" w:rsidRDefault="0030796E" w:rsidP="0030796E">
            <w:pPr>
              <w:rPr>
                <w:rFonts w:ascii="Arial" w:hAnsi="Arial" w:cs="Arial"/>
                <w:iCs/>
                <w:sz w:val="22"/>
                <w:szCs w:val="22"/>
              </w:rPr>
            </w:pPr>
            <w:r w:rsidRPr="0030796E">
              <w:rPr>
                <w:rFonts w:ascii="Arial" w:hAnsi="Arial" w:cs="Arial"/>
                <w:iCs/>
                <w:sz w:val="22"/>
                <w:szCs w:val="22"/>
              </w:rPr>
              <w:t>0</w:t>
            </w:r>
          </w:p>
        </w:tc>
        <w:tc>
          <w:tcPr>
            <w:tcW w:w="2829" w:type="dxa"/>
          </w:tcPr>
          <w:p w:rsidR="0030796E" w:rsidRDefault="0030796E" w:rsidP="0030796E">
            <w:pPr>
              <w:rPr>
                <w:rFonts w:ascii="Arial" w:hAnsi="Arial" w:cs="Arial"/>
                <w:iCs/>
                <w:sz w:val="22"/>
                <w:szCs w:val="22"/>
              </w:rPr>
            </w:pPr>
            <w:r>
              <w:rPr>
                <w:rFonts w:ascii="Arial" w:hAnsi="Arial" w:cs="Arial"/>
                <w:iCs/>
                <w:sz w:val="22"/>
                <w:szCs w:val="22"/>
              </w:rPr>
              <w:t xml:space="preserve">Perica Bojičić, šef Odsjeka za razvoj ljudskih resursa, Direkcija za planiranje i razvoj ljudskih resursa, Direktorat za ljudske resurse; </w:t>
            </w:r>
          </w:p>
          <w:p w:rsidR="0030796E" w:rsidRPr="00C723A0" w:rsidRDefault="0030796E" w:rsidP="0030796E">
            <w:pPr>
              <w:rPr>
                <w:rFonts w:ascii="Arial" w:hAnsi="Arial" w:cs="Arial"/>
                <w:iCs/>
                <w:sz w:val="22"/>
                <w:szCs w:val="22"/>
              </w:rPr>
            </w:pPr>
            <w:r>
              <w:rPr>
                <w:rFonts w:ascii="Arial" w:hAnsi="Arial" w:cs="Arial"/>
                <w:iCs/>
                <w:sz w:val="22"/>
                <w:szCs w:val="22"/>
              </w:rPr>
              <w:lastRenderedPageBreak/>
              <w:t>Draga Đurđić, samostalna savjetnica III, Odsjek za razvoj ljudskih resursa, Direkcija za planiranje i razvoj ljudskih resursa, Direktorat za ljudske resurse</w:t>
            </w:r>
          </w:p>
        </w:tc>
      </w:tr>
      <w:tr w:rsidR="0030796E" w:rsidRPr="00C723A0" w:rsidTr="00FA7F83">
        <w:tc>
          <w:tcPr>
            <w:tcW w:w="2828" w:type="dxa"/>
          </w:tcPr>
          <w:p w:rsidR="0030796E" w:rsidRPr="00C723A0" w:rsidRDefault="0030796E" w:rsidP="0030796E">
            <w:pPr>
              <w:outlineLvl w:val="0"/>
              <w:rPr>
                <w:rFonts w:ascii="Arial" w:hAnsi="Arial" w:cs="Arial"/>
                <w:iCs/>
                <w:sz w:val="22"/>
                <w:szCs w:val="22"/>
              </w:rPr>
            </w:pPr>
            <w:r>
              <w:rPr>
                <w:rFonts w:ascii="Arial" w:hAnsi="Arial" w:cs="Arial"/>
                <w:iCs/>
                <w:sz w:val="22"/>
                <w:szCs w:val="22"/>
              </w:rPr>
              <w:lastRenderedPageBreak/>
              <w:t xml:space="preserve">Dvodnevni seminar za mlade o ulozi i značaju Vojske </w:t>
            </w:r>
          </w:p>
        </w:tc>
        <w:tc>
          <w:tcPr>
            <w:tcW w:w="2828" w:type="dxa"/>
          </w:tcPr>
          <w:p w:rsidR="0030796E" w:rsidRDefault="0030796E" w:rsidP="0030796E">
            <w:pPr>
              <w:jc w:val="center"/>
              <w:rPr>
                <w:rFonts w:ascii="Arial" w:hAnsi="Arial" w:cs="Arial"/>
                <w:iCs/>
                <w:sz w:val="22"/>
                <w:szCs w:val="22"/>
              </w:rPr>
            </w:pPr>
            <w:r>
              <w:rPr>
                <w:rFonts w:ascii="Arial" w:hAnsi="Arial" w:cs="Arial"/>
                <w:iCs/>
                <w:sz w:val="22"/>
                <w:szCs w:val="22"/>
              </w:rPr>
              <w:t>2</w:t>
            </w:r>
          </w:p>
        </w:tc>
        <w:tc>
          <w:tcPr>
            <w:tcW w:w="2829" w:type="dxa"/>
          </w:tcPr>
          <w:p w:rsidR="0030796E" w:rsidRDefault="0030796E" w:rsidP="0030796E">
            <w:pPr>
              <w:jc w:val="center"/>
              <w:rPr>
                <w:rFonts w:ascii="Arial" w:hAnsi="Arial" w:cs="Arial"/>
                <w:iCs/>
                <w:sz w:val="22"/>
                <w:szCs w:val="22"/>
              </w:rPr>
            </w:pPr>
            <w:r>
              <w:rPr>
                <w:rFonts w:ascii="Arial" w:hAnsi="Arial" w:cs="Arial"/>
                <w:iCs/>
                <w:sz w:val="22"/>
                <w:szCs w:val="22"/>
              </w:rPr>
              <w:t>0</w:t>
            </w:r>
          </w:p>
        </w:tc>
        <w:tc>
          <w:tcPr>
            <w:tcW w:w="2828" w:type="dxa"/>
          </w:tcPr>
          <w:p w:rsidR="0030796E" w:rsidRPr="0030796E" w:rsidRDefault="0030796E" w:rsidP="0030796E">
            <w:pPr>
              <w:rPr>
                <w:rFonts w:ascii="Arial" w:hAnsi="Arial" w:cs="Arial"/>
                <w:iCs/>
                <w:sz w:val="22"/>
                <w:szCs w:val="22"/>
              </w:rPr>
            </w:pPr>
            <w:r w:rsidRPr="0030796E">
              <w:rPr>
                <w:rFonts w:ascii="Arial" w:hAnsi="Arial" w:cs="Arial"/>
                <w:iCs/>
                <w:sz w:val="22"/>
                <w:szCs w:val="22"/>
              </w:rPr>
              <w:t>0</w:t>
            </w:r>
          </w:p>
        </w:tc>
        <w:tc>
          <w:tcPr>
            <w:tcW w:w="2829" w:type="dxa"/>
          </w:tcPr>
          <w:p w:rsidR="0030796E" w:rsidRDefault="0030796E" w:rsidP="0030796E">
            <w:pPr>
              <w:rPr>
                <w:rFonts w:ascii="Arial" w:hAnsi="Arial" w:cs="Arial"/>
                <w:iCs/>
                <w:sz w:val="22"/>
                <w:szCs w:val="22"/>
              </w:rPr>
            </w:pPr>
            <w:r>
              <w:rPr>
                <w:rFonts w:ascii="Arial" w:hAnsi="Arial" w:cs="Arial"/>
                <w:iCs/>
                <w:sz w:val="22"/>
                <w:szCs w:val="22"/>
              </w:rPr>
              <w:t xml:space="preserve">Perica Bojičić, šef Odsjeka za razvoj ljudskih resursa, Direkcija za planiranje i razvoj ljudskih resursa, Direktorat za ljudske resurse; </w:t>
            </w:r>
          </w:p>
          <w:p w:rsidR="0030796E" w:rsidRPr="00C723A0" w:rsidRDefault="0030796E" w:rsidP="0030796E">
            <w:pPr>
              <w:rPr>
                <w:rFonts w:ascii="Arial" w:hAnsi="Arial" w:cs="Arial"/>
                <w:iCs/>
                <w:sz w:val="22"/>
                <w:szCs w:val="22"/>
              </w:rPr>
            </w:pPr>
            <w:r>
              <w:rPr>
                <w:rFonts w:ascii="Arial" w:hAnsi="Arial" w:cs="Arial"/>
                <w:iCs/>
                <w:sz w:val="22"/>
                <w:szCs w:val="22"/>
              </w:rPr>
              <w:t>Draga Đurđić, samostalna savjetnica III, Odsjek za razvoj ljudskih resursa, Direkcija za planiranje i razvoj ljudskih resursa, Direktorat za ljudske resurse</w:t>
            </w:r>
          </w:p>
        </w:tc>
      </w:tr>
      <w:tr w:rsidR="0030796E" w:rsidRPr="00C723A0" w:rsidTr="00FA7F83">
        <w:tc>
          <w:tcPr>
            <w:tcW w:w="2828" w:type="dxa"/>
          </w:tcPr>
          <w:p w:rsidR="0030796E" w:rsidRDefault="0030796E" w:rsidP="0030796E">
            <w:pPr>
              <w:outlineLvl w:val="0"/>
              <w:rPr>
                <w:rFonts w:ascii="Arial" w:hAnsi="Arial" w:cs="Arial"/>
                <w:iCs/>
                <w:sz w:val="22"/>
                <w:szCs w:val="22"/>
              </w:rPr>
            </w:pPr>
          </w:p>
        </w:tc>
        <w:tc>
          <w:tcPr>
            <w:tcW w:w="2828" w:type="dxa"/>
          </w:tcPr>
          <w:p w:rsidR="0030796E" w:rsidRPr="00C723A0" w:rsidRDefault="0030796E" w:rsidP="0030796E">
            <w:pPr>
              <w:jc w:val="center"/>
              <w:rPr>
                <w:rFonts w:ascii="Arial" w:hAnsi="Arial" w:cs="Arial"/>
                <w:iCs/>
                <w:sz w:val="22"/>
                <w:szCs w:val="22"/>
              </w:rPr>
            </w:pPr>
          </w:p>
        </w:tc>
        <w:tc>
          <w:tcPr>
            <w:tcW w:w="2829" w:type="dxa"/>
          </w:tcPr>
          <w:p w:rsidR="0030796E" w:rsidRPr="00C723A0" w:rsidRDefault="0030796E" w:rsidP="0030796E">
            <w:pPr>
              <w:jc w:val="center"/>
              <w:rPr>
                <w:rFonts w:ascii="Arial" w:hAnsi="Arial" w:cs="Arial"/>
                <w:iCs/>
                <w:sz w:val="22"/>
                <w:szCs w:val="22"/>
              </w:rPr>
            </w:pPr>
          </w:p>
        </w:tc>
        <w:tc>
          <w:tcPr>
            <w:tcW w:w="2828" w:type="dxa"/>
          </w:tcPr>
          <w:p w:rsidR="0030796E" w:rsidRPr="00FA7F83" w:rsidRDefault="0030796E" w:rsidP="0030796E">
            <w:pPr>
              <w:rPr>
                <w:rFonts w:ascii="Arial" w:hAnsi="Arial" w:cs="Arial"/>
                <w:iCs/>
                <w:sz w:val="16"/>
                <w:szCs w:val="16"/>
              </w:rPr>
            </w:pPr>
          </w:p>
        </w:tc>
        <w:tc>
          <w:tcPr>
            <w:tcW w:w="2829" w:type="dxa"/>
          </w:tcPr>
          <w:p w:rsidR="0030796E" w:rsidRPr="00C723A0" w:rsidRDefault="0030796E" w:rsidP="0030796E">
            <w:pPr>
              <w:rPr>
                <w:rFonts w:ascii="Arial" w:hAnsi="Arial" w:cs="Arial"/>
                <w:iCs/>
                <w:sz w:val="22"/>
                <w:szCs w:val="22"/>
              </w:rPr>
            </w:pPr>
          </w:p>
        </w:tc>
      </w:tr>
    </w:tbl>
    <w:p w:rsidR="00577BEA" w:rsidRPr="00C723A0" w:rsidRDefault="00427880" w:rsidP="00427880">
      <w:pPr>
        <w:pStyle w:val="CommentText"/>
        <w:ind w:left="360"/>
        <w:jc w:val="both"/>
        <w:rPr>
          <w:rFonts w:ascii="Arial" w:hAnsi="Arial" w:cs="Arial"/>
          <w:iCs/>
          <w:sz w:val="22"/>
          <w:szCs w:val="22"/>
        </w:rPr>
      </w:pPr>
      <w:r w:rsidRPr="00C723A0">
        <w:rPr>
          <w:rFonts w:ascii="Arial" w:hAnsi="Arial" w:cs="Arial"/>
          <w:sz w:val="22"/>
          <w:szCs w:val="22"/>
        </w:rPr>
        <w:t>*</w:t>
      </w:r>
      <w:r w:rsidR="00D2061E" w:rsidRPr="00C723A0">
        <w:rPr>
          <w:rFonts w:ascii="Arial" w:hAnsi="Arial" w:cs="Arial"/>
          <w:sz w:val="22"/>
          <w:szCs w:val="22"/>
        </w:rPr>
        <w:t xml:space="preserve"> </w:t>
      </w:r>
      <w:r w:rsidR="00A7254D" w:rsidRPr="00C723A0">
        <w:rPr>
          <w:rFonts w:ascii="Arial" w:hAnsi="Arial" w:cs="Arial"/>
          <w:sz w:val="22"/>
          <w:szCs w:val="22"/>
        </w:rPr>
        <w:t>N</w:t>
      </w:r>
      <w:r w:rsidRPr="00C723A0">
        <w:rPr>
          <w:rFonts w:ascii="Arial" w:hAnsi="Arial" w:cs="Arial"/>
          <w:sz w:val="22"/>
          <w:szCs w:val="22"/>
        </w:rPr>
        <w:t>ave</w:t>
      </w:r>
      <w:r w:rsidR="00323B91" w:rsidRPr="00C723A0">
        <w:rPr>
          <w:rFonts w:ascii="Arial" w:hAnsi="Arial" w:cs="Arial"/>
          <w:sz w:val="22"/>
          <w:szCs w:val="22"/>
        </w:rPr>
        <w:t xml:space="preserve">sti </w:t>
      </w:r>
      <w:r w:rsidRPr="00C723A0">
        <w:rPr>
          <w:rFonts w:ascii="Arial" w:hAnsi="Arial" w:cs="Arial"/>
          <w:sz w:val="22"/>
          <w:szCs w:val="22"/>
        </w:rPr>
        <w:t xml:space="preserve">izdvajaju li se </w:t>
      </w:r>
      <w:r w:rsidR="00577BEA" w:rsidRPr="00C723A0">
        <w:rPr>
          <w:rFonts w:ascii="Arial" w:hAnsi="Arial" w:cs="Arial"/>
          <w:iCs/>
          <w:sz w:val="22"/>
          <w:szCs w:val="22"/>
        </w:rPr>
        <w:t>posebna sredstva za njihov rad na ovim poslovima</w:t>
      </w:r>
      <w:r w:rsidR="00041E21" w:rsidRPr="00C723A0">
        <w:rPr>
          <w:rFonts w:ascii="Arial" w:hAnsi="Arial" w:cs="Arial"/>
          <w:iCs/>
          <w:sz w:val="22"/>
          <w:szCs w:val="22"/>
        </w:rPr>
        <w:t xml:space="preserve"> i o kojim iznosima </w:t>
      </w:r>
      <w:r w:rsidR="00201484" w:rsidRPr="00C723A0">
        <w:rPr>
          <w:rFonts w:ascii="Arial" w:hAnsi="Arial" w:cs="Arial"/>
          <w:iCs/>
          <w:sz w:val="22"/>
          <w:szCs w:val="22"/>
        </w:rPr>
        <w:t xml:space="preserve">se </w:t>
      </w:r>
      <w:r w:rsidR="00041E21" w:rsidRPr="00C723A0">
        <w:rPr>
          <w:rFonts w:ascii="Arial" w:hAnsi="Arial" w:cs="Arial"/>
          <w:iCs/>
          <w:sz w:val="22"/>
          <w:szCs w:val="22"/>
        </w:rPr>
        <w:t>radi</w:t>
      </w:r>
      <w:r w:rsidR="00A7254D" w:rsidRPr="00C723A0">
        <w:rPr>
          <w:rFonts w:ascii="Arial" w:hAnsi="Arial" w:cs="Arial"/>
          <w:iCs/>
          <w:sz w:val="22"/>
          <w:szCs w:val="22"/>
        </w:rPr>
        <w:t>.</w:t>
      </w:r>
    </w:p>
    <w:p w:rsidR="00F56C6D" w:rsidRPr="00C723A0" w:rsidRDefault="00F56C6D" w:rsidP="00F56C6D">
      <w:pPr>
        <w:pStyle w:val="CommentText"/>
        <w:jc w:val="both"/>
        <w:rPr>
          <w:rFonts w:ascii="Arial" w:hAnsi="Arial" w:cs="Arial"/>
          <w:iCs/>
          <w:sz w:val="22"/>
          <w:szCs w:val="22"/>
        </w:rPr>
      </w:pPr>
    </w:p>
    <w:p w:rsidR="00674071" w:rsidRPr="00C723A0" w:rsidRDefault="00674071" w:rsidP="00F56C6D">
      <w:pPr>
        <w:pStyle w:val="CommentText"/>
        <w:jc w:val="both"/>
        <w:rPr>
          <w:rFonts w:ascii="Arial" w:hAnsi="Arial" w:cs="Arial"/>
          <w:iCs/>
          <w:sz w:val="22"/>
          <w:szCs w:val="22"/>
        </w:rPr>
      </w:pPr>
    </w:p>
    <w:p w:rsidR="00FC671A" w:rsidRPr="00C723A0" w:rsidRDefault="00FC671A" w:rsidP="007F3825">
      <w:pPr>
        <w:jc w:val="center"/>
        <w:rPr>
          <w:rFonts w:ascii="Arial" w:hAnsi="Arial" w:cs="Arial"/>
          <w:b/>
          <w:color w:val="000000"/>
          <w:sz w:val="22"/>
          <w:szCs w:val="22"/>
        </w:rPr>
      </w:pPr>
      <w:r w:rsidRPr="00C723A0">
        <w:rPr>
          <w:rFonts w:ascii="Arial" w:hAnsi="Arial" w:cs="Arial"/>
          <w:b/>
          <w:color w:val="000000"/>
          <w:sz w:val="22"/>
          <w:szCs w:val="22"/>
        </w:rPr>
        <w:t xml:space="preserve">Ovjera </w:t>
      </w:r>
      <w:r w:rsidR="001A6C0B" w:rsidRPr="00C723A0">
        <w:rPr>
          <w:rFonts w:ascii="Arial" w:hAnsi="Arial" w:cs="Arial"/>
          <w:b/>
          <w:color w:val="000000"/>
          <w:sz w:val="22"/>
          <w:szCs w:val="22"/>
        </w:rPr>
        <w:t>ministra</w:t>
      </w:r>
      <w:r w:rsidR="000D56AC">
        <w:rPr>
          <w:rFonts w:ascii="Arial" w:hAnsi="Arial" w:cs="Arial"/>
          <w:b/>
          <w:color w:val="000000"/>
          <w:sz w:val="22"/>
          <w:szCs w:val="22"/>
        </w:rPr>
        <w:t xml:space="preserve"> odbrane</w:t>
      </w:r>
      <w:r w:rsidRPr="00C723A0">
        <w:rPr>
          <w:rFonts w:ascii="Arial" w:hAnsi="Arial" w:cs="Arial"/>
          <w:b/>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59"/>
      </w:tblGrid>
      <w:tr w:rsidR="00FC671A" w:rsidRPr="00C723A0" w:rsidTr="00F0103F">
        <w:trPr>
          <w:trHeight w:val="1109"/>
          <w:jc w:val="center"/>
        </w:trPr>
        <w:tc>
          <w:tcPr>
            <w:tcW w:w="11159" w:type="dxa"/>
            <w:tcMar>
              <w:left w:w="57" w:type="dxa"/>
              <w:right w:w="57" w:type="dxa"/>
            </w:tcMar>
          </w:tcPr>
          <w:p w:rsidR="00FC671A" w:rsidRPr="00C723A0" w:rsidRDefault="00FC671A" w:rsidP="002660C0">
            <w:pPr>
              <w:jc w:val="both"/>
              <w:rPr>
                <w:rFonts w:ascii="Arial" w:hAnsi="Arial" w:cs="Arial"/>
                <w:color w:val="000000"/>
                <w:sz w:val="22"/>
                <w:szCs w:val="22"/>
              </w:rPr>
            </w:pPr>
          </w:p>
          <w:p w:rsidR="00F0103F" w:rsidRPr="00C723A0" w:rsidRDefault="00F0103F" w:rsidP="002660C0">
            <w:pPr>
              <w:jc w:val="both"/>
              <w:rPr>
                <w:rFonts w:ascii="Arial" w:hAnsi="Arial" w:cs="Arial"/>
                <w:color w:val="000000"/>
                <w:sz w:val="22"/>
                <w:szCs w:val="22"/>
              </w:rPr>
            </w:pPr>
          </w:p>
          <w:p w:rsidR="00FC671A" w:rsidRPr="00C723A0" w:rsidRDefault="00FC671A" w:rsidP="002660C0">
            <w:pPr>
              <w:jc w:val="both"/>
              <w:rPr>
                <w:rFonts w:ascii="Arial" w:hAnsi="Arial" w:cs="Arial"/>
                <w:color w:val="000000"/>
                <w:sz w:val="22"/>
                <w:szCs w:val="22"/>
              </w:rPr>
            </w:pPr>
            <w:r w:rsidRPr="000D56AC">
              <w:rPr>
                <w:rFonts w:ascii="Arial" w:hAnsi="Arial" w:cs="Arial"/>
                <w:color w:val="000000"/>
                <w:sz w:val="22"/>
                <w:szCs w:val="22"/>
                <w:u w:val="single"/>
              </w:rPr>
              <w:t>__</w:t>
            </w:r>
            <w:r w:rsidR="00480FC5" w:rsidRPr="000D56AC">
              <w:rPr>
                <w:rFonts w:ascii="Arial" w:hAnsi="Arial" w:cs="Arial"/>
                <w:color w:val="000000"/>
                <w:sz w:val="22"/>
                <w:szCs w:val="22"/>
                <w:u w:val="single"/>
              </w:rPr>
              <w:t>_</w:t>
            </w:r>
            <w:r w:rsidR="00543FE8">
              <w:rPr>
                <w:rFonts w:ascii="Arial" w:hAnsi="Arial" w:cs="Arial"/>
                <w:color w:val="000000"/>
                <w:sz w:val="22"/>
                <w:szCs w:val="22"/>
                <w:u w:val="single"/>
              </w:rPr>
              <w:t xml:space="preserve">  ______________</w:t>
            </w:r>
            <w:r w:rsidR="001C2AAF" w:rsidRPr="000D56AC">
              <w:rPr>
                <w:rFonts w:ascii="Arial" w:hAnsi="Arial" w:cs="Arial"/>
                <w:b/>
                <w:color w:val="000000"/>
                <w:sz w:val="22"/>
                <w:szCs w:val="22"/>
              </w:rPr>
              <w:t>____</w:t>
            </w:r>
            <w:r w:rsidR="000D56AC" w:rsidRPr="000D56AC">
              <w:rPr>
                <w:rFonts w:ascii="Arial" w:hAnsi="Arial" w:cs="Arial"/>
                <w:b/>
                <w:color w:val="000000"/>
                <w:sz w:val="22"/>
                <w:szCs w:val="22"/>
              </w:rPr>
              <w:t>____</w:t>
            </w:r>
            <w:r w:rsidRPr="00C723A0">
              <w:rPr>
                <w:rFonts w:ascii="Arial" w:hAnsi="Arial" w:cs="Arial"/>
                <w:color w:val="000000"/>
                <w:sz w:val="22"/>
                <w:szCs w:val="22"/>
              </w:rPr>
              <w:t xml:space="preserve">  </w:t>
            </w:r>
            <w:r w:rsidR="005E44DC" w:rsidRPr="00C723A0">
              <w:rPr>
                <w:rFonts w:ascii="Arial" w:hAnsi="Arial" w:cs="Arial"/>
                <w:color w:val="000000"/>
                <w:sz w:val="22"/>
                <w:szCs w:val="22"/>
              </w:rPr>
              <w:t xml:space="preserve">                          </w:t>
            </w:r>
            <w:r w:rsidRPr="00C723A0">
              <w:rPr>
                <w:rFonts w:ascii="Arial" w:hAnsi="Arial" w:cs="Arial"/>
                <w:color w:val="000000"/>
                <w:sz w:val="22"/>
                <w:szCs w:val="22"/>
              </w:rPr>
              <w:t xml:space="preserve">                                     </w:t>
            </w:r>
            <w:r w:rsidR="00480FC5" w:rsidRPr="00C723A0">
              <w:rPr>
                <w:rFonts w:ascii="Arial" w:hAnsi="Arial" w:cs="Arial"/>
                <w:color w:val="000000"/>
                <w:sz w:val="22"/>
                <w:szCs w:val="22"/>
              </w:rPr>
              <w:t>__________________________</w:t>
            </w:r>
          </w:p>
          <w:p w:rsidR="00FC671A" w:rsidRPr="00C723A0" w:rsidRDefault="005E44DC" w:rsidP="005E44DC">
            <w:pPr>
              <w:rPr>
                <w:rFonts w:ascii="Arial" w:hAnsi="Arial" w:cs="Arial"/>
                <w:color w:val="000000"/>
                <w:sz w:val="22"/>
                <w:szCs w:val="22"/>
              </w:rPr>
            </w:pPr>
            <w:r w:rsidRPr="00C723A0">
              <w:rPr>
                <w:rFonts w:ascii="Arial" w:hAnsi="Arial" w:cs="Arial"/>
                <w:color w:val="000000"/>
                <w:sz w:val="22"/>
                <w:szCs w:val="22"/>
              </w:rPr>
              <w:t xml:space="preserve">              Ime i prezime</w:t>
            </w:r>
            <w:r w:rsidR="00FC671A" w:rsidRPr="00C723A0">
              <w:rPr>
                <w:rFonts w:ascii="Arial" w:hAnsi="Arial" w:cs="Arial"/>
                <w:color w:val="000000"/>
                <w:sz w:val="22"/>
                <w:szCs w:val="22"/>
              </w:rPr>
              <w:t xml:space="preserve">          </w:t>
            </w:r>
            <w:r w:rsidRPr="00C723A0">
              <w:rPr>
                <w:rFonts w:ascii="Arial" w:hAnsi="Arial" w:cs="Arial"/>
                <w:color w:val="000000"/>
                <w:sz w:val="22"/>
                <w:szCs w:val="22"/>
              </w:rPr>
              <w:t xml:space="preserve">      </w:t>
            </w:r>
            <w:r w:rsidR="00FC671A" w:rsidRPr="00C723A0">
              <w:rPr>
                <w:rFonts w:ascii="Arial" w:hAnsi="Arial" w:cs="Arial"/>
                <w:color w:val="000000"/>
                <w:sz w:val="22"/>
                <w:szCs w:val="22"/>
              </w:rPr>
              <w:t xml:space="preserve">      </w:t>
            </w:r>
            <w:r w:rsidR="00ED47FC" w:rsidRPr="00C723A0">
              <w:rPr>
                <w:rFonts w:ascii="Arial" w:hAnsi="Arial" w:cs="Arial"/>
                <w:color w:val="000000"/>
                <w:sz w:val="22"/>
                <w:szCs w:val="22"/>
              </w:rPr>
              <w:t xml:space="preserve">       </w:t>
            </w:r>
            <w:r w:rsidR="00FC671A" w:rsidRPr="00C723A0">
              <w:rPr>
                <w:rFonts w:ascii="Arial" w:hAnsi="Arial" w:cs="Arial"/>
                <w:color w:val="000000"/>
                <w:sz w:val="22"/>
                <w:szCs w:val="22"/>
              </w:rPr>
              <w:t xml:space="preserve">  </w:t>
            </w:r>
            <w:r w:rsidRPr="00C723A0">
              <w:rPr>
                <w:rFonts w:ascii="Arial" w:hAnsi="Arial" w:cs="Arial"/>
                <w:color w:val="000000"/>
                <w:sz w:val="22"/>
                <w:szCs w:val="22"/>
              </w:rPr>
              <w:t xml:space="preserve">        </w:t>
            </w:r>
            <w:r w:rsidR="003E758B" w:rsidRPr="00C723A0">
              <w:rPr>
                <w:rFonts w:ascii="Arial" w:hAnsi="Arial" w:cs="Arial"/>
                <w:color w:val="000000"/>
                <w:sz w:val="22"/>
                <w:szCs w:val="22"/>
              </w:rPr>
              <w:t xml:space="preserve">    </w:t>
            </w:r>
            <w:r w:rsidR="00FC671A" w:rsidRPr="00C723A0">
              <w:rPr>
                <w:rFonts w:ascii="Arial" w:hAnsi="Arial" w:cs="Arial"/>
                <w:color w:val="000000"/>
                <w:sz w:val="22"/>
                <w:szCs w:val="22"/>
              </w:rPr>
              <w:t xml:space="preserve">M.P.                 </w:t>
            </w:r>
            <w:r w:rsidRPr="00C723A0">
              <w:rPr>
                <w:rFonts w:ascii="Arial" w:hAnsi="Arial" w:cs="Arial"/>
                <w:color w:val="000000"/>
                <w:sz w:val="22"/>
                <w:szCs w:val="22"/>
              </w:rPr>
              <w:t xml:space="preserve">                 </w:t>
            </w:r>
            <w:r w:rsidR="003E758B" w:rsidRPr="00C723A0">
              <w:rPr>
                <w:rFonts w:ascii="Arial" w:hAnsi="Arial" w:cs="Arial"/>
                <w:color w:val="000000"/>
                <w:sz w:val="22"/>
                <w:szCs w:val="22"/>
              </w:rPr>
              <w:t xml:space="preserve">                  </w:t>
            </w:r>
            <w:r w:rsidRPr="00C723A0">
              <w:rPr>
                <w:rFonts w:ascii="Arial" w:hAnsi="Arial" w:cs="Arial"/>
                <w:color w:val="000000"/>
                <w:sz w:val="22"/>
                <w:szCs w:val="22"/>
              </w:rPr>
              <w:t>Potpis</w:t>
            </w:r>
          </w:p>
        </w:tc>
      </w:tr>
    </w:tbl>
    <w:p w:rsidR="00D0527A" w:rsidRPr="00C723A0" w:rsidRDefault="00D0527A" w:rsidP="00ED47FC">
      <w:pPr>
        <w:pStyle w:val="CommentText"/>
        <w:jc w:val="both"/>
        <w:rPr>
          <w:rFonts w:ascii="Arial" w:hAnsi="Arial" w:cs="Arial"/>
          <w:iCs/>
          <w:sz w:val="22"/>
          <w:szCs w:val="22"/>
        </w:rPr>
      </w:pPr>
    </w:p>
    <w:sectPr w:rsidR="00D0527A" w:rsidRPr="00C723A0" w:rsidSect="00096E00">
      <w:headerReference w:type="even" r:id="rId10"/>
      <w:headerReference w:type="default" r:id="rId11"/>
      <w:footerReference w:type="even" r:id="rId12"/>
      <w:footerReference w:type="default" r:id="rId13"/>
      <w:headerReference w:type="first" r:id="rId14"/>
      <w:footerReference w:type="first" r:id="rId15"/>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F9" w:rsidRDefault="003F7BF9" w:rsidP="004538A7">
      <w:r>
        <w:separator/>
      </w:r>
    </w:p>
  </w:endnote>
  <w:endnote w:type="continuationSeparator" w:id="0">
    <w:p w:rsidR="003F7BF9" w:rsidRDefault="003F7BF9"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80" w:rsidRDefault="00916EC8" w:rsidP="004F3864">
    <w:pPr>
      <w:pStyle w:val="Footer"/>
      <w:framePr w:wrap="around" w:vAnchor="text" w:hAnchor="margin" w:xAlign="right" w:y="1"/>
      <w:rPr>
        <w:rStyle w:val="PageNumber"/>
      </w:rPr>
    </w:pPr>
    <w:r>
      <w:rPr>
        <w:rStyle w:val="PageNumber"/>
      </w:rPr>
      <w:fldChar w:fldCharType="begin"/>
    </w:r>
    <w:r w:rsidR="001C4B80">
      <w:rPr>
        <w:rStyle w:val="PageNumber"/>
      </w:rPr>
      <w:instrText xml:space="preserve">PAGE  </w:instrText>
    </w:r>
    <w:r>
      <w:rPr>
        <w:rStyle w:val="PageNumber"/>
      </w:rPr>
      <w:fldChar w:fldCharType="end"/>
    </w:r>
  </w:p>
  <w:p w:rsidR="00081424" w:rsidRDefault="000814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80" w:rsidRPr="00BE49DA" w:rsidRDefault="00916EC8"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001C4B80"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053418">
      <w:rPr>
        <w:rStyle w:val="PageNumber"/>
        <w:rFonts w:ascii="Tahoma" w:hAnsi="Tahoma" w:cs="Tahoma"/>
        <w:noProof/>
      </w:rPr>
      <w:t>5</w:t>
    </w:r>
    <w:r w:rsidRPr="00BE49DA">
      <w:rPr>
        <w:rStyle w:val="PageNumber"/>
        <w:rFonts w:ascii="Tahoma" w:hAnsi="Tahoma" w:cs="Tahoma"/>
      </w:rPr>
      <w:fldChar w:fldCharType="end"/>
    </w:r>
  </w:p>
  <w:p w:rsidR="001C4B80" w:rsidRDefault="001C4B80" w:rsidP="00BE49DA">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FF" w:rsidRDefault="00B15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F9" w:rsidRDefault="003F7BF9" w:rsidP="004538A7">
      <w:r>
        <w:separator/>
      </w:r>
    </w:p>
  </w:footnote>
  <w:footnote w:type="continuationSeparator" w:id="0">
    <w:p w:rsidR="003F7BF9" w:rsidRDefault="003F7BF9" w:rsidP="0045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FF" w:rsidRDefault="00B15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325" w:rsidRPr="00FE00CC" w:rsidRDefault="00507325" w:rsidP="004538A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FF" w:rsidRDefault="00B15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A3812"/>
    <w:multiLevelType w:val="hybridMultilevel"/>
    <w:tmpl w:val="AD0C5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737E"/>
    <w:multiLevelType w:val="hybridMultilevel"/>
    <w:tmpl w:val="B7D26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E6526"/>
    <w:multiLevelType w:val="hybridMultilevel"/>
    <w:tmpl w:val="68D66E08"/>
    <w:lvl w:ilvl="0" w:tplc="DF36D0EC">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D2B0C"/>
    <w:multiLevelType w:val="hybridMultilevel"/>
    <w:tmpl w:val="39BE8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5DB7277"/>
    <w:multiLevelType w:val="hybridMultilevel"/>
    <w:tmpl w:val="EF867BAC"/>
    <w:lvl w:ilvl="0" w:tplc="F74CD070">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6">
    <w:nsid w:val="267D4244"/>
    <w:multiLevelType w:val="hybridMultilevel"/>
    <w:tmpl w:val="54CC8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93956CB"/>
    <w:multiLevelType w:val="hybridMultilevel"/>
    <w:tmpl w:val="6F7AF3D2"/>
    <w:lvl w:ilvl="0" w:tplc="46E2D6B4">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8">
    <w:nsid w:val="514B7A31"/>
    <w:multiLevelType w:val="hybridMultilevel"/>
    <w:tmpl w:val="EBD26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BD517CA"/>
    <w:multiLevelType w:val="hybridMultilevel"/>
    <w:tmpl w:val="7DA22E56"/>
    <w:lvl w:ilvl="0" w:tplc="B146551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0">
    <w:nsid w:val="7EBC3729"/>
    <w:multiLevelType w:val="hybridMultilevel"/>
    <w:tmpl w:val="3F0AE0C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9"/>
  </w:num>
  <w:num w:numId="5">
    <w:abstractNumId w:val="4"/>
  </w:num>
  <w:num w:numId="6">
    <w:abstractNumId w:val="7"/>
  </w:num>
  <w:num w:numId="7">
    <w:abstractNumId w:val="5"/>
  </w:num>
  <w:num w:numId="8">
    <w:abstractNumId w:val="8"/>
  </w:num>
  <w:num w:numId="9">
    <w:abstractNumId w:val="6"/>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A7"/>
    <w:rsid w:val="00001016"/>
    <w:rsid w:val="00002E6A"/>
    <w:rsid w:val="00003335"/>
    <w:rsid w:val="00004D10"/>
    <w:rsid w:val="000070B7"/>
    <w:rsid w:val="00012CA3"/>
    <w:rsid w:val="00014B18"/>
    <w:rsid w:val="0001533B"/>
    <w:rsid w:val="000154D3"/>
    <w:rsid w:val="0001653B"/>
    <w:rsid w:val="00024911"/>
    <w:rsid w:val="00024B89"/>
    <w:rsid w:val="00026DB1"/>
    <w:rsid w:val="000406AB"/>
    <w:rsid w:val="00041E21"/>
    <w:rsid w:val="00043EAE"/>
    <w:rsid w:val="00053418"/>
    <w:rsid w:val="000608C9"/>
    <w:rsid w:val="00062266"/>
    <w:rsid w:val="000668B5"/>
    <w:rsid w:val="000744E1"/>
    <w:rsid w:val="00081424"/>
    <w:rsid w:val="00096491"/>
    <w:rsid w:val="00096E00"/>
    <w:rsid w:val="000974D8"/>
    <w:rsid w:val="000A2D82"/>
    <w:rsid w:val="000A59BF"/>
    <w:rsid w:val="000B06D8"/>
    <w:rsid w:val="000B10D8"/>
    <w:rsid w:val="000B35F3"/>
    <w:rsid w:val="000C065D"/>
    <w:rsid w:val="000C2358"/>
    <w:rsid w:val="000D45D7"/>
    <w:rsid w:val="000D56AC"/>
    <w:rsid w:val="000D56D3"/>
    <w:rsid w:val="000D65B5"/>
    <w:rsid w:val="000D6FA8"/>
    <w:rsid w:val="000D7828"/>
    <w:rsid w:val="000E1FF0"/>
    <w:rsid w:val="000E749C"/>
    <w:rsid w:val="000F4836"/>
    <w:rsid w:val="000F7B5E"/>
    <w:rsid w:val="000F7CBB"/>
    <w:rsid w:val="0010059B"/>
    <w:rsid w:val="0010064A"/>
    <w:rsid w:val="00101A08"/>
    <w:rsid w:val="00105205"/>
    <w:rsid w:val="00105BC1"/>
    <w:rsid w:val="001075D5"/>
    <w:rsid w:val="00112DF3"/>
    <w:rsid w:val="00112F10"/>
    <w:rsid w:val="00120061"/>
    <w:rsid w:val="00122BCB"/>
    <w:rsid w:val="00123735"/>
    <w:rsid w:val="00126F2F"/>
    <w:rsid w:val="00135BBA"/>
    <w:rsid w:val="00140DDD"/>
    <w:rsid w:val="00142C39"/>
    <w:rsid w:val="00144235"/>
    <w:rsid w:val="00147ACC"/>
    <w:rsid w:val="00147F18"/>
    <w:rsid w:val="00155ED4"/>
    <w:rsid w:val="00156E08"/>
    <w:rsid w:val="00172942"/>
    <w:rsid w:val="00183866"/>
    <w:rsid w:val="00184B48"/>
    <w:rsid w:val="001A66A4"/>
    <w:rsid w:val="001A6C0B"/>
    <w:rsid w:val="001B00DD"/>
    <w:rsid w:val="001B2F3F"/>
    <w:rsid w:val="001C2AAF"/>
    <w:rsid w:val="001C4B80"/>
    <w:rsid w:val="001D22E4"/>
    <w:rsid w:val="001D406C"/>
    <w:rsid w:val="001E06C3"/>
    <w:rsid w:val="001E0AD9"/>
    <w:rsid w:val="001F2466"/>
    <w:rsid w:val="00200040"/>
    <w:rsid w:val="00201484"/>
    <w:rsid w:val="00207979"/>
    <w:rsid w:val="00213DB8"/>
    <w:rsid w:val="00217E50"/>
    <w:rsid w:val="00224836"/>
    <w:rsid w:val="00224A0C"/>
    <w:rsid w:val="0022748E"/>
    <w:rsid w:val="0023463B"/>
    <w:rsid w:val="00237523"/>
    <w:rsid w:val="002467B0"/>
    <w:rsid w:val="00251B5A"/>
    <w:rsid w:val="0025382F"/>
    <w:rsid w:val="00261526"/>
    <w:rsid w:val="002660C0"/>
    <w:rsid w:val="00270419"/>
    <w:rsid w:val="0028152F"/>
    <w:rsid w:val="00283892"/>
    <w:rsid w:val="00286D44"/>
    <w:rsid w:val="00290A38"/>
    <w:rsid w:val="00295176"/>
    <w:rsid w:val="002A1CF3"/>
    <w:rsid w:val="002A4AA1"/>
    <w:rsid w:val="002B14CE"/>
    <w:rsid w:val="002B6027"/>
    <w:rsid w:val="002B619C"/>
    <w:rsid w:val="002B76DE"/>
    <w:rsid w:val="002B7D18"/>
    <w:rsid w:val="002C1CEE"/>
    <w:rsid w:val="002C42BC"/>
    <w:rsid w:val="002C470B"/>
    <w:rsid w:val="002C4AFC"/>
    <w:rsid w:val="002C787A"/>
    <w:rsid w:val="002C7F38"/>
    <w:rsid w:val="002D4163"/>
    <w:rsid w:val="002D5013"/>
    <w:rsid w:val="002D5650"/>
    <w:rsid w:val="002E5644"/>
    <w:rsid w:val="002E69AA"/>
    <w:rsid w:val="002F1515"/>
    <w:rsid w:val="0030282D"/>
    <w:rsid w:val="00303D60"/>
    <w:rsid w:val="003064BF"/>
    <w:rsid w:val="0030796E"/>
    <w:rsid w:val="003229BF"/>
    <w:rsid w:val="00323B91"/>
    <w:rsid w:val="0032753E"/>
    <w:rsid w:val="0033633D"/>
    <w:rsid w:val="003411FD"/>
    <w:rsid w:val="003457EE"/>
    <w:rsid w:val="003464CD"/>
    <w:rsid w:val="00350F78"/>
    <w:rsid w:val="003510AB"/>
    <w:rsid w:val="00352698"/>
    <w:rsid w:val="0035743D"/>
    <w:rsid w:val="0036066F"/>
    <w:rsid w:val="00363467"/>
    <w:rsid w:val="00363C82"/>
    <w:rsid w:val="0036406D"/>
    <w:rsid w:val="00371959"/>
    <w:rsid w:val="00376223"/>
    <w:rsid w:val="003811CA"/>
    <w:rsid w:val="00385776"/>
    <w:rsid w:val="00385831"/>
    <w:rsid w:val="003858C3"/>
    <w:rsid w:val="00386872"/>
    <w:rsid w:val="003956B7"/>
    <w:rsid w:val="003A093F"/>
    <w:rsid w:val="003A2994"/>
    <w:rsid w:val="003A5B13"/>
    <w:rsid w:val="003A7340"/>
    <w:rsid w:val="003A75FD"/>
    <w:rsid w:val="003B147A"/>
    <w:rsid w:val="003B26C8"/>
    <w:rsid w:val="003B717C"/>
    <w:rsid w:val="003C350B"/>
    <w:rsid w:val="003C53C0"/>
    <w:rsid w:val="003C6DFF"/>
    <w:rsid w:val="003D6D0C"/>
    <w:rsid w:val="003E215C"/>
    <w:rsid w:val="003E752B"/>
    <w:rsid w:val="003E758B"/>
    <w:rsid w:val="003F2ED6"/>
    <w:rsid w:val="003F7BF9"/>
    <w:rsid w:val="00403387"/>
    <w:rsid w:val="00403460"/>
    <w:rsid w:val="004053BC"/>
    <w:rsid w:val="00414B15"/>
    <w:rsid w:val="00420114"/>
    <w:rsid w:val="00427880"/>
    <w:rsid w:val="00431C22"/>
    <w:rsid w:val="00434B34"/>
    <w:rsid w:val="00435C9C"/>
    <w:rsid w:val="004431F2"/>
    <w:rsid w:val="00447ABB"/>
    <w:rsid w:val="00452C45"/>
    <w:rsid w:val="004538A7"/>
    <w:rsid w:val="00457C8F"/>
    <w:rsid w:val="00460E54"/>
    <w:rsid w:val="00462642"/>
    <w:rsid w:val="004630DC"/>
    <w:rsid w:val="00463843"/>
    <w:rsid w:val="004725B8"/>
    <w:rsid w:val="004741FB"/>
    <w:rsid w:val="004749A7"/>
    <w:rsid w:val="004758A9"/>
    <w:rsid w:val="004773F0"/>
    <w:rsid w:val="00477DB9"/>
    <w:rsid w:val="00480FC5"/>
    <w:rsid w:val="00490065"/>
    <w:rsid w:val="00497DA5"/>
    <w:rsid w:val="004B1095"/>
    <w:rsid w:val="004B1390"/>
    <w:rsid w:val="004B5967"/>
    <w:rsid w:val="004C6010"/>
    <w:rsid w:val="004E079D"/>
    <w:rsid w:val="004E3649"/>
    <w:rsid w:val="004E3C15"/>
    <w:rsid w:val="004E48D3"/>
    <w:rsid w:val="004E599E"/>
    <w:rsid w:val="004E6B25"/>
    <w:rsid w:val="004F0EC0"/>
    <w:rsid w:val="004F3864"/>
    <w:rsid w:val="004F521D"/>
    <w:rsid w:val="004F6DEE"/>
    <w:rsid w:val="004F7C54"/>
    <w:rsid w:val="00506087"/>
    <w:rsid w:val="00507325"/>
    <w:rsid w:val="0051528E"/>
    <w:rsid w:val="005161F5"/>
    <w:rsid w:val="00516380"/>
    <w:rsid w:val="0051676E"/>
    <w:rsid w:val="00525F65"/>
    <w:rsid w:val="00527E20"/>
    <w:rsid w:val="00531303"/>
    <w:rsid w:val="005317E8"/>
    <w:rsid w:val="00536C64"/>
    <w:rsid w:val="0054167A"/>
    <w:rsid w:val="0054217F"/>
    <w:rsid w:val="00543FE8"/>
    <w:rsid w:val="00544154"/>
    <w:rsid w:val="005462E0"/>
    <w:rsid w:val="0055026B"/>
    <w:rsid w:val="00551D17"/>
    <w:rsid w:val="00556538"/>
    <w:rsid w:val="00556558"/>
    <w:rsid w:val="00562AFC"/>
    <w:rsid w:val="00562DC9"/>
    <w:rsid w:val="00563211"/>
    <w:rsid w:val="00564FA3"/>
    <w:rsid w:val="00570AD6"/>
    <w:rsid w:val="00577BEA"/>
    <w:rsid w:val="00580EFB"/>
    <w:rsid w:val="005831F9"/>
    <w:rsid w:val="00585A3A"/>
    <w:rsid w:val="005A0C20"/>
    <w:rsid w:val="005A1081"/>
    <w:rsid w:val="005A5C42"/>
    <w:rsid w:val="005A6D6A"/>
    <w:rsid w:val="005B7A8C"/>
    <w:rsid w:val="005C0221"/>
    <w:rsid w:val="005C1282"/>
    <w:rsid w:val="005C2436"/>
    <w:rsid w:val="005C4002"/>
    <w:rsid w:val="005E014D"/>
    <w:rsid w:val="005E44DC"/>
    <w:rsid w:val="005F28BB"/>
    <w:rsid w:val="0060458E"/>
    <w:rsid w:val="006135B1"/>
    <w:rsid w:val="00617900"/>
    <w:rsid w:val="006200ED"/>
    <w:rsid w:val="006242E9"/>
    <w:rsid w:val="00624F67"/>
    <w:rsid w:val="00626998"/>
    <w:rsid w:val="0063379D"/>
    <w:rsid w:val="00633C15"/>
    <w:rsid w:val="0063434E"/>
    <w:rsid w:val="00636A10"/>
    <w:rsid w:val="00642A2A"/>
    <w:rsid w:val="00647FDB"/>
    <w:rsid w:val="0066259F"/>
    <w:rsid w:val="0066699B"/>
    <w:rsid w:val="00666A6D"/>
    <w:rsid w:val="00671156"/>
    <w:rsid w:val="00674071"/>
    <w:rsid w:val="006743A9"/>
    <w:rsid w:val="0067545E"/>
    <w:rsid w:val="006810E1"/>
    <w:rsid w:val="00685641"/>
    <w:rsid w:val="00690B1E"/>
    <w:rsid w:val="006A3D46"/>
    <w:rsid w:val="006A3F62"/>
    <w:rsid w:val="006A4A34"/>
    <w:rsid w:val="006D66F0"/>
    <w:rsid w:val="006D6B37"/>
    <w:rsid w:val="006E1919"/>
    <w:rsid w:val="006E342F"/>
    <w:rsid w:val="006E4F7F"/>
    <w:rsid w:val="006F51FD"/>
    <w:rsid w:val="006F525E"/>
    <w:rsid w:val="006F68D3"/>
    <w:rsid w:val="00703320"/>
    <w:rsid w:val="00703B5A"/>
    <w:rsid w:val="00713B97"/>
    <w:rsid w:val="00716680"/>
    <w:rsid w:val="007169AD"/>
    <w:rsid w:val="007221E8"/>
    <w:rsid w:val="0073346C"/>
    <w:rsid w:val="007371B3"/>
    <w:rsid w:val="007372E6"/>
    <w:rsid w:val="0074087F"/>
    <w:rsid w:val="007461DA"/>
    <w:rsid w:val="00747A32"/>
    <w:rsid w:val="0075059C"/>
    <w:rsid w:val="00752ACE"/>
    <w:rsid w:val="007538F3"/>
    <w:rsid w:val="007552B2"/>
    <w:rsid w:val="00755B20"/>
    <w:rsid w:val="007571A8"/>
    <w:rsid w:val="00760314"/>
    <w:rsid w:val="00760575"/>
    <w:rsid w:val="00761E17"/>
    <w:rsid w:val="00763158"/>
    <w:rsid w:val="00766462"/>
    <w:rsid w:val="0077539B"/>
    <w:rsid w:val="00784ECF"/>
    <w:rsid w:val="0078638A"/>
    <w:rsid w:val="007868AF"/>
    <w:rsid w:val="00787A8B"/>
    <w:rsid w:val="007971AD"/>
    <w:rsid w:val="00797DC5"/>
    <w:rsid w:val="007A1234"/>
    <w:rsid w:val="007B0257"/>
    <w:rsid w:val="007B16FD"/>
    <w:rsid w:val="007B2B71"/>
    <w:rsid w:val="007C652E"/>
    <w:rsid w:val="007E4432"/>
    <w:rsid w:val="007E72F5"/>
    <w:rsid w:val="007E7683"/>
    <w:rsid w:val="007E7DC3"/>
    <w:rsid w:val="007F3825"/>
    <w:rsid w:val="007F4C73"/>
    <w:rsid w:val="008005DC"/>
    <w:rsid w:val="008060A7"/>
    <w:rsid w:val="00815245"/>
    <w:rsid w:val="00821055"/>
    <w:rsid w:val="00825AA5"/>
    <w:rsid w:val="00830A6E"/>
    <w:rsid w:val="00831615"/>
    <w:rsid w:val="00831795"/>
    <w:rsid w:val="00832758"/>
    <w:rsid w:val="00836BC7"/>
    <w:rsid w:val="0083742C"/>
    <w:rsid w:val="008444E3"/>
    <w:rsid w:val="00851959"/>
    <w:rsid w:val="00856A4A"/>
    <w:rsid w:val="008606AC"/>
    <w:rsid w:val="00861937"/>
    <w:rsid w:val="00862238"/>
    <w:rsid w:val="00863031"/>
    <w:rsid w:val="00866019"/>
    <w:rsid w:val="00874420"/>
    <w:rsid w:val="00877CE9"/>
    <w:rsid w:val="00885906"/>
    <w:rsid w:val="0089017C"/>
    <w:rsid w:val="00890A2A"/>
    <w:rsid w:val="00890FEF"/>
    <w:rsid w:val="008A71D3"/>
    <w:rsid w:val="008A7D78"/>
    <w:rsid w:val="008B08EC"/>
    <w:rsid w:val="008B1D3F"/>
    <w:rsid w:val="008B4696"/>
    <w:rsid w:val="008B5F40"/>
    <w:rsid w:val="008B6F79"/>
    <w:rsid w:val="008B749B"/>
    <w:rsid w:val="008C009B"/>
    <w:rsid w:val="008C04BE"/>
    <w:rsid w:val="008C158B"/>
    <w:rsid w:val="008C4360"/>
    <w:rsid w:val="008D4369"/>
    <w:rsid w:val="008D565B"/>
    <w:rsid w:val="008D620B"/>
    <w:rsid w:val="008D78FF"/>
    <w:rsid w:val="008E21AB"/>
    <w:rsid w:val="008E2572"/>
    <w:rsid w:val="008E745D"/>
    <w:rsid w:val="008F1545"/>
    <w:rsid w:val="008F6D65"/>
    <w:rsid w:val="008F7524"/>
    <w:rsid w:val="00902679"/>
    <w:rsid w:val="009047F8"/>
    <w:rsid w:val="00913E65"/>
    <w:rsid w:val="00914DE0"/>
    <w:rsid w:val="00916444"/>
    <w:rsid w:val="00916EC8"/>
    <w:rsid w:val="009219FB"/>
    <w:rsid w:val="00927C51"/>
    <w:rsid w:val="009332DD"/>
    <w:rsid w:val="00933444"/>
    <w:rsid w:val="00933D0C"/>
    <w:rsid w:val="00934989"/>
    <w:rsid w:val="009441D0"/>
    <w:rsid w:val="0095228E"/>
    <w:rsid w:val="009524DB"/>
    <w:rsid w:val="00952A37"/>
    <w:rsid w:val="00952F4D"/>
    <w:rsid w:val="009568DA"/>
    <w:rsid w:val="00957C92"/>
    <w:rsid w:val="009648B6"/>
    <w:rsid w:val="00975358"/>
    <w:rsid w:val="00987DF3"/>
    <w:rsid w:val="00990559"/>
    <w:rsid w:val="009915FD"/>
    <w:rsid w:val="0099408C"/>
    <w:rsid w:val="00995621"/>
    <w:rsid w:val="00997CD3"/>
    <w:rsid w:val="009A0729"/>
    <w:rsid w:val="009A20C5"/>
    <w:rsid w:val="009A6660"/>
    <w:rsid w:val="009A7ADD"/>
    <w:rsid w:val="009A7CCB"/>
    <w:rsid w:val="009B02F3"/>
    <w:rsid w:val="009B69A9"/>
    <w:rsid w:val="009C2BA7"/>
    <w:rsid w:val="009D1135"/>
    <w:rsid w:val="009F683A"/>
    <w:rsid w:val="009F75C6"/>
    <w:rsid w:val="00A00A76"/>
    <w:rsid w:val="00A105A3"/>
    <w:rsid w:val="00A11ED0"/>
    <w:rsid w:val="00A156A2"/>
    <w:rsid w:val="00A15A4D"/>
    <w:rsid w:val="00A24C3B"/>
    <w:rsid w:val="00A24D47"/>
    <w:rsid w:val="00A35E7C"/>
    <w:rsid w:val="00A458F0"/>
    <w:rsid w:val="00A45B30"/>
    <w:rsid w:val="00A53536"/>
    <w:rsid w:val="00A545CC"/>
    <w:rsid w:val="00A54A39"/>
    <w:rsid w:val="00A579B3"/>
    <w:rsid w:val="00A605C2"/>
    <w:rsid w:val="00A66C55"/>
    <w:rsid w:val="00A70927"/>
    <w:rsid w:val="00A7254D"/>
    <w:rsid w:val="00A75C62"/>
    <w:rsid w:val="00A76769"/>
    <w:rsid w:val="00A76FA4"/>
    <w:rsid w:val="00A840BB"/>
    <w:rsid w:val="00A84687"/>
    <w:rsid w:val="00A84AEE"/>
    <w:rsid w:val="00A95507"/>
    <w:rsid w:val="00A968ED"/>
    <w:rsid w:val="00AA332A"/>
    <w:rsid w:val="00AB0257"/>
    <w:rsid w:val="00AB1842"/>
    <w:rsid w:val="00AC026B"/>
    <w:rsid w:val="00AC1B42"/>
    <w:rsid w:val="00AC7B42"/>
    <w:rsid w:val="00AD0B9C"/>
    <w:rsid w:val="00AD2353"/>
    <w:rsid w:val="00AD4B79"/>
    <w:rsid w:val="00AD5114"/>
    <w:rsid w:val="00AF1739"/>
    <w:rsid w:val="00AF2895"/>
    <w:rsid w:val="00AF3569"/>
    <w:rsid w:val="00AF3997"/>
    <w:rsid w:val="00AF3F5A"/>
    <w:rsid w:val="00AF5C98"/>
    <w:rsid w:val="00B013AE"/>
    <w:rsid w:val="00B057E6"/>
    <w:rsid w:val="00B066DF"/>
    <w:rsid w:val="00B13C11"/>
    <w:rsid w:val="00B13FE9"/>
    <w:rsid w:val="00B15DFF"/>
    <w:rsid w:val="00B20B78"/>
    <w:rsid w:val="00B2109F"/>
    <w:rsid w:val="00B216E7"/>
    <w:rsid w:val="00B2669B"/>
    <w:rsid w:val="00B266FC"/>
    <w:rsid w:val="00B31FE0"/>
    <w:rsid w:val="00B32256"/>
    <w:rsid w:val="00B3369C"/>
    <w:rsid w:val="00B43A39"/>
    <w:rsid w:val="00B44DAE"/>
    <w:rsid w:val="00B467B6"/>
    <w:rsid w:val="00B556CE"/>
    <w:rsid w:val="00B65AAB"/>
    <w:rsid w:val="00B73738"/>
    <w:rsid w:val="00B93C4F"/>
    <w:rsid w:val="00B955DD"/>
    <w:rsid w:val="00BA0670"/>
    <w:rsid w:val="00BB44F8"/>
    <w:rsid w:val="00BC62BE"/>
    <w:rsid w:val="00BD0012"/>
    <w:rsid w:val="00BD0DBA"/>
    <w:rsid w:val="00BE49DA"/>
    <w:rsid w:val="00BE50B2"/>
    <w:rsid w:val="00BF1D08"/>
    <w:rsid w:val="00BF7897"/>
    <w:rsid w:val="00C01D06"/>
    <w:rsid w:val="00C0236E"/>
    <w:rsid w:val="00C029C0"/>
    <w:rsid w:val="00C064D2"/>
    <w:rsid w:val="00C06C0D"/>
    <w:rsid w:val="00C07C45"/>
    <w:rsid w:val="00C12A67"/>
    <w:rsid w:val="00C30CF4"/>
    <w:rsid w:val="00C35A49"/>
    <w:rsid w:val="00C414E6"/>
    <w:rsid w:val="00C4374D"/>
    <w:rsid w:val="00C4599B"/>
    <w:rsid w:val="00C52186"/>
    <w:rsid w:val="00C53162"/>
    <w:rsid w:val="00C545A3"/>
    <w:rsid w:val="00C63258"/>
    <w:rsid w:val="00C723A0"/>
    <w:rsid w:val="00C737AA"/>
    <w:rsid w:val="00C738CF"/>
    <w:rsid w:val="00C74FFC"/>
    <w:rsid w:val="00C77B6A"/>
    <w:rsid w:val="00C80D64"/>
    <w:rsid w:val="00C81377"/>
    <w:rsid w:val="00C91C31"/>
    <w:rsid w:val="00C96499"/>
    <w:rsid w:val="00C9799F"/>
    <w:rsid w:val="00CA0001"/>
    <w:rsid w:val="00CB5298"/>
    <w:rsid w:val="00CC43A9"/>
    <w:rsid w:val="00CC7EFD"/>
    <w:rsid w:val="00CD2B16"/>
    <w:rsid w:val="00CD5C9B"/>
    <w:rsid w:val="00CE0027"/>
    <w:rsid w:val="00CE4AF3"/>
    <w:rsid w:val="00CF6E64"/>
    <w:rsid w:val="00D00903"/>
    <w:rsid w:val="00D0527A"/>
    <w:rsid w:val="00D15D3B"/>
    <w:rsid w:val="00D2061E"/>
    <w:rsid w:val="00D23B6D"/>
    <w:rsid w:val="00D24D22"/>
    <w:rsid w:val="00D30565"/>
    <w:rsid w:val="00D521D7"/>
    <w:rsid w:val="00D52897"/>
    <w:rsid w:val="00D662BE"/>
    <w:rsid w:val="00D70EFC"/>
    <w:rsid w:val="00D818E5"/>
    <w:rsid w:val="00D83CF3"/>
    <w:rsid w:val="00D8421B"/>
    <w:rsid w:val="00D9172C"/>
    <w:rsid w:val="00DB15DC"/>
    <w:rsid w:val="00DC140F"/>
    <w:rsid w:val="00DC2A97"/>
    <w:rsid w:val="00DC60CE"/>
    <w:rsid w:val="00DC79C7"/>
    <w:rsid w:val="00DD0C7B"/>
    <w:rsid w:val="00DD3BF6"/>
    <w:rsid w:val="00DD653F"/>
    <w:rsid w:val="00DE3AF2"/>
    <w:rsid w:val="00DE421F"/>
    <w:rsid w:val="00DE4E5F"/>
    <w:rsid w:val="00DE5BC3"/>
    <w:rsid w:val="00DF383B"/>
    <w:rsid w:val="00DF5C60"/>
    <w:rsid w:val="00DF6969"/>
    <w:rsid w:val="00E17C83"/>
    <w:rsid w:val="00E200B8"/>
    <w:rsid w:val="00E21857"/>
    <w:rsid w:val="00E23E73"/>
    <w:rsid w:val="00E262B2"/>
    <w:rsid w:val="00E264E6"/>
    <w:rsid w:val="00E3214A"/>
    <w:rsid w:val="00E3260C"/>
    <w:rsid w:val="00E32FC0"/>
    <w:rsid w:val="00E351C4"/>
    <w:rsid w:val="00E443ED"/>
    <w:rsid w:val="00E479BE"/>
    <w:rsid w:val="00E522C4"/>
    <w:rsid w:val="00E52651"/>
    <w:rsid w:val="00E60266"/>
    <w:rsid w:val="00E623DA"/>
    <w:rsid w:val="00E6579A"/>
    <w:rsid w:val="00E75F05"/>
    <w:rsid w:val="00E90A18"/>
    <w:rsid w:val="00E9336E"/>
    <w:rsid w:val="00E97131"/>
    <w:rsid w:val="00EA251C"/>
    <w:rsid w:val="00EA25F6"/>
    <w:rsid w:val="00EA4C0D"/>
    <w:rsid w:val="00EA5018"/>
    <w:rsid w:val="00EA5E33"/>
    <w:rsid w:val="00EB0445"/>
    <w:rsid w:val="00EB210E"/>
    <w:rsid w:val="00EB3929"/>
    <w:rsid w:val="00EB548D"/>
    <w:rsid w:val="00EC12CC"/>
    <w:rsid w:val="00ED23E6"/>
    <w:rsid w:val="00ED47FC"/>
    <w:rsid w:val="00EE0BAB"/>
    <w:rsid w:val="00EF33D2"/>
    <w:rsid w:val="00F0010E"/>
    <w:rsid w:val="00F004C3"/>
    <w:rsid w:val="00F0103F"/>
    <w:rsid w:val="00F0468F"/>
    <w:rsid w:val="00F10DF3"/>
    <w:rsid w:val="00F10E1D"/>
    <w:rsid w:val="00F14FAD"/>
    <w:rsid w:val="00F21316"/>
    <w:rsid w:val="00F23948"/>
    <w:rsid w:val="00F333E8"/>
    <w:rsid w:val="00F34051"/>
    <w:rsid w:val="00F37BA9"/>
    <w:rsid w:val="00F47B13"/>
    <w:rsid w:val="00F5393E"/>
    <w:rsid w:val="00F56C6D"/>
    <w:rsid w:val="00F57EE9"/>
    <w:rsid w:val="00F61BA9"/>
    <w:rsid w:val="00F71B2E"/>
    <w:rsid w:val="00F7431A"/>
    <w:rsid w:val="00F85524"/>
    <w:rsid w:val="00F86A90"/>
    <w:rsid w:val="00F86AD5"/>
    <w:rsid w:val="00F91E70"/>
    <w:rsid w:val="00FA238B"/>
    <w:rsid w:val="00FA7F83"/>
    <w:rsid w:val="00FB1C59"/>
    <w:rsid w:val="00FB3B53"/>
    <w:rsid w:val="00FB5FEA"/>
    <w:rsid w:val="00FC40B7"/>
    <w:rsid w:val="00FC671A"/>
    <w:rsid w:val="00FD48D3"/>
    <w:rsid w:val="00FD723D"/>
    <w:rsid w:val="00FE00CC"/>
    <w:rsid w:val="00FE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A15A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A15A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7315">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21497-7E6C-4214-950B-89E049F2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18592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Ivana Vlahovic</cp:lastModifiedBy>
  <cp:revision>2</cp:revision>
  <cp:lastPrinted>2018-07-20T05:46:00Z</cp:lastPrinted>
  <dcterms:created xsi:type="dcterms:W3CDTF">2018-07-20T12:43:00Z</dcterms:created>
  <dcterms:modified xsi:type="dcterms:W3CDTF">2018-07-20T12:43:00Z</dcterms:modified>
</cp:coreProperties>
</file>