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1707DE" w:rsidRDefault="001707DE" w:rsidP="001707DE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D6CF30" wp14:editId="44D73F53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7DE" w:rsidRDefault="001707DE" w:rsidP="001707DE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1707DE" w:rsidRDefault="001707DE" w:rsidP="001707DE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1707DE" w:rsidRDefault="001707DE" w:rsidP="001707D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6CF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:rsidR="001707DE" w:rsidRDefault="001707DE" w:rsidP="001707DE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1707DE" w:rsidRDefault="001707DE" w:rsidP="001707DE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1707DE" w:rsidRDefault="001707DE" w:rsidP="001707D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1707DE" w:rsidRDefault="001707DE" w:rsidP="001707DE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1707DE" w:rsidRDefault="001707DE" w:rsidP="001707DE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:rsidR="00B47784" w:rsidRDefault="00B47784" w:rsidP="00B47784"/>
    <w:p w:rsidR="00874904" w:rsidRDefault="00874904">
      <w:pPr>
        <w:pStyle w:val="BodyText"/>
        <w:spacing w:before="4"/>
        <w:rPr>
          <w:sz w:val="29"/>
        </w:rPr>
      </w:pPr>
      <w:bookmarkStart w:id="0" w:name="_GoBack"/>
      <w:bookmarkEnd w:id="0"/>
    </w:p>
    <w:p w:rsidR="00073026" w:rsidRPr="00AC76FB" w:rsidRDefault="00073026" w:rsidP="00073026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5B3A5A" w:rsidRPr="00073026" w:rsidRDefault="00073026" w:rsidP="0007302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Pr="00073026">
        <w:rPr>
          <w:rFonts w:ascii="Arial" w:hAnsi="Arial" w:cs="Arial"/>
          <w:b/>
          <w:sz w:val="24"/>
          <w:szCs w:val="24"/>
        </w:rPr>
        <w:t>Usluge od javnog interesa</w:t>
      </w:r>
    </w:p>
    <w:p w:rsidR="005B3A5A" w:rsidRDefault="00CC6F80" w:rsidP="005B3A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74904" w:rsidRDefault="00073026" w:rsidP="000139D9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   </w:t>
      </w:r>
      <w:r w:rsidR="005B3A5A" w:rsidRPr="00073026">
        <w:rPr>
          <w:rFonts w:ascii="Arial" w:hAnsi="Arial" w:cs="Arial"/>
          <w:sz w:val="20"/>
          <w:szCs w:val="20"/>
          <w:lang w:val="sr-Latn-RS"/>
        </w:rPr>
        <w:t xml:space="preserve">Zakon 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>o zaštiti potrošača</w:t>
      </w:r>
      <w:r w:rsidR="00080DE2">
        <w:rPr>
          <w:rFonts w:ascii="Arial" w:hAnsi="Arial" w:cs="Arial"/>
          <w:sz w:val="20"/>
          <w:szCs w:val="20"/>
          <w:lang w:val="sr-Latn-RS"/>
        </w:rPr>
        <w:t xml:space="preserve"> 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>(</w:t>
      </w:r>
      <w:r w:rsidR="00080DE2">
        <w:rPr>
          <w:rFonts w:ascii="Arial" w:hAnsi="Arial" w:cs="Arial"/>
          <w:sz w:val="20"/>
          <w:szCs w:val="20"/>
          <w:lang w:val="sr-Latn-RS"/>
        </w:rPr>
        <w:t>„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>Sl</w:t>
      </w:r>
      <w:r w:rsidR="00080DE2">
        <w:rPr>
          <w:rFonts w:ascii="Arial" w:hAnsi="Arial" w:cs="Arial"/>
          <w:sz w:val="20"/>
          <w:szCs w:val="20"/>
          <w:lang w:val="sr-Latn-RS"/>
        </w:rPr>
        <w:t>užbeni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 xml:space="preserve"> list C</w:t>
      </w:r>
      <w:r w:rsidR="00080DE2">
        <w:rPr>
          <w:rFonts w:ascii="Arial" w:hAnsi="Arial" w:cs="Arial"/>
          <w:sz w:val="20"/>
          <w:szCs w:val="20"/>
          <w:lang w:val="sr-Latn-RS"/>
        </w:rPr>
        <w:t xml:space="preserve">rne 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>G</w:t>
      </w:r>
      <w:r w:rsidR="00080DE2">
        <w:rPr>
          <w:rFonts w:ascii="Arial" w:hAnsi="Arial" w:cs="Arial"/>
          <w:sz w:val="20"/>
          <w:szCs w:val="20"/>
          <w:lang w:val="sr-Latn-RS"/>
        </w:rPr>
        <w:t>ore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>", br. 002/14, 006/14, 043/15, 070/17 i 067/19</w:t>
      </w:r>
      <w:r w:rsidR="00080DE2">
        <w:rPr>
          <w:rFonts w:ascii="Arial" w:hAnsi="Arial" w:cs="Arial"/>
          <w:sz w:val="20"/>
          <w:szCs w:val="20"/>
          <w:lang w:val="sr-Latn-RS"/>
        </w:rPr>
        <w:t>)</w:t>
      </w:r>
    </w:p>
    <w:p w:rsidR="00073026" w:rsidRPr="00073026" w:rsidRDefault="00073026" w:rsidP="000139D9">
      <w:pPr>
        <w:rPr>
          <w:rFonts w:ascii="Arial" w:hAnsi="Arial" w:cs="Arial"/>
          <w:sz w:val="20"/>
          <w:szCs w:val="20"/>
          <w:lang w:val="sr-Latn-RS"/>
        </w:rPr>
      </w:pPr>
    </w:p>
    <w:tbl>
      <w:tblPr>
        <w:tblW w:w="932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8"/>
        <w:gridCol w:w="1940"/>
        <w:gridCol w:w="180"/>
        <w:gridCol w:w="12"/>
      </w:tblGrid>
      <w:tr w:rsidR="00073026" w:rsidRPr="00073026" w:rsidTr="00080DE2">
        <w:trPr>
          <w:gridAfter w:val="1"/>
          <w:wAfter w:w="12" w:type="dxa"/>
          <w:trHeight w:val="179"/>
        </w:trPr>
        <w:tc>
          <w:tcPr>
            <w:tcW w:w="9308" w:type="dxa"/>
            <w:gridSpan w:val="3"/>
            <w:shd w:val="clear" w:color="auto" w:fill="B8CCE3"/>
            <w:tcMar>
              <w:left w:w="86" w:type="dxa"/>
              <w:right w:w="86" w:type="dxa"/>
            </w:tcMar>
          </w:tcPr>
          <w:p w:rsidR="00073026" w:rsidRPr="00073026" w:rsidRDefault="00073026" w:rsidP="00073026">
            <w:pPr>
              <w:pStyle w:val="TableParagraph"/>
              <w:spacing w:before="60" w:after="60" w:line="276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073026" w:rsidRPr="00A630C6" w:rsidTr="00080DE2">
        <w:trPr>
          <w:trHeight w:val="719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 potrošaču omogućio: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682" w:hanging="27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1) pristup i korišćenje usluge od javnog interesa pod jednakim uslovima, ako je to tehnički moguće i bez diskriminacije;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682" w:hanging="27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2) pristup i nesmetano korišćenje usluge od javnog interesa pod uslovima utvrđenim zakonom, odnosno ugovorom;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682" w:hanging="27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3) račun koji sadrži sve podatke koji mu omogućavaju provjeru obračuna pruženih usluga;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682" w:hanging="27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4) besplatnu kontrolu računa;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682" w:hanging="27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5) besplatnu promjenu pružaoca usluge od javnog interesa bez naknade, ako je to moguće?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32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račun  sadrži i iznos neplaćenih dospjelih potraživanja za prethodne periode, sa posebno iskazanim iznosom potraživanja starijih od dvije godine, kao i, ako je obračunata kamata, iznos i period na koji se ona odnosi?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32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  na zahtjev potrošača, u roku od osam dana od dana podnošenja zahtjeva, dostavio  detaljan izvještaj o neplaćenim dospjelim potraživanjima?</w:t>
            </w:r>
          </w:p>
        </w:tc>
        <w:tc>
          <w:tcPr>
            <w:tcW w:w="1940" w:type="dxa"/>
            <w:tcBorders>
              <w:righ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112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trgovac, prije pružanja usluge od javnog interesa, upoznao potrošača sa uslovima korišćenja, a naročito sa: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862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 xml:space="preserve">1) utvrđenom cijenom;                                                                                          2) načinom na koji se može ostvariti uvid u važeće cijene, odnosno tarifu i cijene održavanja;                                                                                                3) načinom ostvarivanja prava na naknadu, odnosno povraćaj plaćenog iznosa, ako pružena usluga ne odgovara propisanom, odnosno ugovorenom kvalitetu  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50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uslove korišćenja usluge od  javnog interesa objavio u najmanje jednom dnevnom štampanom mediju koji se distribuira na cijeloj teritoriji Crne Gore i iste  istakao u svojim poslovnim prostorijama?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50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 prije utvrđivanja cijene usluge od javnog interesa zatražio mišljenje organizacija za zaštitu potrošača?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50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obavijestio  potrošača  o promjeni cijena i drugih uslova iz stava 1 ovog člana, najkasnije 30 dana prije početka njihove primjene?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50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se cijena usluge od javnog interesa obračunava  prema stvarnoj potrošnji, ako je to tehnički moguće, po utvrđenoj tarifi ili cjenovniku?</w:t>
            </w:r>
          </w:p>
        </w:tc>
        <w:tc>
          <w:tcPr>
            <w:tcW w:w="1940" w:type="dxa"/>
            <w:tcBorders>
              <w:righ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719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 ugovor o pružanju usluge od javnog interesa iz člana 35 stav 1 Zakona o zaštiti potrošača zaključio sa potrošačem u pisanoj formi?</w:t>
            </w:r>
          </w:p>
        </w:tc>
        <w:tc>
          <w:tcPr>
            <w:tcW w:w="1940" w:type="dxa"/>
            <w:tcBorders>
              <w:righ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719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  obezbijedi kvalitet usluge od javnog interesa, u skladu sa zakonom i ugovorom?</w:t>
            </w:r>
          </w:p>
        </w:tc>
        <w:tc>
          <w:tcPr>
            <w:tcW w:w="1940" w:type="dxa"/>
            <w:tcBorders>
              <w:righ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5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Da li je trgovac potrošaču uračunao u cijenu usluge od javnog interesa troškove izgradnje, rekonstrukcije i modernizacije distributivne mreže suprotno ovom zakonu?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 koji nudi ili oglašava pružanje usluge snadbijevanja električnom energijom, gasom, vodom ili usluge grijanja u ponudi ili oglasu jasno istakao cijenu po jedinici mjere, cijene drugih pratećih elemenata u skladu sa posebnim pravilima, a koje se ne računaju prema potrošenoj količini, kao i cijenu za priključenje na distributivnu mrežu?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li je trgovac potrošaču ograničio pružanje javne usluge ili ga je isključio sa distributivne mreže u toku sudskog, vansudskog, upravnog ili drugog postupka u kome se račun osporava, a potrošač redovno plaća nesporne iznose računa?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li je trgovac bez odlaganja nastavio sa pružanjem usluge, odnosno priključio potrošača bez naknade na distributivnu mrežu do okončanja postupka u kome se račun osporava?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li trgovac pružanje, odnosno nastavak pružanja usluge i ponovno priključenje na distribitivnu mrežu, uslovljava plaćanjem dugova potrošača starijih od dvije godine?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je trgovac pokrenuo postupak prinudne naplate prije okončanja sudskog, vansudskog ili upravnog postupka u kojem potrošač osporava neplaćena dospjela potraživanja?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li trgovac od potrošača zahtijevao plaćanje potraživanja za koje je u sudskom, vansudskom ili upravnom postupku utvrđeno da potrošač nije dužan da plati?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200AD1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li je trgovac obezbijedio potrošački servis za pružanje potrebnih informacija potrošačima i prijem prigovora u skladu  sa čl</w:t>
            </w:r>
            <w:r w:rsidR="00200AD1" w:rsidRPr="00A630C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630C6">
              <w:rPr>
                <w:rFonts w:ascii="Arial" w:hAnsi="Arial" w:cs="Arial"/>
                <w:sz w:val="20"/>
                <w:szCs w:val="20"/>
              </w:rPr>
              <w:t>25</w:t>
            </w:r>
            <w:r w:rsidR="00200AD1" w:rsidRPr="00A630C6">
              <w:rPr>
                <w:rFonts w:ascii="Arial" w:hAnsi="Arial" w:cs="Arial"/>
                <w:sz w:val="20"/>
                <w:szCs w:val="20"/>
              </w:rPr>
              <w:t xml:space="preserve"> Zakona o zaštiti potrošača?</w:t>
            </w:r>
          </w:p>
          <w:p w:rsidR="00073026" w:rsidRPr="00A630C6" w:rsidRDefault="00200AD1" w:rsidP="00200AD1">
            <w:pPr>
              <w:pStyle w:val="ListParagraph"/>
              <w:spacing w:before="60" w:after="6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</w:t>
            </w:r>
            <w:r w:rsidR="00073026" w:rsidRPr="00A630C6">
              <w:rPr>
                <w:rFonts w:ascii="Arial" w:hAnsi="Arial" w:cs="Arial"/>
                <w:sz w:val="20"/>
                <w:szCs w:val="20"/>
              </w:rPr>
              <w:t>a li je trgovac</w:t>
            </w:r>
            <w:r w:rsidRPr="00A630C6">
              <w:rPr>
                <w:rFonts w:ascii="Arial" w:hAnsi="Arial" w:cs="Arial"/>
                <w:sz w:val="20"/>
                <w:szCs w:val="20"/>
              </w:rPr>
              <w:t>,</w:t>
            </w:r>
            <w:r w:rsidR="00073026" w:rsidRPr="00A630C6">
              <w:rPr>
                <w:rFonts w:ascii="Arial" w:hAnsi="Arial" w:cs="Arial"/>
                <w:sz w:val="20"/>
                <w:szCs w:val="20"/>
              </w:rPr>
              <w:t xml:space="preserve"> koji pruža usluge od javnog interesa</w:t>
            </w:r>
            <w:r w:rsidR="00A630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026" w:rsidRPr="00A630C6">
              <w:rPr>
                <w:rFonts w:ascii="Arial" w:hAnsi="Arial" w:cs="Arial"/>
                <w:sz w:val="20"/>
                <w:szCs w:val="20"/>
              </w:rPr>
              <w:t>u poslovnim prostorijama čitko, jasno, razumljivo i lako uočljivo istakao radno vrijeme potrošačkog servisa, odnosno na drugi odgovarajući način o tome obavijesti potrošača, s tim da radno vrijeme potrošačkog servisa mora biti organizovano radnim danima, uključujući i subotu, u prijepodnevnim i poslijepodnevnim intervalima</w:t>
            </w:r>
            <w:r w:rsidRPr="00A630C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:rsidR="00810304" w:rsidRPr="00A630C6" w:rsidRDefault="00810304">
      <w:pPr>
        <w:rPr>
          <w:rFonts w:ascii="Arial" w:hAnsi="Arial" w:cs="Arial"/>
          <w:sz w:val="20"/>
          <w:szCs w:val="20"/>
        </w:rPr>
      </w:pPr>
    </w:p>
    <w:p w:rsidR="001B6FD5" w:rsidRPr="00A630C6" w:rsidRDefault="001B6FD5">
      <w:pPr>
        <w:rPr>
          <w:rFonts w:ascii="Arial" w:hAnsi="Arial" w:cs="Arial"/>
          <w:sz w:val="20"/>
          <w:szCs w:val="20"/>
        </w:rPr>
      </w:pPr>
    </w:p>
    <w:sectPr w:rsidR="001B6FD5" w:rsidRPr="00A630C6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7A4"/>
    <w:multiLevelType w:val="hybridMultilevel"/>
    <w:tmpl w:val="9424B442"/>
    <w:lvl w:ilvl="0" w:tplc="823CCFC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3E7"/>
    <w:multiLevelType w:val="hybridMultilevel"/>
    <w:tmpl w:val="1BCA9BC6"/>
    <w:lvl w:ilvl="0" w:tplc="4050C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4ABA"/>
    <w:multiLevelType w:val="hybridMultilevel"/>
    <w:tmpl w:val="EBD8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426C7"/>
    <w:multiLevelType w:val="hybridMultilevel"/>
    <w:tmpl w:val="776E12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B20D9"/>
    <w:multiLevelType w:val="hybridMultilevel"/>
    <w:tmpl w:val="4A0C3CEA"/>
    <w:lvl w:ilvl="0" w:tplc="2F089DF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3FC3EB7"/>
    <w:multiLevelType w:val="hybridMultilevel"/>
    <w:tmpl w:val="4A8420EC"/>
    <w:lvl w:ilvl="0" w:tplc="53544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19C"/>
    <w:multiLevelType w:val="hybridMultilevel"/>
    <w:tmpl w:val="5D88AF1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39D9"/>
    <w:rsid w:val="000203AA"/>
    <w:rsid w:val="00073026"/>
    <w:rsid w:val="00080DE2"/>
    <w:rsid w:val="000E61AE"/>
    <w:rsid w:val="0015207D"/>
    <w:rsid w:val="001707DE"/>
    <w:rsid w:val="00195B56"/>
    <w:rsid w:val="001A7A58"/>
    <w:rsid w:val="001B6FD5"/>
    <w:rsid w:val="001F3129"/>
    <w:rsid w:val="00200AD1"/>
    <w:rsid w:val="0025241A"/>
    <w:rsid w:val="002701CB"/>
    <w:rsid w:val="002E14EC"/>
    <w:rsid w:val="00324AE5"/>
    <w:rsid w:val="00327B7D"/>
    <w:rsid w:val="003B0D9A"/>
    <w:rsid w:val="0042212D"/>
    <w:rsid w:val="004231DA"/>
    <w:rsid w:val="004251D1"/>
    <w:rsid w:val="004263C7"/>
    <w:rsid w:val="0045619B"/>
    <w:rsid w:val="004D291A"/>
    <w:rsid w:val="00533ABA"/>
    <w:rsid w:val="00534932"/>
    <w:rsid w:val="005562E7"/>
    <w:rsid w:val="00592B2D"/>
    <w:rsid w:val="005B3A5A"/>
    <w:rsid w:val="00615ED6"/>
    <w:rsid w:val="00650816"/>
    <w:rsid w:val="00762501"/>
    <w:rsid w:val="00796E71"/>
    <w:rsid w:val="007B3B75"/>
    <w:rsid w:val="00801F35"/>
    <w:rsid w:val="00806F78"/>
    <w:rsid w:val="00810304"/>
    <w:rsid w:val="00874904"/>
    <w:rsid w:val="008E7F79"/>
    <w:rsid w:val="009150AE"/>
    <w:rsid w:val="009A496A"/>
    <w:rsid w:val="009E6B8B"/>
    <w:rsid w:val="00A47DAA"/>
    <w:rsid w:val="00A630C6"/>
    <w:rsid w:val="00AB3951"/>
    <w:rsid w:val="00B47784"/>
    <w:rsid w:val="00B64CC5"/>
    <w:rsid w:val="00B87E28"/>
    <w:rsid w:val="00BB1412"/>
    <w:rsid w:val="00BC33BF"/>
    <w:rsid w:val="00BF7E96"/>
    <w:rsid w:val="00C2775F"/>
    <w:rsid w:val="00CC6F80"/>
    <w:rsid w:val="00D3182B"/>
    <w:rsid w:val="00D75C0B"/>
    <w:rsid w:val="00DB7D89"/>
    <w:rsid w:val="00DC1A2A"/>
    <w:rsid w:val="00DD3CFF"/>
    <w:rsid w:val="00E25ABE"/>
    <w:rsid w:val="00E92DE6"/>
    <w:rsid w:val="00E96ACD"/>
    <w:rsid w:val="00EE5264"/>
    <w:rsid w:val="00EE76CE"/>
    <w:rsid w:val="00F16B68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06F0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2024-12-27T09:51:00Z</dcterms:created>
  <dcterms:modified xsi:type="dcterms:W3CDTF">2024-12-30T10:16:00Z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