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DC4AD1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DC4AD1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CRNA GORA</w:t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MINISTARSTVO FINANSIJA</w:t>
      </w:r>
    </w:p>
    <w:p w:rsidR="0082570B" w:rsidRPr="00DC4AD1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Direktorat</w:t>
      </w:r>
      <w:r w:rsidR="0082570B" w:rsidRPr="00DC4AD1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DC4AD1" w:rsidRDefault="0082570B" w:rsidP="00D61692">
      <w:pPr>
        <w:rPr>
          <w:rFonts w:cs="Calibri"/>
          <w:noProof/>
        </w:rPr>
      </w:pPr>
    </w:p>
    <w:p w:rsidR="0082570B" w:rsidRPr="00DC4AD1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DC4AD1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DC4AD1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 w:rsidRPr="00DC4AD1">
        <w:rPr>
          <w:rFonts w:cs="Calibri"/>
          <w:b/>
          <w:bCs/>
          <w:noProof/>
          <w:sz w:val="32"/>
          <w:szCs w:val="32"/>
        </w:rPr>
        <w:t>Jul 2013.</w:t>
      </w:r>
    </w:p>
    <w:p w:rsidR="0082570B" w:rsidRPr="00DC4AD1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DC4AD1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DC4AD1" w:rsidRDefault="00EE0167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EE0167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6.5pt;margin-top:367.6pt;width:234.35pt;height:304.1pt;rotation:-360;z-index:-251657216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C4AD1" w:rsidRDefault="00DC4AD1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DC4AD1" w:rsidRPr="003A5C77" w:rsidRDefault="00DC4AD1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DC4AD1" w:rsidRDefault="00DC4AD1" w:rsidP="008E3D20">
                  <w:pPr>
                    <w:pStyle w:val="NoSpacing"/>
                    <w:numPr>
                      <w:ilvl w:val="0"/>
                      <w:numId w:val="7"/>
                    </w:numPr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Početak stabilizacije ekonomske aktivnosti u Eurozoni</w:t>
                  </w:r>
                </w:p>
                <w:p w:rsidR="00DC4AD1" w:rsidRDefault="00DC4AD1" w:rsidP="00FD0AB9">
                  <w:pPr>
                    <w:pStyle w:val="NoSpacing"/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DC4AD1" w:rsidRDefault="00DC4AD1" w:rsidP="008E3D20">
                  <w:pPr>
                    <w:pStyle w:val="NoSpacing"/>
                    <w:numPr>
                      <w:ilvl w:val="0"/>
                      <w:numId w:val="6"/>
                    </w:numPr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Rast proizvodnje električ-ne energije i pad proizvodnje metala</w:t>
                  </w:r>
                </w:p>
                <w:p w:rsidR="00DC4AD1" w:rsidRDefault="00DC4AD1" w:rsidP="00787E88">
                  <w:pPr>
                    <w:pStyle w:val="NoSpacing"/>
                    <w:ind w:left="720"/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DC4AD1" w:rsidRDefault="00DC4AD1" w:rsidP="008E3D20">
                  <w:pPr>
                    <w:pStyle w:val="NoSpacing"/>
                    <w:numPr>
                      <w:ilvl w:val="0"/>
                      <w:numId w:val="6"/>
                    </w:numPr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Pad cijena u junu</w:t>
                  </w:r>
                </w:p>
                <w:p w:rsidR="00DC4AD1" w:rsidRDefault="00DC4AD1" w:rsidP="00787E88">
                  <w:pPr>
                    <w:pStyle w:val="NoSpacing"/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DC4AD1" w:rsidRPr="003A5C77" w:rsidRDefault="00DC4AD1" w:rsidP="00787E88">
                  <w:pPr>
                    <w:pStyle w:val="NoSpacing"/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</w:txbxContent>
            </v:textbox>
            <w10:wrap type="tight" anchorx="margin" anchory="margin"/>
          </v:shape>
        </w:pict>
      </w:r>
      <w:r w:rsidR="007B41C4" w:rsidRPr="00DC4AD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40640</wp:posOffset>
            </wp:positionV>
            <wp:extent cx="5528945" cy="5076190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07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DC4AD1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DC4AD1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DC4AD1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02564B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DC4AD1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2A2CED" w:rsidRPr="00DC4AD1">
        <w:rPr>
          <w:bCs/>
          <w:noProof/>
          <w:color w:val="000000"/>
          <w:sz w:val="16"/>
          <w:szCs w:val="16"/>
        </w:rPr>
        <w:t>Radovan Živković , Radojka Martinović, Olja Tomanović, Stanko Jeknić , Ivana Rašović, Andrija Dmjanović, Marija Novosel i ZdenkaDabović</w:t>
      </w:r>
    </w:p>
    <w:p w:rsidR="0082570B" w:rsidRPr="00DC4AD1" w:rsidRDefault="0082570B" w:rsidP="004F7F71">
      <w:pPr>
        <w:pStyle w:val="NoSpacing"/>
        <w:rPr>
          <w:noProof/>
        </w:rPr>
      </w:pPr>
      <w:r w:rsidRPr="00DC4AD1">
        <w:rPr>
          <w:noProof/>
        </w:rPr>
        <w:br w:type="page"/>
      </w:r>
    </w:p>
    <w:tbl>
      <w:tblPr>
        <w:tblpPr w:leftFromText="180" w:rightFromText="180" w:vertAnchor="text" w:tblpY="1"/>
        <w:tblOverlap w:val="never"/>
        <w:tblW w:w="1074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7054"/>
        <w:gridCol w:w="3674"/>
        <w:gridCol w:w="12"/>
      </w:tblGrid>
      <w:tr w:rsidR="0082570B" w:rsidRPr="00DC4AD1" w:rsidTr="00547B34">
        <w:trPr>
          <w:gridAfter w:val="1"/>
          <w:wAfter w:w="12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DC4AD1">
              <w:rPr>
                <w:rFonts w:ascii="Cambria" w:hAnsi="Cambria" w:cs="Cambria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br w:type="page"/>
            </w:r>
            <w:bookmarkStart w:id="0" w:name="OLE_LINK3"/>
            <w:r w:rsidRPr="00DC4AD1">
              <w:rPr>
                <w:b/>
                <w:bCs/>
                <w:noProof/>
                <w:sz w:val="20"/>
                <w:szCs w:val="20"/>
              </w:rPr>
              <w:t>Međunarodno okruženje</w:t>
            </w:r>
            <w:bookmarkEnd w:id="0"/>
          </w:p>
        </w:tc>
        <w:tc>
          <w:tcPr>
            <w:tcW w:w="3674" w:type="dxa"/>
            <w:vMerge w:val="restart"/>
            <w:tcBorders>
              <w:bottom w:val="nil"/>
            </w:tcBorders>
          </w:tcPr>
          <w:p w:rsidR="0082570B" w:rsidRPr="00DC4AD1" w:rsidRDefault="00547B34" w:rsidP="007B41C4">
            <w:pPr>
              <w:spacing w:after="0" w:line="240" w:lineRule="auto"/>
              <w:rPr>
                <w:noProof/>
                <w:sz w:val="14"/>
                <w:szCs w:val="14"/>
              </w:rPr>
            </w:pPr>
            <w:r w:rsidRPr="00DC4AD1">
              <w:rPr>
                <w:noProof/>
                <w:sz w:val="14"/>
                <w:szCs w:val="14"/>
              </w:rPr>
              <w:drawing>
                <wp:inline distT="0" distB="0" distL="0" distR="0">
                  <wp:extent cx="2246478" cy="2176818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82570B" w:rsidRPr="00DC4AD1" w:rsidTr="00547B34">
        <w:trPr>
          <w:gridAfter w:val="1"/>
          <w:wAfter w:w="12" w:type="dxa"/>
          <w:trHeight w:val="2842"/>
        </w:trPr>
        <w:tc>
          <w:tcPr>
            <w:tcW w:w="7054" w:type="dxa"/>
            <w:tcBorders>
              <w:top w:val="single" w:sz="4" w:space="0" w:color="auto"/>
            </w:tcBorders>
          </w:tcPr>
          <w:p w:rsidR="0082570B" w:rsidRPr="00622F10" w:rsidRDefault="0082570B" w:rsidP="007B41C4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622F10">
              <w:rPr>
                <w:b/>
                <w:noProof/>
                <w:sz w:val="20"/>
                <w:szCs w:val="20"/>
              </w:rPr>
              <w:t>Ekonomski sentiment -ESI- je u Junu značajno porastao</w:t>
            </w:r>
            <w:r w:rsidRPr="00622F10">
              <w:rPr>
                <w:noProof/>
                <w:sz w:val="20"/>
                <w:szCs w:val="20"/>
              </w:rPr>
              <w:t xml:space="preserve"> za po 1,8 u EZ na 91,3 i  EU na 92,3. Rast je uslovljen jačanjem povjerenja i potrošača i menadžera u svim biznis sektorima sem usluga. Svih pet najvećih ekonomija eurozone su zabilježile rast ovog indokatora i </w:t>
            </w:r>
            <w:r w:rsidR="00DC4AD1" w:rsidRPr="00622F10">
              <w:rPr>
                <w:noProof/>
                <w:sz w:val="20"/>
                <w:szCs w:val="20"/>
              </w:rPr>
              <w:t>to : Španija (+2,</w:t>
            </w:r>
            <w:r w:rsidRPr="00622F10">
              <w:rPr>
                <w:noProof/>
                <w:sz w:val="20"/>
                <w:szCs w:val="20"/>
              </w:rPr>
              <w:t>5), Italija (+1</w:t>
            </w:r>
            <w:r w:rsidR="00DC4AD1" w:rsidRPr="00622F10">
              <w:rPr>
                <w:noProof/>
                <w:sz w:val="20"/>
                <w:szCs w:val="20"/>
              </w:rPr>
              <w:t>,</w:t>
            </w:r>
            <w:r w:rsidRPr="00622F10">
              <w:rPr>
                <w:noProof/>
                <w:sz w:val="20"/>
                <w:szCs w:val="20"/>
              </w:rPr>
              <w:t>7) , Francuska</w:t>
            </w:r>
            <w:r w:rsidR="00DC4AD1" w:rsidRPr="00622F10">
              <w:rPr>
                <w:noProof/>
                <w:sz w:val="20"/>
                <w:szCs w:val="20"/>
              </w:rPr>
              <w:t xml:space="preserve"> (+1,</w:t>
            </w:r>
            <w:r w:rsidRPr="00622F10">
              <w:rPr>
                <w:noProof/>
                <w:sz w:val="20"/>
                <w:szCs w:val="20"/>
              </w:rPr>
              <w:t>3), Njemačka</w:t>
            </w:r>
            <w:r w:rsidR="00DC4AD1" w:rsidRPr="00622F10">
              <w:rPr>
                <w:noProof/>
                <w:sz w:val="20"/>
                <w:szCs w:val="20"/>
              </w:rPr>
              <w:t xml:space="preserve"> (+1,</w:t>
            </w:r>
            <w:r w:rsidRPr="00622F10">
              <w:rPr>
                <w:noProof/>
                <w:sz w:val="20"/>
                <w:szCs w:val="20"/>
              </w:rPr>
              <w:t>1) i Holandija</w:t>
            </w:r>
            <w:r w:rsidRPr="00622F10">
              <w:rPr>
                <w:b/>
                <w:noProof/>
                <w:sz w:val="20"/>
                <w:szCs w:val="20"/>
              </w:rPr>
              <w:t xml:space="preserve"> </w:t>
            </w:r>
            <w:r w:rsidR="00DC4AD1" w:rsidRPr="00622F10">
              <w:rPr>
                <w:noProof/>
                <w:sz w:val="20"/>
                <w:szCs w:val="20"/>
              </w:rPr>
              <w:t>(+0,</w:t>
            </w:r>
            <w:r w:rsidRPr="00622F10">
              <w:rPr>
                <w:noProof/>
                <w:sz w:val="20"/>
                <w:szCs w:val="20"/>
              </w:rPr>
              <w:t>9). Rast pokazuje i PMI kompozitni Markit indeks i</w:t>
            </w:r>
            <w:r w:rsidR="00DC4AD1" w:rsidRPr="00622F10">
              <w:rPr>
                <w:noProof/>
                <w:sz w:val="20"/>
                <w:szCs w:val="20"/>
              </w:rPr>
              <w:t xml:space="preserve"> to rast u EZ na 48,7 s 47,7 u m</w:t>
            </w:r>
            <w:r w:rsidRPr="00622F10">
              <w:rPr>
                <w:noProof/>
                <w:sz w:val="20"/>
                <w:szCs w:val="20"/>
              </w:rPr>
              <w:t xml:space="preserve">aju . Rast ovih indikatora je znak da recesija slabi i da se u drugoj polovini godine </w:t>
            </w:r>
            <w:r w:rsidR="00DC4AD1" w:rsidRPr="00622F10">
              <w:rPr>
                <w:noProof/>
                <w:sz w:val="20"/>
                <w:szCs w:val="20"/>
              </w:rPr>
              <w:t>u e</w:t>
            </w:r>
            <w:r w:rsidRPr="00622F10">
              <w:rPr>
                <w:noProof/>
                <w:sz w:val="20"/>
                <w:szCs w:val="20"/>
              </w:rPr>
              <w:t>urozoni (i EU) može očekivati već projektovani blagi rast ekon</w:t>
            </w:r>
            <w:r w:rsidR="00DC4AD1" w:rsidRPr="00622F10">
              <w:rPr>
                <w:noProof/>
                <w:sz w:val="20"/>
                <w:szCs w:val="20"/>
              </w:rPr>
              <w:t>o</w:t>
            </w:r>
            <w:r w:rsidRPr="00622F10">
              <w:rPr>
                <w:noProof/>
                <w:sz w:val="20"/>
                <w:szCs w:val="20"/>
              </w:rPr>
              <w:t>mske aktivnosti, posl</w:t>
            </w:r>
            <w:r w:rsidR="00DC4AD1" w:rsidRPr="00622F10">
              <w:rPr>
                <w:noProof/>
                <w:sz w:val="20"/>
                <w:szCs w:val="20"/>
              </w:rPr>
              <w:t>ij</w:t>
            </w:r>
            <w:r w:rsidRPr="00622F10">
              <w:rPr>
                <w:noProof/>
                <w:sz w:val="20"/>
                <w:szCs w:val="20"/>
              </w:rPr>
              <w:t xml:space="preserve">e sedam kvartala duge recesije. </w:t>
            </w:r>
            <w:r w:rsidR="007B41C4" w:rsidRPr="00622F10">
              <w:rPr>
                <w:noProof/>
                <w:sz w:val="20"/>
                <w:szCs w:val="20"/>
              </w:rPr>
              <w:t>Međutim, tek snažniji rast ovih indikatora</w:t>
            </w:r>
            <w:r w:rsidR="00DC4AD1" w:rsidRPr="00622F10">
              <w:rPr>
                <w:noProof/>
                <w:sz w:val="20"/>
                <w:szCs w:val="20"/>
              </w:rPr>
              <w:t>,</w:t>
            </w:r>
            <w:r w:rsidR="007B41C4" w:rsidRPr="00622F10">
              <w:rPr>
                <w:noProof/>
                <w:sz w:val="20"/>
                <w:szCs w:val="20"/>
              </w:rPr>
              <w:t xml:space="preserve"> ESI iznad 100 i Markit iznad 50 i početak pada visoke stope nezaposlenosti koja je u junu iznosil</w:t>
            </w:r>
            <w:r w:rsidR="00DC4AD1" w:rsidRPr="00622F10">
              <w:rPr>
                <w:noProof/>
                <w:sz w:val="20"/>
                <w:szCs w:val="20"/>
              </w:rPr>
              <w:t>a rekordnih 12,2% biće znaci poč</w:t>
            </w:r>
            <w:r w:rsidR="007B41C4" w:rsidRPr="00622F10">
              <w:rPr>
                <w:noProof/>
                <w:sz w:val="20"/>
                <w:szCs w:val="20"/>
              </w:rPr>
              <w:t>etka pravog oporavka.</w:t>
            </w:r>
            <w:r w:rsidR="00DC4AD1" w:rsidRPr="00622F10">
              <w:rPr>
                <w:noProof/>
                <w:sz w:val="20"/>
                <w:szCs w:val="20"/>
              </w:rPr>
              <w:t xml:space="preserve"> </w:t>
            </w:r>
            <w:r w:rsidRPr="00622F10">
              <w:rPr>
                <w:noProof/>
                <w:sz w:val="20"/>
                <w:szCs w:val="20"/>
              </w:rPr>
              <w:t>Brent sirova nafta se kotira na 103USD/barell , kurs eura je 1EUR= 1,31</w:t>
            </w:r>
            <w:r w:rsidR="00DC4AD1" w:rsidRPr="00622F10">
              <w:rPr>
                <w:noProof/>
                <w:sz w:val="20"/>
                <w:szCs w:val="20"/>
              </w:rPr>
              <w:t>USD. Inflacija u Eurozoni je u j</w:t>
            </w:r>
            <w:r w:rsidRPr="00622F10">
              <w:rPr>
                <w:noProof/>
                <w:sz w:val="20"/>
                <w:szCs w:val="20"/>
              </w:rPr>
              <w:t>unu porasla na 1,6%  uzrokovana rastom cijena hrane, cigareta , alkohola i energije.</w:t>
            </w:r>
          </w:p>
        </w:tc>
        <w:tc>
          <w:tcPr>
            <w:tcW w:w="3674" w:type="dxa"/>
            <w:vMerge/>
            <w:tcBorders>
              <w:top w:val="nil"/>
            </w:tcBorders>
            <w:vAlign w:val="center"/>
          </w:tcPr>
          <w:p w:rsidR="0082570B" w:rsidRPr="00DC4AD1" w:rsidRDefault="0082570B" w:rsidP="003A5C77">
            <w:pPr>
              <w:spacing w:after="0" w:line="240" w:lineRule="auto"/>
              <w:ind w:left="34" w:hanging="34"/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15322D">
        <w:trPr>
          <w:gridAfter w:val="1"/>
          <w:wAfter w:w="12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</w:rPr>
            </w:pPr>
            <w:r w:rsidRPr="00DC4AD1">
              <w:rPr>
                <w:rStyle w:val="CaptionChar"/>
                <w:noProof/>
              </w:rPr>
              <w:t>Realni sektor</w:t>
            </w:r>
          </w:p>
        </w:tc>
        <w:tc>
          <w:tcPr>
            <w:tcW w:w="3674" w:type="dxa"/>
            <w:vMerge w:val="restart"/>
            <w:vAlign w:val="center"/>
          </w:tcPr>
          <w:p w:rsidR="0082570B" w:rsidRPr="00DC4AD1" w:rsidRDefault="007B41C4" w:rsidP="003A5C77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DC4AD1">
              <w:rPr>
                <w:noProof/>
              </w:rPr>
              <w:drawing>
                <wp:anchor distT="128016" distB="57531" distL="150876" distR="337566" simplePos="0" relativeHeight="251657216" behindDoc="0" locked="0" layoutInCell="1" allowOverlap="1">
                  <wp:simplePos x="0" y="0"/>
                  <wp:positionH relativeFrom="margin">
                    <wp:posOffset>-583311</wp:posOffset>
                  </wp:positionH>
                  <wp:positionV relativeFrom="margin">
                    <wp:posOffset>-1559306</wp:posOffset>
                  </wp:positionV>
                  <wp:extent cx="2533777" cy="2276602"/>
                  <wp:effectExtent l="0" t="0" r="0" b="0"/>
                  <wp:wrapSquare wrapText="bothSides"/>
                  <wp:docPr id="6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</w:tc>
      </w:tr>
      <w:tr w:rsidR="0082570B" w:rsidRPr="00DC4AD1" w:rsidTr="0015322D">
        <w:trPr>
          <w:gridAfter w:val="1"/>
          <w:wAfter w:w="12" w:type="dxa"/>
          <w:trHeight w:val="3288"/>
        </w:trPr>
        <w:tc>
          <w:tcPr>
            <w:tcW w:w="7054" w:type="dxa"/>
            <w:tcBorders>
              <w:top w:val="single" w:sz="4" w:space="0" w:color="auto"/>
            </w:tcBorders>
          </w:tcPr>
          <w:p w:rsidR="0082570B" w:rsidRPr="00DC4AD1" w:rsidRDefault="0082570B" w:rsidP="003A5C77">
            <w:pPr>
              <w:pStyle w:val="NormalWeb"/>
              <w:jc w:val="both"/>
              <w:rPr>
                <w:rFonts w:ascii="Calibri" w:hAnsi="Calibri" w:cs="Calibri"/>
                <w:noProof/>
                <w:sz w:val="17"/>
                <w:szCs w:val="17"/>
              </w:rPr>
            </w:pPr>
            <w:r w:rsidRPr="00DC4AD1">
              <w:rPr>
                <w:rFonts w:ascii="Calibri" w:hAnsi="Calibri" w:cs="Calibri"/>
                <w:b/>
                <w:noProof/>
                <w:sz w:val="20"/>
                <w:szCs w:val="20"/>
              </w:rPr>
              <w:t xml:space="preserve">Nastavlja se trend godišnjeg rasta industrijske proizvodnje, opredijeljen   povećanom proizvodnjom električne energije.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>Industrijska proizvodnja u junu bilježi godiišnji rast od 19,0%, što je rezultat rasta u sektorima “vađenje rude i kamena”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>(124,9%) i “snabdijevanje el.energijom, gasom i parom”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 xml:space="preserve">(103,7%), dok je sektor ”prerađivačka industrija” ostvario godišnji pad od 11,1%. U odnosu na prethodni mjesec, industrijska proizvodnja je niža za 12,7% (pad prerađivačke industrije i proizvodnje el.energije 11,6 I 23,5%), dok je u periodu januar-jun ostvaren rast industrijske proizvodnje od 10,4% . Proizvodnja električne energije od početka godine bila je 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za 41,4 % viša od planirane i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>87,0 % viša od proizvodnje ostvarene u istom periodu 2012.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 xml:space="preserve">godine. Proizvodnja osnovnih metala, koji u ukupnoj industrijskoj proizvodnji učestvuju sa 21,2%, bilježi godišnji pad od 39,1%, dok je u periodu januar-jun  ova proizvodnja bila za 47,4% niža nego u uporednom periodu prošle godine. Crnu Goru je u junu posjetilo 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161,8 hilj. turista (4,4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>% više nego u junu prošle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 godine) i ostvareno je 1008,8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>hilj.</w:t>
            </w:r>
            <w:r w:rsidR="00DC4AD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ascii="Calibri" w:hAnsi="Calibri" w:cs="Calibri"/>
                <w:noProof/>
                <w:sz w:val="20"/>
                <w:szCs w:val="20"/>
              </w:rPr>
              <w:t xml:space="preserve">noćenja (4,5 % više u odnosu na jun prošle godine). </w:t>
            </w:r>
          </w:p>
        </w:tc>
        <w:tc>
          <w:tcPr>
            <w:tcW w:w="3674" w:type="dxa"/>
            <w:vMerge/>
            <w:vAlign w:val="center"/>
          </w:tcPr>
          <w:p w:rsidR="0082570B" w:rsidRPr="00DC4AD1" w:rsidRDefault="0082570B" w:rsidP="003A5C77">
            <w:pPr>
              <w:spacing w:after="119" w:line="240" w:lineRule="auto"/>
              <w:jc w:val="center"/>
              <w:rPr>
                <w:noProof/>
              </w:rPr>
            </w:pPr>
          </w:p>
        </w:tc>
      </w:tr>
      <w:tr w:rsidR="0082570B" w:rsidRPr="00DC4AD1" w:rsidTr="0015322D">
        <w:trPr>
          <w:gridAfter w:val="1"/>
          <w:wAfter w:w="12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DC4AD1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74" w:type="dxa"/>
            <w:vMerge w:val="restart"/>
            <w:vAlign w:val="center"/>
          </w:tcPr>
          <w:p w:rsidR="0082570B" w:rsidRPr="00DC4AD1" w:rsidRDefault="007B41C4" w:rsidP="003A5C77">
            <w:pPr>
              <w:spacing w:after="0" w:line="240" w:lineRule="auto"/>
              <w:ind w:left="-250"/>
              <w:jc w:val="center"/>
              <w:rPr>
                <w:b/>
                <w:noProof/>
              </w:rPr>
            </w:pPr>
            <w:r w:rsidRPr="00DC4AD1">
              <w:rPr>
                <w:noProof/>
              </w:rPr>
              <w:drawing>
                <wp:anchor distT="128016" distB="89027" distL="284988" distR="222123" simplePos="0" relativeHeight="251656192" behindDoc="0" locked="0" layoutInCell="1" allowOverlap="1">
                  <wp:simplePos x="0" y="0"/>
                  <wp:positionH relativeFrom="margin">
                    <wp:posOffset>193802</wp:posOffset>
                  </wp:positionH>
                  <wp:positionV relativeFrom="margin">
                    <wp:posOffset>-381</wp:posOffset>
                  </wp:positionV>
                  <wp:extent cx="2161921" cy="2210308"/>
                  <wp:effectExtent l="0" t="0" r="0" b="0"/>
                  <wp:wrapSquare wrapText="bothSides"/>
                  <wp:docPr id="5" name="Ch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  <w:tr w:rsidR="0082570B" w:rsidRPr="00DC4AD1" w:rsidTr="00622F10">
        <w:trPr>
          <w:gridAfter w:val="1"/>
          <w:wAfter w:w="12" w:type="dxa"/>
          <w:trHeight w:val="3699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82570B" w:rsidRPr="00DC4AD1" w:rsidRDefault="0082570B" w:rsidP="007B41C4">
            <w:pPr>
              <w:pStyle w:val="Default"/>
              <w:jc w:val="both"/>
              <w:rPr>
                <w:noProof/>
                <w:sz w:val="18"/>
                <w:szCs w:val="18"/>
              </w:rPr>
            </w:pPr>
            <w:r w:rsidRPr="00DC4AD1">
              <w:rPr>
                <w:rFonts w:cs="Arial-ItalicMT"/>
                <w:b/>
                <w:iCs/>
                <w:noProof/>
                <w:sz w:val="20"/>
                <w:szCs w:val="20"/>
                <w:lang w:eastAsia="sr-Latn-CS"/>
              </w:rPr>
              <w:t xml:space="preserve">Pad godišnje stope inflacije i deflacija na mjesečnom nivou, obilježili kretanje cijena u junu 2013.godine. </w:t>
            </w:r>
            <w:r w:rsid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 xml:space="preserve">Godišnja stopa inflacije, </w:t>
            </w:r>
            <w:r w:rsidRP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>iznosila je 2,2 %, što je pad od 0,8 p.p u odnosu na istu izmjerenu prethodnog mjeseca, dok je na mjesečnom nivou zabilježena deflacija od 0,6%. Godišnja stopa inflacije je opredij</w:t>
            </w:r>
            <w:r w:rsid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 xml:space="preserve">eljena rastom  cijena hrane od </w:t>
            </w:r>
            <w:r w:rsidRP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>4,</w:t>
            </w:r>
            <w:r w:rsid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>7% (</w:t>
            </w:r>
            <w:r w:rsidRP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 xml:space="preserve">najveći rast zabilježile cijene povrća 29,6% i ulja i masti 11,4%) i padom cijena usluga smještaja od 8,8%. Najveći uticaj na mjesečnu stopu inflacije, odnosno zabilježenu deflaciju na mjesečnom nivou, imali su pad cijena hrane od 1,0%, i  rast usluga smještaja od 9,0%, </w:t>
            </w:r>
            <w:r w:rsid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 xml:space="preserve">u odnosu na maj tekuće godine. </w:t>
            </w:r>
            <w:r w:rsidR="00DC4AD1">
              <w:rPr>
                <w:noProof/>
                <w:sz w:val="20"/>
                <w:szCs w:val="20"/>
              </w:rPr>
              <w:t xml:space="preserve">Godišnja stopa inflacije, </w:t>
            </w:r>
            <w:r w:rsidRPr="00DC4AD1">
              <w:rPr>
                <w:noProof/>
                <w:sz w:val="20"/>
                <w:szCs w:val="20"/>
              </w:rPr>
              <w:t xml:space="preserve">mjerena harmonizovanim indeksom potrošačkih cijena, u junu tekuće godine iznosila je 1,5%, što je pad od 0,6 p.p u odnosu na istu izmjerenu prethodnog mjeseca. </w:t>
            </w:r>
            <w:r w:rsidRP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>Proizvođačke cijene u junu 2013</w:t>
            </w:r>
            <w:r w:rsid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>.</w:t>
            </w:r>
            <w:r w:rsidRPr="00DC4AD1">
              <w:rPr>
                <w:rFonts w:cs="Arial-ItalicMT"/>
                <w:iCs/>
                <w:noProof/>
                <w:sz w:val="20"/>
                <w:szCs w:val="20"/>
                <w:lang w:eastAsia="sr-Latn-CS"/>
              </w:rPr>
              <w:t xml:space="preserve"> godine su se zadržale na istom nivou kao prethodnog mjeseca, dok je na godišnjem nivou ostvaren rast od 2,3%.</w:t>
            </w:r>
            <w:r w:rsidR="00DC4AD1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Povećanje cijena snabdijevanja električnom energijom, gasom i  parom</w:t>
            </w:r>
            <w:r w:rsidR="00DC4AD1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(17,6%) ,vađenja rude i kamena</w:t>
            </w:r>
            <w:r w:rsidR="00DC4AD1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(4,4%),  i pad u prerađivačkoj industriji od 2,9%.</w:t>
            </w:r>
          </w:p>
        </w:tc>
        <w:tc>
          <w:tcPr>
            <w:tcW w:w="3674" w:type="dxa"/>
            <w:vMerge/>
            <w:vAlign w:val="center"/>
          </w:tcPr>
          <w:p w:rsidR="0082570B" w:rsidRPr="00DC4AD1" w:rsidRDefault="0082570B" w:rsidP="003A5C77">
            <w:pPr>
              <w:pStyle w:val="NoSpacing"/>
              <w:jc w:val="both"/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622F10">
        <w:trPr>
          <w:gridAfter w:val="1"/>
          <w:wAfter w:w="12" w:type="dxa"/>
          <w:trHeight w:val="255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0"/>
                <w:szCs w:val="20"/>
              </w:rPr>
            </w:pPr>
            <w:r w:rsidRPr="00DC4AD1">
              <w:rPr>
                <w:b/>
                <w:bCs/>
                <w:noProof/>
                <w:sz w:val="20"/>
                <w:szCs w:val="20"/>
              </w:rPr>
              <w:t>Zaposlenost i zarade</w:t>
            </w:r>
          </w:p>
        </w:tc>
        <w:tc>
          <w:tcPr>
            <w:tcW w:w="3674" w:type="dxa"/>
            <w:vMerge w:val="restart"/>
            <w:vAlign w:val="center"/>
          </w:tcPr>
          <w:p w:rsidR="0082570B" w:rsidRPr="00DC4AD1" w:rsidRDefault="007B41C4" w:rsidP="003A5C77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DC4AD1">
              <w:rPr>
                <w:noProof/>
              </w:rPr>
              <w:drawing>
                <wp:inline distT="0" distB="0" distL="0" distR="0">
                  <wp:extent cx="1760855" cy="1473835"/>
                  <wp:effectExtent l="0" t="0" r="0" b="0"/>
                  <wp:docPr id="2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82570B" w:rsidRPr="00DC4AD1" w:rsidTr="00622F10">
        <w:trPr>
          <w:gridAfter w:val="1"/>
          <w:wAfter w:w="12" w:type="dxa"/>
          <w:trHeight w:val="2433"/>
        </w:trPr>
        <w:tc>
          <w:tcPr>
            <w:tcW w:w="7054" w:type="dxa"/>
            <w:tcBorders>
              <w:top w:val="single" w:sz="4" w:space="0" w:color="auto"/>
            </w:tcBorders>
          </w:tcPr>
          <w:p w:rsidR="0082570B" w:rsidRPr="00DC4AD1" w:rsidRDefault="0082570B" w:rsidP="00622F10">
            <w:pPr>
              <w:spacing w:after="0" w:line="240" w:lineRule="auto"/>
              <w:jc w:val="both"/>
              <w:rPr>
                <w:noProof/>
                <w:sz w:val="18"/>
                <w:szCs w:val="18"/>
              </w:rPr>
            </w:pPr>
            <w:r w:rsidRPr="00DC4AD1">
              <w:rPr>
                <w:b/>
                <w:noProof/>
                <w:sz w:val="20"/>
                <w:szCs w:val="20"/>
              </w:rPr>
              <w:t xml:space="preserve">Zaposlenost se u junu 2013. značajno povećala uglavnom u primorskim opštinama, na što je uticala </w:t>
            </w:r>
            <w:r w:rsidR="00622F10">
              <w:rPr>
                <w:b/>
                <w:noProof/>
                <w:sz w:val="20"/>
                <w:szCs w:val="20"/>
              </w:rPr>
              <w:t>turistička sezona</w:t>
            </w:r>
            <w:r w:rsidRPr="00DC4AD1">
              <w:rPr>
                <w:b/>
                <w:noProof/>
                <w:sz w:val="20"/>
                <w:szCs w:val="20"/>
              </w:rPr>
              <w:t>.</w:t>
            </w:r>
            <w:r w:rsidRPr="00DC4AD1">
              <w:rPr>
                <w:noProof/>
                <w:sz w:val="20"/>
                <w:szCs w:val="20"/>
              </w:rPr>
              <w:t xml:space="preserve"> Broj zaposlenih u junu je iznosio </w:t>
            </w:r>
            <w:r w:rsidRPr="00DC4AD1">
              <w:rPr>
                <w:b/>
                <w:noProof/>
                <w:sz w:val="20"/>
                <w:szCs w:val="20"/>
              </w:rPr>
              <w:t>179.861,</w:t>
            </w:r>
            <w:r w:rsidR="00622F10" w:rsidRPr="00DC4AD1">
              <w:rPr>
                <w:noProof/>
                <w:sz w:val="20"/>
                <w:szCs w:val="20"/>
              </w:rPr>
              <w:t xml:space="preserve"> povećan je za 10,6% u odnosu na jun 2012. god. </w:t>
            </w:r>
            <w:r w:rsidRPr="00DC4AD1">
              <w:rPr>
                <w:b/>
                <w:noProof/>
                <w:sz w:val="20"/>
                <w:szCs w:val="20"/>
              </w:rPr>
              <w:t xml:space="preserve"> što je najveć</w:t>
            </w:r>
            <w:r w:rsidR="00622F10">
              <w:rPr>
                <w:b/>
                <w:noProof/>
                <w:sz w:val="20"/>
                <w:szCs w:val="20"/>
              </w:rPr>
              <w:t>i nivo zaposlenosti</w:t>
            </w:r>
            <w:r w:rsidRPr="00DC4AD1">
              <w:rPr>
                <w:b/>
                <w:noProof/>
                <w:sz w:val="20"/>
                <w:szCs w:val="20"/>
              </w:rPr>
              <w:t xml:space="preserve"> u </w:t>
            </w:r>
            <w:r w:rsidR="00622F10">
              <w:rPr>
                <w:b/>
                <w:noProof/>
                <w:sz w:val="20"/>
                <w:szCs w:val="20"/>
              </w:rPr>
              <w:t>poslednjih nekoliko godina</w:t>
            </w:r>
            <w:r w:rsidR="00622F10">
              <w:rPr>
                <w:noProof/>
                <w:sz w:val="20"/>
                <w:szCs w:val="20"/>
              </w:rPr>
              <w:t>.</w:t>
            </w:r>
            <w:r w:rsidRPr="00DC4AD1">
              <w:rPr>
                <w:noProof/>
                <w:sz w:val="20"/>
                <w:szCs w:val="20"/>
              </w:rPr>
              <w:t xml:space="preserve"> Broj nezaposlen</w:t>
            </w:r>
            <w:r w:rsidR="00E64E93">
              <w:rPr>
                <w:noProof/>
                <w:sz w:val="20"/>
                <w:szCs w:val="20"/>
              </w:rPr>
              <w:t xml:space="preserve">ih u junu je iznosio  30.337, a </w:t>
            </w:r>
            <w:r w:rsidRPr="00DC4AD1">
              <w:rPr>
                <w:noProof/>
                <w:sz w:val="20"/>
                <w:szCs w:val="20"/>
              </w:rPr>
              <w:t xml:space="preserve">povećan je 3,1% u odnosu na isti mjesec 2012, dok je stopa nezaposlenosti iznosila 13,0%. Značajno se povećao broj lica koja prvi put traže zaposlenje (naročito visokoškolaca) u odnosu na jun 2012, ali je </w:t>
            </w:r>
            <w:r w:rsidR="00622F10">
              <w:rPr>
                <w:noProof/>
                <w:sz w:val="20"/>
                <w:szCs w:val="20"/>
              </w:rPr>
              <w:t>od januara 2013 karakterističan opadajući trend</w:t>
            </w:r>
            <w:r w:rsidRPr="00DC4AD1">
              <w:rPr>
                <w:noProof/>
                <w:sz w:val="20"/>
                <w:szCs w:val="20"/>
              </w:rPr>
              <w:t xml:space="preserve">. U junu je oglašeno 1430 slobodnih radnih mjesta, što je znatno manje nego u junu 2012, ali je istovremeno izdato 3929 radnih dozvola strancima, što je znatno više. Prosječna bruto zarada u junu 2013. je iznosila 730€, a povećana je za 0,3% u odnosu na prethodni mjesec. </w:t>
            </w:r>
            <w:r w:rsidRPr="00DC4AD1">
              <w:rPr>
                <w:b/>
                <w:noProof/>
                <w:sz w:val="20"/>
                <w:szCs w:val="20"/>
              </w:rPr>
              <w:t>Prosječna neto zarada je iznosila 481€, a povećana je 0,2%, dok je realno u junu 2013. u odnosu na prethodni mjesec povećana 0,8%.</w:t>
            </w:r>
          </w:p>
        </w:tc>
        <w:tc>
          <w:tcPr>
            <w:tcW w:w="3674" w:type="dxa"/>
            <w:vMerge/>
            <w:vAlign w:val="center"/>
          </w:tcPr>
          <w:p w:rsidR="0082570B" w:rsidRPr="00DC4AD1" w:rsidRDefault="0082570B" w:rsidP="003A5C77">
            <w:pPr>
              <w:spacing w:after="0" w:line="240" w:lineRule="auto"/>
              <w:jc w:val="center"/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15322D">
        <w:trPr>
          <w:gridAfter w:val="1"/>
          <w:wAfter w:w="12" w:type="dxa"/>
          <w:trHeight w:val="286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  <w:r w:rsidRPr="00DC4AD1">
              <w:rPr>
                <w:b/>
                <w:noProof/>
                <w:sz w:val="20"/>
                <w:szCs w:val="20"/>
              </w:rPr>
              <w:lastRenderedPageBreak/>
              <w:t>5. Javne finansije</w:t>
            </w:r>
          </w:p>
        </w:tc>
        <w:tc>
          <w:tcPr>
            <w:tcW w:w="3674" w:type="dxa"/>
            <w:vMerge w:val="restart"/>
            <w:vAlign w:val="center"/>
          </w:tcPr>
          <w:p w:rsidR="0082570B" w:rsidRPr="00DC4AD1" w:rsidRDefault="007B41C4" w:rsidP="003A5C77">
            <w:pPr>
              <w:spacing w:after="0" w:line="240" w:lineRule="auto"/>
              <w:jc w:val="center"/>
              <w:rPr>
                <w:noProof/>
                <w:sz w:val="17"/>
                <w:szCs w:val="17"/>
              </w:rPr>
            </w:pPr>
            <w:r w:rsidRPr="00DC4AD1">
              <w:rPr>
                <w:noProof/>
                <w:sz w:val="17"/>
                <w:szCs w:val="17"/>
              </w:rPr>
              <w:drawing>
                <wp:inline distT="0" distB="0" distL="0" distR="0">
                  <wp:extent cx="2279729" cy="2641905"/>
                  <wp:effectExtent l="19050" t="0" r="25321" b="6045"/>
                  <wp:docPr id="3" name="Ch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82570B" w:rsidRPr="00DC4AD1" w:rsidTr="0015322D">
        <w:trPr>
          <w:gridAfter w:val="1"/>
          <w:wAfter w:w="12" w:type="dxa"/>
          <w:trHeight w:val="1215"/>
        </w:trPr>
        <w:tc>
          <w:tcPr>
            <w:tcW w:w="7054" w:type="dxa"/>
            <w:tcBorders>
              <w:top w:val="single" w:sz="4" w:space="0" w:color="auto"/>
            </w:tcBorders>
          </w:tcPr>
          <w:p w:rsidR="009F35DF" w:rsidRPr="00DC4AD1" w:rsidRDefault="009F35DF" w:rsidP="00E64E93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DC4AD1">
              <w:rPr>
                <w:b/>
                <w:noProof/>
                <w:sz w:val="20"/>
                <w:szCs w:val="20"/>
              </w:rPr>
              <w:t xml:space="preserve">Izvorni prihodi budžeta Crne Gore u junu 2013. godine iznosili su 99,5 mil. € i veći su </w:t>
            </w:r>
            <w:r w:rsidR="00E64E93">
              <w:rPr>
                <w:b/>
                <w:noProof/>
                <w:sz w:val="20"/>
                <w:szCs w:val="20"/>
              </w:rPr>
              <w:t>u odnosu na 2012. godinu za 3,7</w:t>
            </w:r>
            <w:r w:rsidRPr="00DC4AD1">
              <w:rPr>
                <w:b/>
                <w:noProof/>
                <w:sz w:val="20"/>
                <w:szCs w:val="20"/>
              </w:rPr>
              <w:t>%, dok su u odnosu na plan za 2013. manji z</w:t>
            </w:r>
            <w:r w:rsidR="00E64E93">
              <w:rPr>
                <w:b/>
                <w:noProof/>
                <w:sz w:val="20"/>
                <w:szCs w:val="20"/>
              </w:rPr>
              <w:t>a 1,5</w:t>
            </w:r>
            <w:r w:rsidRPr="00DC4AD1">
              <w:rPr>
                <w:b/>
                <w:noProof/>
                <w:sz w:val="20"/>
                <w:szCs w:val="20"/>
              </w:rPr>
              <w:t xml:space="preserve">%. </w:t>
            </w:r>
            <w:r w:rsidRPr="00DC4AD1">
              <w:rPr>
                <w:noProof/>
                <w:sz w:val="20"/>
                <w:szCs w:val="20"/>
              </w:rPr>
              <w:t>Rast od skoro 20% u odnosu na jun 2012, ostvaren je naplatom poreza i doprinosa na zarade, što je posljedica sprovođenja mjera na suzbijanju sive ekonomije i uvođenja kriznog poreza na zarade iznad prosjeka u državi. Direktni porezi bilježe rast i</w:t>
            </w:r>
            <w:r w:rsidR="00E64E93">
              <w:rPr>
                <w:noProof/>
                <w:sz w:val="20"/>
                <w:szCs w:val="20"/>
              </w:rPr>
              <w:t xml:space="preserve"> u odnosu na plan od 8,57</w:t>
            </w:r>
            <w:r w:rsidRPr="00DC4AD1">
              <w:rPr>
                <w:noProof/>
                <w:sz w:val="20"/>
                <w:szCs w:val="20"/>
              </w:rPr>
              <w:t>%. U junu je prvi put ove godine podbacila naplata PDV-a u odnosu  na plan, dok su akcize bile veće za 6,7%.</w:t>
            </w:r>
          </w:p>
          <w:p w:rsidR="009F35DF" w:rsidRPr="00DC4AD1" w:rsidRDefault="009F35DF" w:rsidP="00E64E93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DC4AD1">
              <w:rPr>
                <w:b/>
                <w:noProof/>
                <w:sz w:val="20"/>
                <w:szCs w:val="20"/>
              </w:rPr>
              <w:t>Izdaci budžeta</w:t>
            </w:r>
            <w:r w:rsidRPr="00DC4AD1">
              <w:rPr>
                <w:noProof/>
                <w:sz w:val="20"/>
                <w:szCs w:val="20"/>
              </w:rPr>
              <w:t xml:space="preserve"> iznosili su 100,5 mil.</w:t>
            </w:r>
            <w:r w:rsidR="00E64E93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€ i veći su za 0,7 mil</w:t>
            </w:r>
            <w:r w:rsidR="00E64E93">
              <w:rPr>
                <w:noProof/>
                <w:sz w:val="20"/>
                <w:szCs w:val="20"/>
              </w:rPr>
              <w:t>. € u odnosu na isti period proš</w:t>
            </w:r>
            <w:r w:rsidRPr="00DC4AD1">
              <w:rPr>
                <w:noProof/>
                <w:sz w:val="20"/>
                <w:szCs w:val="20"/>
              </w:rPr>
              <w:t xml:space="preserve">le godine, i manji za 3,4 mil. € u odnosu na plan 2013. godine. </w:t>
            </w:r>
          </w:p>
          <w:p w:rsidR="009F35DF" w:rsidRPr="00DC4AD1" w:rsidRDefault="009F35DF" w:rsidP="00E64E93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DC4AD1">
              <w:rPr>
                <w:b/>
                <w:noProof/>
                <w:sz w:val="20"/>
                <w:szCs w:val="20"/>
              </w:rPr>
              <w:t>Deficit u prvih 6 mjeseci 2013. godine</w:t>
            </w:r>
            <w:r w:rsidRPr="00DC4AD1">
              <w:rPr>
                <w:noProof/>
                <w:sz w:val="20"/>
                <w:szCs w:val="20"/>
              </w:rPr>
              <w:t xml:space="preserve"> pokazuje tendenciju smanjenja kako u odnosu na prethodnu godinu tako i na plan za 2013. godinu. Deficit budžeta u junu 2013. godine iznosio je 1,01 mil.</w:t>
            </w:r>
            <w:r w:rsidR="00E64E93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€ i niži je od deficita u maju 2012. godine za 2,82 mil.</w:t>
            </w:r>
            <w:r w:rsidR="00E64E93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€. Kumulativni deficit budžeta u periodu januar-jun 2013. godine iznosi 79,58 mil. € i niži je od deficita u istom periodu 2012. za 67,82 mil. €, a od planiranog u istom periodu 2013.g. niži je za 39,01 mil. €.</w:t>
            </w:r>
          </w:p>
          <w:p w:rsidR="0082570B" w:rsidRPr="00DC4AD1" w:rsidRDefault="009F35DF" w:rsidP="00E64E93">
            <w:pPr>
              <w:spacing w:after="0" w:line="240" w:lineRule="auto"/>
              <w:jc w:val="both"/>
              <w:rPr>
                <w:noProof/>
                <w:sz w:val="20"/>
              </w:rPr>
            </w:pPr>
            <w:r w:rsidRPr="00DC4AD1">
              <w:rPr>
                <w:b/>
                <w:noProof/>
                <w:sz w:val="20"/>
                <w:szCs w:val="20"/>
              </w:rPr>
              <w:t>Državni dug</w:t>
            </w:r>
            <w:r w:rsidRPr="00DC4AD1">
              <w:rPr>
                <w:noProof/>
                <w:sz w:val="20"/>
                <w:szCs w:val="20"/>
              </w:rPr>
              <w:t xml:space="preserve"> na kraju juna 2013.godine izn</w:t>
            </w:r>
            <w:r w:rsidR="00E64E93">
              <w:rPr>
                <w:noProof/>
                <w:sz w:val="20"/>
                <w:szCs w:val="20"/>
              </w:rPr>
              <w:t>osio je 1.760,9 mil. € ili 50,1</w:t>
            </w:r>
            <w:r w:rsidRPr="00DC4AD1">
              <w:rPr>
                <w:noProof/>
                <w:sz w:val="20"/>
                <w:szCs w:val="20"/>
              </w:rPr>
              <w:t>% procijenj</w:t>
            </w:r>
            <w:r w:rsidR="00E64E93">
              <w:rPr>
                <w:noProof/>
                <w:sz w:val="20"/>
                <w:szCs w:val="20"/>
              </w:rPr>
              <w:t>enog BDP-a i smanjen je za 0,35</w:t>
            </w:r>
            <w:r w:rsidRPr="00DC4AD1">
              <w:rPr>
                <w:noProof/>
                <w:sz w:val="20"/>
                <w:szCs w:val="20"/>
              </w:rPr>
              <w:t xml:space="preserve">% u odnosu na prethodni mjesec. Unutrašnji dug iznosio je 442,7 mil. €, dug prema nerezidentima 1.318,2 mil.€ </w:t>
            </w:r>
            <w:r w:rsidR="0082570B" w:rsidRPr="00DC4AD1">
              <w:rPr>
                <w:noProof/>
                <w:sz w:val="20"/>
              </w:rPr>
              <w:t xml:space="preserve"> </w:t>
            </w:r>
          </w:p>
        </w:tc>
        <w:tc>
          <w:tcPr>
            <w:tcW w:w="3674" w:type="dxa"/>
            <w:vMerge/>
            <w:vAlign w:val="center"/>
          </w:tcPr>
          <w:p w:rsidR="0082570B" w:rsidRPr="00DC4AD1" w:rsidRDefault="0082570B" w:rsidP="003A5C77">
            <w:pPr>
              <w:spacing w:after="0" w:line="240" w:lineRule="auto"/>
              <w:jc w:val="center"/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CA211C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DC4AD1">
              <w:rPr>
                <w:b/>
                <w:bCs/>
                <w:noProof/>
                <w:sz w:val="20"/>
                <w:szCs w:val="20"/>
              </w:rPr>
              <w:t>Bankarski sektor i likvidnost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82570B" w:rsidRPr="00DC4AD1" w:rsidRDefault="00D94466" w:rsidP="003A5C77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DC4AD1">
              <w:rPr>
                <w:noProof/>
              </w:rPr>
              <w:drawing>
                <wp:inline distT="0" distB="0" distL="0" distR="0">
                  <wp:extent cx="2432649" cy="2294626"/>
                  <wp:effectExtent l="0" t="0" r="5751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82570B" w:rsidRPr="00DC4AD1" w:rsidTr="00622F10">
        <w:trPr>
          <w:trHeight w:val="3402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82570B" w:rsidRPr="00DC4AD1" w:rsidRDefault="0082570B" w:rsidP="001D37FD">
            <w:pPr>
              <w:spacing w:after="0" w:line="240" w:lineRule="auto"/>
              <w:jc w:val="both"/>
              <w:rPr>
                <w:noProof/>
              </w:rPr>
            </w:pP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Poslovanje b</w:t>
            </w:r>
            <w:r w:rsidR="00E64E93">
              <w:rPr>
                <w:b/>
                <w:noProof/>
                <w:sz w:val="20"/>
                <w:szCs w:val="18"/>
                <w:lang w:eastAsia="sr-Latn-CS"/>
              </w:rPr>
              <w:t>anaka u j</w:t>
            </w: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unu karakteriše rast kapitala i depozita i smanjenje kreditne aktivnosti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. </w:t>
            </w: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Ukupan kapital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 je iznosio 405,9 mil.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</w:t>
            </w:r>
            <w:r w:rsidRPr="00DC4AD1">
              <w:rPr>
                <w:noProof/>
                <w:sz w:val="20"/>
                <w:szCs w:val="18"/>
                <w:lang w:eastAsia="sr-Latn-CS"/>
              </w:rPr>
              <w:t>€ i povećan je za 40,6%  ili 117,2 mil.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€ 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u odnosu na kraj prethodne godine. </w:t>
            </w: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Ukupni depoziti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 su ostvarili rast od 1,8% na mjesečnom i 9,0% na godišnjem nivou. Sektorski posmatrano, </w:t>
            </w: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depoziti stanovništva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sa iznosom od 1.</w:t>
            </w:r>
            <w:r w:rsidRPr="00DC4AD1">
              <w:rPr>
                <w:noProof/>
                <w:sz w:val="20"/>
                <w:szCs w:val="18"/>
                <w:lang w:eastAsia="sr-Latn-CS"/>
              </w:rPr>
              <w:t>164,7 mil.€ koji imaju najveće učeš</w:t>
            </w:r>
            <w:r w:rsidR="00E64E93">
              <w:rPr>
                <w:noProof/>
                <w:sz w:val="20"/>
                <w:szCs w:val="18"/>
                <w:lang w:eastAsia="sr-Latn-CS"/>
              </w:rPr>
              <w:t>će u ukupnim depozitima od 58,0% ostvarili su rast od 7,7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% u odnosu na isti mjesec prethodne godine. Vrijednost </w:t>
            </w: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ukupnih kredita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 i ostali</w:t>
            </w:r>
            <w:r w:rsidR="00E64E93">
              <w:rPr>
                <w:noProof/>
                <w:sz w:val="20"/>
                <w:szCs w:val="18"/>
                <w:lang w:eastAsia="sr-Latn-CS"/>
              </w:rPr>
              <w:t>h potraživanja je iznosila 2.</w:t>
            </w:r>
            <w:r w:rsidRPr="00DC4AD1">
              <w:rPr>
                <w:noProof/>
                <w:sz w:val="20"/>
                <w:szCs w:val="18"/>
                <w:lang w:eastAsia="sr-Latn-CS"/>
              </w:rPr>
              <w:t>457,5 mil.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€, što je za 0,8% manje u odnosu na prethodni mjesec i 4,8% više na godišnjem nivou. Najznačajniji korisnik kredita, </w:t>
            </w:r>
            <w:r w:rsidRPr="00622F10">
              <w:rPr>
                <w:b/>
                <w:noProof/>
                <w:sz w:val="20"/>
                <w:szCs w:val="18"/>
                <w:lang w:eastAsia="sr-Latn-CS"/>
              </w:rPr>
              <w:t>sektor privrede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 je bio kreditno zadužen 990,5 mil .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</w:t>
            </w:r>
            <w:r w:rsidRPr="00DC4AD1">
              <w:rPr>
                <w:noProof/>
                <w:sz w:val="20"/>
                <w:szCs w:val="18"/>
                <w:lang w:eastAsia="sr-Latn-CS"/>
              </w:rPr>
              <w:t>€  što čini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40,3% ukupno odobrenih kredita</w:t>
            </w:r>
            <w:r w:rsidRPr="00DC4AD1">
              <w:rPr>
                <w:noProof/>
                <w:sz w:val="20"/>
                <w:szCs w:val="18"/>
                <w:lang w:eastAsia="sr-Latn-CS"/>
              </w:rPr>
              <w:t>. Ovi krediti su manji u odno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su na prethodni mjesec za 3,6%, 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a na godišnjem nivou veći za 1,5%. U </w:t>
            </w:r>
            <w:r w:rsidRPr="00DC4AD1">
              <w:rPr>
                <w:b/>
                <w:noProof/>
                <w:sz w:val="20"/>
                <w:szCs w:val="18"/>
                <w:lang w:eastAsia="sr-Latn-CS"/>
              </w:rPr>
              <w:t>blokadi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 je bilo 12.480 pravnih lica i preduzetnika, što je za 0,29% manje u odnosu na prethodni mjesec, dok je ukupan  dug iznosio 432,7 mil.</w:t>
            </w:r>
            <w:r w:rsidR="00E64E93">
              <w:rPr>
                <w:noProof/>
                <w:sz w:val="20"/>
                <w:szCs w:val="18"/>
                <w:lang w:eastAsia="sr-Latn-CS"/>
              </w:rPr>
              <w:t xml:space="preserve"> </w:t>
            </w:r>
            <w:r w:rsidRPr="00DC4AD1">
              <w:rPr>
                <w:noProof/>
                <w:sz w:val="20"/>
                <w:szCs w:val="18"/>
                <w:lang w:eastAsia="sr-Latn-CS"/>
              </w:rPr>
              <w:t xml:space="preserve">€  i povećan je 1,48% u posmatranom periodu. </w:t>
            </w:r>
          </w:p>
          <w:p w:rsidR="0082570B" w:rsidRPr="00DC4AD1" w:rsidRDefault="0082570B" w:rsidP="003A5C77">
            <w:pPr>
              <w:pStyle w:val="NormalWeb"/>
              <w:spacing w:before="0" w:beforeAutospacing="0" w:after="0"/>
              <w:jc w:val="both"/>
              <w:rPr>
                <w:rFonts w:ascii="Calibri" w:hAnsi="Calibri" w:cs="Calibri"/>
                <w:bCs/>
                <w:noProof/>
                <w:sz w:val="20"/>
                <w:szCs w:val="17"/>
              </w:rPr>
            </w:pPr>
          </w:p>
        </w:tc>
        <w:tc>
          <w:tcPr>
            <w:tcW w:w="3686" w:type="dxa"/>
            <w:gridSpan w:val="2"/>
            <w:vMerge/>
            <w:tcBorders>
              <w:bottom w:val="thinThickSmallGap" w:sz="18" w:space="0" w:color="auto"/>
            </w:tcBorders>
            <w:vAlign w:val="center"/>
          </w:tcPr>
          <w:p w:rsidR="0082570B" w:rsidRPr="00DC4AD1" w:rsidRDefault="0082570B" w:rsidP="003A5C77">
            <w:pPr>
              <w:spacing w:after="119" w:line="240" w:lineRule="auto"/>
              <w:jc w:val="center"/>
              <w:rPr>
                <w:noProof/>
              </w:rPr>
            </w:pPr>
          </w:p>
        </w:tc>
      </w:tr>
      <w:tr w:rsidR="0082570B" w:rsidRPr="00DC4AD1" w:rsidTr="00622F10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DC4AD1">
              <w:rPr>
                <w:b/>
                <w:bCs/>
                <w:noProof/>
                <w:sz w:val="20"/>
                <w:szCs w:val="20"/>
              </w:rPr>
              <w:t>Spoljnotrgovinska  razmjena  i  investicije</w:t>
            </w:r>
          </w:p>
        </w:tc>
        <w:tc>
          <w:tcPr>
            <w:tcW w:w="3686" w:type="dxa"/>
            <w:gridSpan w:val="2"/>
            <w:vMerge w:val="restart"/>
            <w:tcBorders>
              <w:bottom w:val="thickThinSmallGap" w:sz="18" w:space="0" w:color="auto"/>
            </w:tcBorders>
            <w:vAlign w:val="center"/>
          </w:tcPr>
          <w:p w:rsidR="00134A21" w:rsidRPr="00DC4AD1" w:rsidRDefault="007B41C4" w:rsidP="003A5C77">
            <w:pPr>
              <w:spacing w:after="0" w:line="240" w:lineRule="auto"/>
              <w:ind w:left="-250"/>
              <w:jc w:val="center"/>
              <w:rPr>
                <w:noProof/>
                <w:sz w:val="17"/>
                <w:szCs w:val="17"/>
              </w:rPr>
            </w:pPr>
            <w:r w:rsidRPr="00622F10">
              <w:rPr>
                <w:noProof/>
                <w:sz w:val="18"/>
                <w:szCs w:val="17"/>
              </w:rPr>
              <w:drawing>
                <wp:inline distT="0" distB="0" distL="0" distR="0">
                  <wp:extent cx="2360930" cy="1876425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5"/>
                          <a:srcRect l="-2376" t="-2728" r="-2348" b="-4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A21" w:rsidRPr="00DC4AD1" w:rsidRDefault="00134A21" w:rsidP="00134A21">
            <w:pPr>
              <w:rPr>
                <w:noProof/>
                <w:sz w:val="17"/>
                <w:szCs w:val="17"/>
              </w:rPr>
            </w:pPr>
          </w:p>
          <w:p w:rsidR="00134A21" w:rsidRPr="00DC4AD1" w:rsidRDefault="00134A21" w:rsidP="00134A21">
            <w:pPr>
              <w:rPr>
                <w:noProof/>
                <w:sz w:val="17"/>
                <w:szCs w:val="17"/>
              </w:rPr>
            </w:pPr>
          </w:p>
          <w:p w:rsidR="0082570B" w:rsidRPr="00DC4AD1" w:rsidRDefault="0082570B" w:rsidP="00134A21">
            <w:pPr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622F10">
        <w:trPr>
          <w:trHeight w:val="5084"/>
        </w:trPr>
        <w:tc>
          <w:tcPr>
            <w:tcW w:w="7054" w:type="dxa"/>
            <w:tcBorders>
              <w:top w:val="single" w:sz="4" w:space="0" w:color="auto"/>
              <w:bottom w:val="thickThinSmallGap" w:sz="18" w:space="0" w:color="auto"/>
            </w:tcBorders>
          </w:tcPr>
          <w:p w:rsidR="0085673A" w:rsidRDefault="0082570B" w:rsidP="00E14901">
            <w:p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DC4AD1">
              <w:rPr>
                <w:noProof/>
                <w:color w:val="000000"/>
                <w:sz w:val="20"/>
                <w:szCs w:val="20"/>
              </w:rPr>
              <w:t>Osnovne</w:t>
            </w:r>
            <w:r w:rsidRPr="00DC4AD1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DC4AD1">
              <w:rPr>
                <w:noProof/>
                <w:color w:val="000000"/>
                <w:sz w:val="20"/>
                <w:szCs w:val="20"/>
              </w:rPr>
              <w:t xml:space="preserve">karakteristike </w:t>
            </w:r>
            <w:r w:rsidRPr="00DC4AD1">
              <w:rPr>
                <w:b/>
                <w:noProof/>
                <w:color w:val="000000"/>
                <w:sz w:val="20"/>
                <w:szCs w:val="20"/>
              </w:rPr>
              <w:t>spoljnotrgovinske razmjene u</w:t>
            </w:r>
            <w:r w:rsidRPr="00DC4AD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C4AD1">
              <w:rPr>
                <w:b/>
                <w:noProof/>
                <w:color w:val="000000"/>
                <w:sz w:val="20"/>
                <w:szCs w:val="20"/>
              </w:rPr>
              <w:t>prvoj polovini 2013. godine su</w:t>
            </w:r>
            <w:r w:rsidR="00E64E93">
              <w:rPr>
                <w:b/>
                <w:noProof/>
                <w:color w:val="000000"/>
                <w:sz w:val="20"/>
                <w:szCs w:val="20"/>
              </w:rPr>
              <w:t>:</w:t>
            </w:r>
            <w:r w:rsidRPr="00DC4AD1">
              <w:rPr>
                <w:rFonts w:cs="Calibri"/>
                <w:noProof/>
                <w:sz w:val="20"/>
                <w:szCs w:val="20"/>
              </w:rPr>
              <w:t xml:space="preserve"> smanjenje spoljnotrgovinskog deficita koji je na kraju juna iznosio 651,4mil.</w:t>
            </w:r>
            <w:r w:rsidR="00E64E93">
              <w:rPr>
                <w:rFonts w:cs="Calibri"/>
                <w:noProof/>
                <w:sz w:val="20"/>
                <w:szCs w:val="20"/>
              </w:rPr>
              <w:t xml:space="preserve"> € i bio </w:t>
            </w:r>
            <w:r w:rsidRPr="00DC4AD1">
              <w:rPr>
                <w:rFonts w:cs="Calibri"/>
                <w:noProof/>
                <w:sz w:val="20"/>
                <w:szCs w:val="20"/>
              </w:rPr>
              <w:t xml:space="preserve">7,6% manji, dinamičan rast izvoza i blagi pad uvoza roba. </w:t>
            </w:r>
            <w:r w:rsidRPr="00DC4AD1">
              <w:rPr>
                <w:rFonts w:cs="Calibri"/>
                <w:b/>
                <w:noProof/>
                <w:sz w:val="20"/>
                <w:szCs w:val="20"/>
              </w:rPr>
              <w:t xml:space="preserve">Ukupna robna razmjena je </w:t>
            </w:r>
            <w:r w:rsidRPr="00DC4AD1">
              <w:rPr>
                <w:rFonts w:cs="Calibri"/>
                <w:noProof/>
                <w:sz w:val="20"/>
                <w:szCs w:val="20"/>
              </w:rPr>
              <w:t>smanjena</w:t>
            </w:r>
            <w:r w:rsidR="00E64E93">
              <w:rPr>
                <w:rFonts w:cs="Calibri"/>
                <w:b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cs="Calibri"/>
                <w:noProof/>
                <w:sz w:val="20"/>
                <w:szCs w:val="20"/>
              </w:rPr>
              <w:t>2,5% u odnosu na isti period prethodne godine i iznosi 1.043,1 mil.</w:t>
            </w:r>
            <w:r w:rsidR="00E64E93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cs="Calibri"/>
                <w:noProof/>
                <w:sz w:val="20"/>
                <w:szCs w:val="20"/>
              </w:rPr>
              <w:t>€.</w:t>
            </w:r>
            <w:r w:rsidRPr="00DC4AD1">
              <w:rPr>
                <w:b/>
                <w:noProof/>
                <w:color w:val="00B050"/>
                <w:sz w:val="20"/>
                <w:szCs w:val="20"/>
              </w:rPr>
              <w:t xml:space="preserve"> </w:t>
            </w:r>
            <w:r w:rsidRPr="00DC4AD1">
              <w:rPr>
                <w:noProof/>
                <w:color w:val="000000"/>
                <w:sz w:val="20"/>
                <w:szCs w:val="20"/>
              </w:rPr>
              <w:t>Povećan je stepen pokrivenosti uvoza izvozom robe na 23,1% sa 20,6% koliko je iznosio u prvoj polovini 2012</w:t>
            </w:r>
            <w:r w:rsidRPr="00DC4AD1">
              <w:rPr>
                <w:b/>
                <w:noProof/>
                <w:color w:val="000000"/>
                <w:sz w:val="20"/>
                <w:szCs w:val="20"/>
              </w:rPr>
              <w:t>.</w:t>
            </w:r>
            <w:r w:rsidRPr="00DC4AD1">
              <w:rPr>
                <w:rFonts w:cs="Calibri"/>
                <w:noProof/>
                <w:sz w:val="20"/>
                <w:szCs w:val="20"/>
              </w:rPr>
              <w:t xml:space="preserve"> Ukupan izvoz roba  iznosio je 195,8mil.</w:t>
            </w:r>
            <w:r w:rsidR="0085673A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cs="Calibri"/>
                <w:noProof/>
                <w:sz w:val="20"/>
                <w:szCs w:val="20"/>
              </w:rPr>
              <w:t>€  ili 7,3% više, dok je uvezeno robe u vrijednosti od 847,2mil.</w:t>
            </w:r>
            <w:r w:rsidR="0085673A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DC4AD1">
              <w:rPr>
                <w:rFonts w:cs="Calibri"/>
                <w:noProof/>
                <w:sz w:val="20"/>
                <w:szCs w:val="20"/>
              </w:rPr>
              <w:t xml:space="preserve">€ ili 4,5% manje. Izvoz roba bilježi  povoljna kretanja usljed povećanja izvoza električne energije za 292,0% </w:t>
            </w:r>
            <w:r w:rsidR="00622F10">
              <w:rPr>
                <w:rFonts w:cs="Calibri"/>
                <w:noProof/>
                <w:sz w:val="20"/>
                <w:szCs w:val="20"/>
              </w:rPr>
              <w:t>(33,6%  ukupnog izvoza), dok su</w:t>
            </w:r>
            <w:r w:rsidRPr="00DC4AD1">
              <w:rPr>
                <w:rFonts w:cs="Calibri"/>
                <w:noProof/>
                <w:sz w:val="20"/>
                <w:szCs w:val="20"/>
              </w:rPr>
              <w:t xml:space="preserve"> aluminijum i gvožđe i čelik  ostvarili  pad od 46,0% i 38,0%, respektivno. Negativan trend kod izvoza navedenih kategorija  prisutan je usljed smanjenja proizvodnje KAP-a i Željezare Nikšić, pada cijena metala i eksterne tražnje usljed negativnih kretanja u pojedinim zemljama EU. Na pad  </w:t>
            </w:r>
            <w:r w:rsidRPr="00DC4AD1">
              <w:rPr>
                <w:rFonts w:cs="Calibri"/>
                <w:b/>
                <w:noProof/>
                <w:sz w:val="20"/>
                <w:szCs w:val="20"/>
              </w:rPr>
              <w:t>uvoza</w:t>
            </w:r>
            <w:r w:rsidRPr="00DC4AD1">
              <w:rPr>
                <w:rFonts w:cs="Calibri"/>
                <w:noProof/>
                <w:sz w:val="20"/>
                <w:szCs w:val="20"/>
              </w:rPr>
              <w:t xml:space="preserve"> najviše je uticalo smanjenje uvoza električne energije (68,0%), dok je uvoz robe široke potrošnje i  proizvoda kategorije „mašine i transportni uređaji“ ostao na približno istom nivou kao i u prvom polugođu 2012. </w:t>
            </w:r>
          </w:p>
          <w:p w:rsidR="0082570B" w:rsidRPr="00DC4AD1" w:rsidRDefault="0082570B" w:rsidP="00E14901">
            <w:pPr>
              <w:spacing w:after="0" w:line="240" w:lineRule="auto"/>
              <w:jc w:val="both"/>
              <w:rPr>
                <w:noProof/>
                <w:sz w:val="18"/>
                <w:szCs w:val="18"/>
              </w:rPr>
            </w:pPr>
            <w:r w:rsidRPr="00DC4AD1">
              <w:rPr>
                <w:b/>
                <w:noProof/>
                <w:sz w:val="20"/>
                <w:szCs w:val="20"/>
              </w:rPr>
              <w:t>Neto strane investicije za period  januar-maj 2013</w:t>
            </w:r>
            <w:r w:rsidR="0085673A">
              <w:rPr>
                <w:b/>
                <w:noProof/>
                <w:sz w:val="20"/>
                <w:szCs w:val="20"/>
              </w:rPr>
              <w:t>.</w:t>
            </w:r>
            <w:r w:rsidRPr="00DC4AD1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b/>
                <w:noProof/>
                <w:sz w:val="20"/>
                <w:szCs w:val="20"/>
              </w:rPr>
              <w:t>su iznosile 112,1 mil.</w:t>
            </w:r>
            <w:r w:rsidR="0085673A">
              <w:rPr>
                <w:b/>
                <w:noProof/>
                <w:sz w:val="20"/>
                <w:szCs w:val="20"/>
              </w:rPr>
              <w:t xml:space="preserve"> </w:t>
            </w:r>
            <w:r w:rsidRPr="00DC4AD1">
              <w:rPr>
                <w:b/>
                <w:noProof/>
                <w:sz w:val="20"/>
                <w:szCs w:val="20"/>
              </w:rPr>
              <w:t xml:space="preserve">€, što je za 5,5% manje nego u istom periodu 2012.  </w:t>
            </w:r>
            <w:r w:rsidRPr="00DC4AD1">
              <w:rPr>
                <w:noProof/>
                <w:sz w:val="20"/>
                <w:szCs w:val="20"/>
              </w:rPr>
              <w:t>Ukupan priliv SDI iznosio je 153,1 mil.</w:t>
            </w:r>
            <w:r w:rsidR="0085673A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€. Struktura SDI: vl</w:t>
            </w:r>
            <w:r w:rsidR="009F35DF" w:rsidRPr="00DC4AD1">
              <w:rPr>
                <w:noProof/>
                <w:sz w:val="20"/>
                <w:szCs w:val="20"/>
              </w:rPr>
              <w:t>asnička ulaganja 54,5%, i to:</w:t>
            </w:r>
            <w:r w:rsidRPr="00DC4AD1">
              <w:rPr>
                <w:noProof/>
                <w:sz w:val="20"/>
                <w:szCs w:val="20"/>
              </w:rPr>
              <w:t xml:space="preserve"> ulaganja u nekretnine 50,4% (manje za 8,5%) i investicije u preduzeća i banke 4,1% (manje za 84,7%); interkompanijski dug 44,6% (veće za 50,6%) i ostalo 0,9%(manje za 55,2%). Ukupan odliv SDI iznosio je 40,9mil.</w:t>
            </w:r>
            <w:r w:rsidR="0085673A">
              <w:rPr>
                <w:noProof/>
                <w:sz w:val="20"/>
                <w:szCs w:val="20"/>
              </w:rPr>
              <w:t xml:space="preserve"> </w:t>
            </w:r>
            <w:r w:rsidRPr="00DC4AD1">
              <w:rPr>
                <w:noProof/>
                <w:sz w:val="20"/>
                <w:szCs w:val="20"/>
              </w:rPr>
              <w:t>€,</w:t>
            </w:r>
            <w:r w:rsidRPr="00DC4AD1">
              <w:rPr>
                <w:rFonts w:cs="Calibri"/>
                <w:bCs/>
                <w:noProof/>
                <w:sz w:val="20"/>
                <w:szCs w:val="20"/>
              </w:rPr>
              <w:t xml:space="preserve"> </w:t>
            </w:r>
            <w:r w:rsidRPr="00DC4AD1">
              <w:rPr>
                <w:bCs/>
                <w:noProof/>
                <w:sz w:val="20"/>
                <w:szCs w:val="20"/>
              </w:rPr>
              <w:t xml:space="preserve">što je za 25,8% </w:t>
            </w:r>
            <w:r w:rsidR="0085673A">
              <w:rPr>
                <w:bCs/>
                <w:noProof/>
                <w:sz w:val="20"/>
                <w:szCs w:val="20"/>
              </w:rPr>
              <w:t xml:space="preserve"> </w:t>
            </w:r>
            <w:r w:rsidRPr="00DC4AD1">
              <w:rPr>
                <w:bCs/>
                <w:noProof/>
                <w:sz w:val="20"/>
                <w:szCs w:val="20"/>
              </w:rPr>
              <w:t>manje nego u istom periodu 2012.</w:t>
            </w:r>
            <w:r w:rsidR="0085673A">
              <w:rPr>
                <w:bCs/>
                <w:noProof/>
                <w:sz w:val="20"/>
                <w:szCs w:val="20"/>
              </w:rPr>
              <w:t xml:space="preserve"> </w:t>
            </w:r>
            <w:r w:rsidRPr="00DC4AD1">
              <w:rPr>
                <w:bCs/>
                <w:noProof/>
                <w:sz w:val="20"/>
                <w:szCs w:val="20"/>
              </w:rPr>
              <w:t>godine.</w:t>
            </w:r>
          </w:p>
        </w:tc>
        <w:tc>
          <w:tcPr>
            <w:tcW w:w="3686" w:type="dxa"/>
            <w:gridSpan w:val="2"/>
            <w:vMerge/>
            <w:tcBorders>
              <w:top w:val="thinThickSmallGap" w:sz="18" w:space="0" w:color="auto"/>
              <w:bottom w:val="thickThinSmallGap" w:sz="18" w:space="0" w:color="auto"/>
            </w:tcBorders>
            <w:vAlign w:val="center"/>
          </w:tcPr>
          <w:p w:rsidR="0082570B" w:rsidRPr="00DC4AD1" w:rsidRDefault="0082570B" w:rsidP="003A5C77">
            <w:pPr>
              <w:spacing w:after="0" w:line="240" w:lineRule="auto"/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82570B" w:rsidRPr="00DC4AD1" w:rsidRDefault="0082570B" w:rsidP="00D51C00">
      <w:pPr>
        <w:rPr>
          <w:noProof/>
        </w:rPr>
        <w:sectPr w:rsidR="0082570B" w:rsidRPr="00DC4AD1" w:rsidSect="008D4618">
          <w:pgSz w:w="11907" w:h="16839" w:code="9"/>
          <w:pgMar w:top="720" w:right="720" w:bottom="567" w:left="720" w:header="720" w:footer="720" w:gutter="0"/>
          <w:cols w:space="720"/>
          <w:rtlGutter/>
          <w:docGrid w:linePitch="360"/>
        </w:sectPr>
      </w:pPr>
      <w:r w:rsidRPr="00DC4AD1">
        <w:rPr>
          <w:noProof/>
        </w:rPr>
        <w:br w:type="textWrapping" w:clear="all"/>
      </w:r>
    </w:p>
    <w:p w:rsidR="0082570B" w:rsidRPr="00DC4AD1" w:rsidRDefault="0082570B" w:rsidP="0002564B">
      <w:pPr>
        <w:jc w:val="center"/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lastRenderedPageBreak/>
        <w:t xml:space="preserve">Tabela 1: </w:t>
      </w:r>
      <w:r w:rsidRPr="00DC4AD1">
        <w:rPr>
          <w:b/>
          <w:bCs/>
          <w:noProof/>
          <w:sz w:val="17"/>
          <w:szCs w:val="16"/>
        </w:rPr>
        <w:t>MAKROEKONOMSKI INDIKATORI</w:t>
      </w:r>
      <w:r w:rsidRPr="00DC4AD1">
        <w:rPr>
          <w:noProof/>
          <w:sz w:val="17"/>
          <w:szCs w:val="16"/>
        </w:rPr>
        <w:t xml:space="preserve"> – </w:t>
      </w:r>
      <w:r w:rsidR="00191F90" w:rsidRPr="00DC4AD1">
        <w:rPr>
          <w:noProof/>
          <w:sz w:val="17"/>
          <w:szCs w:val="16"/>
        </w:rPr>
        <w:t>Jun</w:t>
      </w:r>
      <w:r w:rsidRPr="00DC4AD1">
        <w:rPr>
          <w:noProof/>
          <w:sz w:val="17"/>
          <w:szCs w:val="16"/>
        </w:rPr>
        <w:t xml:space="preserve"> 201</w:t>
      </w:r>
      <w:r w:rsidR="00191F90" w:rsidRPr="00DC4AD1">
        <w:rPr>
          <w:noProof/>
          <w:sz w:val="17"/>
          <w:szCs w:val="16"/>
        </w:rPr>
        <w:t>3</w:t>
      </w:r>
      <w:r w:rsidRPr="00DC4AD1">
        <w:rPr>
          <w:noProof/>
          <w:sz w:val="17"/>
          <w:szCs w:val="16"/>
        </w:rPr>
        <w:t>.</w:t>
      </w:r>
    </w:p>
    <w:p w:rsidR="0082570B" w:rsidRPr="00DC4AD1" w:rsidRDefault="0082570B" w:rsidP="0002564B">
      <w:pPr>
        <w:spacing w:after="0" w:line="240" w:lineRule="auto"/>
        <w:outlineLvl w:val="0"/>
        <w:rPr>
          <w:b/>
          <w:i/>
          <w:noProof/>
          <w:sz w:val="16"/>
          <w:szCs w:val="16"/>
        </w:rPr>
      </w:pPr>
      <w:bookmarkStart w:id="1" w:name="_GoBack"/>
      <w:bookmarkEnd w:id="1"/>
      <w:r w:rsidRPr="00DC4AD1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82570B" w:rsidRPr="00DC4AD1" w:rsidRDefault="0082570B" w:rsidP="00303D85">
      <w:pPr>
        <w:spacing w:after="0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475BE2" w:rsidRPr="00DC4AD1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8"/>
        <w:gridCol w:w="846"/>
        <w:gridCol w:w="658"/>
        <w:gridCol w:w="658"/>
        <w:gridCol w:w="662"/>
        <w:gridCol w:w="658"/>
        <w:gridCol w:w="657"/>
        <w:gridCol w:w="849"/>
        <w:gridCol w:w="845"/>
        <w:gridCol w:w="845"/>
        <w:gridCol w:w="829"/>
        <w:gridCol w:w="829"/>
        <w:gridCol w:w="751"/>
        <w:gridCol w:w="845"/>
        <w:gridCol w:w="732"/>
        <w:gridCol w:w="771"/>
        <w:gridCol w:w="790"/>
      </w:tblGrid>
      <w:tr w:rsidR="00475BE2" w:rsidRPr="00DC4AD1" w:rsidTr="00191F90">
        <w:trPr>
          <w:trHeight w:hRule="exact" w:val="706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Indikatori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VI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VII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VIII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IX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X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XI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XII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2013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II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III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IV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V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VI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M-n-M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jun 2013 / jun 2012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jan - jun 2013 / jan - jun 2012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REALNI SEKTOR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8"/>
                <w:szCs w:val="18"/>
              </w:rPr>
            </w:pPr>
            <w:r w:rsidRPr="00DC4AD1">
              <w:rPr>
                <w:b/>
                <w:bCs/>
                <w:noProof/>
                <w:sz w:val="18"/>
                <w:szCs w:val="18"/>
              </w:rPr>
              <w:t> 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Industrijska proizvodnja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-19.60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-5.50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-16.10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-24.40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-6.00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17.00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10.40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22.40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19.00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-12.7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19.0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10.4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Prerađivačka industrija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-18.50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-14.20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-13.00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-20.40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-40.50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-28.10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-20.30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-36.40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-32.80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-34.40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-28.20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-11.50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-11.10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-11.6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-11.1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-25.6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Noćenja u turizmu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7.60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-8.30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7.30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139.2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4.2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Promet u maloprodaji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8.20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7.80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8.60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Vrijednost radova u gradjevinarstvu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-23.7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12.0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-28.2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5.7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color w:val="993300"/>
                <w:sz w:val="16"/>
                <w:szCs w:val="16"/>
              </w:rPr>
            </w:pPr>
            <w:r>
              <w:rPr>
                <w:noProof/>
                <w:color w:val="993300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color w:val="993300"/>
                <w:sz w:val="16"/>
                <w:szCs w:val="16"/>
              </w:rPr>
            </w:pPr>
            <w:r>
              <w:rPr>
                <w:noProof/>
                <w:color w:val="993300"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color w:val="993300"/>
                <w:sz w:val="16"/>
                <w:szCs w:val="16"/>
              </w:rPr>
            </w:pPr>
            <w:r>
              <w:rPr>
                <w:noProof/>
                <w:color w:val="993300"/>
                <w:sz w:val="16"/>
                <w:szCs w:val="16"/>
              </w:rPr>
              <w:t>-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INFLACIJA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Indeks potrošačkih cijena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3.2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Harmonizovani indeks potrošačkih cijena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n/d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Indeks proizvodjačkih cijena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3.8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ZAPOSLENOST I ZARADE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Zaposlenost (broj, kraj perioda)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162,567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173,124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173,024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169,877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168,701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168,589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167,484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167,370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167,379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167,738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170,302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174,369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179,861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10.6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5.1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Broj nezaposlenih (broj, kraj perioda)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29,411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28,686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28,549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28,272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29,540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30,718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31,232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31,890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32,648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32,986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32,624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31,363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30,337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3.6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Stopa nezaposlenosti (%)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3.6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Stopa nezaposlenosti (ARS) (%)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20.0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18.8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20.6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center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21.5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Oglašena radna mjesta (broj)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4,146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2,651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1,081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2,766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2,826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1,719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1,430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-16.8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-65.5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-43.0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Prosječna mjesečna bruto zarada (u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-1.1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Prosječna mjesečna neto zarada (u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-2.2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MONETARNI SEKTOR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Ukupni krediti (kumulativ, mil.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2,345.2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2,374.7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2,401.4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2,425.3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2,361.5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2,338.1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2,342.0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2,482.8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2,507.6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2,490.7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2,466.7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2,477.6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2,457.5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 xml:space="preserve">Ukupni krediti (stopa rasta)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7.4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Nekvalitetni krediti (kumulativ,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335.4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338.4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342.7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350.5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330.4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329.4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314.8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Udio nekvalitetnih kredita u ukupnim kreditima (u %)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Ukupni depoziti (kumulativ,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1,843.4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1,916.6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1,954.4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2,001.1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1,965.5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1,982.9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1,980.7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1,969.8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1,990.1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1,999.3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1,951.5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1,974.4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2,009.7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Ukupni depoziti (stopa rasta)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7.4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4.8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Krediti privredi (kumulativ, u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975.8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971.5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950.5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941.1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923.6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936.6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930.4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1,013.2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1,019.0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1,026.5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1,029.1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1,027.9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990.5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Krediti domaćinstvima (kumulativ, u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831.7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827.6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824.6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825.2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821.6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818.1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809.2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857.4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861.1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865.8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872.5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875.1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880.9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Depoziti privrede (kumulativ, u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480.7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527.4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552.1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569.2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549.5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546.4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526.5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507.8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518.7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525.4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489.8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509.8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539.3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12.2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Lična štednja (kumulativ, u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1,051.4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1,086.6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1,108.3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1,113.7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1,114.7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1,134.7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1,146.8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1,150.4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1,158.7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1,165.0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1,165.1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1,162.4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1,164.7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10.8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Kamatna stopa na kredite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9.54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9.54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9,49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9.44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Kamatna stopa na depozite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3.27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3.06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EKSTERNI SEKTOR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Izvoz roba (u mil.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31.8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30.1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26.5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32.4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32.4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28.0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31.3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29.9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36.9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39.4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30.4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-22.9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-4.9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7.3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Uvoz roba (u mil.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170.8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177.6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173.4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147.7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158.6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136.6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139.5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110.2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113.9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138.5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162.3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152.1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170.2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11.9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-4.5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Spoljnotrgovinski bilans (u mil 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-138.9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-146.3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-141.6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-117.6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-132.2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-104.3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-107.0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-82.2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-82.7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-108.5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-125.4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-112.7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-139.9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24.1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-7.6</w:t>
            </w:r>
          </w:p>
        </w:tc>
      </w:tr>
      <w:tr w:rsidR="00475BE2" w:rsidRPr="00DC4AD1" w:rsidTr="00A11E17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Strane direktne investicije (mil.€)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34.4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58.9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18.3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92.7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20.9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77.3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40.1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6.6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19.5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39.5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17.1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29.5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A11E17" w:rsidP="00A11E17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MEĐUNARODNO OKRUŽENJE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Brent crude oil (USD/barel)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97.6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104.5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114.7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111.9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108.5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108.2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111.3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116.8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110.4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111.1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100.0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100.4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103.0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5.5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-8.4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Aluminijum (USD/T)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1,885.5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1,876.3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1,843.3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2,064.1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1,974.3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1,948.8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2,086.8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2,037.6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2,053.6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1,911.3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1,861.0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1,832.6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1,814.5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-3.8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-7.8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Euribor (12 mjeseci)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-1.0</w:t>
            </w:r>
          </w:p>
        </w:tc>
      </w:tr>
      <w:tr w:rsidR="00475BE2" w:rsidRPr="00DC4AD1" w:rsidTr="00191F90">
        <w:trPr>
          <w:trHeight w:hRule="exact" w:val="23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rPr>
                <w:b/>
                <w:bCs/>
                <w:noProof/>
                <w:sz w:val="16"/>
                <w:szCs w:val="16"/>
              </w:rPr>
            </w:pPr>
            <w:r w:rsidRPr="00DC4AD1">
              <w:rPr>
                <w:b/>
                <w:bCs/>
                <w:noProof/>
                <w:sz w:val="16"/>
                <w:szCs w:val="16"/>
              </w:rPr>
              <w:t>Inflacija u Eurozoni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2.0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1.6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0.2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-0.8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29" w:type="dxa"/>
            </w:tcMar>
            <w:vAlign w:val="center"/>
            <w:hideMark/>
          </w:tcPr>
          <w:p w:rsidR="00475BE2" w:rsidRPr="00DC4AD1" w:rsidRDefault="00475BE2">
            <w:pPr>
              <w:jc w:val="right"/>
              <w:rPr>
                <w:noProof/>
                <w:sz w:val="16"/>
                <w:szCs w:val="16"/>
              </w:rPr>
            </w:pPr>
            <w:r w:rsidRPr="00DC4AD1">
              <w:rPr>
                <w:noProof/>
                <w:sz w:val="16"/>
                <w:szCs w:val="16"/>
              </w:rPr>
              <w:t>-1.0</w:t>
            </w:r>
          </w:p>
        </w:tc>
      </w:tr>
    </w:tbl>
    <w:p w:rsidR="0082570B" w:rsidRPr="00DC4AD1" w:rsidRDefault="00475BE2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 xml:space="preserve"> </w:t>
      </w:r>
      <w:r w:rsidR="0082570B" w:rsidRPr="00DC4AD1">
        <w:rPr>
          <w:i/>
          <w:iCs/>
          <w:noProof/>
          <w:sz w:val="12"/>
          <w:szCs w:val="12"/>
        </w:rPr>
        <w:br w:type="page"/>
      </w:r>
    </w:p>
    <w:p w:rsidR="0082570B" w:rsidRPr="00DC4AD1" w:rsidRDefault="0082570B" w:rsidP="003A1150">
      <w:pPr>
        <w:spacing w:after="0" w:line="240" w:lineRule="auto"/>
        <w:jc w:val="both"/>
        <w:rPr>
          <w:i/>
          <w:iCs/>
          <w:noProof/>
          <w:sz w:val="12"/>
          <w:szCs w:val="12"/>
        </w:rPr>
      </w:pPr>
    </w:p>
    <w:p w:rsidR="0082570B" w:rsidRPr="00DC4AD1" w:rsidRDefault="00A419CE" w:rsidP="00A419CE">
      <w:pPr>
        <w:tabs>
          <w:tab w:val="left" w:pos="4230"/>
          <w:tab w:val="center" w:pos="8079"/>
        </w:tabs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tab/>
      </w:r>
      <w:r w:rsidRPr="00DC4AD1">
        <w:rPr>
          <w:noProof/>
          <w:sz w:val="17"/>
          <w:szCs w:val="16"/>
        </w:rPr>
        <w:tab/>
      </w:r>
      <w:r w:rsidR="0082570B" w:rsidRPr="00DC4AD1">
        <w:rPr>
          <w:noProof/>
          <w:sz w:val="17"/>
          <w:szCs w:val="16"/>
        </w:rPr>
        <w:t xml:space="preserve">Tabela 2: </w:t>
      </w:r>
      <w:r w:rsidR="0082570B" w:rsidRPr="00DC4AD1">
        <w:rPr>
          <w:b/>
          <w:bCs/>
          <w:noProof/>
          <w:sz w:val="17"/>
          <w:szCs w:val="16"/>
        </w:rPr>
        <w:t>BUDŽET CRNE GORE</w:t>
      </w:r>
      <w:r w:rsidR="0082570B" w:rsidRPr="00DC4AD1">
        <w:rPr>
          <w:noProof/>
          <w:sz w:val="17"/>
          <w:szCs w:val="16"/>
        </w:rPr>
        <w:t xml:space="preserve"> – </w:t>
      </w:r>
      <w:r w:rsidR="0085673A">
        <w:rPr>
          <w:noProof/>
          <w:sz w:val="17"/>
          <w:szCs w:val="16"/>
        </w:rPr>
        <w:t>j</w:t>
      </w:r>
      <w:r w:rsidR="007C43BE" w:rsidRPr="00DC4AD1">
        <w:rPr>
          <w:noProof/>
          <w:sz w:val="17"/>
          <w:szCs w:val="16"/>
        </w:rPr>
        <w:t>un 2013</w:t>
      </w:r>
      <w:r w:rsidR="0082570B" w:rsidRPr="00DC4AD1">
        <w:rPr>
          <w:noProof/>
          <w:sz w:val="17"/>
          <w:szCs w:val="16"/>
        </w:rPr>
        <w:t>.</w:t>
      </w:r>
    </w:p>
    <w:tbl>
      <w:tblPr>
        <w:tblW w:w="15020" w:type="dxa"/>
        <w:tblInd w:w="103" w:type="dxa"/>
        <w:tblLook w:val="00A0"/>
      </w:tblPr>
      <w:tblGrid>
        <w:gridCol w:w="214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60"/>
        <w:gridCol w:w="735"/>
        <w:gridCol w:w="771"/>
        <w:gridCol w:w="735"/>
      </w:tblGrid>
      <w:tr w:rsidR="0082570B" w:rsidRPr="00DC4AD1" w:rsidTr="0085673A">
        <w:trPr>
          <w:trHeight w:val="285"/>
        </w:trPr>
        <w:tc>
          <w:tcPr>
            <w:tcW w:w="21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i/>
                <w:iCs/>
                <w:noProof/>
                <w:sz w:val="14"/>
                <w:szCs w:val="14"/>
              </w:rPr>
              <w:t>BUDŽET CRNE GORE</w:t>
            </w:r>
          </w:p>
        </w:tc>
        <w:tc>
          <w:tcPr>
            <w:tcW w:w="410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2012</w:t>
            </w:r>
          </w:p>
        </w:tc>
        <w:tc>
          <w:tcPr>
            <w:tcW w:w="344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2013</w:t>
            </w:r>
          </w:p>
        </w:tc>
        <w:tc>
          <w:tcPr>
            <w:tcW w:w="35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2570B" w:rsidRPr="00DC4AD1" w:rsidRDefault="0082570B" w:rsidP="007C43BE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2013</w:t>
            </w:r>
            <w:r w:rsidR="0085673A">
              <w:rPr>
                <w:rFonts w:cs="Calibri"/>
                <w:noProof/>
                <w:sz w:val="14"/>
                <w:szCs w:val="14"/>
              </w:rPr>
              <w:t xml:space="preserve"> </w:t>
            </w:r>
            <w:r w:rsidRPr="00DC4AD1">
              <w:rPr>
                <w:rFonts w:cs="Calibri"/>
                <w:noProof/>
                <w:sz w:val="14"/>
                <w:szCs w:val="14"/>
              </w:rPr>
              <w:t>-</w:t>
            </w:r>
            <w:r w:rsidR="0085673A">
              <w:rPr>
                <w:rFonts w:cs="Calibri"/>
                <w:noProof/>
                <w:sz w:val="14"/>
                <w:szCs w:val="14"/>
              </w:rPr>
              <w:t xml:space="preserve"> </w:t>
            </w:r>
            <w:r w:rsidRPr="00DC4AD1">
              <w:rPr>
                <w:rFonts w:cs="Calibri"/>
                <w:noProof/>
                <w:sz w:val="14"/>
                <w:szCs w:val="14"/>
              </w:rPr>
              <w:t>plan</w:t>
            </w:r>
          </w:p>
        </w:tc>
        <w:tc>
          <w:tcPr>
            <w:tcW w:w="184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A419CE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Analitika</w:t>
            </w:r>
            <w:r w:rsidR="00A11E17">
              <w:rPr>
                <w:rFonts w:cs="Calibri"/>
                <w:noProof/>
                <w:sz w:val="14"/>
                <w:szCs w:val="14"/>
              </w:rPr>
              <w:t xml:space="preserve"> </w:t>
            </w:r>
            <w:r w:rsidRPr="00DC4AD1">
              <w:rPr>
                <w:rFonts w:cs="Calibri"/>
                <w:noProof/>
                <w:sz w:val="14"/>
                <w:szCs w:val="14"/>
              </w:rPr>
              <w:t>-</w:t>
            </w:r>
            <w:r w:rsidR="00A11E17">
              <w:rPr>
                <w:rFonts w:cs="Calibri"/>
                <w:noProof/>
                <w:sz w:val="14"/>
                <w:szCs w:val="14"/>
              </w:rPr>
              <w:t xml:space="preserve"> </w:t>
            </w:r>
            <w:r w:rsidRPr="00DC4AD1">
              <w:rPr>
                <w:rFonts w:cs="Calibri"/>
                <w:noProof/>
                <w:sz w:val="14"/>
                <w:szCs w:val="14"/>
              </w:rPr>
              <w:t>jun</w:t>
            </w:r>
          </w:p>
        </w:tc>
      </w:tr>
      <w:tr w:rsidR="0082570B" w:rsidRPr="00DC4AD1" w:rsidTr="0085673A">
        <w:trPr>
          <w:trHeight w:val="750"/>
        </w:trPr>
        <w:tc>
          <w:tcPr>
            <w:tcW w:w="21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b/>
                <w:bCs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VI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VII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VIII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IX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X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XI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XII</w:t>
            </w:r>
          </w:p>
        </w:tc>
        <w:tc>
          <w:tcPr>
            <w:tcW w:w="5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II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III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IV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VI</w:t>
            </w:r>
          </w:p>
        </w:tc>
        <w:tc>
          <w:tcPr>
            <w:tcW w:w="5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III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IV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VI</w:t>
            </w:r>
          </w:p>
        </w:tc>
        <w:tc>
          <w:tcPr>
            <w:tcW w:w="5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jun 2013/jun 2012(%)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jan-jun 2013/jan-jun 2012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DC4AD1">
              <w:rPr>
                <w:rFonts w:cs="Calibri"/>
                <w:noProof/>
                <w:sz w:val="14"/>
                <w:szCs w:val="14"/>
              </w:rPr>
              <w:t>jun 2013/jun 2013 plan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IZVORNI PRIHODI, od čega: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95.94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130.90</w:t>
            </w: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108.52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95.84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99.23</w:t>
            </w:r>
          </w:p>
        </w:tc>
        <w:tc>
          <w:tcPr>
            <w:tcW w:w="58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85.31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126.94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54.76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75.68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88.30</w:t>
            </w: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103.87</w:t>
            </w:r>
          </w:p>
        </w:tc>
        <w:tc>
          <w:tcPr>
            <w:tcW w:w="5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93.91</w:t>
            </w: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color w:val="000000"/>
                <w:sz w:val="14"/>
                <w:szCs w:val="14"/>
              </w:rPr>
              <w:t>99.46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56.41</w:t>
            </w: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72.07</w:t>
            </w: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82.94</w:t>
            </w:r>
          </w:p>
        </w:tc>
        <w:tc>
          <w:tcPr>
            <w:tcW w:w="5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99.96</w:t>
            </w: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96.47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100.95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  <w:t>3.68</w:t>
            </w:r>
          </w:p>
        </w:tc>
        <w:tc>
          <w:tcPr>
            <w:tcW w:w="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6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  <w:t>-1.47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Porezi i doprinosi na  zarade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32.63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48.37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32.88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42.82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35.50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60.40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14.21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34.57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35.60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34.16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36.35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39.09</w:t>
            </w:r>
          </w:p>
        </w:tc>
        <w:tc>
          <w:tcPr>
            <w:tcW w:w="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13.05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32.15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35.13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38.49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38.27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36.00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19.80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6.13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8.57</w:t>
            </w:r>
          </w:p>
        </w:tc>
      </w:tr>
      <w:tr w:rsidR="0082570B" w:rsidRPr="00DC4AD1" w:rsidTr="0085673A">
        <w:trPr>
          <w:trHeight w:val="315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Porez na dobit pravnih lica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3.80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28.54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3.27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1.54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1.82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0.50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5.09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14.80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3.64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4.47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12.49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3.69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4"/>
                <w:szCs w:val="14"/>
              </w:rPr>
            </w:pPr>
            <w:r w:rsidRPr="00A11E17">
              <w:rPr>
                <w:rFonts w:ascii="Arial" w:hAnsi="Arial" w:cs="Arial"/>
                <w:noProof/>
                <w:sz w:val="14"/>
                <w:szCs w:val="14"/>
              </w:rPr>
              <w:t>4.27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-4.35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-14.92</w:t>
            </w:r>
          </w:p>
        </w:tc>
      </w:tr>
      <w:tr w:rsidR="0082570B" w:rsidRPr="00DC4AD1" w:rsidTr="0085673A">
        <w:trPr>
          <w:trHeight w:val="300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Porez na dodatu vrijednost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37.82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37.35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32.21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33.59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33.88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29.08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25.78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24.86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24.75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29.49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33.76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34.16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35.87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22.22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24.91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29.05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32.49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4"/>
                <w:szCs w:val="14"/>
              </w:rPr>
            </w:pPr>
            <w:r w:rsidRPr="00A11E17">
              <w:rPr>
                <w:rFonts w:ascii="Arial" w:hAnsi="Arial" w:cs="Arial"/>
                <w:noProof/>
                <w:sz w:val="14"/>
                <w:szCs w:val="14"/>
              </w:rPr>
              <w:t>39.64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-5.17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12.34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-9.53</w:t>
            </w:r>
          </w:p>
        </w:tc>
      </w:tr>
      <w:tr w:rsidR="0082570B" w:rsidRPr="00DC4AD1" w:rsidTr="0085673A">
        <w:trPr>
          <w:trHeight w:val="300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Akcize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14.77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17.42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19.43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11.83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12.45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17.89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9.26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8.99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10.36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12.32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12.03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13.47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9.37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8.59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12.53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4"/>
                <w:szCs w:val="14"/>
              </w:rPr>
            </w:pPr>
            <w:r w:rsidRPr="00A11E17">
              <w:rPr>
                <w:rFonts w:ascii="Arial" w:hAnsi="Arial" w:cs="Arial"/>
                <w:noProof/>
                <w:sz w:val="14"/>
                <w:szCs w:val="14"/>
              </w:rPr>
              <w:t>12.21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-11.79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10.76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6.73</w:t>
            </w:r>
          </w:p>
        </w:tc>
      </w:tr>
      <w:tr w:rsidR="0082570B" w:rsidRPr="00DC4AD1" w:rsidTr="0085673A">
        <w:trPr>
          <w:trHeight w:val="315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Porez na medj trgovinu i transak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1.99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1.69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1.86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2.09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2.00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3.48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3.49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4"/>
                <w:szCs w:val="14"/>
              </w:rPr>
            </w:pPr>
            <w:r w:rsidRPr="00A11E17">
              <w:rPr>
                <w:rFonts w:ascii="Arial" w:hAnsi="Arial" w:cs="Arial"/>
                <w:noProof/>
                <w:sz w:val="14"/>
                <w:szCs w:val="14"/>
              </w:rPr>
              <w:t>2.31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-7.04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-36.83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-13.43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IZDACI BUDŽETA, od čega :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99.77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97.82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117.75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104.11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100.59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170.25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81.04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94.51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104.18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119.45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95.90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925448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color w:val="000000"/>
                <w:sz w:val="14"/>
                <w:szCs w:val="14"/>
              </w:rPr>
              <w:t>100.48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106.33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104.02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104.00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104.09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103.99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9254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103.94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925448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925448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  <w:t>-4.20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925448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  <w:t>-3.34</w:t>
            </w:r>
          </w:p>
        </w:tc>
      </w:tr>
      <w:tr w:rsidR="0082570B" w:rsidRPr="00DC4AD1" w:rsidTr="0085673A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Bruto zarade i doprinosi na teret posl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31.22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32.05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31.79</w:t>
            </w:r>
          </w:p>
        </w:tc>
        <w:tc>
          <w:tcPr>
            <w:tcW w:w="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31.01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4"/>
                <w:szCs w:val="14"/>
              </w:rPr>
            </w:pPr>
            <w:r w:rsidRPr="00A11E17">
              <w:rPr>
                <w:rFonts w:ascii="Arial" w:hAnsi="Arial" w:cs="Arial"/>
                <w:noProof/>
                <w:sz w:val="14"/>
                <w:szCs w:val="14"/>
              </w:rPr>
              <w:t>31.01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1.82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2.51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Rashodi za materijal i usluge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9.92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15.93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10.26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12.76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12.90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12.12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21.24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3.54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8.06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A419CE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8.08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6.17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-39.80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-44.37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-3.21</w:t>
            </w:r>
          </w:p>
        </w:tc>
      </w:tr>
      <w:tr w:rsidR="0082570B" w:rsidRPr="00DC4AD1" w:rsidTr="0085673A">
        <w:trPr>
          <w:trHeight w:val="300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Kamate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4.94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18.25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3.77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1.88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24.54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5.87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-29.09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-40.27</w:t>
            </w:r>
          </w:p>
        </w:tc>
      </w:tr>
      <w:tr w:rsidR="0082570B" w:rsidRPr="00DC4AD1" w:rsidTr="0085673A">
        <w:trPr>
          <w:trHeight w:val="300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Transferi za socijalnu zaštitu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39.07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39.99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40.35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40.56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40.34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42.46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38.15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42.31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40.45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39.91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41.49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2.15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-3.80</w:t>
            </w:r>
          </w:p>
        </w:tc>
      </w:tr>
      <w:tr w:rsidR="0082570B" w:rsidRPr="00DC4AD1" w:rsidTr="0085673A">
        <w:trPr>
          <w:trHeight w:val="465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Transferi instit, pojed i NVO sektoru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6.24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4.77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8.95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7.06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8.08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7.62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190.81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212.39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-7.31</w:t>
            </w:r>
          </w:p>
        </w:tc>
      </w:tr>
      <w:tr w:rsidR="0082570B" w:rsidRPr="00DC4AD1" w:rsidTr="0085673A">
        <w:trPr>
          <w:trHeight w:val="285"/>
        </w:trPr>
        <w:tc>
          <w:tcPr>
            <w:tcW w:w="21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Kapitalni izdaci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4.48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8.25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5.01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16.78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4.87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4.81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4.71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6.16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0.64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4.96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-4.70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636.33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Suficit / Deficit budžeta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-3.83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26.52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10.70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-21.91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-4.89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-15.27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-43.31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-26.28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-18.84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-15.88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-15.58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-1.98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color w:val="000000"/>
                <w:sz w:val="14"/>
                <w:szCs w:val="14"/>
              </w:rPr>
              <w:t>-1.01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82570B" w:rsidRPr="00DC4AD1" w:rsidRDefault="0085673A" w:rsidP="00590B7B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14"/>
                <w:szCs w:val="14"/>
              </w:rPr>
            </w:pPr>
            <w:r>
              <w:rPr>
                <w:rFonts w:cs="Calibri"/>
                <w:b/>
                <w:bCs/>
                <w:noProof/>
                <w:sz w:val="14"/>
                <w:szCs w:val="14"/>
              </w:rPr>
              <w:t>-49.93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-31.95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-21.06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-4.13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-7.52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-2.99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5673A" w:rsidP="00590B7B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  <w:t>-73,60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  <w:t>-46.01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i/>
                <w:iCs/>
                <w:noProof/>
                <w:color w:val="000000"/>
                <w:sz w:val="14"/>
                <w:szCs w:val="14"/>
              </w:rPr>
              <w:t>-66.16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Primarni deficit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1.11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27.82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13.37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-3.66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-4.30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-14.40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-39.55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-25.73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-17.90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-14.00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8.96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2.49</w:t>
            </w:r>
          </w:p>
        </w:tc>
        <w:tc>
          <w:tcPr>
            <w:tcW w:w="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-44.06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-26.08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-15.19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-1.66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2.88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124.54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-59.87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-13.35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Otplata dugova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18.30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20.38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11.78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3.93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3.41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12.53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16.06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7.38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6.92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6.29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18.47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7.69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2.82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5.38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bCs/>
                <w:noProof/>
                <w:sz w:val="14"/>
                <w:szCs w:val="14"/>
              </w:rPr>
            </w:pPr>
            <w:r w:rsidRPr="00A11E17">
              <w:rPr>
                <w:rFonts w:cs="Calibri"/>
                <w:bCs/>
                <w:noProof/>
                <w:sz w:val="14"/>
                <w:szCs w:val="14"/>
              </w:rPr>
              <w:t>5.39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16.83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0.92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-14.40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9.75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nil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b/>
                <w:bCs/>
                <w:noProof/>
                <w:sz w:val="14"/>
                <w:szCs w:val="14"/>
              </w:rPr>
            </w:pPr>
            <w:r w:rsidRPr="00DC4AD1">
              <w:rPr>
                <w:rFonts w:cs="Calibri"/>
                <w:b/>
                <w:bCs/>
                <w:noProof/>
                <w:sz w:val="14"/>
                <w:szCs w:val="14"/>
              </w:rPr>
              <w:t>Državni dug (stanje duga)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1629.6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1718.8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1703.2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1707.2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1709.4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1700.2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1699.5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1732.7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1732.7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1755.7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1764.2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1767.1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noProof/>
                <w:color w:val="000000"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color w:val="000000"/>
                <w:sz w:val="14"/>
                <w:szCs w:val="14"/>
              </w:rPr>
              <w:t>1760.9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noProof/>
                <w:sz w:val="14"/>
                <w:szCs w:val="14"/>
              </w:rPr>
            </w:pPr>
            <w:r w:rsidRPr="0085673A">
              <w:rPr>
                <w:rFonts w:cs="Calibri"/>
                <w:b/>
                <w:noProof/>
                <w:sz w:val="14"/>
                <w:szCs w:val="14"/>
              </w:rPr>
              <w:t>-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</w:pPr>
            <w:r w:rsidRPr="0085673A"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  <w:t>8.06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right"/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</w:pPr>
            <w:r w:rsidRPr="0085673A"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  <w:t>11.24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85673A" w:rsidRDefault="0082570B" w:rsidP="00590B7B">
            <w:pPr>
              <w:spacing w:after="0" w:line="240" w:lineRule="auto"/>
              <w:jc w:val="center"/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</w:pPr>
            <w:r w:rsidRPr="0085673A">
              <w:rPr>
                <w:rFonts w:cs="Calibri"/>
                <w:b/>
                <w:i/>
                <w:iCs/>
                <w:noProof/>
                <w:color w:val="000000"/>
                <w:sz w:val="14"/>
                <w:szCs w:val="14"/>
              </w:rPr>
              <w:t>-</w:t>
            </w:r>
          </w:p>
        </w:tc>
      </w:tr>
      <w:tr w:rsidR="0082570B" w:rsidRPr="00DC4AD1" w:rsidTr="0085673A">
        <w:trPr>
          <w:trHeight w:val="330"/>
        </w:trPr>
        <w:tc>
          <w:tcPr>
            <w:tcW w:w="21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Domaći dug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424.1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411.2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395.4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399.6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401.3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393.1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404.5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400.1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396.7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420.3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431.7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436.0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442.7</w:t>
            </w:r>
          </w:p>
        </w:tc>
        <w:tc>
          <w:tcPr>
            <w:tcW w:w="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4.39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-1.18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</w:t>
            </w:r>
          </w:p>
        </w:tc>
      </w:tr>
      <w:tr w:rsidR="0082570B" w:rsidRPr="00DC4AD1" w:rsidTr="0085673A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DC4AD1" w:rsidRDefault="0082570B" w:rsidP="00590B7B">
            <w:pPr>
              <w:spacing w:after="0" w:line="240" w:lineRule="auto"/>
              <w:rPr>
                <w:rFonts w:cs="Calibri"/>
                <w:i/>
                <w:iCs/>
                <w:noProof/>
                <w:sz w:val="14"/>
                <w:szCs w:val="14"/>
              </w:rPr>
            </w:pPr>
            <w:r w:rsidRPr="00DC4AD1">
              <w:rPr>
                <w:rFonts w:cs="Calibri"/>
                <w:i/>
                <w:iCs/>
                <w:noProof/>
                <w:sz w:val="14"/>
                <w:szCs w:val="14"/>
              </w:rPr>
              <w:t>Inostrani dug</w:t>
            </w:r>
          </w:p>
        </w:tc>
        <w:tc>
          <w:tcPr>
            <w:tcW w:w="60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1205.5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1307.6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1307.8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1307.6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1308.1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1307.1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1295.0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1332.6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1336.0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1335.4</w:t>
            </w:r>
          </w:p>
        </w:tc>
        <w:tc>
          <w:tcPr>
            <w:tcW w:w="5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1332.5</w:t>
            </w:r>
          </w:p>
        </w:tc>
        <w:tc>
          <w:tcPr>
            <w:tcW w:w="5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1331.1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noProof/>
                <w:color w:val="000000"/>
                <w:sz w:val="14"/>
                <w:szCs w:val="14"/>
              </w:rPr>
              <w:t>1318.2</w:t>
            </w:r>
          </w:p>
        </w:tc>
        <w:tc>
          <w:tcPr>
            <w:tcW w:w="52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noProof/>
                <w:sz w:val="14"/>
                <w:szCs w:val="14"/>
              </w:rPr>
            </w:pPr>
            <w:r w:rsidRPr="00A11E17">
              <w:rPr>
                <w:rFonts w:cs="Calibri"/>
                <w:noProof/>
                <w:sz w:val="14"/>
                <w:szCs w:val="14"/>
              </w:rPr>
              <w:t>-</w:t>
            </w:r>
          </w:p>
        </w:tc>
        <w:tc>
          <w:tcPr>
            <w:tcW w:w="58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9.35</w:t>
            </w:r>
          </w:p>
        </w:tc>
        <w:tc>
          <w:tcPr>
            <w:tcW w:w="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right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15.85</w:t>
            </w:r>
          </w:p>
        </w:tc>
        <w:tc>
          <w:tcPr>
            <w:tcW w:w="6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82570B" w:rsidRPr="00A11E17" w:rsidRDefault="0082570B" w:rsidP="00590B7B">
            <w:pPr>
              <w:spacing w:after="0" w:line="240" w:lineRule="auto"/>
              <w:jc w:val="center"/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</w:pPr>
            <w:r w:rsidRPr="00A11E17">
              <w:rPr>
                <w:rFonts w:cs="Calibri"/>
                <w:i/>
                <w:iCs/>
                <w:noProof/>
                <w:color w:val="000000"/>
                <w:sz w:val="14"/>
                <w:szCs w:val="14"/>
              </w:rPr>
              <w:t>-</w:t>
            </w:r>
          </w:p>
        </w:tc>
      </w:tr>
    </w:tbl>
    <w:p w:rsidR="0082570B" w:rsidRPr="00DC4AD1" w:rsidRDefault="0082570B" w:rsidP="0002564B">
      <w:pPr>
        <w:outlineLvl w:val="0"/>
        <w:rPr>
          <w:b/>
          <w:i/>
          <w:noProof/>
          <w:sz w:val="14"/>
          <w:szCs w:val="14"/>
        </w:rPr>
      </w:pPr>
    </w:p>
    <w:p w:rsidR="0082570B" w:rsidRPr="00DC4AD1" w:rsidRDefault="0082570B" w:rsidP="0002564B">
      <w:pPr>
        <w:outlineLvl w:val="0"/>
        <w:rPr>
          <w:b/>
          <w:i/>
          <w:noProof/>
          <w:sz w:val="14"/>
          <w:szCs w:val="14"/>
        </w:rPr>
      </w:pPr>
      <w:r w:rsidRPr="00DC4AD1">
        <w:rPr>
          <w:b/>
          <w:i/>
          <w:noProof/>
          <w:sz w:val="14"/>
          <w:szCs w:val="14"/>
        </w:rPr>
        <w:t>Izvor: Ministarstvo finansijaCrne Gore</w:t>
      </w:r>
    </w:p>
    <w:p w:rsidR="0082570B" w:rsidRPr="00DC4AD1" w:rsidRDefault="0082570B" w:rsidP="005025EC">
      <w:pPr>
        <w:jc w:val="both"/>
        <w:rPr>
          <w:rFonts w:cs="Calibri"/>
          <w:bCs/>
          <w:noProof/>
          <w:sz w:val="14"/>
          <w:szCs w:val="14"/>
        </w:rPr>
      </w:pPr>
    </w:p>
    <w:p w:rsidR="0082570B" w:rsidRPr="00DC4AD1" w:rsidRDefault="0082570B" w:rsidP="005025EC">
      <w:pPr>
        <w:ind w:left="-142"/>
        <w:jc w:val="both"/>
        <w:rPr>
          <w:noProof/>
          <w:sz w:val="14"/>
          <w:szCs w:val="14"/>
        </w:rPr>
      </w:pPr>
      <w:r w:rsidRPr="00DC4AD1">
        <w:rPr>
          <w:rFonts w:cs="Calibri"/>
          <w:bCs/>
          <w:noProof/>
          <w:sz w:val="14"/>
          <w:szCs w:val="14"/>
        </w:rPr>
        <w:t>.</w:t>
      </w:r>
    </w:p>
    <w:sectPr w:rsidR="0082570B" w:rsidRPr="00DC4AD1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6C1" w:rsidRDefault="00BA06C1" w:rsidP="00965FCD">
      <w:pPr>
        <w:spacing w:after="0" w:line="240" w:lineRule="auto"/>
      </w:pPr>
      <w:r>
        <w:separator/>
      </w:r>
    </w:p>
  </w:endnote>
  <w:endnote w:type="continuationSeparator" w:id="1">
    <w:p w:rsidR="00BA06C1" w:rsidRDefault="00BA06C1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6C1" w:rsidRDefault="00BA06C1" w:rsidP="00965FCD">
      <w:pPr>
        <w:spacing w:after="0" w:line="240" w:lineRule="auto"/>
      </w:pPr>
      <w:r>
        <w:separator/>
      </w:r>
    </w:p>
  </w:footnote>
  <w:footnote w:type="continuationSeparator" w:id="1">
    <w:p w:rsidR="00BA06C1" w:rsidRDefault="00BA06C1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97970"/>
    <w:multiLevelType w:val="hybridMultilevel"/>
    <w:tmpl w:val="530A2D48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10A3"/>
    <w:rsid w:val="00003D78"/>
    <w:rsid w:val="00004B56"/>
    <w:rsid w:val="000147A0"/>
    <w:rsid w:val="00014AAB"/>
    <w:rsid w:val="00014D0B"/>
    <w:rsid w:val="00014E6A"/>
    <w:rsid w:val="00021033"/>
    <w:rsid w:val="000224B4"/>
    <w:rsid w:val="00022789"/>
    <w:rsid w:val="0002564B"/>
    <w:rsid w:val="000263A4"/>
    <w:rsid w:val="00031722"/>
    <w:rsid w:val="000341DE"/>
    <w:rsid w:val="00034923"/>
    <w:rsid w:val="00034D42"/>
    <w:rsid w:val="0003544A"/>
    <w:rsid w:val="000369E1"/>
    <w:rsid w:val="000421A3"/>
    <w:rsid w:val="000449CD"/>
    <w:rsid w:val="00044CB0"/>
    <w:rsid w:val="00045654"/>
    <w:rsid w:val="00046C9E"/>
    <w:rsid w:val="00050EAB"/>
    <w:rsid w:val="00052DC4"/>
    <w:rsid w:val="00054068"/>
    <w:rsid w:val="00055E5C"/>
    <w:rsid w:val="00055F78"/>
    <w:rsid w:val="00056E43"/>
    <w:rsid w:val="000601A4"/>
    <w:rsid w:val="00061391"/>
    <w:rsid w:val="000645F3"/>
    <w:rsid w:val="00067726"/>
    <w:rsid w:val="000734AF"/>
    <w:rsid w:val="00073786"/>
    <w:rsid w:val="00074378"/>
    <w:rsid w:val="000747AC"/>
    <w:rsid w:val="00074C3E"/>
    <w:rsid w:val="0007530C"/>
    <w:rsid w:val="00080AEE"/>
    <w:rsid w:val="000812E2"/>
    <w:rsid w:val="00085B67"/>
    <w:rsid w:val="00090FDD"/>
    <w:rsid w:val="00091154"/>
    <w:rsid w:val="000915D3"/>
    <w:rsid w:val="000917D8"/>
    <w:rsid w:val="000925F7"/>
    <w:rsid w:val="00094311"/>
    <w:rsid w:val="000945C9"/>
    <w:rsid w:val="0009505C"/>
    <w:rsid w:val="0009548F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67B1"/>
    <w:rsid w:val="000B7AE2"/>
    <w:rsid w:val="000C06C5"/>
    <w:rsid w:val="000C0B0A"/>
    <w:rsid w:val="000C1965"/>
    <w:rsid w:val="000C36DB"/>
    <w:rsid w:val="000C6818"/>
    <w:rsid w:val="000D0374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C6B"/>
    <w:rsid w:val="000F756E"/>
    <w:rsid w:val="00100371"/>
    <w:rsid w:val="0010339D"/>
    <w:rsid w:val="00107128"/>
    <w:rsid w:val="00112853"/>
    <w:rsid w:val="00114109"/>
    <w:rsid w:val="00115519"/>
    <w:rsid w:val="00116365"/>
    <w:rsid w:val="001164A1"/>
    <w:rsid w:val="00117AB0"/>
    <w:rsid w:val="00120A3A"/>
    <w:rsid w:val="00123CBD"/>
    <w:rsid w:val="00131185"/>
    <w:rsid w:val="001326B7"/>
    <w:rsid w:val="00134816"/>
    <w:rsid w:val="00134A21"/>
    <w:rsid w:val="00134C6C"/>
    <w:rsid w:val="00136E70"/>
    <w:rsid w:val="00144C86"/>
    <w:rsid w:val="0014607D"/>
    <w:rsid w:val="00147278"/>
    <w:rsid w:val="00152E4F"/>
    <w:rsid w:val="001530CE"/>
    <w:rsid w:val="0015322D"/>
    <w:rsid w:val="00154145"/>
    <w:rsid w:val="0015515C"/>
    <w:rsid w:val="00156E33"/>
    <w:rsid w:val="00157601"/>
    <w:rsid w:val="001610BD"/>
    <w:rsid w:val="001613FC"/>
    <w:rsid w:val="001627A3"/>
    <w:rsid w:val="00163041"/>
    <w:rsid w:val="001644C7"/>
    <w:rsid w:val="00165DE6"/>
    <w:rsid w:val="001678F1"/>
    <w:rsid w:val="00170C82"/>
    <w:rsid w:val="00170CCE"/>
    <w:rsid w:val="00172D59"/>
    <w:rsid w:val="001730BE"/>
    <w:rsid w:val="00174836"/>
    <w:rsid w:val="0017540F"/>
    <w:rsid w:val="00181309"/>
    <w:rsid w:val="0018289E"/>
    <w:rsid w:val="0018592D"/>
    <w:rsid w:val="00186BEF"/>
    <w:rsid w:val="00186F09"/>
    <w:rsid w:val="0018794A"/>
    <w:rsid w:val="00187C66"/>
    <w:rsid w:val="00190285"/>
    <w:rsid w:val="00191F90"/>
    <w:rsid w:val="001942BA"/>
    <w:rsid w:val="001A2829"/>
    <w:rsid w:val="001A392F"/>
    <w:rsid w:val="001A594D"/>
    <w:rsid w:val="001A5B99"/>
    <w:rsid w:val="001A65F4"/>
    <w:rsid w:val="001A7319"/>
    <w:rsid w:val="001B3267"/>
    <w:rsid w:val="001C1F7E"/>
    <w:rsid w:val="001C23DD"/>
    <w:rsid w:val="001C264C"/>
    <w:rsid w:val="001C2751"/>
    <w:rsid w:val="001C51EC"/>
    <w:rsid w:val="001C5CE9"/>
    <w:rsid w:val="001C6698"/>
    <w:rsid w:val="001C6750"/>
    <w:rsid w:val="001C70BA"/>
    <w:rsid w:val="001D0A32"/>
    <w:rsid w:val="001D37FD"/>
    <w:rsid w:val="001D4E81"/>
    <w:rsid w:val="001E29D1"/>
    <w:rsid w:val="001E2BC7"/>
    <w:rsid w:val="001E33FE"/>
    <w:rsid w:val="001E4EAE"/>
    <w:rsid w:val="001E5BE3"/>
    <w:rsid w:val="001F1378"/>
    <w:rsid w:val="001F19CC"/>
    <w:rsid w:val="001F2B57"/>
    <w:rsid w:val="001F4C02"/>
    <w:rsid w:val="001F69DD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35A2"/>
    <w:rsid w:val="0021614C"/>
    <w:rsid w:val="00220834"/>
    <w:rsid w:val="002210E9"/>
    <w:rsid w:val="00223E45"/>
    <w:rsid w:val="002251C3"/>
    <w:rsid w:val="00225F74"/>
    <w:rsid w:val="002263B3"/>
    <w:rsid w:val="0022695C"/>
    <w:rsid w:val="00227682"/>
    <w:rsid w:val="00227D75"/>
    <w:rsid w:val="00230FA2"/>
    <w:rsid w:val="00231268"/>
    <w:rsid w:val="00232A05"/>
    <w:rsid w:val="00234902"/>
    <w:rsid w:val="00236B99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75609"/>
    <w:rsid w:val="00282488"/>
    <w:rsid w:val="00282DBE"/>
    <w:rsid w:val="00283704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2CED"/>
    <w:rsid w:val="002A4910"/>
    <w:rsid w:val="002A68B8"/>
    <w:rsid w:val="002B10AE"/>
    <w:rsid w:val="002B318C"/>
    <w:rsid w:val="002B552A"/>
    <w:rsid w:val="002C1A52"/>
    <w:rsid w:val="002C1FBF"/>
    <w:rsid w:val="002C47B8"/>
    <w:rsid w:val="002C6888"/>
    <w:rsid w:val="002C78FB"/>
    <w:rsid w:val="002D170B"/>
    <w:rsid w:val="002D175D"/>
    <w:rsid w:val="002D2E80"/>
    <w:rsid w:val="002D3B0F"/>
    <w:rsid w:val="002D5865"/>
    <w:rsid w:val="002E6CB0"/>
    <w:rsid w:val="002F184C"/>
    <w:rsid w:val="002F19E7"/>
    <w:rsid w:val="002F323A"/>
    <w:rsid w:val="002F5002"/>
    <w:rsid w:val="002F567B"/>
    <w:rsid w:val="002F6AB2"/>
    <w:rsid w:val="003004B8"/>
    <w:rsid w:val="003022A7"/>
    <w:rsid w:val="00303D85"/>
    <w:rsid w:val="00307F4D"/>
    <w:rsid w:val="0031558E"/>
    <w:rsid w:val="00315B94"/>
    <w:rsid w:val="003217C9"/>
    <w:rsid w:val="00321CA6"/>
    <w:rsid w:val="00327AC3"/>
    <w:rsid w:val="00327BFC"/>
    <w:rsid w:val="00330832"/>
    <w:rsid w:val="00330C13"/>
    <w:rsid w:val="00331520"/>
    <w:rsid w:val="00331C0E"/>
    <w:rsid w:val="00331D9F"/>
    <w:rsid w:val="003324D9"/>
    <w:rsid w:val="0033276A"/>
    <w:rsid w:val="00333C49"/>
    <w:rsid w:val="00337648"/>
    <w:rsid w:val="00340752"/>
    <w:rsid w:val="003409C9"/>
    <w:rsid w:val="00341583"/>
    <w:rsid w:val="00344581"/>
    <w:rsid w:val="0034655C"/>
    <w:rsid w:val="00350CFE"/>
    <w:rsid w:val="0035139C"/>
    <w:rsid w:val="003568F4"/>
    <w:rsid w:val="00357182"/>
    <w:rsid w:val="00357E66"/>
    <w:rsid w:val="00360100"/>
    <w:rsid w:val="00360197"/>
    <w:rsid w:val="003625F1"/>
    <w:rsid w:val="00364D14"/>
    <w:rsid w:val="00365311"/>
    <w:rsid w:val="00365E46"/>
    <w:rsid w:val="00366F41"/>
    <w:rsid w:val="0037726C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D7E"/>
    <w:rsid w:val="00396FDF"/>
    <w:rsid w:val="003A0776"/>
    <w:rsid w:val="003A0C23"/>
    <w:rsid w:val="003A0F73"/>
    <w:rsid w:val="003A1150"/>
    <w:rsid w:val="003A1E5E"/>
    <w:rsid w:val="003A5C77"/>
    <w:rsid w:val="003B1992"/>
    <w:rsid w:val="003B1A29"/>
    <w:rsid w:val="003B1C22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A35"/>
    <w:rsid w:val="00400C11"/>
    <w:rsid w:val="004010A8"/>
    <w:rsid w:val="00401DED"/>
    <w:rsid w:val="00404546"/>
    <w:rsid w:val="00406097"/>
    <w:rsid w:val="00406C7B"/>
    <w:rsid w:val="00407FE4"/>
    <w:rsid w:val="0041311D"/>
    <w:rsid w:val="00415784"/>
    <w:rsid w:val="00415806"/>
    <w:rsid w:val="004159BE"/>
    <w:rsid w:val="00417DAC"/>
    <w:rsid w:val="00420CBC"/>
    <w:rsid w:val="00421432"/>
    <w:rsid w:val="00421CD5"/>
    <w:rsid w:val="00425EC2"/>
    <w:rsid w:val="00427696"/>
    <w:rsid w:val="00435D37"/>
    <w:rsid w:val="00436469"/>
    <w:rsid w:val="004379FA"/>
    <w:rsid w:val="0044465C"/>
    <w:rsid w:val="0044550D"/>
    <w:rsid w:val="004471B9"/>
    <w:rsid w:val="00447221"/>
    <w:rsid w:val="00454093"/>
    <w:rsid w:val="00454C7D"/>
    <w:rsid w:val="00455227"/>
    <w:rsid w:val="00461324"/>
    <w:rsid w:val="0046148B"/>
    <w:rsid w:val="004634E4"/>
    <w:rsid w:val="004655E7"/>
    <w:rsid w:val="004725CB"/>
    <w:rsid w:val="0047278D"/>
    <w:rsid w:val="00475763"/>
    <w:rsid w:val="00475BE2"/>
    <w:rsid w:val="00480082"/>
    <w:rsid w:val="004848E8"/>
    <w:rsid w:val="004865CE"/>
    <w:rsid w:val="004868F5"/>
    <w:rsid w:val="00487296"/>
    <w:rsid w:val="004932C1"/>
    <w:rsid w:val="00493B63"/>
    <w:rsid w:val="004940E0"/>
    <w:rsid w:val="00496861"/>
    <w:rsid w:val="004A1113"/>
    <w:rsid w:val="004A382B"/>
    <w:rsid w:val="004A3894"/>
    <w:rsid w:val="004A38D1"/>
    <w:rsid w:val="004A55B1"/>
    <w:rsid w:val="004A56BE"/>
    <w:rsid w:val="004A5717"/>
    <w:rsid w:val="004A62DA"/>
    <w:rsid w:val="004B1C2A"/>
    <w:rsid w:val="004B41B2"/>
    <w:rsid w:val="004B7800"/>
    <w:rsid w:val="004B7883"/>
    <w:rsid w:val="004C0135"/>
    <w:rsid w:val="004C16F3"/>
    <w:rsid w:val="004C373F"/>
    <w:rsid w:val="004C3C31"/>
    <w:rsid w:val="004C659C"/>
    <w:rsid w:val="004D49A0"/>
    <w:rsid w:val="004D4E0F"/>
    <w:rsid w:val="004E7676"/>
    <w:rsid w:val="004F288B"/>
    <w:rsid w:val="004F3817"/>
    <w:rsid w:val="004F50B8"/>
    <w:rsid w:val="004F7808"/>
    <w:rsid w:val="004F7D2D"/>
    <w:rsid w:val="004F7F71"/>
    <w:rsid w:val="005025EC"/>
    <w:rsid w:val="005027D6"/>
    <w:rsid w:val="005070CF"/>
    <w:rsid w:val="005078B9"/>
    <w:rsid w:val="00516264"/>
    <w:rsid w:val="00517175"/>
    <w:rsid w:val="00522282"/>
    <w:rsid w:val="00524587"/>
    <w:rsid w:val="0052531F"/>
    <w:rsid w:val="005253D1"/>
    <w:rsid w:val="005264EC"/>
    <w:rsid w:val="00532B88"/>
    <w:rsid w:val="005331BD"/>
    <w:rsid w:val="005343F8"/>
    <w:rsid w:val="0053502A"/>
    <w:rsid w:val="0053621B"/>
    <w:rsid w:val="00536525"/>
    <w:rsid w:val="0053722D"/>
    <w:rsid w:val="00541131"/>
    <w:rsid w:val="00541D70"/>
    <w:rsid w:val="005429A2"/>
    <w:rsid w:val="00543A1F"/>
    <w:rsid w:val="005468F5"/>
    <w:rsid w:val="00546967"/>
    <w:rsid w:val="00547212"/>
    <w:rsid w:val="00547B34"/>
    <w:rsid w:val="005523CF"/>
    <w:rsid w:val="0055364A"/>
    <w:rsid w:val="00553E61"/>
    <w:rsid w:val="0055409D"/>
    <w:rsid w:val="0055507E"/>
    <w:rsid w:val="00555A5E"/>
    <w:rsid w:val="0055713F"/>
    <w:rsid w:val="00560529"/>
    <w:rsid w:val="00560667"/>
    <w:rsid w:val="00561992"/>
    <w:rsid w:val="00564436"/>
    <w:rsid w:val="005644BB"/>
    <w:rsid w:val="0056509E"/>
    <w:rsid w:val="00565662"/>
    <w:rsid w:val="005700F4"/>
    <w:rsid w:val="00570C9B"/>
    <w:rsid w:val="00570EEF"/>
    <w:rsid w:val="005715D6"/>
    <w:rsid w:val="00571A37"/>
    <w:rsid w:val="0057438A"/>
    <w:rsid w:val="00580172"/>
    <w:rsid w:val="00581749"/>
    <w:rsid w:val="005829D9"/>
    <w:rsid w:val="00583591"/>
    <w:rsid w:val="005852DA"/>
    <w:rsid w:val="00590B7B"/>
    <w:rsid w:val="005916D5"/>
    <w:rsid w:val="00593B25"/>
    <w:rsid w:val="00595DA2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3915"/>
    <w:rsid w:val="005C4CBE"/>
    <w:rsid w:val="005C4DBD"/>
    <w:rsid w:val="005C5F38"/>
    <w:rsid w:val="005D0E14"/>
    <w:rsid w:val="005D4BC4"/>
    <w:rsid w:val="005D6EEB"/>
    <w:rsid w:val="005D751B"/>
    <w:rsid w:val="005E038B"/>
    <w:rsid w:val="005E150E"/>
    <w:rsid w:val="005E2852"/>
    <w:rsid w:val="005E35C9"/>
    <w:rsid w:val="005E4CD1"/>
    <w:rsid w:val="005E5941"/>
    <w:rsid w:val="005E6D35"/>
    <w:rsid w:val="005F50EA"/>
    <w:rsid w:val="005F568D"/>
    <w:rsid w:val="006006C6"/>
    <w:rsid w:val="006050EA"/>
    <w:rsid w:val="006071F2"/>
    <w:rsid w:val="00607217"/>
    <w:rsid w:val="00607500"/>
    <w:rsid w:val="0061084D"/>
    <w:rsid w:val="006127E9"/>
    <w:rsid w:val="00612F5E"/>
    <w:rsid w:val="00613676"/>
    <w:rsid w:val="006152FB"/>
    <w:rsid w:val="00616B6E"/>
    <w:rsid w:val="00620FA4"/>
    <w:rsid w:val="0062271A"/>
    <w:rsid w:val="00622F10"/>
    <w:rsid w:val="00623BC4"/>
    <w:rsid w:val="00624C12"/>
    <w:rsid w:val="00634B74"/>
    <w:rsid w:val="0063610A"/>
    <w:rsid w:val="00645ED4"/>
    <w:rsid w:val="00647463"/>
    <w:rsid w:val="00647B12"/>
    <w:rsid w:val="006509EE"/>
    <w:rsid w:val="0065108A"/>
    <w:rsid w:val="006534C5"/>
    <w:rsid w:val="00653CF3"/>
    <w:rsid w:val="00654A8A"/>
    <w:rsid w:val="0065775B"/>
    <w:rsid w:val="00657F58"/>
    <w:rsid w:val="00661339"/>
    <w:rsid w:val="00661C7E"/>
    <w:rsid w:val="00663690"/>
    <w:rsid w:val="00664DEB"/>
    <w:rsid w:val="00666EFC"/>
    <w:rsid w:val="00670373"/>
    <w:rsid w:val="00670C6E"/>
    <w:rsid w:val="00671844"/>
    <w:rsid w:val="006723F0"/>
    <w:rsid w:val="00672DCB"/>
    <w:rsid w:val="006751BF"/>
    <w:rsid w:val="006756E9"/>
    <w:rsid w:val="006759B4"/>
    <w:rsid w:val="006760A4"/>
    <w:rsid w:val="00676256"/>
    <w:rsid w:val="00676A4B"/>
    <w:rsid w:val="00681351"/>
    <w:rsid w:val="00681A9E"/>
    <w:rsid w:val="00684902"/>
    <w:rsid w:val="00690A2B"/>
    <w:rsid w:val="00690EA9"/>
    <w:rsid w:val="006910F4"/>
    <w:rsid w:val="00692810"/>
    <w:rsid w:val="0069434B"/>
    <w:rsid w:val="00694445"/>
    <w:rsid w:val="00695141"/>
    <w:rsid w:val="00695AC5"/>
    <w:rsid w:val="006971AF"/>
    <w:rsid w:val="00697A91"/>
    <w:rsid w:val="006A0B4A"/>
    <w:rsid w:val="006A290B"/>
    <w:rsid w:val="006A5DE6"/>
    <w:rsid w:val="006A6C58"/>
    <w:rsid w:val="006B159D"/>
    <w:rsid w:val="006B2866"/>
    <w:rsid w:val="006B3579"/>
    <w:rsid w:val="006B4777"/>
    <w:rsid w:val="006B7725"/>
    <w:rsid w:val="006C15C6"/>
    <w:rsid w:val="006C2906"/>
    <w:rsid w:val="006C3C84"/>
    <w:rsid w:val="006C5F17"/>
    <w:rsid w:val="006C7BA4"/>
    <w:rsid w:val="006C7EA3"/>
    <w:rsid w:val="006D1A57"/>
    <w:rsid w:val="006D3720"/>
    <w:rsid w:val="006D3727"/>
    <w:rsid w:val="006D4A5C"/>
    <w:rsid w:val="006D53D7"/>
    <w:rsid w:val="006D74DB"/>
    <w:rsid w:val="006E11AC"/>
    <w:rsid w:val="006E4746"/>
    <w:rsid w:val="006E4B91"/>
    <w:rsid w:val="006E6751"/>
    <w:rsid w:val="006F1AFE"/>
    <w:rsid w:val="006F2861"/>
    <w:rsid w:val="006F4309"/>
    <w:rsid w:val="006F5E1B"/>
    <w:rsid w:val="006F6B2B"/>
    <w:rsid w:val="006F6D5E"/>
    <w:rsid w:val="00701093"/>
    <w:rsid w:val="007027D1"/>
    <w:rsid w:val="007055C9"/>
    <w:rsid w:val="00710BC7"/>
    <w:rsid w:val="00712271"/>
    <w:rsid w:val="00713AA0"/>
    <w:rsid w:val="00715597"/>
    <w:rsid w:val="00716A7D"/>
    <w:rsid w:val="00716B14"/>
    <w:rsid w:val="00717FE8"/>
    <w:rsid w:val="00721DCD"/>
    <w:rsid w:val="00722A4C"/>
    <w:rsid w:val="00725D07"/>
    <w:rsid w:val="007307C9"/>
    <w:rsid w:val="0073431B"/>
    <w:rsid w:val="00734688"/>
    <w:rsid w:val="00734729"/>
    <w:rsid w:val="00736E76"/>
    <w:rsid w:val="00737DB4"/>
    <w:rsid w:val="007406F2"/>
    <w:rsid w:val="00742C04"/>
    <w:rsid w:val="007452A1"/>
    <w:rsid w:val="00745BCE"/>
    <w:rsid w:val="00746132"/>
    <w:rsid w:val="007469F9"/>
    <w:rsid w:val="007515DA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6413B"/>
    <w:rsid w:val="00771538"/>
    <w:rsid w:val="007722BC"/>
    <w:rsid w:val="00772A01"/>
    <w:rsid w:val="00772F45"/>
    <w:rsid w:val="00777134"/>
    <w:rsid w:val="00781377"/>
    <w:rsid w:val="00784166"/>
    <w:rsid w:val="0078476D"/>
    <w:rsid w:val="00784BF8"/>
    <w:rsid w:val="00785339"/>
    <w:rsid w:val="00786F50"/>
    <w:rsid w:val="00787E88"/>
    <w:rsid w:val="00791DC2"/>
    <w:rsid w:val="007941BB"/>
    <w:rsid w:val="00794B8C"/>
    <w:rsid w:val="00796ED1"/>
    <w:rsid w:val="00797B66"/>
    <w:rsid w:val="007A1882"/>
    <w:rsid w:val="007A2838"/>
    <w:rsid w:val="007A299E"/>
    <w:rsid w:val="007A33EE"/>
    <w:rsid w:val="007B0888"/>
    <w:rsid w:val="007B41C4"/>
    <w:rsid w:val="007B5A1B"/>
    <w:rsid w:val="007B5C2E"/>
    <w:rsid w:val="007B7DBE"/>
    <w:rsid w:val="007C1EE8"/>
    <w:rsid w:val="007C2107"/>
    <w:rsid w:val="007C2827"/>
    <w:rsid w:val="007C43BE"/>
    <w:rsid w:val="007D0956"/>
    <w:rsid w:val="007D39CD"/>
    <w:rsid w:val="007D410B"/>
    <w:rsid w:val="007D4C9D"/>
    <w:rsid w:val="007D4EE7"/>
    <w:rsid w:val="007D5AB1"/>
    <w:rsid w:val="007E0203"/>
    <w:rsid w:val="007E056C"/>
    <w:rsid w:val="007E081D"/>
    <w:rsid w:val="007E1AB8"/>
    <w:rsid w:val="007E293C"/>
    <w:rsid w:val="007E36EB"/>
    <w:rsid w:val="007E5CC1"/>
    <w:rsid w:val="007E7DDD"/>
    <w:rsid w:val="007F33E9"/>
    <w:rsid w:val="007F388B"/>
    <w:rsid w:val="007F61AF"/>
    <w:rsid w:val="007F775F"/>
    <w:rsid w:val="00802B7F"/>
    <w:rsid w:val="00804F0B"/>
    <w:rsid w:val="00805844"/>
    <w:rsid w:val="00806B4B"/>
    <w:rsid w:val="00810837"/>
    <w:rsid w:val="00810CDD"/>
    <w:rsid w:val="00811332"/>
    <w:rsid w:val="0081184B"/>
    <w:rsid w:val="00811DF5"/>
    <w:rsid w:val="00812E0B"/>
    <w:rsid w:val="00813F13"/>
    <w:rsid w:val="00815A2F"/>
    <w:rsid w:val="00817A6A"/>
    <w:rsid w:val="0082070B"/>
    <w:rsid w:val="00822F67"/>
    <w:rsid w:val="008251C2"/>
    <w:rsid w:val="0082570B"/>
    <w:rsid w:val="0082721B"/>
    <w:rsid w:val="008343BA"/>
    <w:rsid w:val="0083553F"/>
    <w:rsid w:val="00836A00"/>
    <w:rsid w:val="00845320"/>
    <w:rsid w:val="00845675"/>
    <w:rsid w:val="00847B5B"/>
    <w:rsid w:val="00854098"/>
    <w:rsid w:val="0085673A"/>
    <w:rsid w:val="008573C7"/>
    <w:rsid w:val="00857B59"/>
    <w:rsid w:val="00860BDB"/>
    <w:rsid w:val="00861096"/>
    <w:rsid w:val="008617B7"/>
    <w:rsid w:val="00861D85"/>
    <w:rsid w:val="00861F52"/>
    <w:rsid w:val="00864891"/>
    <w:rsid w:val="00864D7E"/>
    <w:rsid w:val="008656F4"/>
    <w:rsid w:val="00871ED5"/>
    <w:rsid w:val="00873808"/>
    <w:rsid w:val="00873FD5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B599F"/>
    <w:rsid w:val="008C01EB"/>
    <w:rsid w:val="008C15C8"/>
    <w:rsid w:val="008C2299"/>
    <w:rsid w:val="008C3941"/>
    <w:rsid w:val="008C4151"/>
    <w:rsid w:val="008D0308"/>
    <w:rsid w:val="008D0998"/>
    <w:rsid w:val="008D20A3"/>
    <w:rsid w:val="008D2C8B"/>
    <w:rsid w:val="008D4618"/>
    <w:rsid w:val="008D6E96"/>
    <w:rsid w:val="008D6F6A"/>
    <w:rsid w:val="008D6F78"/>
    <w:rsid w:val="008E0E90"/>
    <w:rsid w:val="008E10D6"/>
    <w:rsid w:val="008E2B58"/>
    <w:rsid w:val="008E3D20"/>
    <w:rsid w:val="008E5EDA"/>
    <w:rsid w:val="008E6D00"/>
    <w:rsid w:val="008E7183"/>
    <w:rsid w:val="008F0415"/>
    <w:rsid w:val="008F195C"/>
    <w:rsid w:val="008F34CB"/>
    <w:rsid w:val="008F3986"/>
    <w:rsid w:val="008F4F59"/>
    <w:rsid w:val="008F7755"/>
    <w:rsid w:val="00902289"/>
    <w:rsid w:val="009022BB"/>
    <w:rsid w:val="009045B3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5576"/>
    <w:rsid w:val="0091631F"/>
    <w:rsid w:val="00916A0F"/>
    <w:rsid w:val="00920528"/>
    <w:rsid w:val="0092368D"/>
    <w:rsid w:val="0092403C"/>
    <w:rsid w:val="0092474C"/>
    <w:rsid w:val="00925448"/>
    <w:rsid w:val="009271A2"/>
    <w:rsid w:val="0093484E"/>
    <w:rsid w:val="00935A48"/>
    <w:rsid w:val="00937C0F"/>
    <w:rsid w:val="00941C71"/>
    <w:rsid w:val="00941E99"/>
    <w:rsid w:val="0094299F"/>
    <w:rsid w:val="009472A1"/>
    <w:rsid w:val="00947E4E"/>
    <w:rsid w:val="00951A56"/>
    <w:rsid w:val="009543FD"/>
    <w:rsid w:val="0095708D"/>
    <w:rsid w:val="009570EC"/>
    <w:rsid w:val="00957325"/>
    <w:rsid w:val="00962341"/>
    <w:rsid w:val="009647DB"/>
    <w:rsid w:val="00965B35"/>
    <w:rsid w:val="00965FCD"/>
    <w:rsid w:val="00966CC3"/>
    <w:rsid w:val="009707F3"/>
    <w:rsid w:val="00970817"/>
    <w:rsid w:val="00972F5D"/>
    <w:rsid w:val="0097377E"/>
    <w:rsid w:val="00974320"/>
    <w:rsid w:val="00974F42"/>
    <w:rsid w:val="0098296F"/>
    <w:rsid w:val="009836D7"/>
    <w:rsid w:val="0098562F"/>
    <w:rsid w:val="009860B5"/>
    <w:rsid w:val="00992B90"/>
    <w:rsid w:val="00994D96"/>
    <w:rsid w:val="009A0736"/>
    <w:rsid w:val="009A1376"/>
    <w:rsid w:val="009A24E1"/>
    <w:rsid w:val="009A4C61"/>
    <w:rsid w:val="009A74A7"/>
    <w:rsid w:val="009A792A"/>
    <w:rsid w:val="009B1C0A"/>
    <w:rsid w:val="009B320B"/>
    <w:rsid w:val="009B5779"/>
    <w:rsid w:val="009B65AF"/>
    <w:rsid w:val="009B6603"/>
    <w:rsid w:val="009C162D"/>
    <w:rsid w:val="009C42D7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8AC"/>
    <w:rsid w:val="009E5D48"/>
    <w:rsid w:val="009E70C1"/>
    <w:rsid w:val="009E7177"/>
    <w:rsid w:val="009F0EB0"/>
    <w:rsid w:val="009F1090"/>
    <w:rsid w:val="009F18E0"/>
    <w:rsid w:val="009F35DF"/>
    <w:rsid w:val="009F3CF9"/>
    <w:rsid w:val="009F3DA9"/>
    <w:rsid w:val="00A00218"/>
    <w:rsid w:val="00A0035B"/>
    <w:rsid w:val="00A060B3"/>
    <w:rsid w:val="00A06C70"/>
    <w:rsid w:val="00A07539"/>
    <w:rsid w:val="00A119B4"/>
    <w:rsid w:val="00A11CDE"/>
    <w:rsid w:val="00A11E17"/>
    <w:rsid w:val="00A14996"/>
    <w:rsid w:val="00A16685"/>
    <w:rsid w:val="00A17447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37526"/>
    <w:rsid w:val="00A419CE"/>
    <w:rsid w:val="00A4482B"/>
    <w:rsid w:val="00A44F75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6220E"/>
    <w:rsid w:val="00A62711"/>
    <w:rsid w:val="00A63167"/>
    <w:rsid w:val="00A66994"/>
    <w:rsid w:val="00A67103"/>
    <w:rsid w:val="00A73828"/>
    <w:rsid w:val="00A74590"/>
    <w:rsid w:val="00A75004"/>
    <w:rsid w:val="00A76BD3"/>
    <w:rsid w:val="00A80523"/>
    <w:rsid w:val="00A81A72"/>
    <w:rsid w:val="00A85320"/>
    <w:rsid w:val="00A85322"/>
    <w:rsid w:val="00A919D2"/>
    <w:rsid w:val="00A92C88"/>
    <w:rsid w:val="00A93193"/>
    <w:rsid w:val="00A94105"/>
    <w:rsid w:val="00A9414F"/>
    <w:rsid w:val="00A94444"/>
    <w:rsid w:val="00A965E6"/>
    <w:rsid w:val="00AA1568"/>
    <w:rsid w:val="00AA4C9B"/>
    <w:rsid w:val="00AA53FC"/>
    <w:rsid w:val="00AA57C2"/>
    <w:rsid w:val="00AB1AAD"/>
    <w:rsid w:val="00AB3700"/>
    <w:rsid w:val="00AB47EB"/>
    <w:rsid w:val="00AB4C24"/>
    <w:rsid w:val="00AB4C79"/>
    <w:rsid w:val="00AC33D0"/>
    <w:rsid w:val="00AC41A8"/>
    <w:rsid w:val="00AC4E44"/>
    <w:rsid w:val="00AC7CE7"/>
    <w:rsid w:val="00AD02E0"/>
    <w:rsid w:val="00AD0474"/>
    <w:rsid w:val="00AD0FC1"/>
    <w:rsid w:val="00AD1B16"/>
    <w:rsid w:val="00AD1CF2"/>
    <w:rsid w:val="00AD677F"/>
    <w:rsid w:val="00AD69AC"/>
    <w:rsid w:val="00AD6C85"/>
    <w:rsid w:val="00AD6E0C"/>
    <w:rsid w:val="00AD725A"/>
    <w:rsid w:val="00AE3B29"/>
    <w:rsid w:val="00AE46D2"/>
    <w:rsid w:val="00AF16EF"/>
    <w:rsid w:val="00AF2A35"/>
    <w:rsid w:val="00AF39C0"/>
    <w:rsid w:val="00AF6471"/>
    <w:rsid w:val="00AF71DC"/>
    <w:rsid w:val="00B022B2"/>
    <w:rsid w:val="00B02D66"/>
    <w:rsid w:val="00B0449D"/>
    <w:rsid w:val="00B063C0"/>
    <w:rsid w:val="00B10371"/>
    <w:rsid w:val="00B12E31"/>
    <w:rsid w:val="00B12FFF"/>
    <w:rsid w:val="00B144B8"/>
    <w:rsid w:val="00B215A7"/>
    <w:rsid w:val="00B2447D"/>
    <w:rsid w:val="00B2654F"/>
    <w:rsid w:val="00B27D61"/>
    <w:rsid w:val="00B30BC0"/>
    <w:rsid w:val="00B36D48"/>
    <w:rsid w:val="00B40133"/>
    <w:rsid w:val="00B41E7A"/>
    <w:rsid w:val="00B46ABF"/>
    <w:rsid w:val="00B47CAB"/>
    <w:rsid w:val="00B50021"/>
    <w:rsid w:val="00B50CF4"/>
    <w:rsid w:val="00B53433"/>
    <w:rsid w:val="00B6394D"/>
    <w:rsid w:val="00B63FBA"/>
    <w:rsid w:val="00B6519A"/>
    <w:rsid w:val="00B663B8"/>
    <w:rsid w:val="00B71665"/>
    <w:rsid w:val="00B71C0B"/>
    <w:rsid w:val="00B74947"/>
    <w:rsid w:val="00B7591E"/>
    <w:rsid w:val="00B81BD0"/>
    <w:rsid w:val="00B82794"/>
    <w:rsid w:val="00B84CCB"/>
    <w:rsid w:val="00B862AF"/>
    <w:rsid w:val="00B90D97"/>
    <w:rsid w:val="00B91241"/>
    <w:rsid w:val="00B92D47"/>
    <w:rsid w:val="00BA06C1"/>
    <w:rsid w:val="00BA0B65"/>
    <w:rsid w:val="00BA1F78"/>
    <w:rsid w:val="00BA6FEF"/>
    <w:rsid w:val="00BB24C2"/>
    <w:rsid w:val="00BB40F6"/>
    <w:rsid w:val="00BB60B2"/>
    <w:rsid w:val="00BB785F"/>
    <w:rsid w:val="00BB7D3F"/>
    <w:rsid w:val="00BC1BBF"/>
    <w:rsid w:val="00BC2E39"/>
    <w:rsid w:val="00BC4BB9"/>
    <w:rsid w:val="00BC6076"/>
    <w:rsid w:val="00BC6E86"/>
    <w:rsid w:val="00BC76FE"/>
    <w:rsid w:val="00BD0C9A"/>
    <w:rsid w:val="00BD30D2"/>
    <w:rsid w:val="00BE2E1E"/>
    <w:rsid w:val="00BE47BD"/>
    <w:rsid w:val="00BE5B52"/>
    <w:rsid w:val="00BE6E6D"/>
    <w:rsid w:val="00BF0ACC"/>
    <w:rsid w:val="00BF1F70"/>
    <w:rsid w:val="00BF2B93"/>
    <w:rsid w:val="00BF301B"/>
    <w:rsid w:val="00BF43FA"/>
    <w:rsid w:val="00BF7150"/>
    <w:rsid w:val="00BF72CE"/>
    <w:rsid w:val="00C00FED"/>
    <w:rsid w:val="00C0135E"/>
    <w:rsid w:val="00C01F4F"/>
    <w:rsid w:val="00C0788A"/>
    <w:rsid w:val="00C131FA"/>
    <w:rsid w:val="00C13F58"/>
    <w:rsid w:val="00C14571"/>
    <w:rsid w:val="00C1491F"/>
    <w:rsid w:val="00C157D1"/>
    <w:rsid w:val="00C20E5A"/>
    <w:rsid w:val="00C22E55"/>
    <w:rsid w:val="00C25367"/>
    <w:rsid w:val="00C26844"/>
    <w:rsid w:val="00C2734A"/>
    <w:rsid w:val="00C321B7"/>
    <w:rsid w:val="00C34184"/>
    <w:rsid w:val="00C34AC1"/>
    <w:rsid w:val="00C35CAA"/>
    <w:rsid w:val="00C37B69"/>
    <w:rsid w:val="00C41BAB"/>
    <w:rsid w:val="00C41D78"/>
    <w:rsid w:val="00C42122"/>
    <w:rsid w:val="00C42838"/>
    <w:rsid w:val="00C4601D"/>
    <w:rsid w:val="00C46235"/>
    <w:rsid w:val="00C47275"/>
    <w:rsid w:val="00C50494"/>
    <w:rsid w:val="00C51BC7"/>
    <w:rsid w:val="00C53A70"/>
    <w:rsid w:val="00C565D2"/>
    <w:rsid w:val="00C576EA"/>
    <w:rsid w:val="00C57CD2"/>
    <w:rsid w:val="00C603DE"/>
    <w:rsid w:val="00C6164F"/>
    <w:rsid w:val="00C62171"/>
    <w:rsid w:val="00C6348A"/>
    <w:rsid w:val="00C6406C"/>
    <w:rsid w:val="00C64636"/>
    <w:rsid w:val="00C652CE"/>
    <w:rsid w:val="00C6630B"/>
    <w:rsid w:val="00C701AF"/>
    <w:rsid w:val="00C72651"/>
    <w:rsid w:val="00C72C89"/>
    <w:rsid w:val="00C74B05"/>
    <w:rsid w:val="00C75F0D"/>
    <w:rsid w:val="00C75F73"/>
    <w:rsid w:val="00C80520"/>
    <w:rsid w:val="00C81007"/>
    <w:rsid w:val="00C85EA2"/>
    <w:rsid w:val="00C86D66"/>
    <w:rsid w:val="00C909BF"/>
    <w:rsid w:val="00C9152B"/>
    <w:rsid w:val="00C93D87"/>
    <w:rsid w:val="00C93DA1"/>
    <w:rsid w:val="00C9626E"/>
    <w:rsid w:val="00CA211C"/>
    <w:rsid w:val="00CA44ED"/>
    <w:rsid w:val="00CA7C68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E518B"/>
    <w:rsid w:val="00CF5FA3"/>
    <w:rsid w:val="00D0131E"/>
    <w:rsid w:val="00D01C27"/>
    <w:rsid w:val="00D0344E"/>
    <w:rsid w:val="00D0409E"/>
    <w:rsid w:val="00D0655B"/>
    <w:rsid w:val="00D06D66"/>
    <w:rsid w:val="00D0711F"/>
    <w:rsid w:val="00D134CD"/>
    <w:rsid w:val="00D17067"/>
    <w:rsid w:val="00D20419"/>
    <w:rsid w:val="00D20CDA"/>
    <w:rsid w:val="00D222E7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44ED9"/>
    <w:rsid w:val="00D45256"/>
    <w:rsid w:val="00D47D6A"/>
    <w:rsid w:val="00D50FD4"/>
    <w:rsid w:val="00D51C00"/>
    <w:rsid w:val="00D51E0A"/>
    <w:rsid w:val="00D55775"/>
    <w:rsid w:val="00D564C8"/>
    <w:rsid w:val="00D61692"/>
    <w:rsid w:val="00D64F6E"/>
    <w:rsid w:val="00D710FD"/>
    <w:rsid w:val="00D71690"/>
    <w:rsid w:val="00D733AC"/>
    <w:rsid w:val="00D73AA8"/>
    <w:rsid w:val="00D75F50"/>
    <w:rsid w:val="00D76A94"/>
    <w:rsid w:val="00D7718A"/>
    <w:rsid w:val="00D803C1"/>
    <w:rsid w:val="00D848EE"/>
    <w:rsid w:val="00D85C94"/>
    <w:rsid w:val="00D8651E"/>
    <w:rsid w:val="00D91904"/>
    <w:rsid w:val="00D92C91"/>
    <w:rsid w:val="00D94466"/>
    <w:rsid w:val="00D96B77"/>
    <w:rsid w:val="00DA35C2"/>
    <w:rsid w:val="00DA372E"/>
    <w:rsid w:val="00DB0D61"/>
    <w:rsid w:val="00DB2EE2"/>
    <w:rsid w:val="00DB3E5E"/>
    <w:rsid w:val="00DB55E7"/>
    <w:rsid w:val="00DB7C5D"/>
    <w:rsid w:val="00DC1184"/>
    <w:rsid w:val="00DC3690"/>
    <w:rsid w:val="00DC48C0"/>
    <w:rsid w:val="00DC4AD1"/>
    <w:rsid w:val="00DD230D"/>
    <w:rsid w:val="00DD351E"/>
    <w:rsid w:val="00DD5A8F"/>
    <w:rsid w:val="00DD756A"/>
    <w:rsid w:val="00DE0595"/>
    <w:rsid w:val="00DE1A7C"/>
    <w:rsid w:val="00DE2C31"/>
    <w:rsid w:val="00DE4794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1F45"/>
    <w:rsid w:val="00E02E82"/>
    <w:rsid w:val="00E03367"/>
    <w:rsid w:val="00E04E50"/>
    <w:rsid w:val="00E05C49"/>
    <w:rsid w:val="00E06855"/>
    <w:rsid w:val="00E143F2"/>
    <w:rsid w:val="00E14901"/>
    <w:rsid w:val="00E20800"/>
    <w:rsid w:val="00E237D9"/>
    <w:rsid w:val="00E249A9"/>
    <w:rsid w:val="00E27F19"/>
    <w:rsid w:val="00E30184"/>
    <w:rsid w:val="00E30F05"/>
    <w:rsid w:val="00E318AD"/>
    <w:rsid w:val="00E32169"/>
    <w:rsid w:val="00E328B1"/>
    <w:rsid w:val="00E35767"/>
    <w:rsid w:val="00E35BCC"/>
    <w:rsid w:val="00E36E18"/>
    <w:rsid w:val="00E37149"/>
    <w:rsid w:val="00E40915"/>
    <w:rsid w:val="00E41355"/>
    <w:rsid w:val="00E42290"/>
    <w:rsid w:val="00E453FC"/>
    <w:rsid w:val="00E456CD"/>
    <w:rsid w:val="00E4745C"/>
    <w:rsid w:val="00E523EF"/>
    <w:rsid w:val="00E565C1"/>
    <w:rsid w:val="00E56648"/>
    <w:rsid w:val="00E56E69"/>
    <w:rsid w:val="00E57695"/>
    <w:rsid w:val="00E57725"/>
    <w:rsid w:val="00E610DC"/>
    <w:rsid w:val="00E64AA5"/>
    <w:rsid w:val="00E64E93"/>
    <w:rsid w:val="00E72541"/>
    <w:rsid w:val="00E72808"/>
    <w:rsid w:val="00E72F93"/>
    <w:rsid w:val="00E734B7"/>
    <w:rsid w:val="00E73E27"/>
    <w:rsid w:val="00E75796"/>
    <w:rsid w:val="00E8093F"/>
    <w:rsid w:val="00E82901"/>
    <w:rsid w:val="00E82C42"/>
    <w:rsid w:val="00E83DA8"/>
    <w:rsid w:val="00E83E92"/>
    <w:rsid w:val="00E842DE"/>
    <w:rsid w:val="00E84A41"/>
    <w:rsid w:val="00E8523D"/>
    <w:rsid w:val="00E87BA7"/>
    <w:rsid w:val="00E91311"/>
    <w:rsid w:val="00E92380"/>
    <w:rsid w:val="00E95A95"/>
    <w:rsid w:val="00EA2FB5"/>
    <w:rsid w:val="00EA43D5"/>
    <w:rsid w:val="00EA5738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167"/>
    <w:rsid w:val="00EE0860"/>
    <w:rsid w:val="00EE096D"/>
    <w:rsid w:val="00EE2019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EF737D"/>
    <w:rsid w:val="00F00B04"/>
    <w:rsid w:val="00F01200"/>
    <w:rsid w:val="00F03B06"/>
    <w:rsid w:val="00F04386"/>
    <w:rsid w:val="00F04AF5"/>
    <w:rsid w:val="00F064DC"/>
    <w:rsid w:val="00F10750"/>
    <w:rsid w:val="00F1270D"/>
    <w:rsid w:val="00F13EE1"/>
    <w:rsid w:val="00F176FB"/>
    <w:rsid w:val="00F21847"/>
    <w:rsid w:val="00F21D60"/>
    <w:rsid w:val="00F231BA"/>
    <w:rsid w:val="00F24232"/>
    <w:rsid w:val="00F24992"/>
    <w:rsid w:val="00F27924"/>
    <w:rsid w:val="00F3219F"/>
    <w:rsid w:val="00F32E78"/>
    <w:rsid w:val="00F36375"/>
    <w:rsid w:val="00F4195C"/>
    <w:rsid w:val="00F52271"/>
    <w:rsid w:val="00F54342"/>
    <w:rsid w:val="00F550CB"/>
    <w:rsid w:val="00F5720E"/>
    <w:rsid w:val="00F5737B"/>
    <w:rsid w:val="00F619FF"/>
    <w:rsid w:val="00F6365F"/>
    <w:rsid w:val="00F653CD"/>
    <w:rsid w:val="00F65D2D"/>
    <w:rsid w:val="00F67252"/>
    <w:rsid w:val="00F70CC9"/>
    <w:rsid w:val="00F72EE3"/>
    <w:rsid w:val="00F737D1"/>
    <w:rsid w:val="00F74097"/>
    <w:rsid w:val="00F743B0"/>
    <w:rsid w:val="00F81AF7"/>
    <w:rsid w:val="00F81F17"/>
    <w:rsid w:val="00F911BE"/>
    <w:rsid w:val="00F93E6F"/>
    <w:rsid w:val="00F943E3"/>
    <w:rsid w:val="00F94653"/>
    <w:rsid w:val="00F967FC"/>
    <w:rsid w:val="00FA053C"/>
    <w:rsid w:val="00FA1BE2"/>
    <w:rsid w:val="00FA2AA4"/>
    <w:rsid w:val="00FB03D2"/>
    <w:rsid w:val="00FB0828"/>
    <w:rsid w:val="00FB6B92"/>
    <w:rsid w:val="00FB73F7"/>
    <w:rsid w:val="00FC1555"/>
    <w:rsid w:val="00FC2E1D"/>
    <w:rsid w:val="00FC39C8"/>
    <w:rsid w:val="00FC3AFD"/>
    <w:rsid w:val="00FC4259"/>
    <w:rsid w:val="00FD004E"/>
    <w:rsid w:val="00FD0116"/>
    <w:rsid w:val="00FD0297"/>
    <w:rsid w:val="00FD0AB9"/>
    <w:rsid w:val="00FD6D73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tko\AppData\Local\Temp\&#352;panija%20Njema&#269;k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analiza%202013\industrija%20i%20turizam-grafici%20za%20analizu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olja.tomanovic\My%20Documents\Dropbox\MINISTARSTVO%20FINANSIJA\SEP\MMI\MMI%202013\MMI_2013_07\mmi-2013%20%20Jun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Korisnik\Desktop\MMI%20jul\mmi_sirovi%20podaci_2013_06-stanko.xls" TargetMode="External"/><Relationship Id="rId1" Type="http://schemas.openxmlformats.org/officeDocument/2006/relationships/image" Target="../media/image3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atko\Dropbox\MINISTARSTVO%20FINANSIJA%20(1)\SEP\MMI\MMI%202013\MMI_2013_07\mmi-2013%20%20Jun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50"/>
            </a:pPr>
            <a:r>
              <a:rPr lang="sr-Latn-ME" sz="1050"/>
              <a:t>ESI</a:t>
            </a:r>
            <a:r>
              <a:rPr lang="sr-Latn-ME" sz="1050" baseline="0"/>
              <a:t> po </a:t>
            </a:r>
            <a:r>
              <a:rPr lang="sr-Latn-ME" sz="1000" baseline="0"/>
              <a:t>izabranim</a:t>
            </a:r>
            <a:r>
              <a:rPr lang="sr-Latn-ME" sz="1050" baseline="0"/>
              <a:t> zemljama</a:t>
            </a:r>
            <a:endParaRPr lang="en-US" sz="105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21823069804135792"/>
          <c:y val="0.14314928425357873"/>
          <c:w val="0.7100832916116695"/>
          <c:h val="0.75438996505804867"/>
        </c:manualLayout>
      </c:layout>
      <c:barChart>
        <c:barDir val="bar"/>
        <c:grouping val="clustered"/>
        <c:ser>
          <c:idx val="0"/>
          <c:order val="0"/>
          <c:cat>
            <c:strRef>
              <c:f>Sheet2!$B$4:$B$11</c:f>
              <c:strCache>
                <c:ptCount val="8"/>
                <c:pt idx="0">
                  <c:v>Njemačka</c:v>
                </c:pt>
                <c:pt idx="1">
                  <c:v>Danska</c:v>
                </c:pt>
                <c:pt idx="2">
                  <c:v>Španija</c:v>
                </c:pt>
                <c:pt idx="3">
                  <c:v>Austrija</c:v>
                </c:pt>
                <c:pt idx="4">
                  <c:v>Holandija</c:v>
                </c:pt>
                <c:pt idx="5">
                  <c:v>Francuska</c:v>
                </c:pt>
                <c:pt idx="6">
                  <c:v>Italija </c:v>
                </c:pt>
                <c:pt idx="7">
                  <c:v>Kipar</c:v>
                </c:pt>
              </c:strCache>
            </c:strRef>
          </c:cat>
          <c:val>
            <c:numRef>
              <c:f>Sheet2!$C$4:$C$11</c:f>
              <c:numCache>
                <c:formatCode>General</c:formatCode>
                <c:ptCount val="8"/>
                <c:pt idx="0">
                  <c:v>99.8</c:v>
                </c:pt>
                <c:pt idx="1">
                  <c:v>99.3</c:v>
                </c:pt>
                <c:pt idx="2">
                  <c:v>92.3</c:v>
                </c:pt>
                <c:pt idx="3">
                  <c:v>91.1</c:v>
                </c:pt>
                <c:pt idx="4">
                  <c:v>89.5</c:v>
                </c:pt>
                <c:pt idx="5">
                  <c:v>88.7</c:v>
                </c:pt>
                <c:pt idx="6">
                  <c:v>86.6</c:v>
                </c:pt>
                <c:pt idx="7">
                  <c:v>76.3</c:v>
                </c:pt>
              </c:numCache>
            </c:numRef>
          </c:val>
        </c:ser>
        <c:gapWidth val="30"/>
        <c:axId val="123763328"/>
        <c:axId val="123765120"/>
      </c:barChart>
      <c:catAx>
        <c:axId val="123763328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23765120"/>
        <c:crosses val="autoZero"/>
        <c:auto val="1"/>
        <c:lblAlgn val="ctr"/>
        <c:lblOffset val="100"/>
      </c:catAx>
      <c:valAx>
        <c:axId val="123765120"/>
        <c:scaling>
          <c:orientation val="minMax"/>
          <c:max val="100"/>
          <c:min val="60"/>
        </c:scaling>
        <c:axPos val="b"/>
        <c:majorGridlines>
          <c:spPr>
            <a:ln>
              <a:solidFill>
                <a:srgbClr val="4F81BD"/>
              </a:solidFill>
              <a:prstDash val="sysDot"/>
            </a:ln>
          </c:spPr>
        </c:majorGridlines>
        <c:numFmt formatCode="General" sourceLinked="1"/>
        <c:tickLblPos val="nextTo"/>
        <c:spPr>
          <a:ln w="6350">
            <a:solidFill>
              <a:schemeClr val="accent1"/>
            </a:solidFill>
            <a:prstDash val="sysDot"/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12376332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800"/>
            </a:pPr>
            <a:r>
              <a:rPr lang="sr-Latn-ME" sz="800"/>
              <a:t>I</a:t>
            </a:r>
            <a:r>
              <a:rPr lang="en-US" sz="800"/>
              <a:t>ndustrijska proizvodnja,</a:t>
            </a:r>
            <a:r>
              <a:rPr lang="sr-Latn-CS" sz="800"/>
              <a:t> </a:t>
            </a:r>
            <a:r>
              <a:rPr lang="en-US" sz="800"/>
              <a:t>sektori,</a:t>
            </a:r>
            <a:r>
              <a:rPr lang="sr-Latn-CS" sz="800"/>
              <a:t> </a:t>
            </a:r>
            <a:r>
              <a:rPr lang="en-US" sz="800"/>
              <a:t>stope rasta(%)</a:t>
            </a:r>
          </a:p>
        </c:rich>
      </c:tx>
      <c:layout>
        <c:manualLayout>
          <c:xMode val="edge"/>
          <c:yMode val="edge"/>
          <c:x val="0.19200466339381853"/>
          <c:y val="4.2668854722959946E-3"/>
        </c:manualLayout>
      </c:layout>
    </c:title>
    <c:plotArea>
      <c:layout>
        <c:manualLayout>
          <c:layoutTarget val="inner"/>
          <c:xMode val="edge"/>
          <c:yMode val="edge"/>
          <c:x val="9.4360136801081684E-2"/>
          <c:y val="0.18494509043927837"/>
          <c:w val="0.82491529067767799"/>
          <c:h val="0.65455789728682545"/>
        </c:manualLayout>
      </c:layout>
      <c:lineChart>
        <c:grouping val="standard"/>
        <c:ser>
          <c:idx val="0"/>
          <c:order val="0"/>
          <c:tx>
            <c:strRef>
              <c:f>Sheet1!$A$7</c:f>
              <c:strCache>
                <c:ptCount val="1"/>
                <c:pt idx="0">
                  <c:v>prerađivačka i ndustrija</c:v>
                </c:pt>
              </c:strCache>
            </c:strRef>
          </c:tx>
          <c:marker>
            <c:symbol val="none"/>
          </c:marker>
          <c:cat>
            <c:strRef>
              <c:f>Sheet1!$F$5:$R$5</c:f>
              <c:strCache>
                <c:ptCount val="13"/>
                <c:pt idx="0">
                  <c:v>jun</c:v>
                </c:pt>
                <c:pt idx="1">
                  <c:v>jul</c:v>
                </c:pt>
                <c:pt idx="2">
                  <c:v>avg</c:v>
                </c:pt>
                <c:pt idx="3">
                  <c:v>sep</c:v>
                </c:pt>
                <c:pt idx="4">
                  <c:v>okt</c:v>
                </c:pt>
                <c:pt idx="5">
                  <c:v>nov</c:v>
                </c:pt>
                <c:pt idx="6">
                  <c:v>dec</c:v>
                </c:pt>
                <c:pt idx="7">
                  <c:v>2013</c:v>
                </c:pt>
                <c:pt idx="8">
                  <c:v>feb</c:v>
                </c:pt>
                <c:pt idx="9">
                  <c:v>mart</c:v>
                </c:pt>
                <c:pt idx="10">
                  <c:v>apr</c:v>
                </c:pt>
                <c:pt idx="11">
                  <c:v>maj</c:v>
                </c:pt>
                <c:pt idx="12">
                  <c:v>jun</c:v>
                </c:pt>
              </c:strCache>
            </c:strRef>
          </c:cat>
          <c:val>
            <c:numRef>
              <c:f>Sheet1!$F$7:$R$7</c:f>
              <c:numCache>
                <c:formatCode>General</c:formatCode>
                <c:ptCount val="13"/>
                <c:pt idx="0">
                  <c:v>-18.5</c:v>
                </c:pt>
                <c:pt idx="1">
                  <c:v>-14.5</c:v>
                </c:pt>
                <c:pt idx="2">
                  <c:v>-13</c:v>
                </c:pt>
                <c:pt idx="3">
                  <c:v>-20.399999999999999</c:v>
                </c:pt>
                <c:pt idx="4">
                  <c:v>-40.5</c:v>
                </c:pt>
                <c:pt idx="5">
                  <c:v>-28.1</c:v>
                </c:pt>
                <c:pt idx="6">
                  <c:v>-20.3</c:v>
                </c:pt>
                <c:pt idx="7">
                  <c:v>-36.4</c:v>
                </c:pt>
                <c:pt idx="8">
                  <c:v>-32.800000000000004</c:v>
                </c:pt>
                <c:pt idx="9">
                  <c:v>-34.4</c:v>
                </c:pt>
                <c:pt idx="10">
                  <c:v>-28.2</c:v>
                </c:pt>
                <c:pt idx="11">
                  <c:v>-11.5</c:v>
                </c:pt>
                <c:pt idx="12">
                  <c:v>-11.1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Sheet1!$A$8:$C$8</c:f>
              <c:strCache>
                <c:ptCount val="1"/>
                <c:pt idx="0">
                  <c:v>snabd.elekt.energ.,gas.i par.</c:v>
                </c:pt>
              </c:strCache>
            </c:strRef>
          </c:tx>
          <c:marker>
            <c:symbol val="none"/>
          </c:marker>
          <c:cat>
            <c:strRef>
              <c:f>Sheet1!$F$5:$R$5</c:f>
              <c:strCache>
                <c:ptCount val="13"/>
                <c:pt idx="0">
                  <c:v>jun</c:v>
                </c:pt>
                <c:pt idx="1">
                  <c:v>jul</c:v>
                </c:pt>
                <c:pt idx="2">
                  <c:v>avg</c:v>
                </c:pt>
                <c:pt idx="3">
                  <c:v>sep</c:v>
                </c:pt>
                <c:pt idx="4">
                  <c:v>okt</c:v>
                </c:pt>
                <c:pt idx="5">
                  <c:v>nov</c:v>
                </c:pt>
                <c:pt idx="6">
                  <c:v>dec</c:v>
                </c:pt>
                <c:pt idx="7">
                  <c:v>2013</c:v>
                </c:pt>
                <c:pt idx="8">
                  <c:v>feb</c:v>
                </c:pt>
                <c:pt idx="9">
                  <c:v>mart</c:v>
                </c:pt>
                <c:pt idx="10">
                  <c:v>apr</c:v>
                </c:pt>
                <c:pt idx="11">
                  <c:v>maj</c:v>
                </c:pt>
                <c:pt idx="12">
                  <c:v>jun</c:v>
                </c:pt>
              </c:strCache>
            </c:strRef>
          </c:cat>
          <c:val>
            <c:numRef>
              <c:f>Sheet1!$F$8:$R$8</c:f>
              <c:numCache>
                <c:formatCode>General</c:formatCode>
                <c:ptCount val="13"/>
                <c:pt idx="0">
                  <c:v>-14.6</c:v>
                </c:pt>
                <c:pt idx="1">
                  <c:v>31.7</c:v>
                </c:pt>
                <c:pt idx="2">
                  <c:v>23.5</c:v>
                </c:pt>
                <c:pt idx="3">
                  <c:v>-4.0999999999999996</c:v>
                </c:pt>
                <c:pt idx="4">
                  <c:v>4.7</c:v>
                </c:pt>
                <c:pt idx="5">
                  <c:v>60.8</c:v>
                </c:pt>
                <c:pt idx="6">
                  <c:v>100.5</c:v>
                </c:pt>
                <c:pt idx="7">
                  <c:v>58.8</c:v>
                </c:pt>
                <c:pt idx="8">
                  <c:v>40.700000000000003</c:v>
                </c:pt>
                <c:pt idx="9">
                  <c:v>103.1</c:v>
                </c:pt>
                <c:pt idx="10">
                  <c:v>100</c:v>
                </c:pt>
                <c:pt idx="11">
                  <c:v>133.4</c:v>
                </c:pt>
                <c:pt idx="12">
                  <c:v>103.7</c:v>
                </c:pt>
              </c:numCache>
            </c:numRef>
          </c:val>
          <c:smooth val="1"/>
        </c:ser>
        <c:marker val="1"/>
        <c:axId val="130325120"/>
        <c:axId val="130337792"/>
      </c:lineChart>
      <c:catAx>
        <c:axId val="130325120"/>
        <c:scaling>
          <c:orientation val="minMax"/>
        </c:scaling>
        <c:axPos val="b"/>
        <c:majorTickMark val="none"/>
        <c:tickLblPos val="high"/>
        <c:txPr>
          <a:bodyPr/>
          <a:lstStyle/>
          <a:p>
            <a:pPr>
              <a:defRPr lang="sr-Latn-CS" sz="600"/>
            </a:pPr>
            <a:endParaRPr lang="en-US"/>
          </a:p>
        </c:txPr>
        <c:crossAx val="130337792"/>
        <c:crosses val="autoZero"/>
        <c:auto val="1"/>
        <c:lblAlgn val="ctr"/>
        <c:lblOffset val="100"/>
      </c:catAx>
      <c:valAx>
        <c:axId val="13033779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0325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409700722394221"/>
          <c:y val="0.84702034883720856"/>
          <c:w val="0.63180555555556073"/>
          <c:h val="0.15297965116279225"/>
        </c:manualLayout>
      </c:layout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sr-Latn-ME" sz="1000"/>
              <a:t>I</a:t>
            </a:r>
            <a:r>
              <a:rPr lang="en-US" sz="1000"/>
              <a:t>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666806333276219"/>
          <c:y val="0.22230077257619493"/>
          <c:w val="0.80155042444057689"/>
          <c:h val="0.43440484369360505"/>
        </c:manualLayout>
      </c:layout>
      <c:lineChart>
        <c:grouping val="standard"/>
        <c:ser>
          <c:idx val="0"/>
          <c:order val="0"/>
          <c:tx>
            <c:strRef>
              <c:f>'Makroekonomski indikatori'!$C$18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indikatori'!$U$26:$AG$26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2013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indikatori'!$U$18:$AG$18</c:f>
              <c:numCache>
                <c:formatCode>0.0</c:formatCode>
                <c:ptCount val="13"/>
                <c:pt idx="0">
                  <c:v>3.9</c:v>
                </c:pt>
                <c:pt idx="1">
                  <c:v>4.4000000000000004</c:v>
                </c:pt>
                <c:pt idx="2">
                  <c:v>4</c:v>
                </c:pt>
                <c:pt idx="3">
                  <c:v>4.4000000000000004</c:v>
                </c:pt>
                <c:pt idx="4">
                  <c:v>5.2</c:v>
                </c:pt>
                <c:pt idx="5">
                  <c:v>5.2</c:v>
                </c:pt>
                <c:pt idx="6">
                  <c:v>5.0999999999999996</c:v>
                </c:pt>
                <c:pt idx="7">
                  <c:v>4.2</c:v>
                </c:pt>
                <c:pt idx="8">
                  <c:v>3.3</c:v>
                </c:pt>
                <c:pt idx="9">
                  <c:v>3.3</c:v>
                </c:pt>
                <c:pt idx="10">
                  <c:v>3.2</c:v>
                </c:pt>
                <c:pt idx="11">
                  <c:v>3</c:v>
                </c:pt>
                <c:pt idx="12">
                  <c:v>2.2000000000000002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indikatori'!$C$19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indikatori'!$U$26:$AG$26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2013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indikatori'!$U$19:$AG$19</c:f>
              <c:numCache>
                <c:formatCode>#,##0.0</c:formatCode>
                <c:ptCount val="13"/>
                <c:pt idx="0">
                  <c:v>4.4000000000000004</c:v>
                </c:pt>
                <c:pt idx="1">
                  <c:v>4.5999999999999996</c:v>
                </c:pt>
                <c:pt idx="2">
                  <c:v>5</c:v>
                </c:pt>
                <c:pt idx="3">
                  <c:v>4.5999999999999996</c:v>
                </c:pt>
                <c:pt idx="4">
                  <c:v>4.9000000000000004</c:v>
                </c:pt>
                <c:pt idx="5">
                  <c:v>4.8</c:v>
                </c:pt>
                <c:pt idx="6">
                  <c:v>4.4000000000000004</c:v>
                </c:pt>
                <c:pt idx="7">
                  <c:v>3.8</c:v>
                </c:pt>
                <c:pt idx="8">
                  <c:v>3.1</c:v>
                </c:pt>
                <c:pt idx="9">
                  <c:v>3</c:v>
                </c:pt>
                <c:pt idx="10">
                  <c:v>2.4</c:v>
                </c:pt>
                <c:pt idx="11">
                  <c:v>2.1</c:v>
                </c:pt>
                <c:pt idx="12">
                  <c:v>1.5</c:v>
                </c:pt>
              </c:numCache>
            </c:numRef>
          </c:val>
          <c:smooth val="1"/>
        </c:ser>
        <c:marker val="1"/>
        <c:axId val="130585728"/>
        <c:axId val="130588032"/>
      </c:lineChart>
      <c:catAx>
        <c:axId val="1305857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0588032"/>
        <c:crosses val="autoZero"/>
        <c:auto val="1"/>
        <c:lblAlgn val="ctr"/>
        <c:lblOffset val="100"/>
      </c:catAx>
      <c:valAx>
        <c:axId val="130588032"/>
        <c:scaling>
          <c:orientation val="minMax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05857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3903988070802812E-2"/>
          <c:y val="0.79031834307140958"/>
          <c:w val="0.87956980240265414"/>
          <c:h val="0.18218166595089688"/>
        </c:manualLayout>
      </c:layout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en-US" sz="900" b="0"/>
              <a:t>Oglašena radna mjesta</a:t>
            </a:r>
          </a:p>
        </c:rich>
      </c:tx>
      <c:layout>
        <c:manualLayout>
          <c:xMode val="edge"/>
          <c:yMode val="edge"/>
          <c:x val="0.26732106339468603"/>
          <c:y val="5.9792955065166575E-3"/>
        </c:manualLayout>
      </c:layout>
      <c:overlay val="1"/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446969696969699"/>
          <c:y val="2.4320457796852567E-2"/>
          <c:w val="0.97122970726526203"/>
          <c:h val="0.74248927038626611"/>
        </c:manualLayout>
      </c:layout>
      <c:barChart>
        <c:barDir val="col"/>
        <c:grouping val="clustered"/>
        <c:ser>
          <c:idx val="0"/>
          <c:order val="0"/>
          <c:cat>
            <c:strRef>
              <c:f>'Makroekonomski indikatori'!$U$9:$AG$9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2013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indikatori'!$U$25:$AG$25</c:f>
              <c:numCache>
                <c:formatCode>#,##0</c:formatCode>
                <c:ptCount val="13"/>
                <c:pt idx="0">
                  <c:v>4146</c:v>
                </c:pt>
                <c:pt idx="1">
                  <c:v>2651</c:v>
                </c:pt>
                <c:pt idx="2">
                  <c:v>1081</c:v>
                </c:pt>
                <c:pt idx="3">
                  <c:v>725</c:v>
                </c:pt>
                <c:pt idx="4">
                  <c:v>2005</c:v>
                </c:pt>
                <c:pt idx="5">
                  <c:v>2766</c:v>
                </c:pt>
                <c:pt idx="6">
                  <c:v>972</c:v>
                </c:pt>
                <c:pt idx="7">
                  <c:v>515</c:v>
                </c:pt>
                <c:pt idx="8">
                  <c:v>583</c:v>
                </c:pt>
                <c:pt idx="9">
                  <c:v>1182</c:v>
                </c:pt>
                <c:pt idx="10">
                  <c:v>2826</c:v>
                </c:pt>
                <c:pt idx="11">
                  <c:v>1719</c:v>
                </c:pt>
                <c:pt idx="12">
                  <c:v>1430</c:v>
                </c:pt>
              </c:numCache>
            </c:numRef>
          </c:val>
        </c:ser>
        <c:gapWidth val="34"/>
        <c:axId val="130806144"/>
        <c:axId val="130808064"/>
      </c:barChart>
      <c:catAx>
        <c:axId val="1308061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30808064"/>
        <c:crosses val="autoZero"/>
        <c:auto val="1"/>
        <c:lblAlgn val="ctr"/>
        <c:lblOffset val="100"/>
      </c:catAx>
      <c:valAx>
        <c:axId val="130808064"/>
        <c:scaling>
          <c:orientation val="minMax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numFmt formatCode="#,##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3080614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800"/>
            </a:pPr>
            <a:r>
              <a:rPr lang="x-none" sz="800"/>
              <a:t>D</a:t>
            </a:r>
            <a:r>
              <a:rPr lang="en-US" sz="800"/>
              <a:t>RŽAVNI</a:t>
            </a:r>
            <a:r>
              <a:rPr lang="x-none" sz="800"/>
              <a:t> BUDŽET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5749991899225627"/>
          <c:y val="0.1416752454531548"/>
          <c:w val="0.70754916726257666"/>
          <c:h val="0.61043103134696042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indikatori'!$BA$20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pictureOptions>
            <c:pictureFormat val="stretch"/>
          </c:pictureOptions>
          <c:cat>
            <c:strRef>
              <c:f>'Fiskalni indikatori'!$BR$6:$CD$6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'Fiskalni indikatori'!$BS$20:$CE$20</c:f>
              <c:numCache>
                <c:formatCode>0.00,,</c:formatCode>
                <c:ptCount val="13"/>
                <c:pt idx="0">
                  <c:v>-3831705.960833326</c:v>
                </c:pt>
                <c:pt idx="1">
                  <c:v>26517981.229166687</c:v>
                </c:pt>
                <c:pt idx="2">
                  <c:v>10701165.399166685</c:v>
                </c:pt>
                <c:pt idx="3">
                  <c:v>-21905385.890833333</c:v>
                </c:pt>
                <c:pt idx="4">
                  <c:v>-4888498.6208332935</c:v>
                </c:pt>
                <c:pt idx="5">
                  <c:v>-15273751.640833303</c:v>
                </c:pt>
                <c:pt idx="6">
                  <c:v>-43314722.570833333</c:v>
                </c:pt>
                <c:pt idx="7">
                  <c:v>-26278908.770000011</c:v>
                </c:pt>
                <c:pt idx="8">
                  <c:v>-18836037.229999986</c:v>
                </c:pt>
                <c:pt idx="9">
                  <c:v>-15884152.509488434</c:v>
                </c:pt>
                <c:pt idx="10">
                  <c:v>-15582420.719057277</c:v>
                </c:pt>
                <c:pt idx="11">
                  <c:v>-1983273.5502222029</c:v>
                </c:pt>
                <c:pt idx="12">
                  <c:v>-1011696.5290375799</c:v>
                </c:pt>
              </c:numCache>
            </c:numRef>
          </c:val>
        </c:ser>
        <c:gapWidth val="17"/>
        <c:overlap val="-21"/>
        <c:axId val="138858496"/>
        <c:axId val="138828032"/>
      </c:barChart>
      <c:lineChart>
        <c:grouping val="standard"/>
        <c:ser>
          <c:idx val="0"/>
          <c:order val="0"/>
          <c:tx>
            <c:strRef>
              <c:f>'Fiskalni indikatori'!$BA$28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'Fiskalni indikatori'!$BS$6:$CE$6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'Fiskalni indikatori'!$BS$7:$CE$7</c:f>
              <c:numCache>
                <c:formatCode>0.00,,</c:formatCode>
                <c:ptCount val="13"/>
                <c:pt idx="0">
                  <c:v>95935673.590000004</c:v>
                </c:pt>
                <c:pt idx="1">
                  <c:v>130902818.23</c:v>
                </c:pt>
                <c:pt idx="2">
                  <c:v>108520677.06999999</c:v>
                </c:pt>
                <c:pt idx="3">
                  <c:v>95844316.429999992</c:v>
                </c:pt>
                <c:pt idx="4">
                  <c:v>99225993.690000013</c:v>
                </c:pt>
                <c:pt idx="5">
                  <c:v>85312820.549999997</c:v>
                </c:pt>
                <c:pt idx="6">
                  <c:v>126935629.20000002</c:v>
                </c:pt>
                <c:pt idx="7">
                  <c:v>54756357.980000004</c:v>
                </c:pt>
                <c:pt idx="8">
                  <c:v>75675730.060000002</c:v>
                </c:pt>
                <c:pt idx="9">
                  <c:v>88296245.580000013</c:v>
                </c:pt>
                <c:pt idx="10">
                  <c:v>103870281.62999997</c:v>
                </c:pt>
                <c:pt idx="11">
                  <c:v>93911940.709999993</c:v>
                </c:pt>
                <c:pt idx="12">
                  <c:v>99463336.86999999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indikatori'!$BA$29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'Fiskalni indikatori'!$BS$6:$CE$6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'Fiskalni indikatori'!$BS$13:$CE$13</c:f>
              <c:numCache>
                <c:formatCode>0.00,,</c:formatCode>
                <c:ptCount val="13"/>
                <c:pt idx="0">
                  <c:v>99767379.550833136</c:v>
                </c:pt>
                <c:pt idx="1">
                  <c:v>104384837.00083317</c:v>
                </c:pt>
                <c:pt idx="2">
                  <c:v>97819511.670833007</c:v>
                </c:pt>
                <c:pt idx="3">
                  <c:v>117749702.32083313</c:v>
                </c:pt>
                <c:pt idx="4">
                  <c:v>104114492.31083331</c:v>
                </c:pt>
                <c:pt idx="5">
                  <c:v>100586572.19083317</c:v>
                </c:pt>
                <c:pt idx="6">
                  <c:v>170250351.77083334</c:v>
                </c:pt>
                <c:pt idx="7">
                  <c:v>81035266.75</c:v>
                </c:pt>
                <c:pt idx="8">
                  <c:v>94511767.289999992</c:v>
                </c:pt>
                <c:pt idx="9">
                  <c:v>104180398.08948864</c:v>
                </c:pt>
                <c:pt idx="10">
                  <c:v>119452702.34905726</c:v>
                </c:pt>
                <c:pt idx="11">
                  <c:v>95895214.260222197</c:v>
                </c:pt>
                <c:pt idx="12">
                  <c:v>100475033.39903758</c:v>
                </c:pt>
              </c:numCache>
            </c:numRef>
          </c:val>
          <c:smooth val="1"/>
        </c:ser>
        <c:marker val="1"/>
        <c:axId val="133225088"/>
        <c:axId val="138826112"/>
      </c:lineChart>
      <c:catAx>
        <c:axId val="133225088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38826112"/>
        <c:crosses val="autoZero"/>
        <c:auto val="1"/>
        <c:lblAlgn val="ctr"/>
        <c:lblOffset val="100"/>
      </c:catAx>
      <c:valAx>
        <c:axId val="138826112"/>
        <c:scaling>
          <c:orientation val="minMax"/>
          <c:min val="0"/>
        </c:scaling>
        <c:axPos val="l"/>
        <c:majorGridlines/>
        <c:numFmt formatCode="0.0,,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33225088"/>
        <c:crosses val="autoZero"/>
        <c:crossBetween val="between"/>
      </c:valAx>
      <c:valAx>
        <c:axId val="138828032"/>
        <c:scaling>
          <c:orientation val="minMax"/>
          <c:max val="100000000"/>
          <c:min val="-70000000"/>
        </c:scaling>
        <c:axPos val="r"/>
        <c:numFmt formatCode="0.0,," sourceLinked="0"/>
        <c:tickLblPos val="nextTo"/>
        <c:spPr>
          <a:noFill/>
        </c:spPr>
        <c:txPr>
          <a:bodyPr rot="0" vert="horz" anchor="ctr" anchorCtr="0"/>
          <a:lstStyle/>
          <a:p>
            <a:pPr>
              <a:defRPr sz="700"/>
            </a:pPr>
            <a:endParaRPr lang="en-US"/>
          </a:p>
        </c:txPr>
        <c:crossAx val="138858496"/>
        <c:crosses val="max"/>
        <c:crossBetween val="between"/>
      </c:valAx>
      <c:catAx>
        <c:axId val="138858496"/>
        <c:scaling>
          <c:orientation val="minMax"/>
        </c:scaling>
        <c:delete val="1"/>
        <c:axPos val="b"/>
        <c:numFmt formatCode="General" sourceLinked="1"/>
        <c:tickLblPos val="none"/>
        <c:crossAx val="138828032"/>
        <c:crosses val="autoZero"/>
        <c:auto val="1"/>
        <c:lblAlgn val="ctr"/>
        <c:lblOffset val="100"/>
      </c:catAx>
    </c:plotArea>
    <c:legend>
      <c:legendPos val="b"/>
      <c:legendEntry>
        <c:idx val="1"/>
        <c:txPr>
          <a:bodyPr/>
          <a:lstStyle/>
          <a:p>
            <a:pPr>
              <a:defRPr sz="800"/>
            </a:pPr>
            <a:endParaRPr lang="en-US"/>
          </a:p>
        </c:txPr>
      </c:legendEntry>
      <c:layout>
        <c:manualLayout>
          <c:xMode val="edge"/>
          <c:yMode val="edge"/>
          <c:x val="0.14817847981531121"/>
          <c:y val="0.82442835718374785"/>
          <c:w val="0.7626945517160677"/>
          <c:h val="0.13977082010932021"/>
        </c:manualLayout>
      </c:layout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</c:chart>
  <c:txPr>
    <a:bodyPr/>
    <a:lstStyle/>
    <a:p>
      <a:pPr>
        <a:defRPr sz="800" baseline="0"/>
      </a:pPr>
      <a:endParaRPr lang="en-US"/>
    </a:p>
  </c:tx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9449086160806595"/>
          <c:y val="3.121214534314529E-2"/>
          <c:w val="0.68042656379938049"/>
          <c:h val="0.79461829501915704"/>
        </c:manualLayout>
      </c:layout>
      <c:lineChart>
        <c:grouping val="standard"/>
        <c:ser>
          <c:idx val="0"/>
          <c:order val="0"/>
          <c:tx>
            <c:strRef>
              <c:f>'Makroekonomski indikatori'!$C$37</c:f>
              <c:strCache>
                <c:ptCount val="1"/>
                <c:pt idx="0">
                  <c:v>Krediti privredi (kumulativ, u mil €)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-0.24010217113665389"/>
                  <c:y val="3.0303030303030311E-2"/>
                </c:manualLayout>
              </c:layout>
              <c:tx>
                <c:rich>
                  <a:bodyPr/>
                  <a:lstStyle/>
                  <a:p>
                    <a:r>
                      <a:rPr lang="sr-Latn-ME" sz="800"/>
                      <a:t>Krediti privrede</a:t>
                    </a:r>
                    <a:endParaRPr lang="en-US" sz="800"/>
                  </a:p>
                </c:rich>
              </c:tx>
              <c:showVal val="1"/>
            </c:dLbl>
            <c:delete val="1"/>
          </c:dLbls>
          <c:cat>
            <c:strRef>
              <c:f>'Makroekonomski indikatori'!$O$59:$AG$59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2013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indikatori'!$U$37:$AG$37</c:f>
              <c:numCache>
                <c:formatCode>#,##0.0,,</c:formatCode>
                <c:ptCount val="13"/>
                <c:pt idx="0">
                  <c:v>975789000</c:v>
                </c:pt>
                <c:pt idx="1">
                  <c:v>971481000</c:v>
                </c:pt>
                <c:pt idx="2">
                  <c:v>950468000</c:v>
                </c:pt>
                <c:pt idx="3">
                  <c:v>941103000</c:v>
                </c:pt>
                <c:pt idx="4">
                  <c:v>923561000</c:v>
                </c:pt>
                <c:pt idx="5">
                  <c:v>936596000</c:v>
                </c:pt>
                <c:pt idx="6">
                  <c:v>930425000</c:v>
                </c:pt>
                <c:pt idx="7">
                  <c:v>1013195000</c:v>
                </c:pt>
                <c:pt idx="8">
                  <c:v>1018996000</c:v>
                </c:pt>
                <c:pt idx="9">
                  <c:v>1026510000</c:v>
                </c:pt>
                <c:pt idx="10">
                  <c:v>1029095000</c:v>
                </c:pt>
                <c:pt idx="11">
                  <c:v>1027926460.6433954</c:v>
                </c:pt>
                <c:pt idx="12">
                  <c:v>990503000</c:v>
                </c:pt>
              </c:numCache>
            </c:numRef>
          </c:val>
          <c:smooth val="1"/>
        </c:ser>
        <c:marker val="1"/>
        <c:axId val="139399552"/>
        <c:axId val="139401472"/>
      </c:lineChart>
      <c:lineChart>
        <c:grouping val="standard"/>
        <c:ser>
          <c:idx val="1"/>
          <c:order val="1"/>
          <c:tx>
            <c:strRef>
              <c:f>'Makroekonomski indikatori'!$C$39</c:f>
              <c:strCache>
                <c:ptCount val="1"/>
                <c:pt idx="0">
                  <c:v>Depoziti privrede (kumulativ, u mil €)</c:v>
                </c:pt>
              </c:strCache>
            </c:strRef>
          </c:tx>
          <c:spPr>
            <a:ln w="28575">
              <a:prstDash val="sysDash"/>
            </a:ln>
          </c:spPr>
          <c:marker>
            <c:symbol val="none"/>
          </c:marker>
          <c:dLbls>
            <c:dLbl>
              <c:idx val="3"/>
              <c:layout>
                <c:manualLayout>
                  <c:x val="3.5759897828863518E-2"/>
                  <c:y val="6.0606060606060622E-2"/>
                </c:manualLayout>
              </c:layout>
              <c:tx>
                <c:rich>
                  <a:bodyPr/>
                  <a:lstStyle/>
                  <a:p>
                    <a:r>
                      <a:rPr lang="sr-Latn-ME" sz="800"/>
                      <a:t>Depoziti</a:t>
                    </a:r>
                    <a:r>
                      <a:rPr lang="sr-Latn-ME" sz="800" baseline="0"/>
                      <a:t> privrede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'Makroekonomski indikatori'!$O$59:$AG$59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2013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indikatori'!$U$39:$AG$39</c:f>
              <c:numCache>
                <c:formatCode>#,##0.0,,</c:formatCode>
                <c:ptCount val="13"/>
                <c:pt idx="0">
                  <c:v>480662000</c:v>
                </c:pt>
                <c:pt idx="1">
                  <c:v>527383000</c:v>
                </c:pt>
                <c:pt idx="2">
                  <c:v>552080000</c:v>
                </c:pt>
                <c:pt idx="3">
                  <c:v>569228000</c:v>
                </c:pt>
                <c:pt idx="4">
                  <c:v>549548000</c:v>
                </c:pt>
                <c:pt idx="5">
                  <c:v>546428000</c:v>
                </c:pt>
                <c:pt idx="6">
                  <c:v>526525000</c:v>
                </c:pt>
                <c:pt idx="7">
                  <c:v>507787000</c:v>
                </c:pt>
                <c:pt idx="8">
                  <c:v>518687000</c:v>
                </c:pt>
                <c:pt idx="9">
                  <c:v>525396000</c:v>
                </c:pt>
                <c:pt idx="10">
                  <c:v>489805000</c:v>
                </c:pt>
                <c:pt idx="11">
                  <c:v>509806000</c:v>
                </c:pt>
                <c:pt idx="12">
                  <c:v>539330000</c:v>
                </c:pt>
              </c:numCache>
            </c:numRef>
          </c:val>
          <c:smooth val="1"/>
        </c:ser>
        <c:marker val="1"/>
        <c:axId val="139609600"/>
        <c:axId val="139608064"/>
      </c:lineChart>
      <c:catAx>
        <c:axId val="1393995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139401472"/>
        <c:crosses val="autoZero"/>
        <c:auto val="1"/>
        <c:lblAlgn val="ctr"/>
        <c:lblOffset val="100"/>
        <c:tickLblSkip val="3"/>
      </c:catAx>
      <c:valAx>
        <c:axId val="139401472"/>
        <c:scaling>
          <c:orientation val="minMax"/>
          <c:max val="1100000000"/>
          <c:min val="900000000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#,##0.0,,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39399552"/>
        <c:crosses val="autoZero"/>
        <c:crossBetween val="between"/>
        <c:majorUnit val="100000000"/>
        <c:minorUnit val="30000000"/>
      </c:valAx>
      <c:valAx>
        <c:axId val="139608064"/>
        <c:scaling>
          <c:orientation val="minMax"/>
          <c:min val="459999999.99999905"/>
        </c:scaling>
        <c:axPos val="r"/>
        <c:numFmt formatCode="#,##0.0,," sourceLinked="1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39609600"/>
        <c:crosses val="max"/>
        <c:crossBetween val="between"/>
      </c:valAx>
      <c:catAx>
        <c:axId val="139609600"/>
        <c:scaling>
          <c:orientation val="minMax"/>
        </c:scaling>
        <c:delete val="1"/>
        <c:axPos val="b"/>
        <c:tickLblPos val="none"/>
        <c:crossAx val="139608064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0.07724</cdr:x>
      <cdr:y>0</cdr:y>
    </cdr:from>
    <cdr:to>
      <cdr:x>0.29252</cdr:x>
      <cdr:y>0.13782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8086" y="0"/>
          <a:ext cx="524219" cy="377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x-none" sz="800"/>
            <a:t>Prihod</a:t>
          </a:r>
          <a:r>
            <a:rPr lang="hr-BA" sz="800"/>
            <a:t>/</a:t>
          </a:r>
          <a:r>
            <a:rPr lang="sr-Latn-ME" sz="800"/>
            <a:t>Rash</a:t>
          </a:r>
          <a:endParaRPr lang="x-none" sz="800"/>
        </a:p>
        <a:p xmlns:a="http://schemas.openxmlformats.org/drawingml/2006/main">
          <a:r>
            <a:rPr lang="x-none" sz="800"/>
            <a:t>Rashodi</a:t>
          </a:r>
          <a:endParaRPr lang="en-US" sz="800"/>
        </a:p>
      </cdr:txBody>
    </cdr:sp>
  </cdr:relSizeAnchor>
  <cdr:relSizeAnchor xmlns:cdr="http://schemas.openxmlformats.org/drawingml/2006/chartDrawing">
    <cdr:from>
      <cdr:x>3.54685E-7</cdr:x>
      <cdr:y>0.00408</cdr:y>
    </cdr:from>
    <cdr:to>
      <cdr:x>0.27258</cdr:x>
      <cdr:y>0.18041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" y="13767"/>
          <a:ext cx="768525" cy="594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0.81512</cdr:x>
      <cdr:y>0.01383</cdr:y>
    </cdr:from>
    <cdr:to>
      <cdr:x>0.93858</cdr:x>
      <cdr:y>0.14712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86327" y="35750"/>
          <a:ext cx="285706" cy="3444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x-none" sz="800"/>
            <a:t>Suficit/</a:t>
          </a:r>
        </a:p>
        <a:p xmlns:a="http://schemas.openxmlformats.org/drawingml/2006/main">
          <a:r>
            <a:rPr lang="x-none" sz="800"/>
            <a:t>Deficit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0.11824</cdr:x>
      <cdr:y>0.0271</cdr:y>
    </cdr:from>
    <cdr:to>
      <cdr:x>0.45946</cdr:x>
      <cdr:y>0.18041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33375" y="91339"/>
          <a:ext cx="962026" cy="516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0.06419</cdr:x>
      <cdr:y>0.03344</cdr:y>
    </cdr:from>
    <cdr:to>
      <cdr:x>0.08041</cdr:x>
      <cdr:y>0.04757</cdr:y>
    </cdr:to>
    <cdr:sp macro="" textlink="">
      <cdr:nvSpPr>
        <cdr:cNvPr id="6" name="TextBox 5"/>
        <cdr:cNvSpPr txBox="1"/>
      </cdr:nvSpPr>
      <cdr:spPr>
        <a:xfrm xmlns:a="http://schemas.openxmlformats.org/drawingml/2006/main" flipH="1">
          <a:off x="180975" y="112713"/>
          <a:ext cx="45719" cy="4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0.62069</cdr:x>
      <cdr:y>0.08636</cdr:y>
    </cdr:from>
    <cdr:to>
      <cdr:x>0.91954</cdr:x>
      <cdr:y>0.12727</cdr:y>
    </cdr:to>
    <cdr:sp macro="" textlink="">
      <cdr:nvSpPr>
        <cdr:cNvPr id="3" name="Elbow Connector 2"/>
        <cdr:cNvSpPr/>
      </cdr:nvSpPr>
      <cdr:spPr>
        <a:xfrm xmlns:a="http://schemas.openxmlformats.org/drawingml/2006/main">
          <a:off x="1543050" y="180975"/>
          <a:ext cx="742950" cy="85725"/>
        </a:xfrm>
        <a:prstGeom xmlns:a="http://schemas.openxmlformats.org/drawingml/2006/main" prst="bentConnector3">
          <a:avLst>
            <a:gd name="adj1" fmla="val 50000"/>
          </a:avLst>
        </a:prstGeom>
        <a:ln xmlns:a="http://schemas.openxmlformats.org/drawingml/2006/main" w="3175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0.06818</cdr:x>
      <cdr:y>0.66805</cdr:y>
    </cdr:from>
    <cdr:to>
      <cdr:x>0.18561</cdr:x>
      <cdr:y>0.73444</cdr:y>
    </cdr:to>
    <cdr:sp macro="" textlink="">
      <cdr:nvSpPr>
        <cdr:cNvPr id="4" name="Elbow Connector 3"/>
        <cdr:cNvSpPr/>
      </cdr:nvSpPr>
      <cdr:spPr>
        <a:xfrm xmlns:a="http://schemas.openxmlformats.org/drawingml/2006/main" flipH="1" flipV="1">
          <a:off x="171449" y="1533525"/>
          <a:ext cx="295275" cy="152399"/>
        </a:xfrm>
        <a:prstGeom xmlns:a="http://schemas.openxmlformats.org/drawingml/2006/main" prst="bentConnector3">
          <a:avLst>
            <a:gd name="adj1" fmla="val 64103"/>
          </a:avLst>
        </a:prstGeom>
        <a:ln xmlns:a="http://schemas.openxmlformats.org/drawingml/2006/main" w="3175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iva.vukovic</cp:lastModifiedBy>
  <cp:revision>2</cp:revision>
  <cp:lastPrinted>2012-11-12T09:08:00Z</cp:lastPrinted>
  <dcterms:created xsi:type="dcterms:W3CDTF">2013-08-06T10:30:00Z</dcterms:created>
  <dcterms:modified xsi:type="dcterms:W3CDTF">2013-08-06T10:30:00Z</dcterms:modified>
</cp:coreProperties>
</file>