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FFF" w:rsidRDefault="00953E6C">
      <w:pPr>
        <w:spacing w:line="360" w:lineRule="auto"/>
        <w:rPr>
          <w:rFonts w:ascii="Times New Roman" w:eastAsia="Times New Roman" w:hAnsi="Times New Roman" w:cs="Times New Roman"/>
          <w:b/>
          <w:bCs/>
          <w:sz w:val="28"/>
          <w:szCs w:val="28"/>
        </w:rPr>
      </w:pPr>
      <w:bookmarkStart w:id="0" w:name="_GoBack"/>
      <w:bookmarkEnd w:id="0"/>
      <w:r>
        <w:rPr>
          <w:rFonts w:ascii="Times New Roman" w:eastAsia="Times New Roman" w:hAnsi="Times New Roman" w:cs="Times New Roman"/>
          <w:b/>
          <w:bCs/>
          <w:sz w:val="28"/>
          <w:szCs w:val="28"/>
        </w:rPr>
        <w:t>Autor izvještaja: prof dr Danka Caković</w:t>
      </w:r>
    </w:p>
    <w:p w:rsidR="004C2FFF" w:rsidRDefault="00953E6C">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Analiza flore u Crnoj Gori</w:t>
      </w:r>
    </w:p>
    <w:p w:rsidR="004C2FFF" w:rsidRDefault="00953E6C">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Opis stanja prirode i prirodnih vrijednosti</w:t>
      </w:r>
    </w:p>
    <w:p w:rsidR="004C2FFF" w:rsidRDefault="00953E6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Gljive i lišajevi</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 Crnoj Gori je do sada potvrđeno prisustvo približno 2200 vrsta, ali se prema grubim procjenama očekuje prisustvo između 15000 i 25000 vrsta. Na materijalu sakupljenom u Crnoj Gori opisana su dva roda gljiva nova za nauku (</w:t>
      </w:r>
      <w:r>
        <w:rPr>
          <w:rFonts w:ascii="Times New Roman" w:eastAsia="Times New Roman" w:hAnsi="Times New Roman" w:cs="Times New Roman"/>
          <w:i/>
          <w:iCs/>
          <w:sz w:val="24"/>
          <w:szCs w:val="24"/>
        </w:rPr>
        <w:t xml:space="preserve">Persia </w:t>
      </w:r>
      <w:r>
        <w:rPr>
          <w:rFonts w:ascii="Times New Roman" w:eastAsia="Times New Roman" w:hAnsi="Times New Roman" w:cs="Times New Roman"/>
          <w:sz w:val="24"/>
          <w:szCs w:val="24"/>
        </w:rPr>
        <w:t>i</w:t>
      </w:r>
      <w:r>
        <w:rPr>
          <w:rFonts w:ascii="Times New Roman" w:eastAsia="Times New Roman" w:hAnsi="Times New Roman" w:cs="Times New Roman"/>
          <w:i/>
          <w:iCs/>
          <w:sz w:val="24"/>
          <w:szCs w:val="24"/>
        </w:rPr>
        <w:t xml:space="preserve"> Pseudoboubovia</w:t>
      </w:r>
      <w:r>
        <w:rPr>
          <w:rFonts w:ascii="Times New Roman" w:eastAsia="Times New Roman" w:hAnsi="Times New Roman" w:cs="Times New Roman"/>
          <w:sz w:val="24"/>
          <w:szCs w:val="24"/>
        </w:rPr>
        <w:t xml:space="preserve">), kao i </w:t>
      </w:r>
      <w:r>
        <w:rPr>
          <w:rFonts w:ascii="Times New Roman" w:eastAsia="Times New Roman" w:hAnsi="Times New Roman" w:cs="Times New Roman"/>
          <w:sz w:val="24"/>
          <w:szCs w:val="24"/>
        </w:rPr>
        <w:t>18 novih vrsta, od kojih su 3 endemične za Crnu Goru. Zakonom je zaštićeno 111 vrsta gljiva, a izrada Crvene liste je u toku.</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sada je u Crnoj Gori registrovano približno 900 vrsta lišajeva. Imajući u vidu veličinu države i broj vrsta registrovanih u drž</w:t>
      </w:r>
      <w:r>
        <w:rPr>
          <w:rFonts w:ascii="Times New Roman" w:eastAsia="Times New Roman" w:hAnsi="Times New Roman" w:cs="Times New Roman"/>
          <w:sz w:val="24"/>
          <w:szCs w:val="24"/>
        </w:rPr>
        <w:t>avama u okruženju, ovaj broj ukazuje na bogat diverzitet lihenoflore u Crnoj Gori.</w:t>
      </w:r>
    </w:p>
    <w:p w:rsidR="004C2FFF" w:rsidRDefault="00953E6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Flora – mahovine </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Brioflora Crne Gore broji nešto manje od 600 taksona pravih mahovina (Bryophyta), nešto više od 100 vrsta jetrenjača (Marchantiophyta) i</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jednu vrstu rogati</w:t>
      </w:r>
      <w:r>
        <w:rPr>
          <w:rFonts w:ascii="Times New Roman" w:eastAsia="Times New Roman" w:hAnsi="Times New Roman" w:cs="Times New Roman"/>
          <w:sz w:val="24"/>
          <w:szCs w:val="24"/>
        </w:rPr>
        <w:t>h mahovina (Anthocerotophyt). Nijedna vrsta koja je registrovana u Crnoj Gori, nije endemična, ali su neke vrste rijetke i ugrožene. Nacionalnim zakonodavstvom zaštićene su 23 vrste pravih mahovina. Crvena lista mahovina Crne Gore je u pripremi.</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Posebno in</w:t>
      </w:r>
      <w:r>
        <w:rPr>
          <w:rFonts w:ascii="Times New Roman" w:eastAsia="Times New Roman" w:hAnsi="Times New Roman" w:cs="Times New Roman"/>
          <w:sz w:val="24"/>
          <w:szCs w:val="24"/>
        </w:rPr>
        <w:t xml:space="preserve">teresantna staništa mahovina su sfagnumska tresetišta, koja imaju specifičnu hidrofilnu i amfibijsku briofloru uz dominaciju roda </w:t>
      </w:r>
      <w:r>
        <w:rPr>
          <w:rFonts w:ascii="Times New Roman" w:eastAsia="Times New Roman" w:hAnsi="Times New Roman" w:cs="Times New Roman"/>
          <w:i/>
          <w:iCs/>
          <w:sz w:val="24"/>
          <w:szCs w:val="24"/>
        </w:rPr>
        <w:t>Sphagnum</w:t>
      </w:r>
      <w:r>
        <w:rPr>
          <w:rFonts w:ascii="Times New Roman" w:eastAsia="Times New Roman" w:hAnsi="Times New Roman" w:cs="Times New Roman"/>
          <w:sz w:val="24"/>
          <w:szCs w:val="24"/>
        </w:rPr>
        <w:t>. Do sada je u Crnoj Gori evidentirano 19 vrsta ovog roda. Sfagnumskih tresava ima na sjeveru države, na nadmorskim vi</w:t>
      </w:r>
      <w:r>
        <w:rPr>
          <w:rFonts w:ascii="Times New Roman" w:eastAsia="Times New Roman" w:hAnsi="Times New Roman" w:cs="Times New Roman"/>
          <w:sz w:val="24"/>
          <w:szCs w:val="24"/>
        </w:rPr>
        <w:t>sinama iznad 1000 mnv i predstavljaju krajnje južne ogranke tresava srednje i sjeverne Evrope. Smatraju se kritično ugroženim staništima, jer se njihove površine smanjuju i dolazi do fragmentacije staništa. U Crnoj Gori su sfagnumska tresetišta registrovan</w:t>
      </w:r>
      <w:r>
        <w:rPr>
          <w:rFonts w:ascii="Times New Roman" w:eastAsia="Times New Roman" w:hAnsi="Times New Roman" w:cs="Times New Roman"/>
          <w:sz w:val="24"/>
          <w:szCs w:val="24"/>
        </w:rPr>
        <w:t>a na: Durmitoru, Semolju, Hajli, Bjelasici, Prokletijama, Visitoru, Zeletinu, Rusoliji.</w:t>
      </w:r>
    </w:p>
    <w:p w:rsidR="004C2FFF" w:rsidRDefault="004C2FFF">
      <w:pPr>
        <w:spacing w:line="360" w:lineRule="auto"/>
        <w:rPr>
          <w:rFonts w:ascii="Times New Roman" w:eastAsia="Times New Roman" w:hAnsi="Times New Roman" w:cs="Times New Roman"/>
          <w:sz w:val="24"/>
          <w:szCs w:val="24"/>
        </w:rPr>
      </w:pPr>
    </w:p>
    <w:p w:rsidR="004C2FFF" w:rsidRDefault="004C2FFF">
      <w:pPr>
        <w:spacing w:line="360" w:lineRule="auto"/>
        <w:rPr>
          <w:rFonts w:ascii="Times New Roman" w:eastAsia="Times New Roman" w:hAnsi="Times New Roman" w:cs="Times New Roman"/>
          <w:sz w:val="24"/>
          <w:szCs w:val="24"/>
        </w:rPr>
      </w:pPr>
    </w:p>
    <w:p w:rsidR="004C2FFF" w:rsidRDefault="00953E6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Flora – vaskularne biljke</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Ako se bogatstvo flore izrazi brojem vrsta po jedinici površine, Crna Gora uz Korziku ima vodeće mjesto u Evropi. Ovo se objašnjava veoma he</w:t>
      </w:r>
      <w:r>
        <w:rPr>
          <w:rFonts w:ascii="Times New Roman" w:eastAsia="Times New Roman" w:hAnsi="Times New Roman" w:cs="Times New Roman"/>
          <w:sz w:val="24"/>
          <w:szCs w:val="24"/>
        </w:rPr>
        <w:t>terogenim ekološkim faktorima (klima, zemljište, reljef), raznovrsnim florističkim uticajima i kompleksnom istorijom razvoja biodiverziteta. Prema dosada sakupljenim podacima, u državi raste nešto više od 3600 biljnih vrsta i podvrsta. Iako se biljni svije</w:t>
      </w:r>
      <w:r>
        <w:rPr>
          <w:rFonts w:ascii="Times New Roman" w:eastAsia="Times New Roman" w:hAnsi="Times New Roman" w:cs="Times New Roman"/>
          <w:sz w:val="24"/>
          <w:szCs w:val="24"/>
        </w:rPr>
        <w:t xml:space="preserve">t Crne Gore izučava gotovo dva vijeka, flora još uvijek nije dovoljno istražena. Svake godine publikuju se nalazi novih vrsta za teritoriju države, ali i nove vrste (čak i monotipski rod, </w:t>
      </w:r>
      <w:r>
        <w:rPr>
          <w:rFonts w:ascii="Times New Roman" w:eastAsia="Times New Roman" w:hAnsi="Times New Roman" w:cs="Times New Roman"/>
          <w:i/>
          <w:iCs/>
          <w:sz w:val="24"/>
          <w:szCs w:val="24"/>
        </w:rPr>
        <w:t>Petrolamium crnojevici</w:t>
      </w:r>
      <w:r>
        <w:rPr>
          <w:rFonts w:ascii="Times New Roman" w:eastAsia="Times New Roman" w:hAnsi="Times New Roman" w:cs="Times New Roman"/>
          <w:sz w:val="24"/>
          <w:szCs w:val="24"/>
        </w:rPr>
        <w:t>) za nauku. O nekim krajevima Crne Gore floris</w:t>
      </w:r>
      <w:r>
        <w:rPr>
          <w:rFonts w:ascii="Times New Roman" w:eastAsia="Times New Roman" w:hAnsi="Times New Roman" w:cs="Times New Roman"/>
          <w:sz w:val="24"/>
          <w:szCs w:val="24"/>
        </w:rPr>
        <w:t>tički podaci su veoma oskudni (okolina Pljevalja, Bijelog Polja, Petnjice itd.).</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Posebnu vrijednost flore čine endemični taksoni, čiji areali ne prelaze granice Balkanskog poluostrva. U Crnoj Gori su zabilježena 372 endemična taksona, tako da je procenat e</w:t>
      </w:r>
      <w:r>
        <w:rPr>
          <w:rFonts w:ascii="Times New Roman" w:eastAsia="Times New Roman" w:hAnsi="Times New Roman" w:cs="Times New Roman"/>
          <w:sz w:val="24"/>
          <w:szCs w:val="24"/>
        </w:rPr>
        <w:t xml:space="preserve">ndema u ukupnoj flori oko 11 %. Istraživanja su pokazala da je visokoplaninski region Durmitor sa kanjonskim dolinama Pive i Tare centar diverziteta balkanske endemične flore u Crnoj Gori, a znatnim brojem endema ističu se i Komovi, Lovćen, Orjen, Rumija. </w:t>
      </w:r>
      <w:r>
        <w:rPr>
          <w:rFonts w:ascii="Times New Roman" w:eastAsia="Times New Roman" w:hAnsi="Times New Roman" w:cs="Times New Roman"/>
          <w:sz w:val="24"/>
          <w:szCs w:val="24"/>
        </w:rPr>
        <w:t xml:space="preserve">U flori svake države od posebnog su značaja endemi uskog rasprostranjenja, koji rastu samo u Crnoj Gori, a njihovo očuvanje je važno sa aspekta očuvanja svjetskog genofonda. Ukupno ih je 39, a pripadaju im: </w:t>
      </w:r>
      <w:r>
        <w:rPr>
          <w:rFonts w:ascii="Times New Roman" w:eastAsia="Times New Roman" w:hAnsi="Times New Roman" w:cs="Times New Roman"/>
          <w:i/>
          <w:iCs/>
          <w:sz w:val="24"/>
          <w:szCs w:val="24"/>
        </w:rPr>
        <w:t xml:space="preserve">Cardamine montenegrina, Viola orphanidis </w:t>
      </w:r>
      <w:r>
        <w:rPr>
          <w:rFonts w:ascii="Times New Roman" w:eastAsia="Times New Roman" w:hAnsi="Times New Roman" w:cs="Times New Roman"/>
          <w:sz w:val="24"/>
          <w:szCs w:val="24"/>
        </w:rPr>
        <w:t>Boiss. s</w:t>
      </w:r>
      <w:r>
        <w:rPr>
          <w:rFonts w:ascii="Times New Roman" w:eastAsia="Times New Roman" w:hAnsi="Times New Roman" w:cs="Times New Roman"/>
          <w:sz w:val="24"/>
          <w:szCs w:val="24"/>
        </w:rPr>
        <w:t>ubsp.</w:t>
      </w:r>
      <w:r>
        <w:rPr>
          <w:rFonts w:ascii="Times New Roman" w:eastAsia="Times New Roman" w:hAnsi="Times New Roman" w:cs="Times New Roman"/>
          <w:i/>
          <w:iCs/>
          <w:sz w:val="24"/>
          <w:szCs w:val="24"/>
        </w:rPr>
        <w:t xml:space="preserve"> nicolai, Edraianthus pulevicii, Festuca rohlenae </w:t>
      </w:r>
      <w:r>
        <w:rPr>
          <w:rFonts w:ascii="Times New Roman" w:eastAsia="Times New Roman" w:hAnsi="Times New Roman" w:cs="Times New Roman"/>
          <w:sz w:val="24"/>
          <w:szCs w:val="24"/>
        </w:rPr>
        <w:t xml:space="preserve">itd. Veliki izazov sa konzervacionog stanovišta čine stenoendemi, čije je ukupno rasprostranjenje vezano za jedan lokalitet, kao što su: </w:t>
      </w:r>
      <w:r>
        <w:rPr>
          <w:rFonts w:ascii="Times New Roman" w:eastAsia="Times New Roman" w:hAnsi="Times New Roman" w:cs="Times New Roman"/>
          <w:i/>
          <w:iCs/>
          <w:sz w:val="24"/>
          <w:szCs w:val="24"/>
        </w:rPr>
        <w:t>Asperula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baldaccii</w:t>
      </w:r>
      <w:r>
        <w:rPr>
          <w:rFonts w:ascii="Times New Roman" w:eastAsia="Times New Roman" w:hAnsi="Times New Roman" w:cs="Times New Roman"/>
          <w:sz w:val="24"/>
          <w:szCs w:val="24"/>
        </w:rPr>
        <w:t xml:space="preserve"> iznad Starog Bara, </w:t>
      </w:r>
      <w:r>
        <w:rPr>
          <w:rFonts w:ascii="Times New Roman" w:eastAsia="Times New Roman" w:hAnsi="Times New Roman" w:cs="Times New Roman"/>
          <w:i/>
          <w:iCs/>
          <w:sz w:val="24"/>
          <w:szCs w:val="24"/>
        </w:rPr>
        <w:t>Arenaria halacsyi</w:t>
      </w:r>
      <w:r>
        <w:rPr>
          <w:rFonts w:ascii="Times New Roman" w:eastAsia="Times New Roman" w:hAnsi="Times New Roman" w:cs="Times New Roman"/>
          <w:sz w:val="24"/>
          <w:szCs w:val="24"/>
        </w:rPr>
        <w:t xml:space="preserve"> na Kučko</w:t>
      </w:r>
      <w:r>
        <w:rPr>
          <w:rFonts w:ascii="Times New Roman" w:eastAsia="Times New Roman" w:hAnsi="Times New Roman" w:cs="Times New Roman"/>
          <w:sz w:val="24"/>
          <w:szCs w:val="24"/>
        </w:rPr>
        <w:t xml:space="preserve">m Komu, </w:t>
      </w:r>
      <w:r>
        <w:rPr>
          <w:rFonts w:ascii="Times New Roman" w:eastAsia="Times New Roman" w:hAnsi="Times New Roman" w:cs="Times New Roman"/>
          <w:i/>
          <w:iCs/>
          <w:sz w:val="24"/>
          <w:szCs w:val="24"/>
        </w:rPr>
        <w:t>Berteroa gintlii</w:t>
      </w:r>
      <w:r>
        <w:rPr>
          <w:rFonts w:ascii="Times New Roman" w:eastAsia="Times New Roman" w:hAnsi="Times New Roman" w:cs="Times New Roman"/>
          <w:sz w:val="24"/>
          <w:szCs w:val="24"/>
        </w:rPr>
        <w:t xml:space="preserve"> na Lovćenu (Njeguši), </w:t>
      </w:r>
      <w:r>
        <w:rPr>
          <w:rFonts w:ascii="Times New Roman" w:eastAsia="Times New Roman" w:hAnsi="Times New Roman" w:cs="Times New Roman"/>
          <w:i/>
          <w:iCs/>
          <w:sz w:val="24"/>
          <w:szCs w:val="24"/>
        </w:rPr>
        <w:t>Draba bertiscea</w:t>
      </w:r>
      <w:r>
        <w:rPr>
          <w:rFonts w:ascii="Times New Roman" w:eastAsia="Times New Roman" w:hAnsi="Times New Roman" w:cs="Times New Roman"/>
          <w:sz w:val="24"/>
          <w:szCs w:val="24"/>
        </w:rPr>
        <w:t xml:space="preserve"> na Prokletijama (Maja Kolata), </w:t>
      </w:r>
      <w:r>
        <w:rPr>
          <w:rFonts w:ascii="Times New Roman" w:eastAsia="Times New Roman" w:hAnsi="Times New Roman" w:cs="Times New Roman"/>
          <w:i/>
          <w:iCs/>
          <w:sz w:val="24"/>
          <w:szCs w:val="24"/>
        </w:rPr>
        <w:t>Edraianthus tarae</w:t>
      </w:r>
      <w:r>
        <w:rPr>
          <w:rFonts w:ascii="Times New Roman" w:eastAsia="Times New Roman" w:hAnsi="Times New Roman" w:cs="Times New Roman"/>
          <w:sz w:val="24"/>
          <w:szCs w:val="24"/>
        </w:rPr>
        <w:t xml:space="preserve"> u kanjonu Tare (Đurđevića Tara). Uprkos činjenici da su prema IUCN kriterijumima stenoendemi ovako malog areala kritično ugroženi (CR), ne postoje recentni, precizni podaci o veličinama populacija ovih vrsta. Ove vrste su prioritetne, kada je u pitanju iz</w:t>
      </w:r>
      <w:r>
        <w:rPr>
          <w:rFonts w:ascii="Times New Roman" w:eastAsia="Times New Roman" w:hAnsi="Times New Roman" w:cs="Times New Roman"/>
          <w:sz w:val="24"/>
          <w:szCs w:val="24"/>
        </w:rPr>
        <w:t>rada Studija zaštite.</w:t>
      </w:r>
    </w:p>
    <w:p w:rsidR="004C2FFF" w:rsidRDefault="00953E6C">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U flori Crne Gore značajem se ističu 23 biljne vrste koje se nalaze na Prilogu II Direktive o staništima, 5 mahovine i 18 vaskularna biljka (tabela 1). Vrste sa ovog priloga imaju međunarodni značaj zaštite, a 16 ih je zakonom zaštiće</w:t>
      </w:r>
      <w:r>
        <w:rPr>
          <w:rFonts w:ascii="Times New Roman" w:eastAsia="Times New Roman" w:hAnsi="Times New Roman" w:cs="Times New Roman"/>
          <w:sz w:val="24"/>
          <w:szCs w:val="24"/>
        </w:rPr>
        <w:t xml:space="preserve">no u Crnoj Gori. Za neke od njih postoje stari literaturni podaci o nalazu u Crnoj Gori, ali njihovo prisustvo nije potvrđeno tokom recentnih istraživanja. To su: </w:t>
      </w:r>
      <w:r>
        <w:rPr>
          <w:rFonts w:ascii="Times New Roman" w:eastAsia="Times New Roman" w:hAnsi="Times New Roman" w:cs="Times New Roman"/>
          <w:i/>
          <w:iCs/>
          <w:sz w:val="24"/>
          <w:szCs w:val="24"/>
        </w:rPr>
        <w:t>Angelica palustris,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Asplenium adulterinum</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Cephalozia macounii. </w:t>
      </w:r>
      <w:r>
        <w:rPr>
          <w:rFonts w:ascii="Times New Roman" w:eastAsia="Times New Roman" w:hAnsi="Times New Roman" w:cs="Times New Roman"/>
          <w:sz w:val="24"/>
          <w:szCs w:val="24"/>
        </w:rPr>
        <w:t xml:space="preserve">7 vrsta je pronađeno samo na </w:t>
      </w:r>
      <w:r>
        <w:rPr>
          <w:rFonts w:ascii="Times New Roman" w:eastAsia="Times New Roman" w:hAnsi="Times New Roman" w:cs="Times New Roman"/>
          <w:sz w:val="24"/>
          <w:szCs w:val="24"/>
        </w:rPr>
        <w:t xml:space="preserve">po jednom lokalitetu u Crnoj Gori: </w:t>
      </w:r>
      <w:r>
        <w:rPr>
          <w:rFonts w:ascii="Times New Roman" w:eastAsia="Times New Roman" w:hAnsi="Times New Roman" w:cs="Times New Roman"/>
          <w:i/>
          <w:iCs/>
          <w:sz w:val="24"/>
          <w:szCs w:val="24"/>
        </w:rPr>
        <w:t>Androsace mathildae,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Caldesia </w:t>
      </w:r>
      <w:r>
        <w:rPr>
          <w:rFonts w:ascii="Times New Roman" w:eastAsia="Times New Roman" w:hAnsi="Times New Roman" w:cs="Times New Roman"/>
          <w:i/>
          <w:iCs/>
          <w:sz w:val="24"/>
          <w:szCs w:val="24"/>
        </w:rPr>
        <w:lastRenderedPageBreak/>
        <w:t>parnassifolia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Eleocharis carniolica, Hamatocaulis vernicosus, Himantoglossum adriaticum, Marsilea quadrifolia, Najas flexilis. </w:t>
      </w:r>
      <w:r>
        <w:rPr>
          <w:rFonts w:ascii="Times New Roman" w:eastAsia="Times New Roman" w:hAnsi="Times New Roman" w:cs="Times New Roman"/>
          <w:sz w:val="24"/>
          <w:szCs w:val="24"/>
        </w:rPr>
        <w:t>Potrebno je obaviti terenska istraživanja čiji bi fokus bile vr</w:t>
      </w:r>
      <w:r>
        <w:rPr>
          <w:rFonts w:ascii="Times New Roman" w:eastAsia="Times New Roman" w:hAnsi="Times New Roman" w:cs="Times New Roman"/>
          <w:sz w:val="24"/>
          <w:szCs w:val="24"/>
        </w:rPr>
        <w:t>ste koje su do sad pronađene samo na po jednom lokalitetu, kako bi se sakupili podaci o (potencijalno) novim nalazima njihovog rasprostranjenja u državi i podaci o veličini populacijao veličinama populacija.</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Iako se Crna Gora odlikujem izuzetnim florističk</w:t>
      </w:r>
      <w:r>
        <w:rPr>
          <w:rFonts w:ascii="Times New Roman" w:eastAsia="Times New Roman" w:hAnsi="Times New Roman" w:cs="Times New Roman"/>
          <w:sz w:val="24"/>
          <w:szCs w:val="24"/>
        </w:rPr>
        <w:t>im bogatstvom i bogatstvom endemične flore, jedina je država u regionu koja nema Crvenu listu. Najveći problem u izradi Crvene Liste, na kojoj se radi od 2023. godine, predstavlja nedostatak recentnih podataka o distribuciji i/ili veličini populacija ugrož</w:t>
      </w:r>
      <w:r>
        <w:rPr>
          <w:rFonts w:ascii="Times New Roman" w:eastAsia="Times New Roman" w:hAnsi="Times New Roman" w:cs="Times New Roman"/>
          <w:sz w:val="24"/>
          <w:szCs w:val="24"/>
        </w:rPr>
        <w:t>enih vrsta. Više od 2/3 taksona za koje je procijenjeno da trebaju da se nađu na Crvenoj listi imaju DD (Data deficient) IUCN kategoriju. Na osnovu raspoloživih podataka je procijenjeno da je više vrsta koje su staništem vezane za pjeskovite plaže kritično</w:t>
      </w:r>
      <w:r>
        <w:rPr>
          <w:rFonts w:ascii="Times New Roman" w:eastAsia="Times New Roman" w:hAnsi="Times New Roman" w:cs="Times New Roman"/>
          <w:sz w:val="24"/>
          <w:szCs w:val="24"/>
        </w:rPr>
        <w:t xml:space="preserve"> ugroženo (CR), zbog intezivnog antropogenog pritiska. Ne postoje precizni podaci o veličini njihovih populacija, kao ni podaci o populacionom trendu poslednjih decenija, ali se može očekivati da neke od ovih vrsta izčeznu iz crnogorske flore ukoliko se ne</w:t>
      </w:r>
      <w:r>
        <w:rPr>
          <w:rFonts w:ascii="Times New Roman" w:eastAsia="Times New Roman" w:hAnsi="Times New Roman" w:cs="Times New Roman"/>
          <w:sz w:val="24"/>
          <w:szCs w:val="24"/>
        </w:rPr>
        <w:t xml:space="preserve"> preduzmu hitne mjere zaštite. U skladu sa nevedenim, vrste biljaka koje naseljavaju pješčane dine su prioritetne za izradu Studija zaštite (npr. </w:t>
      </w:r>
      <w:r>
        <w:rPr>
          <w:rFonts w:ascii="Times New Roman" w:eastAsia="Times New Roman" w:hAnsi="Times New Roman" w:cs="Times New Roman"/>
          <w:i/>
          <w:iCs/>
          <w:sz w:val="24"/>
          <w:szCs w:val="24"/>
        </w:rPr>
        <w:t>Ammophila arenaria, Euphorbia paralias</w:t>
      </w:r>
      <w:r>
        <w:rPr>
          <w:rFonts w:ascii="Times New Roman" w:eastAsia="Times New Roman" w:hAnsi="Times New Roman" w:cs="Times New Roman"/>
          <w:sz w:val="24"/>
          <w:szCs w:val="24"/>
        </w:rPr>
        <w:t>)</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5"/>
        <w:gridCol w:w="1270"/>
        <w:gridCol w:w="1350"/>
        <w:gridCol w:w="1530"/>
        <w:gridCol w:w="1615"/>
      </w:tblGrid>
      <w:tr w:rsidR="004C2FFF">
        <w:tc>
          <w:tcPr>
            <w:tcW w:w="3585" w:type="dxa"/>
          </w:tcPr>
          <w:p w:rsidR="004C2FFF" w:rsidRDefault="00953E6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Vrsta</w:t>
            </w:r>
          </w:p>
        </w:tc>
        <w:tc>
          <w:tcPr>
            <w:tcW w:w="1270" w:type="dxa"/>
          </w:tcPr>
          <w:p w:rsidR="004C2FFF" w:rsidRDefault="00953E6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IUCN kategorija (globalna)</w:t>
            </w:r>
          </w:p>
        </w:tc>
        <w:tc>
          <w:tcPr>
            <w:tcW w:w="1350" w:type="dxa"/>
          </w:tcPr>
          <w:p w:rsidR="004C2FFF" w:rsidRDefault="00953E6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IUCN kategorija (EU)</w:t>
            </w:r>
          </w:p>
        </w:tc>
        <w:tc>
          <w:tcPr>
            <w:tcW w:w="1530" w:type="dxa"/>
          </w:tcPr>
          <w:p w:rsidR="004C2FFF" w:rsidRDefault="00953E6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Zaštićena u Crno</w:t>
            </w:r>
            <w:r>
              <w:rPr>
                <w:rFonts w:ascii="Times New Roman" w:eastAsia="Times New Roman" w:hAnsi="Times New Roman" w:cs="Times New Roman"/>
                <w:b/>
                <w:bCs/>
                <w:sz w:val="24"/>
                <w:szCs w:val="24"/>
              </w:rPr>
              <w:t>j Gori</w:t>
            </w:r>
            <w:r>
              <w:rPr>
                <w:rFonts w:ascii="Times New Roman" w:eastAsia="Times New Roman" w:hAnsi="Times New Roman" w:cs="Times New Roman"/>
                <w:b/>
                <w:bCs/>
                <w:sz w:val="24"/>
                <w:szCs w:val="24"/>
                <w:vertAlign w:val="superscript"/>
              </w:rPr>
              <w:footnoteReference w:id="1"/>
            </w:r>
          </w:p>
        </w:tc>
        <w:tc>
          <w:tcPr>
            <w:tcW w:w="1615" w:type="dxa"/>
          </w:tcPr>
          <w:p w:rsidR="004C2FFF" w:rsidRDefault="00953E6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Direktiva o staništima</w:t>
            </w:r>
            <w:r>
              <w:rPr>
                <w:rFonts w:ascii="Times New Roman" w:eastAsia="Times New Roman" w:hAnsi="Times New Roman" w:cs="Times New Roman"/>
                <w:b/>
                <w:bCs/>
                <w:sz w:val="24"/>
                <w:szCs w:val="24"/>
                <w:vertAlign w:val="superscript"/>
              </w:rPr>
              <w:footnoteReference w:id="2"/>
            </w:r>
          </w:p>
        </w:tc>
      </w:tr>
      <w:tr w:rsidR="004C2FFF">
        <w:tc>
          <w:tcPr>
            <w:tcW w:w="358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Adenophora liliifolia</w:t>
            </w:r>
            <w:r>
              <w:rPr>
                <w:rFonts w:ascii="Times New Roman" w:eastAsia="Times New Roman" w:hAnsi="Times New Roman" w:cs="Times New Roman"/>
                <w:sz w:val="24"/>
                <w:szCs w:val="24"/>
              </w:rPr>
              <w:t xml:space="preserve"> (L.) Ledeb.</w:t>
            </w:r>
          </w:p>
        </w:tc>
        <w:tc>
          <w:tcPr>
            <w:tcW w:w="127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t>
            </w:r>
          </w:p>
          <w:p w:rsidR="004C2FFF" w:rsidRDefault="004C2FFF">
            <w:pPr>
              <w:spacing w:line="360" w:lineRule="auto"/>
              <w:rPr>
                <w:rFonts w:ascii="Times New Roman" w:eastAsia="Times New Roman" w:hAnsi="Times New Roman" w:cs="Times New Roman"/>
                <w:sz w:val="24"/>
                <w:szCs w:val="24"/>
              </w:rPr>
            </w:pPr>
          </w:p>
        </w:tc>
        <w:tc>
          <w:tcPr>
            <w:tcW w:w="135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LC</w:t>
            </w:r>
          </w:p>
          <w:p w:rsidR="004C2FFF" w:rsidRDefault="004C2FFF">
            <w:pPr>
              <w:spacing w:line="360" w:lineRule="auto"/>
              <w:rPr>
                <w:rFonts w:ascii="Times New Roman" w:eastAsia="Times New Roman" w:hAnsi="Times New Roman" w:cs="Times New Roman"/>
                <w:sz w:val="24"/>
                <w:szCs w:val="24"/>
              </w:rPr>
            </w:pPr>
          </w:p>
        </w:tc>
        <w:tc>
          <w:tcPr>
            <w:tcW w:w="153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61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II</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IV</w:t>
            </w:r>
          </w:p>
        </w:tc>
      </w:tr>
      <w:tr w:rsidR="004C2FFF">
        <w:tc>
          <w:tcPr>
            <w:tcW w:w="358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Androsace mathildae</w:t>
            </w:r>
            <w:r>
              <w:rPr>
                <w:rFonts w:ascii="Times New Roman" w:eastAsia="Times New Roman" w:hAnsi="Times New Roman" w:cs="Times New Roman"/>
                <w:sz w:val="24"/>
                <w:szCs w:val="24"/>
              </w:rPr>
              <w:t xml:space="preserve"> Levier</w:t>
            </w:r>
            <w:r>
              <w:rPr>
                <w:rFonts w:ascii="Times New Roman" w:eastAsia="Times New Roman" w:hAnsi="Times New Roman" w:cs="Times New Roman"/>
                <w:sz w:val="24"/>
                <w:szCs w:val="24"/>
                <w:vertAlign w:val="superscript"/>
              </w:rPr>
              <w:footnoteReference w:id="3"/>
            </w:r>
          </w:p>
          <w:p w:rsidR="004C2FFF" w:rsidRDefault="004C2FFF">
            <w:pPr>
              <w:spacing w:line="360" w:lineRule="auto"/>
              <w:rPr>
                <w:rFonts w:ascii="Times New Roman" w:eastAsia="Times New Roman" w:hAnsi="Times New Roman" w:cs="Times New Roman"/>
                <w:sz w:val="24"/>
                <w:szCs w:val="24"/>
              </w:rPr>
            </w:pPr>
          </w:p>
        </w:tc>
        <w:tc>
          <w:tcPr>
            <w:tcW w:w="127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DD</w:t>
            </w:r>
          </w:p>
          <w:p w:rsidR="004C2FFF" w:rsidRDefault="004C2FFF">
            <w:pPr>
              <w:spacing w:line="360" w:lineRule="auto"/>
              <w:rPr>
                <w:rFonts w:ascii="Times New Roman" w:eastAsia="Times New Roman" w:hAnsi="Times New Roman" w:cs="Times New Roman"/>
                <w:sz w:val="24"/>
                <w:szCs w:val="24"/>
              </w:rPr>
            </w:pPr>
          </w:p>
        </w:tc>
        <w:tc>
          <w:tcPr>
            <w:tcW w:w="135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DD</w:t>
            </w:r>
          </w:p>
          <w:p w:rsidR="004C2FFF" w:rsidRDefault="004C2FFF">
            <w:pPr>
              <w:spacing w:line="360" w:lineRule="auto"/>
              <w:rPr>
                <w:rFonts w:ascii="Times New Roman" w:eastAsia="Times New Roman" w:hAnsi="Times New Roman" w:cs="Times New Roman"/>
                <w:sz w:val="24"/>
                <w:szCs w:val="24"/>
              </w:rPr>
            </w:pPr>
          </w:p>
        </w:tc>
        <w:tc>
          <w:tcPr>
            <w:tcW w:w="153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61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II</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IV</w:t>
            </w:r>
          </w:p>
        </w:tc>
      </w:tr>
      <w:tr w:rsidR="004C2FFF">
        <w:tc>
          <w:tcPr>
            <w:tcW w:w="358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Angelica palustris </w:t>
            </w:r>
            <w:r>
              <w:rPr>
                <w:rFonts w:ascii="Times New Roman" w:eastAsia="Times New Roman" w:hAnsi="Times New Roman" w:cs="Times New Roman"/>
                <w:sz w:val="24"/>
                <w:szCs w:val="24"/>
              </w:rPr>
              <w:t>(Besser) Hoffm.</w:t>
            </w:r>
          </w:p>
        </w:tc>
        <w:tc>
          <w:tcPr>
            <w:tcW w:w="127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35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DD</w:t>
            </w:r>
          </w:p>
          <w:p w:rsidR="004C2FFF" w:rsidRDefault="004C2FFF">
            <w:pPr>
              <w:spacing w:line="360" w:lineRule="auto"/>
              <w:rPr>
                <w:rFonts w:ascii="Times New Roman" w:eastAsia="Times New Roman" w:hAnsi="Times New Roman" w:cs="Times New Roman"/>
                <w:sz w:val="24"/>
                <w:szCs w:val="24"/>
              </w:rPr>
            </w:pPr>
          </w:p>
        </w:tc>
        <w:tc>
          <w:tcPr>
            <w:tcW w:w="153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61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II</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IV</w:t>
            </w:r>
          </w:p>
        </w:tc>
      </w:tr>
      <w:tr w:rsidR="004C2FFF">
        <w:tc>
          <w:tcPr>
            <w:tcW w:w="358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Asplenium adulterinum</w:t>
            </w:r>
            <w:r>
              <w:rPr>
                <w:rFonts w:ascii="Times New Roman" w:eastAsia="Times New Roman" w:hAnsi="Times New Roman" w:cs="Times New Roman"/>
                <w:sz w:val="24"/>
                <w:szCs w:val="24"/>
              </w:rPr>
              <w:t xml:space="preserve"> Milde</w:t>
            </w:r>
          </w:p>
        </w:tc>
        <w:tc>
          <w:tcPr>
            <w:tcW w:w="127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35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VU</w:t>
            </w:r>
          </w:p>
          <w:p w:rsidR="004C2FFF" w:rsidRDefault="004C2FFF">
            <w:pPr>
              <w:spacing w:line="360" w:lineRule="auto"/>
              <w:rPr>
                <w:rFonts w:ascii="Times New Roman" w:eastAsia="Times New Roman" w:hAnsi="Times New Roman" w:cs="Times New Roman"/>
                <w:sz w:val="24"/>
                <w:szCs w:val="24"/>
              </w:rPr>
            </w:pPr>
          </w:p>
        </w:tc>
        <w:tc>
          <w:tcPr>
            <w:tcW w:w="153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p w:rsidR="004C2FFF" w:rsidRDefault="004C2FFF">
            <w:pPr>
              <w:spacing w:line="360" w:lineRule="auto"/>
              <w:rPr>
                <w:rFonts w:ascii="Times New Roman" w:eastAsia="Times New Roman" w:hAnsi="Times New Roman" w:cs="Times New Roman"/>
                <w:sz w:val="24"/>
                <w:szCs w:val="24"/>
              </w:rPr>
            </w:pPr>
          </w:p>
        </w:tc>
        <w:tc>
          <w:tcPr>
            <w:tcW w:w="161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ANNEX II</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ANNEX IV</w:t>
            </w:r>
          </w:p>
        </w:tc>
      </w:tr>
      <w:tr w:rsidR="004C2FFF">
        <w:tc>
          <w:tcPr>
            <w:tcW w:w="358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Buxbaumia viridis</w:t>
            </w:r>
            <w:r>
              <w:rPr>
                <w:rFonts w:ascii="Times New Roman" w:eastAsia="Times New Roman" w:hAnsi="Times New Roman" w:cs="Times New Roman"/>
                <w:sz w:val="24"/>
                <w:szCs w:val="24"/>
              </w:rPr>
              <w:t xml:space="preserve"> (Moug.) Moug. &amp; Nestl.</w:t>
            </w:r>
          </w:p>
        </w:tc>
        <w:tc>
          <w:tcPr>
            <w:tcW w:w="127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LC</w:t>
            </w:r>
          </w:p>
          <w:p w:rsidR="004C2FFF" w:rsidRDefault="004C2FFF">
            <w:pPr>
              <w:spacing w:line="360" w:lineRule="auto"/>
              <w:rPr>
                <w:rFonts w:ascii="Times New Roman" w:eastAsia="Times New Roman" w:hAnsi="Times New Roman" w:cs="Times New Roman"/>
                <w:sz w:val="24"/>
                <w:szCs w:val="24"/>
              </w:rPr>
            </w:pPr>
          </w:p>
        </w:tc>
        <w:tc>
          <w:tcPr>
            <w:tcW w:w="135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53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61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II</w:t>
            </w:r>
          </w:p>
        </w:tc>
      </w:tr>
      <w:tr w:rsidR="004C2FFF">
        <w:tc>
          <w:tcPr>
            <w:tcW w:w="358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Caldesia parnassifolia</w:t>
            </w:r>
            <w:r>
              <w:rPr>
                <w:rFonts w:ascii="Times New Roman" w:eastAsia="Times New Roman" w:hAnsi="Times New Roman" w:cs="Times New Roman"/>
                <w:sz w:val="24"/>
                <w:szCs w:val="24"/>
              </w:rPr>
              <w:t xml:space="preserve"> (L.) Parl.</w:t>
            </w:r>
          </w:p>
          <w:p w:rsidR="004C2FFF" w:rsidRDefault="004C2FFF">
            <w:pPr>
              <w:spacing w:line="360" w:lineRule="auto"/>
              <w:rPr>
                <w:rFonts w:ascii="Times New Roman" w:eastAsia="Times New Roman" w:hAnsi="Times New Roman" w:cs="Times New Roman"/>
                <w:sz w:val="24"/>
                <w:szCs w:val="24"/>
              </w:rPr>
            </w:pPr>
          </w:p>
        </w:tc>
        <w:tc>
          <w:tcPr>
            <w:tcW w:w="127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LC</w:t>
            </w:r>
          </w:p>
          <w:p w:rsidR="004C2FFF" w:rsidRDefault="004C2FFF">
            <w:pPr>
              <w:spacing w:line="360" w:lineRule="auto"/>
              <w:rPr>
                <w:rFonts w:ascii="Times New Roman" w:eastAsia="Times New Roman" w:hAnsi="Times New Roman" w:cs="Times New Roman"/>
                <w:sz w:val="24"/>
                <w:szCs w:val="24"/>
              </w:rPr>
            </w:pPr>
          </w:p>
        </w:tc>
        <w:tc>
          <w:tcPr>
            <w:tcW w:w="135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53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61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II</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IV</w:t>
            </w:r>
          </w:p>
        </w:tc>
      </w:tr>
      <w:tr w:rsidR="004C2FFF">
        <w:tc>
          <w:tcPr>
            <w:tcW w:w="358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Cephalozia macounii</w:t>
            </w:r>
            <w:r>
              <w:rPr>
                <w:rFonts w:ascii="Times New Roman" w:eastAsia="Times New Roman" w:hAnsi="Times New Roman" w:cs="Times New Roman"/>
                <w:sz w:val="24"/>
                <w:szCs w:val="24"/>
              </w:rPr>
              <w:t xml:space="preserve"> (Aust.) Aust.</w:t>
            </w:r>
          </w:p>
        </w:tc>
        <w:tc>
          <w:tcPr>
            <w:tcW w:w="127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35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w:t>
            </w:r>
          </w:p>
          <w:p w:rsidR="004C2FFF" w:rsidRDefault="004C2FFF">
            <w:pPr>
              <w:spacing w:line="360" w:lineRule="auto"/>
              <w:rPr>
                <w:rFonts w:ascii="Times New Roman" w:eastAsia="Times New Roman" w:hAnsi="Times New Roman" w:cs="Times New Roman"/>
                <w:sz w:val="24"/>
                <w:szCs w:val="24"/>
              </w:rPr>
            </w:pPr>
          </w:p>
        </w:tc>
        <w:tc>
          <w:tcPr>
            <w:tcW w:w="153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61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II</w:t>
            </w:r>
          </w:p>
        </w:tc>
      </w:tr>
      <w:tr w:rsidR="004C2FFF">
        <w:tc>
          <w:tcPr>
            <w:tcW w:w="358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Cerastium dinaricum</w:t>
            </w:r>
            <w:r>
              <w:rPr>
                <w:rFonts w:ascii="Times New Roman" w:eastAsia="Times New Roman" w:hAnsi="Times New Roman" w:cs="Times New Roman"/>
                <w:sz w:val="24"/>
                <w:szCs w:val="24"/>
              </w:rPr>
              <w:t xml:space="preserve"> G.Beck &amp; Szysz.</w:t>
            </w:r>
          </w:p>
        </w:tc>
        <w:tc>
          <w:tcPr>
            <w:tcW w:w="127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VU</w:t>
            </w:r>
          </w:p>
          <w:p w:rsidR="004C2FFF" w:rsidRDefault="004C2FFF">
            <w:pPr>
              <w:spacing w:line="360" w:lineRule="auto"/>
              <w:rPr>
                <w:rFonts w:ascii="Times New Roman" w:eastAsia="Times New Roman" w:hAnsi="Times New Roman" w:cs="Times New Roman"/>
                <w:sz w:val="24"/>
                <w:szCs w:val="24"/>
              </w:rPr>
            </w:pPr>
          </w:p>
        </w:tc>
        <w:tc>
          <w:tcPr>
            <w:tcW w:w="135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VU</w:t>
            </w:r>
          </w:p>
          <w:p w:rsidR="004C2FFF" w:rsidRDefault="004C2FFF">
            <w:pPr>
              <w:spacing w:line="360" w:lineRule="auto"/>
              <w:rPr>
                <w:rFonts w:ascii="Times New Roman" w:eastAsia="Times New Roman" w:hAnsi="Times New Roman" w:cs="Times New Roman"/>
                <w:sz w:val="24"/>
                <w:szCs w:val="24"/>
              </w:rPr>
            </w:pPr>
          </w:p>
        </w:tc>
        <w:tc>
          <w:tcPr>
            <w:tcW w:w="153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61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II</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IV</w:t>
            </w:r>
          </w:p>
        </w:tc>
      </w:tr>
      <w:tr w:rsidR="004C2FFF">
        <w:tc>
          <w:tcPr>
            <w:tcW w:w="358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Cypripedium calceolus</w:t>
            </w:r>
            <w:r>
              <w:rPr>
                <w:rFonts w:ascii="Times New Roman" w:eastAsia="Times New Roman" w:hAnsi="Times New Roman" w:cs="Times New Roman"/>
                <w:sz w:val="24"/>
                <w:szCs w:val="24"/>
              </w:rPr>
              <w:t xml:space="preserve"> L.</w:t>
            </w:r>
          </w:p>
          <w:p w:rsidR="004C2FFF" w:rsidRDefault="004C2FFF">
            <w:pPr>
              <w:spacing w:line="360" w:lineRule="auto"/>
              <w:rPr>
                <w:rFonts w:ascii="Times New Roman" w:eastAsia="Times New Roman" w:hAnsi="Times New Roman" w:cs="Times New Roman"/>
                <w:sz w:val="24"/>
                <w:szCs w:val="24"/>
              </w:rPr>
            </w:pPr>
          </w:p>
        </w:tc>
        <w:tc>
          <w:tcPr>
            <w:tcW w:w="127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LC</w:t>
            </w:r>
          </w:p>
          <w:p w:rsidR="004C2FFF" w:rsidRDefault="004C2FFF">
            <w:pPr>
              <w:spacing w:line="360" w:lineRule="auto"/>
              <w:rPr>
                <w:rFonts w:ascii="Times New Roman" w:eastAsia="Times New Roman" w:hAnsi="Times New Roman" w:cs="Times New Roman"/>
                <w:sz w:val="24"/>
                <w:szCs w:val="24"/>
              </w:rPr>
            </w:pPr>
          </w:p>
        </w:tc>
        <w:tc>
          <w:tcPr>
            <w:tcW w:w="135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53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1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II</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IV</w:t>
            </w:r>
          </w:p>
        </w:tc>
      </w:tr>
      <w:tr w:rsidR="004C2FFF">
        <w:tc>
          <w:tcPr>
            <w:tcW w:w="358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Dianthus nitidus </w:t>
            </w:r>
            <w:r>
              <w:rPr>
                <w:rFonts w:ascii="Times New Roman" w:eastAsia="Times New Roman" w:hAnsi="Times New Roman" w:cs="Times New Roman"/>
                <w:sz w:val="24"/>
                <w:szCs w:val="24"/>
              </w:rPr>
              <w:t>Waldst. et Kit.</w:t>
            </w:r>
          </w:p>
          <w:p w:rsidR="004C2FFF" w:rsidRDefault="004C2FFF">
            <w:pPr>
              <w:spacing w:line="360" w:lineRule="auto"/>
              <w:rPr>
                <w:rFonts w:ascii="Times New Roman" w:eastAsia="Times New Roman" w:hAnsi="Times New Roman" w:cs="Times New Roman"/>
                <w:sz w:val="24"/>
                <w:szCs w:val="24"/>
              </w:rPr>
            </w:pPr>
          </w:p>
        </w:tc>
        <w:tc>
          <w:tcPr>
            <w:tcW w:w="127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NT</w:t>
            </w:r>
          </w:p>
          <w:p w:rsidR="004C2FFF" w:rsidRDefault="004C2FFF">
            <w:pPr>
              <w:spacing w:line="360" w:lineRule="auto"/>
              <w:rPr>
                <w:rFonts w:ascii="Times New Roman" w:eastAsia="Times New Roman" w:hAnsi="Times New Roman" w:cs="Times New Roman"/>
                <w:sz w:val="24"/>
                <w:szCs w:val="24"/>
              </w:rPr>
            </w:pPr>
          </w:p>
        </w:tc>
        <w:tc>
          <w:tcPr>
            <w:tcW w:w="135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NT</w:t>
            </w:r>
          </w:p>
          <w:p w:rsidR="004C2FFF" w:rsidRDefault="004C2FFF">
            <w:pPr>
              <w:spacing w:line="360" w:lineRule="auto"/>
              <w:rPr>
                <w:rFonts w:ascii="Times New Roman" w:eastAsia="Times New Roman" w:hAnsi="Times New Roman" w:cs="Times New Roman"/>
                <w:sz w:val="24"/>
                <w:szCs w:val="24"/>
              </w:rPr>
            </w:pPr>
          </w:p>
        </w:tc>
        <w:tc>
          <w:tcPr>
            <w:tcW w:w="153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61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II</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IV</w:t>
            </w:r>
          </w:p>
        </w:tc>
      </w:tr>
      <w:tr w:rsidR="004C2FFF">
        <w:tc>
          <w:tcPr>
            <w:tcW w:w="358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Dicranum viride </w:t>
            </w:r>
            <w:r>
              <w:rPr>
                <w:rFonts w:ascii="Times New Roman" w:eastAsia="Times New Roman" w:hAnsi="Times New Roman" w:cs="Times New Roman"/>
                <w:sz w:val="24"/>
                <w:szCs w:val="24"/>
              </w:rPr>
              <w:t>(Sull. &amp; Lesq.) Lindb.</w:t>
            </w:r>
          </w:p>
        </w:tc>
        <w:tc>
          <w:tcPr>
            <w:tcW w:w="127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35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LC</w:t>
            </w:r>
          </w:p>
          <w:p w:rsidR="004C2FFF" w:rsidRDefault="004C2FFF">
            <w:pPr>
              <w:spacing w:line="360" w:lineRule="auto"/>
              <w:rPr>
                <w:rFonts w:ascii="Times New Roman" w:eastAsia="Times New Roman" w:hAnsi="Times New Roman" w:cs="Times New Roman"/>
                <w:sz w:val="24"/>
                <w:szCs w:val="24"/>
              </w:rPr>
            </w:pPr>
          </w:p>
        </w:tc>
        <w:tc>
          <w:tcPr>
            <w:tcW w:w="153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61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II</w:t>
            </w:r>
          </w:p>
        </w:tc>
      </w:tr>
      <w:tr w:rsidR="004C2FFF">
        <w:tc>
          <w:tcPr>
            <w:tcW w:w="358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Eleocharis carniolica</w:t>
            </w:r>
            <w:r>
              <w:rPr>
                <w:rFonts w:ascii="Times New Roman" w:eastAsia="Times New Roman" w:hAnsi="Times New Roman" w:cs="Times New Roman"/>
                <w:sz w:val="24"/>
                <w:szCs w:val="24"/>
              </w:rPr>
              <w:t xml:space="preserve"> W. D. J. Koch</w:t>
            </w:r>
          </w:p>
        </w:tc>
        <w:tc>
          <w:tcPr>
            <w:tcW w:w="127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LC</w:t>
            </w:r>
          </w:p>
          <w:p w:rsidR="004C2FFF" w:rsidRDefault="004C2FFF">
            <w:pPr>
              <w:spacing w:line="360" w:lineRule="auto"/>
              <w:rPr>
                <w:rFonts w:ascii="Times New Roman" w:eastAsia="Times New Roman" w:hAnsi="Times New Roman" w:cs="Times New Roman"/>
                <w:sz w:val="24"/>
                <w:szCs w:val="24"/>
              </w:rPr>
            </w:pPr>
          </w:p>
        </w:tc>
        <w:tc>
          <w:tcPr>
            <w:tcW w:w="135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LC</w:t>
            </w:r>
          </w:p>
          <w:p w:rsidR="004C2FFF" w:rsidRDefault="004C2FFF">
            <w:pPr>
              <w:spacing w:line="360" w:lineRule="auto"/>
              <w:rPr>
                <w:rFonts w:ascii="Times New Roman" w:eastAsia="Times New Roman" w:hAnsi="Times New Roman" w:cs="Times New Roman"/>
                <w:sz w:val="24"/>
                <w:szCs w:val="24"/>
              </w:rPr>
            </w:pPr>
          </w:p>
        </w:tc>
        <w:tc>
          <w:tcPr>
            <w:tcW w:w="153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61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II</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IV</w:t>
            </w:r>
          </w:p>
        </w:tc>
      </w:tr>
      <w:tr w:rsidR="004C2FFF">
        <w:tc>
          <w:tcPr>
            <w:tcW w:w="358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Eryngium alpinum </w:t>
            </w:r>
            <w:r>
              <w:rPr>
                <w:rFonts w:ascii="Times New Roman" w:eastAsia="Times New Roman" w:hAnsi="Times New Roman" w:cs="Times New Roman"/>
                <w:sz w:val="24"/>
                <w:szCs w:val="24"/>
              </w:rPr>
              <w:t>L.</w:t>
            </w:r>
          </w:p>
          <w:p w:rsidR="004C2FFF" w:rsidRDefault="004C2FFF">
            <w:pPr>
              <w:spacing w:line="360" w:lineRule="auto"/>
              <w:rPr>
                <w:rFonts w:ascii="Times New Roman" w:eastAsia="Times New Roman" w:hAnsi="Times New Roman" w:cs="Times New Roman"/>
                <w:sz w:val="24"/>
                <w:szCs w:val="24"/>
              </w:rPr>
            </w:pPr>
          </w:p>
        </w:tc>
        <w:tc>
          <w:tcPr>
            <w:tcW w:w="127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NT</w:t>
            </w:r>
          </w:p>
          <w:p w:rsidR="004C2FFF" w:rsidRDefault="004C2FFF">
            <w:pPr>
              <w:spacing w:line="360" w:lineRule="auto"/>
              <w:rPr>
                <w:rFonts w:ascii="Times New Roman" w:eastAsia="Times New Roman" w:hAnsi="Times New Roman" w:cs="Times New Roman"/>
                <w:sz w:val="24"/>
                <w:szCs w:val="24"/>
              </w:rPr>
            </w:pPr>
          </w:p>
        </w:tc>
        <w:tc>
          <w:tcPr>
            <w:tcW w:w="135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NT</w:t>
            </w:r>
          </w:p>
          <w:p w:rsidR="004C2FFF" w:rsidRDefault="004C2FFF">
            <w:pPr>
              <w:spacing w:line="360" w:lineRule="auto"/>
              <w:rPr>
                <w:rFonts w:ascii="Times New Roman" w:eastAsia="Times New Roman" w:hAnsi="Times New Roman" w:cs="Times New Roman"/>
                <w:sz w:val="24"/>
                <w:szCs w:val="24"/>
              </w:rPr>
            </w:pPr>
          </w:p>
        </w:tc>
        <w:tc>
          <w:tcPr>
            <w:tcW w:w="153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61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II</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IV</w:t>
            </w:r>
          </w:p>
        </w:tc>
      </w:tr>
      <w:tr w:rsidR="004C2FFF">
        <w:tc>
          <w:tcPr>
            <w:tcW w:w="358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Gladiolus palustris</w:t>
            </w:r>
            <w:r>
              <w:rPr>
                <w:rFonts w:ascii="Times New Roman" w:eastAsia="Times New Roman" w:hAnsi="Times New Roman" w:cs="Times New Roman"/>
                <w:sz w:val="24"/>
                <w:szCs w:val="24"/>
              </w:rPr>
              <w:t xml:space="preserve"> Gaud.</w:t>
            </w:r>
          </w:p>
          <w:p w:rsidR="004C2FFF" w:rsidRDefault="004C2FFF">
            <w:pPr>
              <w:spacing w:line="360" w:lineRule="auto"/>
              <w:rPr>
                <w:rFonts w:ascii="Times New Roman" w:eastAsia="Times New Roman" w:hAnsi="Times New Roman" w:cs="Times New Roman"/>
                <w:sz w:val="24"/>
                <w:szCs w:val="24"/>
              </w:rPr>
            </w:pPr>
          </w:p>
        </w:tc>
        <w:tc>
          <w:tcPr>
            <w:tcW w:w="127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DD</w:t>
            </w:r>
          </w:p>
          <w:p w:rsidR="004C2FFF" w:rsidRDefault="004C2FFF">
            <w:pPr>
              <w:spacing w:line="360" w:lineRule="auto"/>
              <w:rPr>
                <w:rFonts w:ascii="Times New Roman" w:eastAsia="Times New Roman" w:hAnsi="Times New Roman" w:cs="Times New Roman"/>
                <w:sz w:val="24"/>
                <w:szCs w:val="24"/>
              </w:rPr>
            </w:pPr>
          </w:p>
        </w:tc>
        <w:tc>
          <w:tcPr>
            <w:tcW w:w="135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DD</w:t>
            </w:r>
          </w:p>
          <w:p w:rsidR="004C2FFF" w:rsidRDefault="004C2FFF">
            <w:pPr>
              <w:spacing w:line="360" w:lineRule="auto"/>
              <w:rPr>
                <w:rFonts w:ascii="Times New Roman" w:eastAsia="Times New Roman" w:hAnsi="Times New Roman" w:cs="Times New Roman"/>
                <w:sz w:val="24"/>
                <w:szCs w:val="24"/>
              </w:rPr>
            </w:pPr>
          </w:p>
        </w:tc>
        <w:tc>
          <w:tcPr>
            <w:tcW w:w="153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61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II</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IV</w:t>
            </w:r>
          </w:p>
        </w:tc>
      </w:tr>
      <w:tr w:rsidR="004C2FFF">
        <w:tc>
          <w:tcPr>
            <w:tcW w:w="358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Hamatocaulis vernicosus</w:t>
            </w:r>
            <w:r>
              <w:rPr>
                <w:rFonts w:ascii="Times New Roman" w:eastAsia="Times New Roman" w:hAnsi="Times New Roman" w:cs="Times New Roman"/>
                <w:sz w:val="24"/>
                <w:szCs w:val="24"/>
              </w:rPr>
              <w:t xml:space="preserve"> (Mitt.) Hedenas</w:t>
            </w:r>
          </w:p>
        </w:tc>
        <w:tc>
          <w:tcPr>
            <w:tcW w:w="127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35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VU</w:t>
            </w:r>
          </w:p>
          <w:p w:rsidR="004C2FFF" w:rsidRDefault="004C2FFF">
            <w:pPr>
              <w:spacing w:line="360" w:lineRule="auto"/>
              <w:rPr>
                <w:rFonts w:ascii="Times New Roman" w:eastAsia="Times New Roman" w:hAnsi="Times New Roman" w:cs="Times New Roman"/>
                <w:sz w:val="24"/>
                <w:szCs w:val="24"/>
              </w:rPr>
            </w:pPr>
          </w:p>
        </w:tc>
        <w:tc>
          <w:tcPr>
            <w:tcW w:w="153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61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II</w:t>
            </w:r>
          </w:p>
        </w:tc>
      </w:tr>
      <w:tr w:rsidR="004C2FFF">
        <w:tc>
          <w:tcPr>
            <w:tcW w:w="358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Himantoglossum adriaticum</w:t>
            </w:r>
            <w:r>
              <w:rPr>
                <w:rFonts w:ascii="Times New Roman" w:eastAsia="Times New Roman" w:hAnsi="Times New Roman" w:cs="Times New Roman"/>
                <w:sz w:val="24"/>
                <w:szCs w:val="24"/>
              </w:rPr>
              <w:t xml:space="preserve"> Baumann</w:t>
            </w:r>
          </w:p>
          <w:p w:rsidR="004C2FFF" w:rsidRDefault="004C2FFF">
            <w:pPr>
              <w:spacing w:line="360" w:lineRule="auto"/>
              <w:rPr>
                <w:rFonts w:ascii="Times New Roman" w:eastAsia="Times New Roman" w:hAnsi="Times New Roman" w:cs="Times New Roman"/>
                <w:sz w:val="24"/>
                <w:szCs w:val="24"/>
              </w:rPr>
            </w:pPr>
          </w:p>
        </w:tc>
        <w:tc>
          <w:tcPr>
            <w:tcW w:w="127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LC</w:t>
            </w:r>
          </w:p>
          <w:p w:rsidR="004C2FFF" w:rsidRDefault="004C2FFF">
            <w:pPr>
              <w:spacing w:line="360" w:lineRule="auto"/>
              <w:rPr>
                <w:rFonts w:ascii="Times New Roman" w:eastAsia="Times New Roman" w:hAnsi="Times New Roman" w:cs="Times New Roman"/>
                <w:sz w:val="24"/>
                <w:szCs w:val="24"/>
              </w:rPr>
            </w:pPr>
          </w:p>
        </w:tc>
        <w:tc>
          <w:tcPr>
            <w:tcW w:w="135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LC</w:t>
            </w:r>
          </w:p>
          <w:p w:rsidR="004C2FFF" w:rsidRDefault="004C2FFF">
            <w:pPr>
              <w:spacing w:line="360" w:lineRule="auto"/>
              <w:rPr>
                <w:rFonts w:ascii="Times New Roman" w:eastAsia="Times New Roman" w:hAnsi="Times New Roman" w:cs="Times New Roman"/>
                <w:sz w:val="24"/>
                <w:szCs w:val="24"/>
              </w:rPr>
            </w:pPr>
          </w:p>
        </w:tc>
        <w:tc>
          <w:tcPr>
            <w:tcW w:w="153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61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II</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IV</w:t>
            </w:r>
          </w:p>
        </w:tc>
      </w:tr>
      <w:tr w:rsidR="004C2FFF">
        <w:tc>
          <w:tcPr>
            <w:tcW w:w="358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Himantoglossum jankae</w:t>
            </w:r>
            <w:r>
              <w:rPr>
                <w:rFonts w:ascii="Times New Roman" w:eastAsia="Times New Roman" w:hAnsi="Times New Roman" w:cs="Times New Roman"/>
                <w:sz w:val="24"/>
                <w:szCs w:val="24"/>
              </w:rPr>
              <w:t xml:space="preserve"> Somlyay, Kreutz &amp; Óvári</w:t>
            </w:r>
          </w:p>
        </w:tc>
        <w:tc>
          <w:tcPr>
            <w:tcW w:w="127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35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NT</w:t>
            </w:r>
          </w:p>
          <w:p w:rsidR="004C2FFF" w:rsidRDefault="004C2FFF">
            <w:pPr>
              <w:spacing w:line="360" w:lineRule="auto"/>
              <w:rPr>
                <w:rFonts w:ascii="Times New Roman" w:eastAsia="Times New Roman" w:hAnsi="Times New Roman" w:cs="Times New Roman"/>
                <w:sz w:val="24"/>
                <w:szCs w:val="24"/>
              </w:rPr>
            </w:pPr>
          </w:p>
        </w:tc>
        <w:tc>
          <w:tcPr>
            <w:tcW w:w="153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61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II</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IV</w:t>
            </w:r>
          </w:p>
        </w:tc>
      </w:tr>
      <w:tr w:rsidR="004C2FFF">
        <w:tc>
          <w:tcPr>
            <w:tcW w:w="358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Mannia triandra</w:t>
            </w:r>
            <w:r>
              <w:rPr>
                <w:rFonts w:ascii="Times New Roman" w:eastAsia="Times New Roman" w:hAnsi="Times New Roman" w:cs="Times New Roman"/>
                <w:sz w:val="24"/>
                <w:szCs w:val="24"/>
              </w:rPr>
              <w:t xml:space="preserve"> (Scop.) Grolle</w:t>
            </w:r>
          </w:p>
        </w:tc>
        <w:tc>
          <w:tcPr>
            <w:tcW w:w="127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35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VU</w:t>
            </w:r>
          </w:p>
          <w:p w:rsidR="004C2FFF" w:rsidRDefault="004C2FFF">
            <w:pPr>
              <w:spacing w:line="360" w:lineRule="auto"/>
              <w:rPr>
                <w:rFonts w:ascii="Times New Roman" w:eastAsia="Times New Roman" w:hAnsi="Times New Roman" w:cs="Times New Roman"/>
                <w:sz w:val="24"/>
                <w:szCs w:val="24"/>
              </w:rPr>
            </w:pPr>
          </w:p>
        </w:tc>
        <w:tc>
          <w:tcPr>
            <w:tcW w:w="153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61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II</w:t>
            </w:r>
          </w:p>
        </w:tc>
      </w:tr>
      <w:tr w:rsidR="004C2FFF">
        <w:tc>
          <w:tcPr>
            <w:tcW w:w="358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Marsilea quadrifolia</w:t>
            </w:r>
            <w:r>
              <w:rPr>
                <w:rFonts w:ascii="Times New Roman" w:eastAsia="Times New Roman" w:hAnsi="Times New Roman" w:cs="Times New Roman"/>
                <w:sz w:val="24"/>
                <w:szCs w:val="24"/>
              </w:rPr>
              <w:t xml:space="preserve"> L.</w:t>
            </w:r>
          </w:p>
          <w:p w:rsidR="004C2FFF" w:rsidRDefault="004C2FFF">
            <w:pPr>
              <w:spacing w:line="360" w:lineRule="auto"/>
              <w:rPr>
                <w:rFonts w:ascii="Times New Roman" w:eastAsia="Times New Roman" w:hAnsi="Times New Roman" w:cs="Times New Roman"/>
                <w:sz w:val="24"/>
                <w:szCs w:val="24"/>
              </w:rPr>
            </w:pPr>
          </w:p>
        </w:tc>
        <w:tc>
          <w:tcPr>
            <w:tcW w:w="127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LC</w:t>
            </w:r>
          </w:p>
          <w:p w:rsidR="004C2FFF" w:rsidRDefault="004C2FFF">
            <w:pPr>
              <w:spacing w:line="360" w:lineRule="auto"/>
              <w:rPr>
                <w:rFonts w:ascii="Times New Roman" w:eastAsia="Times New Roman" w:hAnsi="Times New Roman" w:cs="Times New Roman"/>
                <w:sz w:val="24"/>
                <w:szCs w:val="24"/>
              </w:rPr>
            </w:pPr>
          </w:p>
        </w:tc>
        <w:tc>
          <w:tcPr>
            <w:tcW w:w="135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VU</w:t>
            </w:r>
          </w:p>
          <w:p w:rsidR="004C2FFF" w:rsidRDefault="004C2FFF">
            <w:pPr>
              <w:spacing w:line="360" w:lineRule="auto"/>
              <w:rPr>
                <w:rFonts w:ascii="Times New Roman" w:eastAsia="Times New Roman" w:hAnsi="Times New Roman" w:cs="Times New Roman"/>
                <w:sz w:val="24"/>
                <w:szCs w:val="24"/>
              </w:rPr>
            </w:pPr>
          </w:p>
        </w:tc>
        <w:tc>
          <w:tcPr>
            <w:tcW w:w="153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61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II</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IV</w:t>
            </w:r>
          </w:p>
        </w:tc>
      </w:tr>
      <w:tr w:rsidR="004C2FFF">
        <w:tc>
          <w:tcPr>
            <w:tcW w:w="358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Najas flexilis</w:t>
            </w:r>
            <w:r>
              <w:rPr>
                <w:rFonts w:ascii="Times New Roman" w:eastAsia="Times New Roman" w:hAnsi="Times New Roman" w:cs="Times New Roman"/>
                <w:sz w:val="24"/>
                <w:szCs w:val="24"/>
              </w:rPr>
              <w:t xml:space="preserve"> (Willd.) Rostk. &amp; W.L. Schmidt</w:t>
            </w:r>
          </w:p>
        </w:tc>
        <w:tc>
          <w:tcPr>
            <w:tcW w:w="127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LC</w:t>
            </w:r>
          </w:p>
          <w:p w:rsidR="004C2FFF" w:rsidRDefault="004C2FFF">
            <w:pPr>
              <w:spacing w:line="360" w:lineRule="auto"/>
              <w:rPr>
                <w:rFonts w:ascii="Times New Roman" w:eastAsia="Times New Roman" w:hAnsi="Times New Roman" w:cs="Times New Roman"/>
                <w:sz w:val="24"/>
                <w:szCs w:val="24"/>
              </w:rPr>
            </w:pPr>
          </w:p>
        </w:tc>
        <w:tc>
          <w:tcPr>
            <w:tcW w:w="135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VU</w:t>
            </w:r>
          </w:p>
          <w:p w:rsidR="004C2FFF" w:rsidRDefault="004C2FFF">
            <w:pPr>
              <w:spacing w:line="360" w:lineRule="auto"/>
              <w:rPr>
                <w:rFonts w:ascii="Times New Roman" w:eastAsia="Times New Roman" w:hAnsi="Times New Roman" w:cs="Times New Roman"/>
                <w:sz w:val="24"/>
                <w:szCs w:val="24"/>
              </w:rPr>
            </w:pPr>
          </w:p>
        </w:tc>
        <w:tc>
          <w:tcPr>
            <w:tcW w:w="153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61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II</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IV</w:t>
            </w:r>
          </w:p>
        </w:tc>
      </w:tr>
      <w:tr w:rsidR="004C2FFF">
        <w:tc>
          <w:tcPr>
            <w:tcW w:w="358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Pulsatilla grandis</w:t>
            </w:r>
            <w:r>
              <w:rPr>
                <w:rFonts w:ascii="Times New Roman" w:eastAsia="Times New Roman" w:hAnsi="Times New Roman" w:cs="Times New Roman"/>
                <w:sz w:val="24"/>
                <w:szCs w:val="24"/>
              </w:rPr>
              <w:t xml:space="preserve"> Wenderoth</w:t>
            </w:r>
          </w:p>
          <w:p w:rsidR="004C2FFF" w:rsidRDefault="004C2FFF">
            <w:pPr>
              <w:spacing w:line="360" w:lineRule="auto"/>
              <w:rPr>
                <w:rFonts w:ascii="Times New Roman" w:eastAsia="Times New Roman" w:hAnsi="Times New Roman" w:cs="Times New Roman"/>
                <w:sz w:val="24"/>
                <w:szCs w:val="24"/>
              </w:rPr>
            </w:pPr>
          </w:p>
        </w:tc>
        <w:tc>
          <w:tcPr>
            <w:tcW w:w="127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LC</w:t>
            </w:r>
          </w:p>
          <w:p w:rsidR="004C2FFF" w:rsidRDefault="004C2FFF">
            <w:pPr>
              <w:spacing w:line="360" w:lineRule="auto"/>
              <w:rPr>
                <w:rFonts w:ascii="Times New Roman" w:eastAsia="Times New Roman" w:hAnsi="Times New Roman" w:cs="Times New Roman"/>
                <w:sz w:val="24"/>
                <w:szCs w:val="24"/>
              </w:rPr>
            </w:pPr>
          </w:p>
        </w:tc>
        <w:tc>
          <w:tcPr>
            <w:tcW w:w="135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LC</w:t>
            </w:r>
          </w:p>
          <w:p w:rsidR="004C2FFF" w:rsidRDefault="004C2FFF">
            <w:pPr>
              <w:spacing w:line="360" w:lineRule="auto"/>
              <w:rPr>
                <w:rFonts w:ascii="Times New Roman" w:eastAsia="Times New Roman" w:hAnsi="Times New Roman" w:cs="Times New Roman"/>
                <w:sz w:val="24"/>
                <w:szCs w:val="24"/>
              </w:rPr>
            </w:pPr>
          </w:p>
        </w:tc>
        <w:tc>
          <w:tcPr>
            <w:tcW w:w="153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61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II</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IV</w:t>
            </w:r>
          </w:p>
        </w:tc>
      </w:tr>
      <w:tr w:rsidR="004C2FFF">
        <w:tc>
          <w:tcPr>
            <w:tcW w:w="358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Scilla litardierei</w:t>
            </w:r>
            <w:r>
              <w:rPr>
                <w:rFonts w:ascii="Times New Roman" w:eastAsia="Times New Roman" w:hAnsi="Times New Roman" w:cs="Times New Roman"/>
                <w:sz w:val="24"/>
                <w:szCs w:val="24"/>
              </w:rPr>
              <w:t xml:space="preserve"> Breist.</w:t>
            </w:r>
          </w:p>
        </w:tc>
        <w:tc>
          <w:tcPr>
            <w:tcW w:w="127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NT</w:t>
            </w:r>
          </w:p>
          <w:p w:rsidR="004C2FFF" w:rsidRDefault="004C2FFF">
            <w:pPr>
              <w:spacing w:line="360" w:lineRule="auto"/>
              <w:rPr>
                <w:rFonts w:ascii="Times New Roman" w:eastAsia="Times New Roman" w:hAnsi="Times New Roman" w:cs="Times New Roman"/>
                <w:sz w:val="24"/>
                <w:szCs w:val="24"/>
              </w:rPr>
            </w:pPr>
          </w:p>
        </w:tc>
        <w:tc>
          <w:tcPr>
            <w:tcW w:w="135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NT</w:t>
            </w:r>
          </w:p>
          <w:p w:rsidR="004C2FFF" w:rsidRDefault="004C2FFF">
            <w:pPr>
              <w:spacing w:line="360" w:lineRule="auto"/>
              <w:rPr>
                <w:rFonts w:ascii="Times New Roman" w:eastAsia="Times New Roman" w:hAnsi="Times New Roman" w:cs="Times New Roman"/>
                <w:sz w:val="24"/>
                <w:szCs w:val="24"/>
              </w:rPr>
            </w:pPr>
          </w:p>
        </w:tc>
        <w:tc>
          <w:tcPr>
            <w:tcW w:w="153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61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II</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IV</w:t>
            </w:r>
          </w:p>
        </w:tc>
      </w:tr>
      <w:tr w:rsidR="004C2FFF">
        <w:tc>
          <w:tcPr>
            <w:tcW w:w="358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Tozzia carpathica</w:t>
            </w:r>
            <w:r>
              <w:rPr>
                <w:rFonts w:ascii="Times New Roman" w:eastAsia="Times New Roman" w:hAnsi="Times New Roman" w:cs="Times New Roman"/>
                <w:sz w:val="24"/>
                <w:szCs w:val="24"/>
              </w:rPr>
              <w:t xml:space="preserve"> Wol.</w:t>
            </w:r>
          </w:p>
          <w:p w:rsidR="004C2FFF" w:rsidRDefault="004C2FFF">
            <w:pPr>
              <w:spacing w:line="360" w:lineRule="auto"/>
              <w:rPr>
                <w:rFonts w:ascii="Times New Roman" w:eastAsia="Times New Roman" w:hAnsi="Times New Roman" w:cs="Times New Roman"/>
                <w:i/>
                <w:iCs/>
                <w:sz w:val="24"/>
                <w:szCs w:val="24"/>
              </w:rPr>
            </w:pPr>
          </w:p>
        </w:tc>
        <w:tc>
          <w:tcPr>
            <w:tcW w:w="127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DD</w:t>
            </w:r>
          </w:p>
          <w:p w:rsidR="004C2FFF" w:rsidRDefault="004C2FFF">
            <w:pPr>
              <w:spacing w:line="360" w:lineRule="auto"/>
              <w:rPr>
                <w:rFonts w:ascii="Times New Roman" w:eastAsia="Times New Roman" w:hAnsi="Times New Roman" w:cs="Times New Roman"/>
                <w:sz w:val="24"/>
                <w:szCs w:val="24"/>
              </w:rPr>
            </w:pPr>
          </w:p>
        </w:tc>
        <w:tc>
          <w:tcPr>
            <w:tcW w:w="135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DD</w:t>
            </w:r>
          </w:p>
          <w:p w:rsidR="004C2FFF" w:rsidRDefault="004C2FFF">
            <w:pPr>
              <w:spacing w:line="360" w:lineRule="auto"/>
              <w:rPr>
                <w:rFonts w:ascii="Times New Roman" w:eastAsia="Times New Roman" w:hAnsi="Times New Roman" w:cs="Times New Roman"/>
                <w:sz w:val="24"/>
                <w:szCs w:val="24"/>
              </w:rPr>
            </w:pPr>
          </w:p>
        </w:tc>
        <w:tc>
          <w:tcPr>
            <w:tcW w:w="1530"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C2FFF" w:rsidRDefault="004C2FFF">
            <w:pPr>
              <w:spacing w:line="360" w:lineRule="auto"/>
              <w:rPr>
                <w:rFonts w:ascii="Times New Roman" w:eastAsia="Times New Roman" w:hAnsi="Times New Roman" w:cs="Times New Roman"/>
                <w:sz w:val="24"/>
                <w:szCs w:val="24"/>
              </w:rPr>
            </w:pPr>
          </w:p>
        </w:tc>
        <w:tc>
          <w:tcPr>
            <w:tcW w:w="1615" w:type="dxa"/>
          </w:tcPr>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II</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 IV</w:t>
            </w:r>
          </w:p>
        </w:tc>
      </w:tr>
    </w:tbl>
    <w:p w:rsidR="004C2FFF" w:rsidRDefault="004C2FFF">
      <w:pPr>
        <w:spacing w:line="360" w:lineRule="auto"/>
        <w:rPr>
          <w:rFonts w:ascii="Times New Roman" w:eastAsia="Times New Roman" w:hAnsi="Times New Roman" w:cs="Times New Roman"/>
          <w:sz w:val="24"/>
          <w:szCs w:val="24"/>
        </w:rPr>
      </w:pP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Tabela 1:</w:t>
      </w:r>
      <w:r>
        <w:rPr>
          <w:rFonts w:ascii="Times New Roman" w:eastAsia="Times New Roman" w:hAnsi="Times New Roman" w:cs="Times New Roman"/>
          <w:sz w:val="24"/>
          <w:szCs w:val="24"/>
        </w:rPr>
        <w:t xml:space="preserve"> Biljne vrste crnogorske flore prisutne na Prilogu II Direktive o staništima sa IUCN kategorijama i statusom zaštite u Crnoj Gori (Preuzeto iz Iñigo &amp; Milanović, Đ. (2025))</w:t>
      </w:r>
    </w:p>
    <w:p w:rsidR="004C2FFF" w:rsidRDefault="00953E6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Diverzitet ekosistema i staništa</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Zbog raznolikih  i kompleksno kombinovanih ekološk</w:t>
      </w:r>
      <w:r>
        <w:rPr>
          <w:rFonts w:ascii="Times New Roman" w:eastAsia="Times New Roman" w:hAnsi="Times New Roman" w:cs="Times New Roman"/>
          <w:sz w:val="24"/>
          <w:szCs w:val="24"/>
        </w:rPr>
        <w:t>ih uslova, u Crnoj Gori se na relativno maloj površini javlja veliki broj ekosistema. Prema Globalnoj tipologiju za podjelu ekosistema na Zemlji (https://global-ecosystems.org/), u Crnoj Gori su prisutne 4 osnovne i 5 prelaznih oblasti. Osnovne oblasti su:</w:t>
      </w:r>
      <w:r>
        <w:rPr>
          <w:rFonts w:ascii="Times New Roman" w:eastAsia="Times New Roman" w:hAnsi="Times New Roman" w:cs="Times New Roman"/>
          <w:sz w:val="24"/>
          <w:szCs w:val="24"/>
        </w:rPr>
        <w:t xml:space="preserve"> terestrična, marinska, slatkovodna i podzemna. U okviru prve oblasti u Crnoj Gori se javlja 5 bioma, marinska i slatkovodna su zastupljene sa po 3, dok podzemna ima 2. Prelazne oblasti ekosistema prisutne u Crnoj Gori su: marinsko-terestrični (3 bioma), m</w:t>
      </w:r>
      <w:r>
        <w:rPr>
          <w:rFonts w:ascii="Times New Roman" w:eastAsia="Times New Roman" w:hAnsi="Times New Roman" w:cs="Times New Roman"/>
          <w:sz w:val="24"/>
          <w:szCs w:val="24"/>
        </w:rPr>
        <w:t>arinsko-slatkovodni-terestrični (1 biom), podzemno-slatkovodni (2 bioma), podzemno-marinski (1 biom), terestrično-slatkovodni (1 biom). Svaki biom obuhvata više funkcionalnih grupa/ekosistema (tabela 2)</w:t>
      </w:r>
    </w:p>
    <w:tbl>
      <w:tblPr>
        <w:tblStyle w:val="a0"/>
        <w:tblW w:w="10760" w:type="dxa"/>
        <w:tblLayout w:type="fixed"/>
        <w:tblLook w:val="0400" w:firstRow="0" w:lastRow="0" w:firstColumn="0" w:lastColumn="0" w:noHBand="0" w:noVBand="1"/>
      </w:tblPr>
      <w:tblGrid>
        <w:gridCol w:w="4600"/>
        <w:gridCol w:w="6160"/>
      </w:tblGrid>
      <w:tr w:rsidR="004C2FFF">
        <w:trPr>
          <w:trHeight w:val="288"/>
        </w:trPr>
        <w:tc>
          <w:tcPr>
            <w:tcW w:w="4600" w:type="dxa"/>
            <w:tcBorders>
              <w:top w:val="nil"/>
              <w:left w:val="nil"/>
              <w:bottom w:val="nil"/>
              <w:right w:val="nil"/>
            </w:tcBorders>
            <w:shd w:val="clear" w:color="auto" w:fill="C4D79B"/>
            <w:vAlign w:val="bottom"/>
          </w:tcPr>
          <w:p w:rsidR="004C2FFF" w:rsidRDefault="00953E6C">
            <w:pPr>
              <w:spacing w:after="0" w:line="240" w:lineRule="auto"/>
              <w:rPr>
                <w:b/>
                <w:bCs/>
                <w:color w:val="000000"/>
              </w:rPr>
            </w:pPr>
            <w:r>
              <w:rPr>
                <w:b/>
                <w:bCs/>
                <w:color w:val="000000"/>
              </w:rPr>
              <w:t>T-TERESTRIČNI</w:t>
            </w:r>
          </w:p>
        </w:tc>
        <w:tc>
          <w:tcPr>
            <w:tcW w:w="6160" w:type="dxa"/>
            <w:tcBorders>
              <w:top w:val="nil"/>
              <w:left w:val="nil"/>
              <w:bottom w:val="nil"/>
              <w:right w:val="nil"/>
            </w:tcBorders>
            <w:shd w:val="clear" w:color="auto" w:fill="C4D79B"/>
            <w:vAlign w:val="bottom"/>
          </w:tcPr>
          <w:p w:rsidR="004C2FFF" w:rsidRDefault="00953E6C">
            <w:pPr>
              <w:spacing w:after="0" w:line="240" w:lineRule="auto"/>
              <w:rPr>
                <w:color w:val="000000"/>
              </w:rPr>
            </w:pPr>
            <w:r>
              <w:rPr>
                <w:color w:val="000000"/>
              </w:rPr>
              <w:t> </w:t>
            </w: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b/>
                <w:bCs/>
                <w:color w:val="000000"/>
              </w:rPr>
            </w:pPr>
            <w:r>
              <w:rPr>
                <w:b/>
                <w:bCs/>
                <w:color w:val="000000"/>
              </w:rPr>
              <w:t>Biom</w:t>
            </w:r>
          </w:p>
        </w:tc>
        <w:tc>
          <w:tcPr>
            <w:tcW w:w="6160" w:type="dxa"/>
            <w:tcBorders>
              <w:top w:val="nil"/>
              <w:left w:val="nil"/>
              <w:bottom w:val="nil"/>
              <w:right w:val="nil"/>
            </w:tcBorders>
            <w:shd w:val="clear" w:color="auto" w:fill="auto"/>
            <w:vAlign w:val="bottom"/>
          </w:tcPr>
          <w:p w:rsidR="004C2FFF" w:rsidRDefault="00953E6C">
            <w:pPr>
              <w:spacing w:after="0" w:line="240" w:lineRule="auto"/>
              <w:rPr>
                <w:b/>
                <w:bCs/>
                <w:color w:val="000000"/>
              </w:rPr>
            </w:pPr>
            <w:r>
              <w:rPr>
                <w:b/>
                <w:bCs/>
                <w:color w:val="000000"/>
              </w:rPr>
              <w:t>Funkcionalna grupa</w:t>
            </w:r>
          </w:p>
        </w:tc>
      </w:tr>
      <w:tr w:rsidR="004C2FFF">
        <w:trPr>
          <w:trHeight w:val="315"/>
        </w:trPr>
        <w:tc>
          <w:tcPr>
            <w:tcW w:w="460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T2 Umjerene šume i šumske oblasti</w:t>
            </w: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T2.1 Borealne i umjerene šume i šumske oblasti visokih planina</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T2.2 Listopadne umjerene šume</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T3 Žbunaste zajednice i šikare</w:t>
            </w: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 xml:space="preserve">T3.2 Sezonski suvi umjereni žbunjaci </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T4 Savane i travnjaci</w:t>
            </w: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T4.4 Otvoreni travnjaci sa razrjeđenom drvenastom vegetacijom u umjerenoj zoni</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T4.5 Umjereni poluvlažni travnjaci</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T6 Alpski biom</w:t>
            </w: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T6.4 Umjereni alpski travnjaci i žbunjaci</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c>
          <w:tcPr>
            <w:tcW w:w="616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T7 Antropogeni biom</w:t>
            </w: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T7.1 Jednogodišnje obradive površine</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T7.2 Pašnjaci sa posijanim travama za stoku</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T7.3 Plantaže</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T7.4 Urbani i industrijski ekosistemi</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T7.5 Poluprirodni pašnjaci i zapuštene njive</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r>
      <w:tr w:rsidR="004C2FFF">
        <w:trPr>
          <w:trHeight w:val="288"/>
        </w:trPr>
        <w:tc>
          <w:tcPr>
            <w:tcW w:w="4600" w:type="dxa"/>
            <w:tcBorders>
              <w:top w:val="nil"/>
              <w:left w:val="nil"/>
              <w:bottom w:val="nil"/>
              <w:right w:val="nil"/>
            </w:tcBorders>
            <w:shd w:val="clear" w:color="auto" w:fill="CCC0DA"/>
            <w:vAlign w:val="bottom"/>
          </w:tcPr>
          <w:p w:rsidR="004C2FFF" w:rsidRDefault="00953E6C">
            <w:pPr>
              <w:spacing w:after="0" w:line="240" w:lineRule="auto"/>
              <w:rPr>
                <w:b/>
                <w:bCs/>
                <w:color w:val="000000"/>
              </w:rPr>
            </w:pPr>
            <w:r>
              <w:rPr>
                <w:b/>
                <w:bCs/>
                <w:color w:val="000000"/>
              </w:rPr>
              <w:t>M-MARINSKI</w:t>
            </w:r>
          </w:p>
        </w:tc>
        <w:tc>
          <w:tcPr>
            <w:tcW w:w="6160" w:type="dxa"/>
            <w:tcBorders>
              <w:top w:val="nil"/>
              <w:left w:val="nil"/>
              <w:bottom w:val="nil"/>
              <w:right w:val="nil"/>
            </w:tcBorders>
            <w:shd w:val="clear" w:color="auto" w:fill="CCC0DA"/>
            <w:vAlign w:val="bottom"/>
          </w:tcPr>
          <w:p w:rsidR="004C2FFF" w:rsidRDefault="00953E6C">
            <w:pPr>
              <w:spacing w:after="0" w:line="240" w:lineRule="auto"/>
              <w:rPr>
                <w:color w:val="000000"/>
              </w:rPr>
            </w:pPr>
            <w:r>
              <w:rPr>
                <w:color w:val="000000"/>
              </w:rPr>
              <w:t> </w:t>
            </w: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b/>
                <w:bCs/>
                <w:color w:val="000000"/>
              </w:rPr>
            </w:pPr>
            <w:r>
              <w:rPr>
                <w:b/>
                <w:bCs/>
                <w:color w:val="000000"/>
              </w:rPr>
              <w:t>Biom</w:t>
            </w:r>
          </w:p>
        </w:tc>
        <w:tc>
          <w:tcPr>
            <w:tcW w:w="6160" w:type="dxa"/>
            <w:tcBorders>
              <w:top w:val="nil"/>
              <w:left w:val="nil"/>
              <w:bottom w:val="nil"/>
              <w:right w:val="nil"/>
            </w:tcBorders>
            <w:shd w:val="clear" w:color="auto" w:fill="auto"/>
            <w:vAlign w:val="bottom"/>
          </w:tcPr>
          <w:p w:rsidR="004C2FFF" w:rsidRDefault="00953E6C">
            <w:pPr>
              <w:spacing w:after="0" w:line="240" w:lineRule="auto"/>
              <w:rPr>
                <w:b/>
                <w:bCs/>
                <w:color w:val="000000"/>
              </w:rPr>
            </w:pPr>
            <w:r>
              <w:rPr>
                <w:b/>
                <w:bCs/>
                <w:color w:val="000000"/>
              </w:rPr>
              <w:t>Funkcionalna grupa</w:t>
            </w: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M1 Obalni morski biom</w:t>
            </w: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M1.1 Livade morske trave</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 xml:space="preserve">M1.4 Grebeni i ekosistemi bogati školjkama </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M1.5 Dubokomorske životinjske "šume" ograničene svjetlosti</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 xml:space="preserve">M1.6 Stjenoviti grebeni ispod zone plime </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M1.7 Pjeskoviti ekosistemi ispod zone plime</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M1.8 Muljeviti ekosistemi ispod zone plime</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M1.10 Rodolitski ekosistemi</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M2 Pelagijski marinski biom</w:t>
            </w: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M2.1 Epipelagijski morski ekosistemi</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M2.2 Mezopelagijski morski ekosistemi</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M4 Antropogeni marinski biom</w:t>
            </w: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M4.2 Marikulturni ekosistemi</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c>
          <w:tcPr>
            <w:tcW w:w="616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r>
      <w:tr w:rsidR="004C2FFF">
        <w:trPr>
          <w:trHeight w:val="288"/>
        </w:trPr>
        <w:tc>
          <w:tcPr>
            <w:tcW w:w="4600" w:type="dxa"/>
            <w:tcBorders>
              <w:top w:val="nil"/>
              <w:left w:val="nil"/>
              <w:bottom w:val="nil"/>
              <w:right w:val="nil"/>
            </w:tcBorders>
            <w:shd w:val="clear" w:color="auto" w:fill="B8CCE4"/>
            <w:vAlign w:val="bottom"/>
          </w:tcPr>
          <w:p w:rsidR="004C2FFF" w:rsidRDefault="00953E6C">
            <w:pPr>
              <w:spacing w:after="0" w:line="240" w:lineRule="auto"/>
              <w:rPr>
                <w:b/>
                <w:bCs/>
                <w:color w:val="000000"/>
              </w:rPr>
            </w:pPr>
            <w:r>
              <w:rPr>
                <w:b/>
                <w:bCs/>
                <w:color w:val="000000"/>
              </w:rPr>
              <w:t>F- SLATKOVODNI</w:t>
            </w:r>
          </w:p>
        </w:tc>
        <w:tc>
          <w:tcPr>
            <w:tcW w:w="6160" w:type="dxa"/>
            <w:tcBorders>
              <w:top w:val="nil"/>
              <w:left w:val="nil"/>
              <w:bottom w:val="nil"/>
              <w:right w:val="nil"/>
            </w:tcBorders>
            <w:shd w:val="clear" w:color="auto" w:fill="B8CCE4"/>
            <w:vAlign w:val="bottom"/>
          </w:tcPr>
          <w:p w:rsidR="004C2FFF" w:rsidRDefault="00953E6C">
            <w:pPr>
              <w:spacing w:after="0" w:line="240" w:lineRule="auto"/>
              <w:rPr>
                <w:color w:val="000000"/>
              </w:rPr>
            </w:pPr>
            <w:r>
              <w:rPr>
                <w:color w:val="000000"/>
              </w:rPr>
              <w:t> </w:t>
            </w: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b/>
                <w:bCs/>
                <w:color w:val="000000"/>
              </w:rPr>
            </w:pPr>
            <w:r>
              <w:rPr>
                <w:b/>
                <w:bCs/>
                <w:color w:val="000000"/>
              </w:rPr>
              <w:t>Biom</w:t>
            </w:r>
          </w:p>
        </w:tc>
        <w:tc>
          <w:tcPr>
            <w:tcW w:w="6160" w:type="dxa"/>
            <w:tcBorders>
              <w:top w:val="nil"/>
              <w:left w:val="nil"/>
              <w:bottom w:val="nil"/>
              <w:right w:val="nil"/>
            </w:tcBorders>
            <w:shd w:val="clear" w:color="auto" w:fill="auto"/>
            <w:vAlign w:val="bottom"/>
          </w:tcPr>
          <w:p w:rsidR="004C2FFF" w:rsidRDefault="00953E6C">
            <w:pPr>
              <w:spacing w:after="0" w:line="240" w:lineRule="auto"/>
              <w:rPr>
                <w:b/>
                <w:bCs/>
                <w:color w:val="000000"/>
              </w:rPr>
            </w:pPr>
            <w:r>
              <w:rPr>
                <w:b/>
                <w:bCs/>
                <w:color w:val="000000"/>
              </w:rPr>
              <w:t>Funkcionalna grupa</w:t>
            </w: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F1 Rijeke i izvori</w:t>
            </w: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F1.1 Stalni planinski potoci</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F1.2 Stalne nizijske rijeke</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F1.3 Rijeke i potoci sa sezonskim smrzavanjem i otapanjem</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F1.4 Sezonski planinski potoci</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F1.5 Sezonske nizijske rijeke</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F2 Jezera</w:t>
            </w: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F2.1 Velika stalna slatkovodna jezera</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F2.2 Mala stalna slatkovodna jezera</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F2.3 Sezonska slatkovodna jezera</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F2.4 Slatkovodna jezera sa sezonskim smrzavanjem</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F2.5 Efemerna slatkovodna jezera</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F2.8  Arteški izvori</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F3 Vještačke močvare</w:t>
            </w: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F3.1 Velika akumulaciona jezera</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F3.4 Ribnjaci</w:t>
            </w:r>
          </w:p>
        </w:tc>
      </w:tr>
      <w:tr w:rsidR="004C2FFF">
        <w:trPr>
          <w:trHeight w:val="288"/>
        </w:trPr>
        <w:tc>
          <w:tcPr>
            <w:tcW w:w="4600" w:type="dxa"/>
            <w:tcBorders>
              <w:top w:val="nil"/>
              <w:left w:val="nil"/>
              <w:bottom w:val="nil"/>
              <w:right w:val="nil"/>
            </w:tcBorders>
            <w:shd w:val="clear" w:color="auto" w:fill="D9D9D9"/>
            <w:vAlign w:val="bottom"/>
          </w:tcPr>
          <w:p w:rsidR="004C2FFF" w:rsidRDefault="00953E6C">
            <w:pPr>
              <w:spacing w:after="0" w:line="240" w:lineRule="auto"/>
              <w:rPr>
                <w:b/>
                <w:bCs/>
                <w:color w:val="000000"/>
              </w:rPr>
            </w:pPr>
            <w:r>
              <w:rPr>
                <w:b/>
                <w:bCs/>
                <w:color w:val="000000"/>
              </w:rPr>
              <w:t>S - PODZEMNI</w:t>
            </w:r>
          </w:p>
        </w:tc>
        <w:tc>
          <w:tcPr>
            <w:tcW w:w="6160" w:type="dxa"/>
            <w:tcBorders>
              <w:top w:val="nil"/>
              <w:left w:val="nil"/>
              <w:bottom w:val="nil"/>
              <w:right w:val="nil"/>
            </w:tcBorders>
            <w:shd w:val="clear" w:color="auto" w:fill="D9D9D9"/>
            <w:vAlign w:val="bottom"/>
          </w:tcPr>
          <w:p w:rsidR="004C2FFF" w:rsidRDefault="00953E6C">
            <w:pPr>
              <w:spacing w:after="0" w:line="240" w:lineRule="auto"/>
              <w:rPr>
                <w:color w:val="000000"/>
              </w:rPr>
            </w:pPr>
            <w:r>
              <w:rPr>
                <w:color w:val="000000"/>
              </w:rPr>
              <w:t> </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S1 Podzemni litički biom</w:t>
            </w: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S1.1 Aerobne pećine</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S1.2 Endolitički sistemi (sistemi u stijenama/kamenju)</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S2 Antropogeni podzemni biom</w:t>
            </w: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S2.1 Antropogeni podzemni prostori (galerije, tuneli, šupljine)</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r>
      <w:tr w:rsidR="004C2FFF">
        <w:trPr>
          <w:trHeight w:val="288"/>
        </w:trPr>
        <w:tc>
          <w:tcPr>
            <w:tcW w:w="4600" w:type="dxa"/>
            <w:tcBorders>
              <w:top w:val="nil"/>
              <w:left w:val="nil"/>
              <w:bottom w:val="nil"/>
              <w:right w:val="nil"/>
            </w:tcBorders>
            <w:shd w:val="clear" w:color="auto" w:fill="E6B8B7"/>
            <w:vAlign w:val="bottom"/>
          </w:tcPr>
          <w:p w:rsidR="004C2FFF" w:rsidRDefault="00953E6C">
            <w:pPr>
              <w:spacing w:after="0" w:line="240" w:lineRule="auto"/>
              <w:rPr>
                <w:b/>
                <w:bCs/>
                <w:color w:val="000000"/>
              </w:rPr>
            </w:pPr>
            <w:r>
              <w:rPr>
                <w:b/>
                <w:bCs/>
                <w:color w:val="000000"/>
              </w:rPr>
              <w:t>MT MARINSKO-TERESTRIČNI</w:t>
            </w:r>
          </w:p>
        </w:tc>
        <w:tc>
          <w:tcPr>
            <w:tcW w:w="6160" w:type="dxa"/>
            <w:tcBorders>
              <w:top w:val="nil"/>
              <w:left w:val="nil"/>
              <w:bottom w:val="nil"/>
              <w:right w:val="nil"/>
            </w:tcBorders>
            <w:shd w:val="clear" w:color="auto" w:fill="E6B8B7"/>
            <w:vAlign w:val="bottom"/>
          </w:tcPr>
          <w:p w:rsidR="004C2FFF" w:rsidRDefault="00953E6C">
            <w:pPr>
              <w:spacing w:after="0" w:line="240" w:lineRule="auto"/>
              <w:rPr>
                <w:color w:val="000000"/>
              </w:rPr>
            </w:pPr>
            <w:r>
              <w:rPr>
                <w:color w:val="000000"/>
              </w:rPr>
              <w:t> </w:t>
            </w: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b/>
                <w:bCs/>
                <w:color w:val="000000"/>
              </w:rPr>
            </w:pPr>
            <w:r>
              <w:rPr>
                <w:b/>
                <w:bCs/>
                <w:color w:val="000000"/>
              </w:rPr>
              <w:t>Biom</w:t>
            </w:r>
          </w:p>
        </w:tc>
        <w:tc>
          <w:tcPr>
            <w:tcW w:w="6160" w:type="dxa"/>
            <w:tcBorders>
              <w:top w:val="nil"/>
              <w:left w:val="nil"/>
              <w:bottom w:val="nil"/>
              <w:right w:val="nil"/>
            </w:tcBorders>
            <w:shd w:val="clear" w:color="auto" w:fill="auto"/>
            <w:vAlign w:val="bottom"/>
          </w:tcPr>
          <w:p w:rsidR="004C2FFF" w:rsidRDefault="00953E6C">
            <w:pPr>
              <w:spacing w:after="0" w:line="240" w:lineRule="auto"/>
              <w:rPr>
                <w:b/>
                <w:bCs/>
                <w:color w:val="000000"/>
              </w:rPr>
            </w:pPr>
            <w:r>
              <w:rPr>
                <w:b/>
                <w:bCs/>
                <w:color w:val="000000"/>
              </w:rPr>
              <w:t>Funkcionalna grupa</w:t>
            </w: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MT1 Obalni biom</w:t>
            </w: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MT1.1 Stjenovite obale</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MT1.2 Muljevite obale</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MT1.3 Pjeskovite obale</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MT2 Supralitoralni obalni biom</w:t>
            </w: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MT2.1 Obalni žbunjaci i travnjaci</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MT3 Antropogeni obalni biom</w:t>
            </w: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MT3.1 Antropogene obale</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r>
      <w:tr w:rsidR="004C2FFF">
        <w:trPr>
          <w:trHeight w:val="288"/>
        </w:trPr>
        <w:tc>
          <w:tcPr>
            <w:tcW w:w="4600" w:type="dxa"/>
            <w:tcBorders>
              <w:top w:val="nil"/>
              <w:left w:val="nil"/>
              <w:bottom w:val="nil"/>
              <w:right w:val="nil"/>
            </w:tcBorders>
            <w:shd w:val="clear" w:color="auto" w:fill="B8CCE4"/>
            <w:vAlign w:val="bottom"/>
          </w:tcPr>
          <w:p w:rsidR="004C2FFF" w:rsidRDefault="00953E6C">
            <w:pPr>
              <w:spacing w:after="0" w:line="240" w:lineRule="auto"/>
              <w:rPr>
                <w:b/>
                <w:bCs/>
                <w:color w:val="000000"/>
              </w:rPr>
            </w:pPr>
            <w:r>
              <w:rPr>
                <w:b/>
                <w:bCs/>
                <w:color w:val="000000"/>
              </w:rPr>
              <w:t>MFT MARINSKO-SLATKOVODNI-TERESTRIČNI</w:t>
            </w:r>
          </w:p>
        </w:tc>
        <w:tc>
          <w:tcPr>
            <w:tcW w:w="6160" w:type="dxa"/>
            <w:tcBorders>
              <w:top w:val="nil"/>
              <w:left w:val="nil"/>
              <w:bottom w:val="nil"/>
              <w:right w:val="nil"/>
            </w:tcBorders>
            <w:shd w:val="clear" w:color="auto" w:fill="B8CCE4"/>
            <w:vAlign w:val="bottom"/>
          </w:tcPr>
          <w:p w:rsidR="004C2FFF" w:rsidRDefault="00953E6C">
            <w:pPr>
              <w:spacing w:after="0" w:line="240" w:lineRule="auto"/>
              <w:rPr>
                <w:color w:val="000000"/>
              </w:rPr>
            </w:pPr>
            <w:r>
              <w:rPr>
                <w:color w:val="000000"/>
              </w:rPr>
              <w:t> </w:t>
            </w: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b/>
                <w:bCs/>
                <w:color w:val="000000"/>
              </w:rPr>
            </w:pPr>
            <w:r>
              <w:rPr>
                <w:b/>
                <w:bCs/>
                <w:color w:val="000000"/>
              </w:rPr>
              <w:t>Biom</w:t>
            </w:r>
          </w:p>
        </w:tc>
        <w:tc>
          <w:tcPr>
            <w:tcW w:w="6160" w:type="dxa"/>
            <w:tcBorders>
              <w:top w:val="nil"/>
              <w:left w:val="nil"/>
              <w:bottom w:val="nil"/>
              <w:right w:val="nil"/>
            </w:tcBorders>
            <w:shd w:val="clear" w:color="auto" w:fill="auto"/>
            <w:vAlign w:val="bottom"/>
          </w:tcPr>
          <w:p w:rsidR="004C2FFF" w:rsidRDefault="00953E6C">
            <w:pPr>
              <w:spacing w:after="0" w:line="240" w:lineRule="auto"/>
              <w:rPr>
                <w:b/>
                <w:bCs/>
                <w:color w:val="000000"/>
              </w:rPr>
            </w:pPr>
            <w:r>
              <w:rPr>
                <w:b/>
                <w:bCs/>
                <w:color w:val="000000"/>
              </w:rPr>
              <w:t>Funkcionalna grupa</w:t>
            </w: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MFT1 Biom bočatnih voda u zoni plime</w:t>
            </w: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MFT1.3 Obalne slane močvare i tršćaci</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c>
          <w:tcPr>
            <w:tcW w:w="616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r>
      <w:tr w:rsidR="004C2FFF">
        <w:trPr>
          <w:trHeight w:val="288"/>
        </w:trPr>
        <w:tc>
          <w:tcPr>
            <w:tcW w:w="4600" w:type="dxa"/>
            <w:tcBorders>
              <w:top w:val="nil"/>
              <w:left w:val="nil"/>
              <w:bottom w:val="nil"/>
              <w:right w:val="nil"/>
            </w:tcBorders>
            <w:shd w:val="clear" w:color="auto" w:fill="FABF8F"/>
            <w:vAlign w:val="bottom"/>
          </w:tcPr>
          <w:p w:rsidR="004C2FFF" w:rsidRDefault="00953E6C">
            <w:pPr>
              <w:spacing w:after="0" w:line="240" w:lineRule="auto"/>
              <w:rPr>
                <w:b/>
                <w:bCs/>
                <w:color w:val="000000"/>
              </w:rPr>
            </w:pPr>
            <w:r>
              <w:rPr>
                <w:b/>
                <w:bCs/>
                <w:color w:val="000000"/>
              </w:rPr>
              <w:t>SF PODZEMNO-SLATKOVODNI</w:t>
            </w:r>
          </w:p>
        </w:tc>
        <w:tc>
          <w:tcPr>
            <w:tcW w:w="6160" w:type="dxa"/>
            <w:tcBorders>
              <w:top w:val="nil"/>
              <w:left w:val="nil"/>
              <w:bottom w:val="nil"/>
              <w:right w:val="nil"/>
            </w:tcBorders>
            <w:shd w:val="clear" w:color="auto" w:fill="FABF8F"/>
            <w:vAlign w:val="bottom"/>
          </w:tcPr>
          <w:p w:rsidR="004C2FFF" w:rsidRDefault="00953E6C">
            <w:pPr>
              <w:spacing w:after="0" w:line="240" w:lineRule="auto"/>
              <w:rPr>
                <w:b/>
                <w:bCs/>
                <w:color w:val="000000"/>
              </w:rPr>
            </w:pPr>
            <w:r>
              <w:rPr>
                <w:b/>
                <w:bCs/>
                <w:color w:val="000000"/>
              </w:rPr>
              <w:t> </w:t>
            </w: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b/>
                <w:bCs/>
                <w:color w:val="000000"/>
              </w:rPr>
            </w:pPr>
            <w:r>
              <w:rPr>
                <w:b/>
                <w:bCs/>
                <w:color w:val="000000"/>
              </w:rPr>
              <w:t>Biom</w:t>
            </w:r>
          </w:p>
        </w:tc>
        <w:tc>
          <w:tcPr>
            <w:tcW w:w="6160" w:type="dxa"/>
            <w:tcBorders>
              <w:top w:val="nil"/>
              <w:left w:val="nil"/>
              <w:bottom w:val="nil"/>
              <w:right w:val="nil"/>
            </w:tcBorders>
            <w:shd w:val="clear" w:color="auto" w:fill="auto"/>
            <w:vAlign w:val="bottom"/>
          </w:tcPr>
          <w:p w:rsidR="004C2FFF" w:rsidRDefault="00953E6C">
            <w:pPr>
              <w:spacing w:after="0" w:line="240" w:lineRule="auto"/>
              <w:rPr>
                <w:b/>
                <w:bCs/>
                <w:color w:val="000000"/>
              </w:rPr>
            </w:pPr>
            <w:r>
              <w:rPr>
                <w:b/>
                <w:bCs/>
                <w:color w:val="000000"/>
              </w:rPr>
              <w:t>Funkcionalna grupa</w:t>
            </w: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SF1 Podzemni slatkovodni biom</w:t>
            </w: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SF1.1 Podzemni tokovi i vodena tijela</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SF2 Antropogeni podzemni slatkovodni sistemi</w:t>
            </w: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SF2.1 Vodovodne cijevi i podzemni kanali</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SF2.2  Poplavljeni rudnici i druge podzemne šupljine</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r>
      <w:tr w:rsidR="004C2FFF">
        <w:trPr>
          <w:trHeight w:val="288"/>
        </w:trPr>
        <w:tc>
          <w:tcPr>
            <w:tcW w:w="4600" w:type="dxa"/>
            <w:tcBorders>
              <w:top w:val="nil"/>
              <w:left w:val="nil"/>
              <w:bottom w:val="nil"/>
              <w:right w:val="nil"/>
            </w:tcBorders>
            <w:shd w:val="clear" w:color="auto" w:fill="DDD9C4"/>
            <w:vAlign w:val="bottom"/>
          </w:tcPr>
          <w:p w:rsidR="004C2FFF" w:rsidRDefault="00953E6C">
            <w:pPr>
              <w:spacing w:after="0" w:line="240" w:lineRule="auto"/>
              <w:rPr>
                <w:b/>
                <w:bCs/>
                <w:color w:val="000000"/>
              </w:rPr>
            </w:pPr>
            <w:r>
              <w:rPr>
                <w:b/>
                <w:bCs/>
                <w:color w:val="000000"/>
              </w:rPr>
              <w:t>SM PODZEMNO-MARINSKI</w:t>
            </w:r>
          </w:p>
        </w:tc>
        <w:tc>
          <w:tcPr>
            <w:tcW w:w="6160" w:type="dxa"/>
            <w:tcBorders>
              <w:top w:val="nil"/>
              <w:left w:val="nil"/>
              <w:bottom w:val="nil"/>
              <w:right w:val="nil"/>
            </w:tcBorders>
            <w:shd w:val="clear" w:color="auto" w:fill="DDD9C4"/>
            <w:vAlign w:val="bottom"/>
          </w:tcPr>
          <w:p w:rsidR="004C2FFF" w:rsidRDefault="00953E6C">
            <w:pPr>
              <w:spacing w:after="0" w:line="240" w:lineRule="auto"/>
              <w:rPr>
                <w:b/>
                <w:bCs/>
                <w:color w:val="000000"/>
              </w:rPr>
            </w:pPr>
            <w:r>
              <w:rPr>
                <w:b/>
                <w:bCs/>
                <w:color w:val="000000"/>
              </w:rPr>
              <w:t> </w:t>
            </w: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b/>
                <w:bCs/>
                <w:color w:val="000000"/>
              </w:rPr>
            </w:pPr>
            <w:r>
              <w:rPr>
                <w:b/>
                <w:bCs/>
                <w:color w:val="000000"/>
              </w:rPr>
              <w:t>Biom</w:t>
            </w:r>
          </w:p>
        </w:tc>
        <w:tc>
          <w:tcPr>
            <w:tcW w:w="6160" w:type="dxa"/>
            <w:tcBorders>
              <w:top w:val="nil"/>
              <w:left w:val="nil"/>
              <w:bottom w:val="nil"/>
              <w:right w:val="nil"/>
            </w:tcBorders>
            <w:shd w:val="clear" w:color="auto" w:fill="auto"/>
            <w:vAlign w:val="bottom"/>
          </w:tcPr>
          <w:p w:rsidR="004C2FFF" w:rsidRDefault="00953E6C">
            <w:pPr>
              <w:spacing w:after="0" w:line="240" w:lineRule="auto"/>
              <w:rPr>
                <w:b/>
                <w:bCs/>
                <w:color w:val="000000"/>
              </w:rPr>
            </w:pPr>
            <w:r>
              <w:rPr>
                <w:b/>
                <w:bCs/>
                <w:color w:val="000000"/>
              </w:rPr>
              <w:t>Funkcionalna grupa</w:t>
            </w: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SM1 Podzemni biom pod uticajem plime</w:t>
            </w: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SM1.1 Anhalinske pećine (podzemni vodeni ekosistemi sa bočatnom vodom, povezani sa morem, ali bez površinskog kontakta)</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SM1.1 Anhalinski bazeni</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SM1.3 Obalne morske pećine</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4C2FFF">
            <w:pPr>
              <w:spacing w:after="0" w:line="240" w:lineRule="auto"/>
              <w:rPr>
                <w:rFonts w:ascii="Times New Roman" w:eastAsia="Times New Roman" w:hAnsi="Times New Roman" w:cs="Times New Roman"/>
                <w:sz w:val="20"/>
                <w:szCs w:val="20"/>
              </w:rPr>
            </w:pPr>
          </w:p>
        </w:tc>
      </w:tr>
      <w:tr w:rsidR="004C2FFF">
        <w:trPr>
          <w:trHeight w:val="288"/>
        </w:trPr>
        <w:tc>
          <w:tcPr>
            <w:tcW w:w="4600" w:type="dxa"/>
            <w:tcBorders>
              <w:top w:val="nil"/>
              <w:left w:val="nil"/>
              <w:bottom w:val="nil"/>
              <w:right w:val="nil"/>
            </w:tcBorders>
            <w:shd w:val="clear" w:color="auto" w:fill="FFFF00"/>
            <w:vAlign w:val="bottom"/>
          </w:tcPr>
          <w:p w:rsidR="004C2FFF" w:rsidRDefault="00953E6C">
            <w:pPr>
              <w:spacing w:after="0" w:line="240" w:lineRule="auto"/>
              <w:rPr>
                <w:b/>
                <w:bCs/>
                <w:color w:val="000000"/>
              </w:rPr>
            </w:pPr>
            <w:r>
              <w:rPr>
                <w:b/>
                <w:bCs/>
                <w:color w:val="000000"/>
              </w:rPr>
              <w:t>TF TERESTRIČNO-SLATKOVODNI</w:t>
            </w:r>
          </w:p>
        </w:tc>
        <w:tc>
          <w:tcPr>
            <w:tcW w:w="6160" w:type="dxa"/>
            <w:tcBorders>
              <w:top w:val="nil"/>
              <w:left w:val="nil"/>
              <w:bottom w:val="nil"/>
              <w:right w:val="nil"/>
            </w:tcBorders>
            <w:shd w:val="clear" w:color="auto" w:fill="FFFF00"/>
            <w:vAlign w:val="bottom"/>
          </w:tcPr>
          <w:p w:rsidR="004C2FFF" w:rsidRDefault="00953E6C">
            <w:pPr>
              <w:spacing w:after="0" w:line="240" w:lineRule="auto"/>
              <w:rPr>
                <w:color w:val="000000"/>
              </w:rPr>
            </w:pPr>
            <w:r>
              <w:rPr>
                <w:color w:val="000000"/>
              </w:rPr>
              <w:t> </w:t>
            </w: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b/>
                <w:bCs/>
                <w:color w:val="000000"/>
              </w:rPr>
            </w:pPr>
            <w:r>
              <w:rPr>
                <w:b/>
                <w:bCs/>
                <w:color w:val="000000"/>
              </w:rPr>
              <w:t>Biom</w:t>
            </w:r>
          </w:p>
        </w:tc>
        <w:tc>
          <w:tcPr>
            <w:tcW w:w="6160" w:type="dxa"/>
            <w:tcBorders>
              <w:top w:val="nil"/>
              <w:left w:val="nil"/>
              <w:bottom w:val="nil"/>
              <w:right w:val="nil"/>
            </w:tcBorders>
            <w:shd w:val="clear" w:color="auto" w:fill="auto"/>
            <w:vAlign w:val="bottom"/>
          </w:tcPr>
          <w:p w:rsidR="004C2FFF" w:rsidRDefault="00953E6C">
            <w:pPr>
              <w:spacing w:after="0" w:line="240" w:lineRule="auto"/>
              <w:rPr>
                <w:b/>
                <w:bCs/>
                <w:color w:val="000000"/>
              </w:rPr>
            </w:pPr>
            <w:r>
              <w:rPr>
                <w:b/>
                <w:bCs/>
                <w:color w:val="000000"/>
              </w:rPr>
              <w:t>Funkcionalna grupa</w:t>
            </w:r>
          </w:p>
        </w:tc>
      </w:tr>
      <w:tr w:rsidR="004C2FFF">
        <w:trPr>
          <w:trHeight w:val="288"/>
        </w:trPr>
        <w:tc>
          <w:tcPr>
            <w:tcW w:w="460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TF1 Slatkovodni močvarni biom</w:t>
            </w: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TF1.2 Umjerena šumovita močvarna staništa</w:t>
            </w:r>
          </w:p>
        </w:tc>
      </w:tr>
      <w:tr w:rsidR="004C2FFF">
        <w:trPr>
          <w:trHeight w:val="288"/>
        </w:trPr>
        <w:tc>
          <w:tcPr>
            <w:tcW w:w="4600" w:type="dxa"/>
            <w:tcBorders>
              <w:top w:val="nil"/>
              <w:left w:val="nil"/>
              <w:bottom w:val="nil"/>
              <w:right w:val="nil"/>
            </w:tcBorders>
            <w:shd w:val="clear" w:color="auto" w:fill="auto"/>
            <w:vAlign w:val="bottom"/>
          </w:tcPr>
          <w:p w:rsidR="004C2FFF" w:rsidRDefault="004C2FFF">
            <w:pPr>
              <w:spacing w:after="0" w:line="240" w:lineRule="auto"/>
              <w:rPr>
                <w:color w:val="000000"/>
              </w:rPr>
            </w:pPr>
          </w:p>
        </w:tc>
        <w:tc>
          <w:tcPr>
            <w:tcW w:w="6160" w:type="dxa"/>
            <w:tcBorders>
              <w:top w:val="nil"/>
              <w:left w:val="nil"/>
              <w:bottom w:val="nil"/>
              <w:right w:val="nil"/>
            </w:tcBorders>
            <w:shd w:val="clear" w:color="auto" w:fill="auto"/>
            <w:vAlign w:val="bottom"/>
          </w:tcPr>
          <w:p w:rsidR="004C2FFF" w:rsidRDefault="00953E6C">
            <w:pPr>
              <w:spacing w:after="0" w:line="240" w:lineRule="auto"/>
              <w:rPr>
                <w:color w:val="000000"/>
              </w:rPr>
            </w:pPr>
            <w:r>
              <w:rPr>
                <w:color w:val="000000"/>
              </w:rPr>
              <w:t>TF1.6 Borealna, umjerena i planinska tresetišta</w:t>
            </w:r>
          </w:p>
        </w:tc>
      </w:tr>
    </w:tbl>
    <w:p w:rsidR="004C2FFF" w:rsidRDefault="004C2FFF">
      <w:pPr>
        <w:tabs>
          <w:tab w:val="left" w:pos="5916"/>
        </w:tabs>
        <w:spacing w:line="360" w:lineRule="auto"/>
        <w:jc w:val="both"/>
        <w:rPr>
          <w:rFonts w:ascii="Times New Roman" w:eastAsia="Times New Roman" w:hAnsi="Times New Roman" w:cs="Times New Roman"/>
          <w:b/>
          <w:bCs/>
          <w:sz w:val="24"/>
          <w:szCs w:val="24"/>
        </w:rPr>
      </w:pPr>
    </w:p>
    <w:p w:rsidR="004C2FFF" w:rsidRDefault="00953E6C">
      <w:pPr>
        <w:tabs>
          <w:tab w:val="left" w:pos="591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Tabela 2: </w:t>
      </w:r>
      <w:r>
        <w:rPr>
          <w:rFonts w:ascii="Times New Roman" w:eastAsia="Times New Roman" w:hAnsi="Times New Roman" w:cs="Times New Roman"/>
          <w:sz w:val="24"/>
          <w:szCs w:val="24"/>
        </w:rPr>
        <w:t>Pregled ekosistema u Crnoj Gori prema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Prema Globalnoj tipologiju za podjelu ekosistema na Zemlji (http</w:t>
      </w:r>
      <w:r>
        <w:rPr>
          <w:rFonts w:ascii="Times New Roman" w:eastAsia="Times New Roman" w:hAnsi="Times New Roman" w:cs="Times New Roman"/>
          <w:sz w:val="24"/>
          <w:szCs w:val="24"/>
        </w:rPr>
        <w:t>s://global-ecosystems.org/)</w:t>
      </w:r>
    </w:p>
    <w:p w:rsidR="004C2FFF" w:rsidRDefault="00953E6C">
      <w:pPr>
        <w:tabs>
          <w:tab w:val="left" w:pos="5916"/>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Raznovrsni antropogeni pritisci ugrožavaju različite ekosisteme, mijenjajući njihove strukture i funkcije. U Crnoj Gori su šumski ekosistemi  prvenstveno ugroženi neracionalnom eksploatacijom i ilegalnom sječom. Smanjenje površi</w:t>
      </w:r>
      <w:r>
        <w:rPr>
          <w:rFonts w:ascii="Times New Roman" w:eastAsia="Times New Roman" w:hAnsi="Times New Roman" w:cs="Times New Roman"/>
          <w:sz w:val="24"/>
          <w:szCs w:val="24"/>
        </w:rPr>
        <w:t>na i fragmentaciju šumskih ekosistema izaziva i urbanizacija, dok invazivne vrste narušavaju strukturu i negativno utiču na autohtoni diverzitet. Ozbiljna prijetnja šumama su požari, koji su poslednjih decenija učestaliji zbog klimatskih promjena i nepažnj</w:t>
      </w:r>
      <w:r>
        <w:rPr>
          <w:rFonts w:ascii="Times New Roman" w:eastAsia="Times New Roman" w:hAnsi="Times New Roman" w:cs="Times New Roman"/>
          <w:sz w:val="24"/>
          <w:szCs w:val="24"/>
        </w:rPr>
        <w:t>e ljudi. U četinarskim šumama više opština (Plav, pljevlja, Berane, Žabljak itd) bilježi se širenje potkornjaka, koji izaziva sušenje stabala i narušava cijeli ekosistem. Urbanizacija i njom izazvana fragmentacija su velike prijetnje i za ostale terestričn</w:t>
      </w:r>
      <w:r>
        <w:rPr>
          <w:rFonts w:ascii="Times New Roman" w:eastAsia="Times New Roman" w:hAnsi="Times New Roman" w:cs="Times New Roman"/>
          <w:sz w:val="24"/>
          <w:szCs w:val="24"/>
        </w:rPr>
        <w:t>e ekosisteme, ali je glavni faktor ugroženosti travnih ekosistema napuštanje tradicionalne poljoprivrede (košenje, ispaša), što prvo vodi do promjene florističkog sastava, a kasnije do zarastanja. Tokom terenskog rada na NATURA 2000 projektu zarastanje tra</w:t>
      </w:r>
      <w:r>
        <w:rPr>
          <w:rFonts w:ascii="Times New Roman" w:eastAsia="Times New Roman" w:hAnsi="Times New Roman" w:cs="Times New Roman"/>
          <w:sz w:val="24"/>
          <w:szCs w:val="24"/>
        </w:rPr>
        <w:t>vnih ekosistema je bilježeno u svim opštinama. Visokoplaninski ekosistemi su ugroženi klimatskim promjenama, ali su podaci o stepenu ugroženosti ovih ekosistema u Crnoj Gori veoma oskudni.</w:t>
      </w:r>
    </w:p>
    <w:p w:rsidR="004C2FFF" w:rsidRDefault="00953E6C">
      <w:pPr>
        <w:tabs>
          <w:tab w:val="left" w:pos="5916"/>
        </w:tabs>
        <w:spacing w:line="36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Iako je urbanizacija prepoznata kao antropogeni faktor koji ozbiljn</w:t>
      </w:r>
      <w:r>
        <w:rPr>
          <w:rFonts w:ascii="Times New Roman" w:eastAsia="Times New Roman" w:hAnsi="Times New Roman" w:cs="Times New Roman"/>
          <w:sz w:val="24"/>
          <w:szCs w:val="24"/>
        </w:rPr>
        <w:t xml:space="preserve">o ugroževa biodiverzitet u cijeloj državi, negativan uticaj je posebno izražen u zoni marinsko-terestričnih ekosistema. Problem je utoliko veći, ukoliko se ima u vidu činjenica da su površine ovih ekosistema već značajno redukovane. Marinsko-terestrični i </w:t>
      </w:r>
      <w:r>
        <w:rPr>
          <w:rFonts w:ascii="Times New Roman" w:eastAsia="Times New Roman" w:hAnsi="Times New Roman" w:cs="Times New Roman"/>
          <w:sz w:val="24"/>
          <w:szCs w:val="24"/>
        </w:rPr>
        <w:t>marinski ekosistemi su ugroženi i otpadnim vodama. Uz predhodno navedene antropogene pritiske, slatkovodne ekosisteme ozbiljno ugrožava eksploatacija šljunka. Zbog ilegalne eksploatacije narušava se stabilnost korita, mijenja se hidrološki režim rijeka i i</w:t>
      </w:r>
      <w:r>
        <w:rPr>
          <w:rFonts w:ascii="Times New Roman" w:eastAsia="Times New Roman" w:hAnsi="Times New Roman" w:cs="Times New Roman"/>
          <w:sz w:val="24"/>
          <w:szCs w:val="24"/>
        </w:rPr>
        <w:t>zvora, devastiraju se staništa. Šljunak se iskopava na obalama brojnih vodottoka, a najintezivnije na Morači, Limu, Zeti, Cijevnoj</w:t>
      </w:r>
      <w:r>
        <w:rPr>
          <w:rFonts w:ascii="Times New Roman" w:eastAsia="Times New Roman" w:hAnsi="Times New Roman" w:cs="Times New Roman"/>
          <w:color w:val="FF0000"/>
          <w:sz w:val="24"/>
          <w:szCs w:val="24"/>
        </w:rPr>
        <w:t>.</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Prateći ustaljenu terminologiju NATURA 2000 projekta, u gore navedenim ekosistemima javlja se više grupa staništa</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obalni i halofitski tipovi staništa, obalne dine, slatkovodni tipovi staništa, vrištine i žbunjaci umjerenih klimata, sklerofilni žbunjaci i makije, travnjaci, tresave, sipari i stijene (obuhvataju i pećine), šume. Do sada je u Crnoj Gori evidentirano 88</w:t>
      </w:r>
      <w:r>
        <w:rPr>
          <w:rFonts w:ascii="Times New Roman" w:eastAsia="Times New Roman" w:hAnsi="Times New Roman" w:cs="Times New Roman"/>
          <w:sz w:val="24"/>
          <w:szCs w:val="24"/>
        </w:rPr>
        <w:t xml:space="preserve"> tipova staništa (Milanović et. Al, 2020), pri čemu se značajem ističu prioritetna.</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lastRenderedPageBreak/>
        <w:t>Obalni i halofitski tipovi staništa</w:t>
      </w:r>
      <w:r>
        <w:rPr>
          <w:rFonts w:ascii="Times New Roman" w:eastAsia="Times New Roman" w:hAnsi="Times New Roman" w:cs="Times New Roman"/>
          <w:sz w:val="24"/>
          <w:szCs w:val="24"/>
        </w:rPr>
        <w:t xml:space="preserve"> u Crnoj Gori su zastupleni sa 12 tipova, pri čemu se kao prioritena</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staništa za zaštitu izdvajaju *1120 podvodne livade Posidonie (</w:t>
      </w:r>
      <w:r>
        <w:rPr>
          <w:rFonts w:ascii="Times New Roman" w:eastAsia="Times New Roman" w:hAnsi="Times New Roman" w:cs="Times New Roman"/>
          <w:i/>
          <w:iCs/>
          <w:sz w:val="24"/>
          <w:szCs w:val="24"/>
        </w:rPr>
        <w:t>Posi</w:t>
      </w:r>
      <w:r>
        <w:rPr>
          <w:rFonts w:ascii="Times New Roman" w:eastAsia="Times New Roman" w:hAnsi="Times New Roman" w:cs="Times New Roman"/>
          <w:i/>
          <w:iCs/>
          <w:sz w:val="24"/>
          <w:szCs w:val="24"/>
        </w:rPr>
        <w:t>donia oceanica</w:t>
      </w:r>
      <w:r>
        <w:rPr>
          <w:rFonts w:ascii="Times New Roman" w:eastAsia="Times New Roman" w:hAnsi="Times New Roman" w:cs="Times New Roman"/>
          <w:sz w:val="24"/>
          <w:szCs w:val="24"/>
        </w:rPr>
        <w:t>) i *1150 Obalne lagune. Livade posidonije su prisutne na otvorenom moru duž cijelog crnogorskog primorja i razvijaju se na dubinama od 1-2 m do oko 30 m. Najbolje očuvane sastojine nalaze se ispred Petrovca i Buljarice i u uvali Trašte. Lagu</w:t>
      </w:r>
      <w:r>
        <w:rPr>
          <w:rFonts w:ascii="Times New Roman" w:eastAsia="Times New Roman" w:hAnsi="Times New Roman" w:cs="Times New Roman"/>
          <w:sz w:val="24"/>
          <w:szCs w:val="24"/>
        </w:rPr>
        <w:t>ne su rijetka staništa u Crnoj Gori, pripadaju im: Ulcinjska solana, Solila kod Tivta, zaleđe Buljarice i dio zaleđa Velike plaže. Najveće prijetnje za ove ekosisteme su zagađenje mora otpadnim vodama, invazivne vrste i urbanizacija vezana za razvoj turizm</w:t>
      </w:r>
      <w:r>
        <w:rPr>
          <w:rFonts w:ascii="Times New Roman" w:eastAsia="Times New Roman" w:hAnsi="Times New Roman" w:cs="Times New Roman"/>
          <w:sz w:val="24"/>
          <w:szCs w:val="24"/>
        </w:rPr>
        <w:t>a.</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Obalne dine</w:t>
      </w:r>
      <w:r>
        <w:rPr>
          <w:rFonts w:ascii="Times New Roman" w:eastAsia="Times New Roman" w:hAnsi="Times New Roman" w:cs="Times New Roman"/>
          <w:sz w:val="24"/>
          <w:szCs w:val="24"/>
        </w:rPr>
        <w:t xml:space="preserve"> su u Crnoj Gori zastupljene sa 7 tipova staništa, pri čemu su kao prioritetne označene *2270 Borove šume na obalnim dinama. Dinska staništa su primarno vezana za Veliku plažu i Adu Bojanu, dok se na ostalim pješčanim plažama bilježe samo mal</w:t>
      </w:r>
      <w:r>
        <w:rPr>
          <w:rFonts w:ascii="Times New Roman" w:eastAsia="Times New Roman" w:hAnsi="Times New Roman" w:cs="Times New Roman"/>
          <w:sz w:val="24"/>
          <w:szCs w:val="24"/>
        </w:rPr>
        <w:t>i fragmenti. Ugrožena su urbanizacijom vezanom za turizam, ali i neadekvatnim menadžmentom zakupaca plaža (uklanjanje biljaka, nasipanje pjeska, odlaganje iskorištenog plažnog mobilijara na dinska staništa, sađenje ukrasnih biljaka koje su invazivne). *227</w:t>
      </w:r>
      <w:r>
        <w:rPr>
          <w:rFonts w:ascii="Times New Roman" w:eastAsia="Times New Roman" w:hAnsi="Times New Roman" w:cs="Times New Roman"/>
          <w:sz w:val="24"/>
          <w:szCs w:val="24"/>
        </w:rPr>
        <w:t>0 Borove šume na obalnim dinama najviše su ugrožene time što se koriste kao parking prostor i prostor za turističke kampove.</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 xml:space="preserve">Slatkovodni tipovi staništa </w:t>
      </w:r>
      <w:r>
        <w:rPr>
          <w:rFonts w:ascii="Times New Roman" w:eastAsia="Times New Roman" w:hAnsi="Times New Roman" w:cs="Times New Roman"/>
          <w:sz w:val="24"/>
          <w:szCs w:val="24"/>
        </w:rPr>
        <w:t>imaju 12 tipova u Crnoj Gori, koji su rasprostranjeni u različitim dijelovima države. *3170 Mediteransk</w:t>
      </w:r>
      <w:r>
        <w:rPr>
          <w:rFonts w:ascii="Times New Roman" w:eastAsia="Times New Roman" w:hAnsi="Times New Roman" w:cs="Times New Roman"/>
          <w:sz w:val="24"/>
          <w:szCs w:val="24"/>
        </w:rPr>
        <w:t>e povremene lokve i *3180 Povremena kraška jezera (turlozi) su na Direktivi o staništima označeni kao prioritetni za zaštitu. Oba tipa staništa su rijetka u Crnoj Gori. Prisustvo mediteranskih povremenih lokvi je potvrđeno u zaleđu Velike plaže i u okolini</w:t>
      </w:r>
      <w:r>
        <w:rPr>
          <w:rFonts w:ascii="Times New Roman" w:eastAsia="Times New Roman" w:hAnsi="Times New Roman" w:cs="Times New Roman"/>
          <w:sz w:val="24"/>
          <w:szCs w:val="24"/>
        </w:rPr>
        <w:t xml:space="preserve"> Skadarskog jezera. Primarno su ugrožene urbanizacijom vezanom za razvoj turizma. Povremena kraška jezera su potvrđena u okolini Nikšića. Ostali slatkovodni tipovi staništa ugroženi su eksploatacijom šljunka, invazivnim vrstima, zagađenjem voda.</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Vrištine i</w:t>
      </w:r>
      <w:r>
        <w:rPr>
          <w:rFonts w:ascii="Times New Roman" w:eastAsia="Times New Roman" w:hAnsi="Times New Roman" w:cs="Times New Roman"/>
          <w:b/>
          <w:bCs/>
          <w:sz w:val="24"/>
          <w:szCs w:val="24"/>
          <w:u w:val="single"/>
        </w:rPr>
        <w:t xml:space="preserve"> žbunjaci umjerenih klimata </w:t>
      </w:r>
      <w:r>
        <w:rPr>
          <w:rFonts w:ascii="Times New Roman" w:eastAsia="Times New Roman" w:hAnsi="Times New Roman" w:cs="Times New Roman"/>
          <w:sz w:val="24"/>
          <w:szCs w:val="24"/>
        </w:rPr>
        <w:t>predstavljeni su u Crnoj Gori sa 4 tipa staništa, od kojih je kao prioritetan tip markiran *4070 Klekovina bora krivulja (</w:t>
      </w:r>
      <w:r>
        <w:rPr>
          <w:rFonts w:ascii="Times New Roman" w:eastAsia="Times New Roman" w:hAnsi="Times New Roman" w:cs="Times New Roman"/>
          <w:i/>
          <w:iCs/>
          <w:sz w:val="24"/>
          <w:szCs w:val="24"/>
        </w:rPr>
        <w:t>Pinus mugo</w:t>
      </w:r>
      <w:r>
        <w:rPr>
          <w:rFonts w:ascii="Times New Roman" w:eastAsia="Times New Roman" w:hAnsi="Times New Roman" w:cs="Times New Roman"/>
          <w:sz w:val="24"/>
          <w:szCs w:val="24"/>
        </w:rPr>
        <w:t>) i dlakave alpske ruže (</w:t>
      </w:r>
      <w:r>
        <w:rPr>
          <w:rFonts w:ascii="Times New Roman" w:eastAsia="Times New Roman" w:hAnsi="Times New Roman" w:cs="Times New Roman"/>
          <w:i/>
          <w:iCs/>
          <w:sz w:val="24"/>
          <w:szCs w:val="24"/>
        </w:rPr>
        <w:t>Rhododendron hirsutum</w:t>
      </w:r>
      <w:r>
        <w:rPr>
          <w:rFonts w:ascii="Times New Roman" w:eastAsia="Times New Roman" w:hAnsi="Times New Roman" w:cs="Times New Roman"/>
          <w:sz w:val="24"/>
          <w:szCs w:val="24"/>
        </w:rPr>
        <w:t>). Iako je dlakava alpska ruža zabilježena samo na</w:t>
      </w:r>
      <w:r>
        <w:rPr>
          <w:rFonts w:ascii="Times New Roman" w:eastAsia="Times New Roman" w:hAnsi="Times New Roman" w:cs="Times New Roman"/>
          <w:sz w:val="24"/>
          <w:szCs w:val="24"/>
        </w:rPr>
        <w:t xml:space="preserve"> Magliću, sve sastojina krivulja gdje bor pokriva predko 30 % površine se ubrajaju u ovaj stanišni tip. Sastojine krivulja su razvijene na sledećim planinskim masivima: Ljubišnja, Ledenica, Maglić, Durmitor, </w:t>
      </w:r>
      <w:r>
        <w:rPr>
          <w:rFonts w:ascii="Times New Roman" w:eastAsia="Times New Roman" w:hAnsi="Times New Roman" w:cs="Times New Roman"/>
          <w:sz w:val="24"/>
          <w:szCs w:val="24"/>
        </w:rPr>
        <w:lastRenderedPageBreak/>
        <w:t>Vojnik, Bjelasica, Golija, Prekornica, Rugovsko-</w:t>
      </w:r>
      <w:r>
        <w:rPr>
          <w:rFonts w:ascii="Times New Roman" w:eastAsia="Times New Roman" w:hAnsi="Times New Roman" w:cs="Times New Roman"/>
          <w:sz w:val="24"/>
          <w:szCs w:val="24"/>
        </w:rPr>
        <w:t xml:space="preserve">metohijske planine (Hajla, Stedim, Rusolija). Poslednjih godina nisu zabilježeni antropogeni pritisci na ekosisteme klekovine bora u Crnoj Gori. </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 xml:space="preserve">Sklerofilni žbunjaci i makije </w:t>
      </w:r>
      <w:r>
        <w:rPr>
          <w:rFonts w:ascii="Times New Roman" w:eastAsia="Times New Roman" w:hAnsi="Times New Roman" w:cs="Times New Roman"/>
          <w:sz w:val="24"/>
          <w:szCs w:val="24"/>
        </w:rPr>
        <w:t>obuhvataju u Crnoj Gori 6 stanišnih tipova, rasprostranjenih u mediteranskom i s</w:t>
      </w:r>
      <w:r>
        <w:rPr>
          <w:rFonts w:ascii="Times New Roman" w:eastAsia="Times New Roman" w:hAnsi="Times New Roman" w:cs="Times New Roman"/>
          <w:sz w:val="24"/>
          <w:szCs w:val="24"/>
        </w:rPr>
        <w:t>ubmediteranskom dijelu države. Prioritetno stanište ove grupe su *5230 Visoki žbunjaci lovora (</w:t>
      </w:r>
      <w:r>
        <w:rPr>
          <w:rFonts w:ascii="Times New Roman" w:eastAsia="Times New Roman" w:hAnsi="Times New Roman" w:cs="Times New Roman"/>
          <w:i/>
          <w:iCs/>
          <w:sz w:val="24"/>
          <w:szCs w:val="24"/>
        </w:rPr>
        <w:t>Laurus nobilis</w:t>
      </w:r>
      <w:r>
        <w:rPr>
          <w:rFonts w:ascii="Times New Roman" w:eastAsia="Times New Roman" w:hAnsi="Times New Roman" w:cs="Times New Roman"/>
          <w:sz w:val="24"/>
          <w:szCs w:val="24"/>
        </w:rPr>
        <w:t xml:space="preserve">), koji u Crnoj Gori zauzimaju jako male površine. Postoje literaturni podaci o prisustvu ovog staništa uz obale Skadarskog jezera, ali ovaj nalaz </w:t>
      </w:r>
      <w:r>
        <w:rPr>
          <w:rFonts w:ascii="Times New Roman" w:eastAsia="Times New Roman" w:hAnsi="Times New Roman" w:cs="Times New Roman"/>
          <w:sz w:val="24"/>
          <w:szCs w:val="24"/>
        </w:rPr>
        <w:t>nije potvrđen na terenu poslednjih godina. Fragmenti staništa se bilježe kod Kostanjice i u dolini Sutorine i ugroženi su urbanizacijom.</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 xml:space="preserve">Travnjaci </w:t>
      </w:r>
      <w:r>
        <w:rPr>
          <w:rFonts w:ascii="Times New Roman" w:eastAsia="Times New Roman" w:hAnsi="Times New Roman" w:cs="Times New Roman"/>
          <w:sz w:val="24"/>
          <w:szCs w:val="24"/>
        </w:rPr>
        <w:t>su zastupljeni sa 16 tipova, veoma heterogenih staništa. Obuhvataju širok spektar travnih zajednica, često bogatog florističkog sastava, od obale mora do najvećih planinskih vrhova u Crnoj Gori. Prioritetna staništa ove grupe su: *6110 Zeljaste zajednice n</w:t>
      </w:r>
      <w:r>
        <w:rPr>
          <w:rFonts w:ascii="Times New Roman" w:eastAsia="Times New Roman" w:hAnsi="Times New Roman" w:cs="Times New Roman"/>
          <w:sz w:val="24"/>
          <w:szCs w:val="24"/>
        </w:rPr>
        <w:t>a krhotinama krečnjačkih i bazifilnih stijena (</w:t>
      </w:r>
      <w:r>
        <w:rPr>
          <w:rFonts w:ascii="Times New Roman" w:eastAsia="Times New Roman" w:hAnsi="Times New Roman" w:cs="Times New Roman"/>
          <w:i/>
          <w:iCs/>
          <w:sz w:val="24"/>
          <w:szCs w:val="24"/>
        </w:rPr>
        <w:t>Alysso-Sedion albi</w:t>
      </w:r>
      <w:r>
        <w:rPr>
          <w:rFonts w:ascii="Times New Roman" w:eastAsia="Times New Roman" w:hAnsi="Times New Roman" w:cs="Times New Roman"/>
          <w:sz w:val="24"/>
          <w:szCs w:val="24"/>
        </w:rPr>
        <w:t>), *6220 Pseudostepe sa travama i jednogodišnjim biljkama klase Thero-Brachypodietea, *6230 Vrstama bogati travnjaci tvrdače (</w:t>
      </w:r>
      <w:r>
        <w:rPr>
          <w:rFonts w:ascii="Times New Roman" w:eastAsia="Times New Roman" w:hAnsi="Times New Roman" w:cs="Times New Roman"/>
          <w:i/>
          <w:iCs/>
          <w:sz w:val="24"/>
          <w:szCs w:val="24"/>
        </w:rPr>
        <w:t>Nardus stricta</w:t>
      </w:r>
      <w:r>
        <w:rPr>
          <w:rFonts w:ascii="Times New Roman" w:eastAsia="Times New Roman" w:hAnsi="Times New Roman" w:cs="Times New Roman"/>
          <w:sz w:val="24"/>
          <w:szCs w:val="24"/>
        </w:rPr>
        <w:t>) na silikatnim supstratima planinskih područja i *</w:t>
      </w:r>
      <w:r>
        <w:rPr>
          <w:rFonts w:ascii="Times New Roman" w:eastAsia="Times New Roman" w:hAnsi="Times New Roman" w:cs="Times New Roman"/>
          <w:sz w:val="24"/>
          <w:szCs w:val="24"/>
        </w:rPr>
        <w:t>6530 Šumolivade. Prvo stanište je rasprostranjeno po cijeloj Crnoj Gori, drugo se javlja u mediteranskom i submediteranskom dijelu države, dok su preostala dva vezana za planinsko područje. Glavni faktor ugroženosti travnih ekosistema je napuštanje tradici</w:t>
      </w:r>
      <w:r>
        <w:rPr>
          <w:rFonts w:ascii="Times New Roman" w:eastAsia="Times New Roman" w:hAnsi="Times New Roman" w:cs="Times New Roman"/>
          <w:sz w:val="24"/>
          <w:szCs w:val="24"/>
        </w:rPr>
        <w:t>onalne poljoprivrede (košenje, ispaša), što prvo vodi do promjene florističkog sastava, a kasnije do zarastanja.</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 xml:space="preserve">Tresave </w:t>
      </w:r>
      <w:r>
        <w:rPr>
          <w:rFonts w:ascii="Times New Roman" w:eastAsia="Times New Roman" w:hAnsi="Times New Roman" w:cs="Times New Roman"/>
          <w:sz w:val="24"/>
          <w:szCs w:val="24"/>
        </w:rPr>
        <w:t>se u Crnoj Gori javljaj u vidu tri stanišna tipa, sa jednim prioritetnim za zaštitu *7220 Okamenjeni izvori sa formacijama sedre (Crato</w:t>
      </w:r>
      <w:r>
        <w:rPr>
          <w:rFonts w:ascii="Times New Roman" w:eastAsia="Times New Roman" w:hAnsi="Times New Roman" w:cs="Times New Roman"/>
          <w:sz w:val="24"/>
          <w:szCs w:val="24"/>
        </w:rPr>
        <w:t>neurion). Ovaj staništni tip je rijedak i zauzima male površine, a najljepše formacije sedre su zabilježene: u kanjonu Mrtvice, izvorištu Morače, u kanjonu Tare, dolini Tušine, Alipašini izvori kod Gusinja, ali i svuda po planinama.</w:t>
      </w:r>
      <w:r>
        <w:rPr>
          <w:rFonts w:ascii="Times New Roman" w:eastAsia="Times New Roman" w:hAnsi="Times New Roman" w:cs="Times New Roman"/>
          <w:sz w:val="40"/>
          <w:szCs w:val="40"/>
        </w:rPr>
        <w:t xml:space="preserve"> </w:t>
      </w:r>
      <w:r>
        <w:rPr>
          <w:rFonts w:ascii="Times New Roman" w:eastAsia="Times New Roman" w:hAnsi="Times New Roman" w:cs="Times New Roman"/>
          <w:sz w:val="24"/>
          <w:szCs w:val="24"/>
        </w:rPr>
        <w:t>Ugroženost tresava je p</w:t>
      </w:r>
      <w:r>
        <w:rPr>
          <w:rFonts w:ascii="Times New Roman" w:eastAsia="Times New Roman" w:hAnsi="Times New Roman" w:cs="Times New Roman"/>
          <w:sz w:val="24"/>
          <w:szCs w:val="24"/>
        </w:rPr>
        <w:t>repoznata na globalnom nivou, a u Crnoj Gori su najvažniji faktori ugroženosti: promjena u vodnom režimu (npr. Semolj), pritisak od turizma (gaženje, izgradnja vikendica, skijališta; npr. Durmitor, Bjelasica, Prokletije), poljoprivreda (ispaša, gaženje, đu</w:t>
      </w:r>
      <w:r>
        <w:rPr>
          <w:rFonts w:ascii="Times New Roman" w:eastAsia="Times New Roman" w:hAnsi="Times New Roman" w:cs="Times New Roman"/>
          <w:sz w:val="24"/>
          <w:szCs w:val="24"/>
        </w:rPr>
        <w:t>brenje; npr. Durmitor, Sinjajevina), degradacija i intezivna sječa okolnih šuma (npr. Semolj), klimatske promjene.</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 xml:space="preserve">Sipari i stijene </w:t>
      </w:r>
      <w:r>
        <w:rPr>
          <w:rFonts w:ascii="Times New Roman" w:eastAsia="Times New Roman" w:hAnsi="Times New Roman" w:cs="Times New Roman"/>
          <w:sz w:val="24"/>
          <w:szCs w:val="24"/>
        </w:rPr>
        <w:t>u Crnoj Gori imaju 9 tipova staništa, od kojih su *8160 Srednjeevropski brdski i gorski krečnjački sipari prioritetni za zaš</w:t>
      </w:r>
      <w:r>
        <w:rPr>
          <w:rFonts w:ascii="Times New Roman" w:eastAsia="Times New Roman" w:hAnsi="Times New Roman" w:cs="Times New Roman"/>
          <w:sz w:val="24"/>
          <w:szCs w:val="24"/>
        </w:rPr>
        <w:t xml:space="preserve">titu. Ovaj tip staništa u Crnoj Gori se rijetko bilježi (na </w:t>
      </w:r>
      <w:r>
        <w:rPr>
          <w:rFonts w:ascii="Times New Roman" w:eastAsia="Times New Roman" w:hAnsi="Times New Roman" w:cs="Times New Roman"/>
          <w:sz w:val="24"/>
          <w:szCs w:val="24"/>
        </w:rPr>
        <w:lastRenderedPageBreak/>
        <w:t>samom sjeveru) i zauzima male površine. Nisu zabilježeni antropogeni pritisci na srednjeevropske brdske i gorske krečnjačke sipare.</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 xml:space="preserve">Šume </w:t>
      </w:r>
      <w:r>
        <w:rPr>
          <w:rFonts w:ascii="Times New Roman" w:eastAsia="Times New Roman" w:hAnsi="Times New Roman" w:cs="Times New Roman"/>
          <w:sz w:val="24"/>
          <w:szCs w:val="24"/>
        </w:rPr>
        <w:t>su u Crnoj Gori zastupljene sa najviše tipova staništa, u p</w:t>
      </w:r>
      <w:r>
        <w:rPr>
          <w:rFonts w:ascii="Times New Roman" w:eastAsia="Times New Roman" w:hAnsi="Times New Roman" w:cs="Times New Roman"/>
          <w:sz w:val="24"/>
          <w:szCs w:val="24"/>
        </w:rPr>
        <w:t>oređenju sa ostalim grupama sa Direktive. Od 19 tipova staništa, kao priroritetna za zaštitu navedena su: *9180 Šume velikih nagiba i klisura (Tilio-Acerion), *91E0 Aluvijalne šume crne johe i gorskog jasena (Alno-Padion, Salcion icanae, Salicion albae), *</w:t>
      </w:r>
      <w:r>
        <w:rPr>
          <w:rFonts w:ascii="Times New Roman" w:eastAsia="Times New Roman" w:hAnsi="Times New Roman" w:cs="Times New Roman"/>
          <w:sz w:val="24"/>
          <w:szCs w:val="24"/>
        </w:rPr>
        <w:t>91AA Istočne šume medunca, *9530 (Sub)mediteranske šume endemičnih crnih borova. Prvo stanište se prvenstveno javlja u klisurama i kanjonima. Veoma reprezentativne sastojine su registrovane u Kanjonima Tare, Morače, Pive i njihovih pritoka. Zbog položaja (</w:t>
      </w:r>
      <w:r>
        <w:rPr>
          <w:rFonts w:ascii="Times New Roman" w:eastAsia="Times New Roman" w:hAnsi="Times New Roman" w:cs="Times New Roman"/>
          <w:sz w:val="24"/>
          <w:szCs w:val="24"/>
        </w:rPr>
        <w:t>nepristupačnosti) ovaj stanišni tip je manje ugrožen sječom u odnosu na ostale šume. Aluvijalne šume crne johe i gorskog jasena razvijene su duž rječnih tokova u nizijskim, submontanim i montanim predjelima umjerene zone. U Crnoj Gori imaju široku distribu</w:t>
      </w:r>
      <w:r>
        <w:rPr>
          <w:rFonts w:ascii="Times New Roman" w:eastAsia="Times New Roman" w:hAnsi="Times New Roman" w:cs="Times New Roman"/>
          <w:sz w:val="24"/>
          <w:szCs w:val="24"/>
        </w:rPr>
        <w:t>ciju, izuzimajući mediteranski dio gdje su uz rijeke razvijene 92A0 Galerije bijele vrbe i bijele topole. Istočne šume medunca se javljaju u dolinama Ćehotine, Pive, Tare i Lima (stanište ne uključuje mediteranske i submediteranske šume medunca), dok su šu</w:t>
      </w:r>
      <w:r>
        <w:rPr>
          <w:rFonts w:ascii="Times New Roman" w:eastAsia="Times New Roman" w:hAnsi="Times New Roman" w:cs="Times New Roman"/>
          <w:sz w:val="24"/>
          <w:szCs w:val="24"/>
        </w:rPr>
        <w:t>me crnog bora široko rasprostranjene u državi. Svi šumski tipovi staništa ugroženi su prekomjernom sječom, dok su aluvijalne šume ugrožene i eksploatacijom šljunka.</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Većina staništa koja su na Direktivi o staništima prepoznata kao prioritetna za zaštitu su </w:t>
      </w:r>
      <w:r>
        <w:rPr>
          <w:rFonts w:ascii="Times New Roman" w:eastAsia="Times New Roman" w:hAnsi="Times New Roman" w:cs="Times New Roman"/>
          <w:sz w:val="24"/>
          <w:szCs w:val="24"/>
        </w:rPr>
        <w:t>u Crnoj Gori su rijetka i ugrožena, pa bi im trebalo dati prioritet i kada je u pitanju Izrada studija zaštite staništa/ekosistema.</w:t>
      </w:r>
    </w:p>
    <w:p w:rsidR="004C2FFF" w:rsidRDefault="00953E6C">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Nacionalni okvir za zaštitu biodiverziteta</w:t>
      </w:r>
    </w:p>
    <w:p w:rsidR="004C2FFF" w:rsidRDefault="00953E6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Flora – vaskularne biljke i mahovine</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 Crnoj Gori je Zakonom zaštićeno 300 vrsta biljaka (vaskularne biljke + mahovine). Neke od ovih vrsta imaju široku distribuciju i brojne, stabilne populacije, ali su zaštićene zbog toga što se nalaze na listi CITES Konvencije o međunarodnoj trgovini ugrož</w:t>
      </w:r>
      <w:r>
        <w:rPr>
          <w:rFonts w:ascii="Times New Roman" w:eastAsia="Times New Roman" w:hAnsi="Times New Roman" w:cs="Times New Roman"/>
          <w:sz w:val="24"/>
          <w:szCs w:val="24"/>
        </w:rPr>
        <w:t>enim vrstama divlje flore i faune (npr. visibaba (</w:t>
      </w:r>
      <w:r>
        <w:rPr>
          <w:rFonts w:ascii="Times New Roman" w:eastAsia="Times New Roman" w:hAnsi="Times New Roman" w:cs="Times New Roman"/>
          <w:i/>
          <w:iCs/>
          <w:sz w:val="24"/>
          <w:szCs w:val="24"/>
        </w:rPr>
        <w:t>Galanthus nivalis</w:t>
      </w:r>
      <w:r>
        <w:rPr>
          <w:rFonts w:ascii="Times New Roman" w:eastAsia="Times New Roman" w:hAnsi="Times New Roman" w:cs="Times New Roman"/>
          <w:sz w:val="24"/>
          <w:szCs w:val="24"/>
        </w:rPr>
        <w:t>)). Lista zaštićenih vrsta nema kategorije zaštite, tako da na ovoj listi jednak status imaju vrste sa brojnim i stabilnim populacijama u Crnoj Gori i one čije su populacije poslednjih godi</w:t>
      </w:r>
      <w:r>
        <w:rPr>
          <w:rFonts w:ascii="Times New Roman" w:eastAsia="Times New Roman" w:hAnsi="Times New Roman" w:cs="Times New Roman"/>
          <w:sz w:val="24"/>
          <w:szCs w:val="24"/>
        </w:rPr>
        <w:t xml:space="preserve">na značajno smanjene i postoji dalja opasnost od redukcije veličine populacije (npr. </w:t>
      </w:r>
      <w:r>
        <w:rPr>
          <w:rFonts w:ascii="Times New Roman" w:eastAsia="Times New Roman" w:hAnsi="Times New Roman" w:cs="Times New Roman"/>
          <w:i/>
          <w:iCs/>
          <w:sz w:val="24"/>
          <w:szCs w:val="24"/>
        </w:rPr>
        <w:t>Euphorbia paralias</w:t>
      </w:r>
      <w:r>
        <w:rPr>
          <w:rFonts w:ascii="Times New Roman" w:eastAsia="Times New Roman" w:hAnsi="Times New Roman" w:cs="Times New Roman"/>
          <w:sz w:val="24"/>
          <w:szCs w:val="24"/>
        </w:rPr>
        <w:t xml:space="preserve">). U pripremi je proširena lista zaštićenih vrsta, ali ni na njoj ne postoje različite kategorije zaštite. </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Do sada nisu rađene Studije zaštite pojedinač</w:t>
      </w:r>
      <w:r>
        <w:rPr>
          <w:rFonts w:ascii="Times New Roman" w:eastAsia="Times New Roman" w:hAnsi="Times New Roman" w:cs="Times New Roman"/>
          <w:sz w:val="24"/>
          <w:szCs w:val="24"/>
        </w:rPr>
        <w:t xml:space="preserve">nih vrsta u okviru programa koje realizuju crnogorske institucije. Nekoliko Studija zaštite vrsta, kao i konkretnih mjera zaštite na terenu, urađene su pod rukovodstvom NVO organizacija (npr. </w:t>
      </w:r>
      <w:r>
        <w:rPr>
          <w:rFonts w:ascii="Times New Roman" w:eastAsia="Times New Roman" w:hAnsi="Times New Roman" w:cs="Times New Roman"/>
          <w:i/>
          <w:iCs/>
          <w:sz w:val="24"/>
          <w:szCs w:val="24"/>
        </w:rPr>
        <w:t>Iris orjenii</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Quercus robur </w:t>
      </w:r>
      <w:r>
        <w:rPr>
          <w:rFonts w:ascii="Times New Roman" w:eastAsia="Times New Roman" w:hAnsi="Times New Roman" w:cs="Times New Roman"/>
          <w:sz w:val="24"/>
          <w:szCs w:val="24"/>
        </w:rPr>
        <w:t xml:space="preserve">ssp. </w:t>
      </w:r>
      <w:r>
        <w:rPr>
          <w:rFonts w:ascii="Times New Roman" w:eastAsia="Times New Roman" w:hAnsi="Times New Roman" w:cs="Times New Roman"/>
          <w:i/>
          <w:iCs/>
          <w:sz w:val="24"/>
          <w:szCs w:val="24"/>
        </w:rPr>
        <w:t>scutariensis</w:t>
      </w:r>
      <w:r>
        <w:rPr>
          <w:rFonts w:ascii="Times New Roman" w:eastAsia="Times New Roman" w:hAnsi="Times New Roman" w:cs="Times New Roman"/>
          <w:sz w:val="24"/>
          <w:szCs w:val="24"/>
        </w:rPr>
        <w:t>).</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Iako je Zakonom </w:t>
      </w:r>
      <w:r>
        <w:rPr>
          <w:rFonts w:ascii="Times New Roman" w:eastAsia="Times New Roman" w:hAnsi="Times New Roman" w:cs="Times New Roman"/>
          <w:sz w:val="24"/>
          <w:szCs w:val="24"/>
        </w:rPr>
        <w:t>o zaštiti prirode zabranjeno sabiranje zaštićenih vrsta, degradacija i zauzimanje njihovih staništa, u praksi je prisutno sakupljanje pojedinih vrsta. Kontrola na terenu i primjena kaznenih mjera gotovo da ne postoje, pa se ovakve aktivnosti odvijaju bez a</w:t>
      </w:r>
      <w:r>
        <w:rPr>
          <w:rFonts w:ascii="Times New Roman" w:eastAsia="Times New Roman" w:hAnsi="Times New Roman" w:cs="Times New Roman"/>
          <w:sz w:val="24"/>
          <w:szCs w:val="24"/>
        </w:rPr>
        <w:t>dekvatnih sankcija. Takođe, kod velikog procenta stanovništva nije razvijena svijest o značaju zaštite ovih vrsta i zakonskim posledicama njihovog uništavanja. Još veći pritisak na zaštićene vrste predstavlja gubitak, zauzimanje i degradacija njihovih prir</w:t>
      </w:r>
      <w:r>
        <w:rPr>
          <w:rFonts w:ascii="Times New Roman" w:eastAsia="Times New Roman" w:hAnsi="Times New Roman" w:cs="Times New Roman"/>
          <w:sz w:val="24"/>
          <w:szCs w:val="24"/>
        </w:rPr>
        <w:t>odnih staništa. Nedovoljno efikasna primjena zakonskih i kaznenih mjera u praksi predstavlja značajan ograničavajući faktor u zaštiti staništa zaštićenih vrsta.</w:t>
      </w:r>
    </w:p>
    <w:p w:rsidR="004C2FFF" w:rsidRDefault="00953E6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Zaštita staništa i ekosistema</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Kao i za vrste, do sada nisu rađene Studije zaštite pojedinačnih </w:t>
      </w:r>
      <w:r>
        <w:rPr>
          <w:rFonts w:ascii="Times New Roman" w:eastAsia="Times New Roman" w:hAnsi="Times New Roman" w:cs="Times New Roman"/>
          <w:sz w:val="24"/>
          <w:szCs w:val="24"/>
        </w:rPr>
        <w:t>staništa u okviru programa koje realizuju crnogorske institucije. Nekoliko Studija zaštite staništa, kao i konkretnih mjera zaštite na terenu, urađene su pod rukovodstvom NVO organizacija.</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Realizovano je nekoliko projekata, finansiranih iz međunarodnih izv</w:t>
      </w:r>
      <w:r>
        <w:rPr>
          <w:rFonts w:ascii="Times New Roman" w:eastAsia="Times New Roman" w:hAnsi="Times New Roman" w:cs="Times New Roman"/>
          <w:sz w:val="24"/>
          <w:szCs w:val="24"/>
        </w:rPr>
        <w:t xml:space="preserve">ora, koji su za cilj imali prepoznavanje značajnih staništa/ekosistema u Crnoj Gori, kao i područja na kojima su prisutna ta staništa/ekosistemi. Najznačajniji su: EMERALD, IPA, IBA. Iako područja prepoznata ovim projektima nemaju zvanični status zaštite, </w:t>
      </w:r>
      <w:r>
        <w:rPr>
          <w:rFonts w:ascii="Times New Roman" w:eastAsia="Times New Roman" w:hAnsi="Times New Roman" w:cs="Times New Roman"/>
          <w:sz w:val="24"/>
          <w:szCs w:val="24"/>
        </w:rPr>
        <w:t>rad na njima je bio značajan u kontekstu jačanje kapaciteta zemlje za uspostavljanje novog sistema zaštite prirode, zasnovanog na EU politici i međnarodnim standardima.</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EMERALD projekat je trajao od 2005. do 2007. godine. Kreirana je EMERALD baza, koja sad</w:t>
      </w:r>
      <w:r>
        <w:rPr>
          <w:rFonts w:ascii="Times New Roman" w:eastAsia="Times New Roman" w:hAnsi="Times New Roman" w:cs="Times New Roman"/>
          <w:sz w:val="24"/>
          <w:szCs w:val="24"/>
        </w:rPr>
        <w:t>rži podatke o distribuciji vrsta i veličini njihovih populacija, o distribuciji važnih staništima i njihovoj reprezentativnosti. Kao najvažniji rezultat projekta, prepoznata su 32 područja u Crnoj Gori važna za zaštitu (po kriterijumima Bernske konkvencije</w:t>
      </w:r>
      <w:r>
        <w:rPr>
          <w:rFonts w:ascii="Times New Roman" w:eastAsia="Times New Roman" w:hAnsi="Times New Roman" w:cs="Times New Roman"/>
          <w:sz w:val="24"/>
          <w:szCs w:val="24"/>
        </w:rPr>
        <w:t>). Važno je istaći da tokom rada na projektu nisu obavljana terenska istraživanja, već je popunjavanje baze vršeno na osnovu literaturnih izvora (dominantno starih) i iskustva/znanja sa terena ekspertskog tima. EMERALD područja su kandidovana, ali nisu zva</w:t>
      </w:r>
      <w:r>
        <w:rPr>
          <w:rFonts w:ascii="Times New Roman" w:eastAsia="Times New Roman" w:hAnsi="Times New Roman" w:cs="Times New Roman"/>
          <w:sz w:val="24"/>
          <w:szCs w:val="24"/>
        </w:rPr>
        <w:t xml:space="preserve">nično usvojena i proglašena kao ekološka mreža u Crnoj </w:t>
      </w:r>
      <w:r>
        <w:rPr>
          <w:rFonts w:ascii="Times New Roman" w:eastAsia="Times New Roman" w:hAnsi="Times New Roman" w:cs="Times New Roman"/>
          <w:sz w:val="24"/>
          <w:szCs w:val="24"/>
        </w:rPr>
        <w:lastRenderedPageBreak/>
        <w:t xml:space="preserve">Gori. U skladu sa tim, nemaju zvanični status zaštite. Ipak, važno je da Crna Gora kao kandidatkinja za ulazak u EU, poštuje preporuke Savjeta Evrope vezane za sprovođenje Bernske konvencije i održivo </w:t>
      </w:r>
      <w:r>
        <w:rPr>
          <w:rFonts w:ascii="Times New Roman" w:eastAsia="Times New Roman" w:hAnsi="Times New Roman" w:cs="Times New Roman"/>
          <w:sz w:val="24"/>
          <w:szCs w:val="24"/>
        </w:rPr>
        <w:t xml:space="preserve">upravlja predloženim EMERALD posručijima. Ovo podrazumjeva da se na prostorima koji se nalaze u granicama EMERALD područja ne realizuju veliki infrastrukturni projekti i da se radi na smanjenju ostalih antropogenih pritisaka. </w:t>
      </w:r>
    </w:p>
    <w:p w:rsidR="004C2FFF" w:rsidRDefault="004C2FFF">
      <w:pPr>
        <w:spacing w:line="360" w:lineRule="auto"/>
        <w:rPr>
          <w:rFonts w:ascii="Times New Roman" w:eastAsia="Times New Roman" w:hAnsi="Times New Roman" w:cs="Times New Roman"/>
          <w:sz w:val="24"/>
          <w:szCs w:val="24"/>
        </w:rPr>
      </w:pPr>
    </w:p>
    <w:p w:rsidR="004C2FFF" w:rsidRDefault="00953E6C">
      <w:pPr>
        <w:spacing w:line="360" w:lineRule="auto"/>
        <w:jc w:val="center"/>
        <w:rPr>
          <w:rFonts w:ascii="Times New Roman" w:eastAsia="Times New Roman" w:hAnsi="Times New Roman" w:cs="Times New Roman"/>
          <w:sz w:val="24"/>
          <w:szCs w:val="24"/>
        </w:rPr>
        <w:sectPr w:rsidR="004C2FFF">
          <w:footerReference w:type="default" r:id="rId8"/>
          <w:pgSz w:w="12240" w:h="15840"/>
          <w:pgMar w:top="1440" w:right="1440" w:bottom="1440" w:left="1440" w:header="720" w:footer="720" w:gutter="0"/>
          <w:pgNumType w:start="1"/>
          <w:cols w:space="720"/>
        </w:sectPr>
      </w:pPr>
      <w:r>
        <w:rPr>
          <w:rFonts w:ascii="Times New Roman" w:eastAsia="Times New Roman" w:hAnsi="Times New Roman" w:cs="Times New Roman"/>
          <w:noProof/>
          <w:sz w:val="24"/>
          <w:szCs w:val="24"/>
        </w:rPr>
        <w:drawing>
          <wp:inline distT="0" distB="0" distL="0" distR="0">
            <wp:extent cx="3175916" cy="322431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175916" cy="3224310"/>
                    </a:xfrm>
                    <a:prstGeom prst="rect">
                      <a:avLst/>
                    </a:prstGeom>
                    <a:ln/>
                  </pic:spPr>
                </pic:pic>
              </a:graphicData>
            </a:graphic>
          </wp:inline>
        </w:drawing>
      </w:r>
    </w:p>
    <w:p w:rsidR="004C2FFF" w:rsidRDefault="004C2FFF">
      <w:pPr>
        <w:spacing w:line="360" w:lineRule="auto"/>
        <w:rPr>
          <w:rFonts w:ascii="Times New Roman" w:eastAsia="Times New Roman" w:hAnsi="Times New Roman" w:cs="Times New Roman"/>
          <w:sz w:val="24"/>
          <w:szCs w:val="24"/>
        </w:rPr>
        <w:sectPr w:rsidR="004C2FFF">
          <w:type w:val="continuous"/>
          <w:pgSz w:w="12240" w:h="15840"/>
          <w:pgMar w:top="1440" w:right="1440" w:bottom="1440" w:left="1440" w:header="720" w:footer="720" w:gutter="0"/>
          <w:cols w:num="2" w:space="720" w:equalWidth="0">
            <w:col w:w="4320" w:space="720"/>
            <w:col w:w="4320" w:space="0"/>
          </w:cols>
        </w:sectPr>
      </w:pP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Mapa 1:</w:t>
      </w:r>
      <w:r>
        <w:rPr>
          <w:rFonts w:ascii="Times New Roman" w:eastAsia="Times New Roman" w:hAnsi="Times New Roman" w:cs="Times New Roman"/>
          <w:sz w:val="24"/>
          <w:szCs w:val="24"/>
        </w:rPr>
        <w:t xml:space="preserve"> Mreža predloženih Emerald područja u Crnoj Gori: </w:t>
      </w:r>
      <w:r>
        <w:rPr>
          <w:rFonts w:ascii="Times New Roman" w:eastAsia="Times New Roman" w:hAnsi="Times New Roman" w:cs="Times New Roman"/>
          <w:i/>
          <w:iCs/>
          <w:sz w:val="24"/>
          <w:szCs w:val="24"/>
        </w:rPr>
        <w:t>1. Kotorsko-risanski zaliv, 2. Platamuni, 3. Ostrvo Katići sa Donkova i Velja seka, 4. Tivatska solila, 5. Buljarica, 6. Brdo spas, 7. Plaža Pećin, 8. Orijen, 9. Lovćen,10.Rumija, 11. Velika plaza,12.Rijeka Bojana, 13.Skadarsko jezero,14.Ćemovsko polje,15.</w:t>
      </w:r>
      <w:r>
        <w:rPr>
          <w:rFonts w:ascii="Times New Roman" w:eastAsia="Times New Roman" w:hAnsi="Times New Roman" w:cs="Times New Roman"/>
          <w:i/>
          <w:iCs/>
          <w:sz w:val="24"/>
          <w:szCs w:val="24"/>
        </w:rPr>
        <w:t>Đalovića klisura,16.Cijevna, 17. Mala Rijeka,19.Komarnica, 20. Ostatak kanjona Pive, 21. Golija i Ledednica, 22. Komovi, 23. Durmitor, 24. Bjelasica, 25. Visitor i Zeletin, 26. Prokletije, 27. Hajla, 28. Snjiajevina, 29.Maglić, Volujak i Bioč, 30.Ljubišnja</w:t>
      </w:r>
      <w:r>
        <w:rPr>
          <w:rFonts w:ascii="Times New Roman" w:eastAsia="Times New Roman" w:hAnsi="Times New Roman" w:cs="Times New Roman"/>
          <w:i/>
          <w:iCs/>
          <w:sz w:val="24"/>
          <w:szCs w:val="24"/>
        </w:rPr>
        <w:t>, 31. Dolina rijeke Ćehotine, 32. Dolina Lima</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IPA (Important Plants Area) i IBA (Important Birds Area) projekti u fokusu su imali određene grupe organizama – biljke i ptice. U Crnoj Gori su identifikovana 22 područja posebno značajna za biljke i pet područ</w:t>
      </w:r>
      <w:r>
        <w:rPr>
          <w:rFonts w:ascii="Times New Roman" w:eastAsia="Times New Roman" w:hAnsi="Times New Roman" w:cs="Times New Roman"/>
          <w:sz w:val="24"/>
          <w:szCs w:val="24"/>
        </w:rPr>
        <w:t>ja od izuzetnog značaja za ptice.</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Od 2017. godine, u okviru nekoliko međunardonih projekata ali i izdvajanjem sredstava iz državnog budžeta, vrše se sistematska istraživanja vrsta i kartiranje staništa.  Organizovano je nekoliko obuka za kartiranje staništ</w:t>
      </w:r>
      <w:r>
        <w:rPr>
          <w:rFonts w:ascii="Times New Roman" w:eastAsia="Times New Roman" w:hAnsi="Times New Roman" w:cs="Times New Roman"/>
          <w:sz w:val="24"/>
          <w:szCs w:val="24"/>
        </w:rPr>
        <w:t>a i za sakupljanje podataka o vrstama, tako da su ekspertski kapaciteti za rad na implementaciji Direktive o staništima značajno ojačani. Zaključno sa terenskom sezonom 2025.godine završeno je kartiranje staništa. U narednom periodu obaviće se analiza i ob</w:t>
      </w:r>
      <w:r>
        <w:rPr>
          <w:rFonts w:ascii="Times New Roman" w:eastAsia="Times New Roman" w:hAnsi="Times New Roman" w:cs="Times New Roman"/>
          <w:sz w:val="24"/>
          <w:szCs w:val="24"/>
        </w:rPr>
        <w:t>rada podataka, kako bi se predložila područja NATURA 2000 mreže u Crnoj Gori.</w:t>
      </w:r>
    </w:p>
    <w:p w:rsidR="004C2FFF" w:rsidRDefault="00953E6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Očuvanje genetičkih resursa</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Očuvanje genetičkih resursa veoma je važno za dugoročnu održivost poljoprivrede i zaštitu kompletnog biodiverziteta. Sa aspekta zaštite agrobiodiverzi</w:t>
      </w:r>
      <w:r>
        <w:rPr>
          <w:rFonts w:ascii="Times New Roman" w:eastAsia="Times New Roman" w:hAnsi="Times New Roman" w:cs="Times New Roman"/>
          <w:sz w:val="24"/>
          <w:szCs w:val="24"/>
        </w:rPr>
        <w:t>teta značajno je očuvanje starih sorti biljaka, autohtonih rasa domaćih životinja, divljih srodnika kultivisanih vrsta. Značajno je očuvanje genetičkog diverziteta nativne flore i faune, uz fokus na stenoendemične biljke i životinje čiji ukupni svjetski ge</w:t>
      </w:r>
      <w:r>
        <w:rPr>
          <w:rFonts w:ascii="Times New Roman" w:eastAsia="Times New Roman" w:hAnsi="Times New Roman" w:cs="Times New Roman"/>
          <w:sz w:val="24"/>
          <w:szCs w:val="24"/>
        </w:rPr>
        <w:t xml:space="preserve">nofond je vezan za Crnu Goru. Dosadašnja istraživanja pokazuju da Crna Gora ima bogat genofond agrobiodiverziteta. Značajem se ističe i očuvanje genofonda endemičnih vrsta, posebno lokalnih stenoendema. </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 Biotehničkom institutu je 2004. godine osnovana b</w:t>
      </w:r>
      <w:r>
        <w:rPr>
          <w:rFonts w:ascii="Times New Roman" w:eastAsia="Times New Roman" w:hAnsi="Times New Roman" w:cs="Times New Roman"/>
          <w:sz w:val="24"/>
          <w:szCs w:val="24"/>
        </w:rPr>
        <w:t>anka gena. U banci postoje sledeće kolekcije: žita i kukuruz (oko 280 uzoraka), ljekovito i aromatično bilje (11 uzoraka pelima), povrće (oko 60 uzoraka), voće (suptropsko, kontinentalno – oko 60 uzoraka jabuka i 15 uzoraka šljiva), vinova loza), industrij</w:t>
      </w:r>
      <w:r>
        <w:rPr>
          <w:rFonts w:ascii="Times New Roman" w:eastAsia="Times New Roman" w:hAnsi="Times New Roman" w:cs="Times New Roman"/>
          <w:sz w:val="24"/>
          <w:szCs w:val="24"/>
        </w:rPr>
        <w:t>ske biljke (oko 50 uzoraka krompira), krmno bilje (oko 40 uzoraka). Crnogorska banka biljnih gena posjeduje jednu od najbogatijih kolekcija domaćih, odomaćenih i introdukovanih sorti vinove loze na Balkanu. Broji oko 410 uzoraka. Prethodno nevedni uzorci d</w:t>
      </w:r>
      <w:r>
        <w:rPr>
          <w:rFonts w:ascii="Times New Roman" w:eastAsia="Times New Roman" w:hAnsi="Times New Roman" w:cs="Times New Roman"/>
          <w:sz w:val="24"/>
          <w:szCs w:val="24"/>
        </w:rPr>
        <w:t xml:space="preserve">ominantno su sakupljeni u okviru SEEDNET </w:t>
      </w:r>
      <w:r>
        <w:rPr>
          <w:rFonts w:ascii="Times New Roman" w:eastAsia="Times New Roman" w:hAnsi="Times New Roman" w:cs="Times New Roman"/>
          <w:i/>
          <w:iCs/>
          <w:sz w:val="24"/>
          <w:szCs w:val="24"/>
        </w:rPr>
        <w:t>(Mreža razvoja biljnih genetičkih resursa za Jugo-istočnu Evropu)</w:t>
      </w:r>
      <w:r>
        <w:rPr>
          <w:rFonts w:ascii="Times New Roman" w:eastAsia="Times New Roman" w:hAnsi="Times New Roman" w:cs="Times New Roman"/>
          <w:sz w:val="24"/>
          <w:szCs w:val="24"/>
        </w:rPr>
        <w:t xml:space="preserve"> projekta realizovanog u periodu 2004 – 2011. godine.  Od 2024. godine (do 2027.) realizuje se projaket „Biljni geni, vrste i zajednice“, finansiran o</w:t>
      </w:r>
      <w:r>
        <w:rPr>
          <w:rFonts w:ascii="Times New Roman" w:eastAsia="Times New Roman" w:hAnsi="Times New Roman" w:cs="Times New Roman"/>
          <w:sz w:val="24"/>
          <w:szCs w:val="24"/>
        </w:rPr>
        <w:t>d strane Ministarstva nauke Crne Gore, kome je jedan od ciljeva skupljanje uzoraka za banku genu. Dosadašnji rezultati ovog projekta su: 1. prikupljeno je 48 novih i obnovljeno 5 postojećih uzoraka starih sorti poljoprivrednih biljaka gajenih u mediteransk</w:t>
      </w:r>
      <w:r>
        <w:rPr>
          <w:rFonts w:ascii="Times New Roman" w:eastAsia="Times New Roman" w:hAnsi="Times New Roman" w:cs="Times New Roman"/>
          <w:sz w:val="24"/>
          <w:szCs w:val="24"/>
        </w:rPr>
        <w:t xml:space="preserve">om, kontinentalnom i planinskom dijelu Crne Gore, 2. sprovedena je regeneracija 91 populacije pšenice i 4 lokalne sorte krompira, 3. Izvršena je inventarizacija i sakupljanje divljih srodnika gajenih biljaka iz rodova </w:t>
      </w:r>
      <w:r>
        <w:rPr>
          <w:rFonts w:ascii="Times New Roman" w:eastAsia="Times New Roman" w:hAnsi="Times New Roman" w:cs="Times New Roman"/>
          <w:i/>
          <w:iCs/>
          <w:sz w:val="24"/>
          <w:szCs w:val="24"/>
        </w:rPr>
        <w:t>Avena, Aegilops, Hordeum, Medicago i L</w:t>
      </w:r>
      <w:r>
        <w:rPr>
          <w:rFonts w:ascii="Times New Roman" w:eastAsia="Times New Roman" w:hAnsi="Times New Roman" w:cs="Times New Roman"/>
          <w:i/>
          <w:iCs/>
          <w:sz w:val="24"/>
          <w:szCs w:val="24"/>
        </w:rPr>
        <w:t xml:space="preserve">inum, </w:t>
      </w:r>
      <w:r>
        <w:rPr>
          <w:rFonts w:ascii="Times New Roman" w:eastAsia="Times New Roman" w:hAnsi="Times New Roman" w:cs="Times New Roman"/>
          <w:sz w:val="24"/>
          <w:szCs w:val="24"/>
        </w:rPr>
        <w:t xml:space="preserve">4. Prikupljeno je sjeme 25 biljnih vrsta, </w:t>
      </w:r>
      <w:r>
        <w:rPr>
          <w:rFonts w:ascii="Times New Roman" w:eastAsia="Times New Roman" w:hAnsi="Times New Roman" w:cs="Times New Roman"/>
          <w:sz w:val="24"/>
          <w:szCs w:val="24"/>
        </w:rPr>
        <w:lastRenderedPageBreak/>
        <w:t>od kojih je 16 od konzervacijskog značaja, a 9 pripada rijetkim ili ugroženim vrstama. Banka gena ima savremenu opremu, ali bi bilo potrebno povećati njene kapacitete, prostorne i stručne.</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Postoji inicijativa</w:t>
      </w:r>
      <w:r>
        <w:rPr>
          <w:rFonts w:ascii="Times New Roman" w:eastAsia="Times New Roman" w:hAnsi="Times New Roman" w:cs="Times New Roman"/>
          <w:sz w:val="24"/>
          <w:szCs w:val="24"/>
        </w:rPr>
        <w:t xml:space="preserve"> da se u okviru Crnogorske Akademije nauka i umjetnosti oformi banka sjemena divlje flore, sa fokusom na endemične vrste, posebno lokalne endeme Crne Gore. Formiranje ove banke bi bilo veoma značajno, obzirom da su u banci gena Biotehničkog instituta prior</w:t>
      </w:r>
      <w:r>
        <w:rPr>
          <w:rFonts w:ascii="Times New Roman" w:eastAsia="Times New Roman" w:hAnsi="Times New Roman" w:cs="Times New Roman"/>
          <w:sz w:val="24"/>
          <w:szCs w:val="24"/>
        </w:rPr>
        <w:t>itetne vrste poljoprivredne kulture i njihovi divlji srodnici. Značajno je da Crnogorska Akademija nauka ima prostorni kapacitet za banku sjemena.</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Zbog modernizacije poljoprivrede i napuštanja sela brojnost populacija autohtonih rasa domaćih životinja opad</w:t>
      </w:r>
      <w:r>
        <w:rPr>
          <w:rFonts w:ascii="Times New Roman" w:eastAsia="Times New Roman" w:hAnsi="Times New Roman" w:cs="Times New Roman"/>
          <w:sz w:val="24"/>
          <w:szCs w:val="24"/>
        </w:rPr>
        <w:t xml:space="preserve">a poslednjih decenija u svim dijelovima Crne Gore. Ministarstvo poljoprivrede, šumarstva i vodoprivrede realizuje program podrške očuvanju autohtonih genetičkih resursa u poljoprivredi. Analize pokazuju da ova podrška daje rezultate, tako da je zabilježen </w:t>
      </w:r>
      <w:r>
        <w:rPr>
          <w:rFonts w:ascii="Times New Roman" w:eastAsia="Times New Roman" w:hAnsi="Times New Roman" w:cs="Times New Roman"/>
          <w:sz w:val="24"/>
          <w:szCs w:val="24"/>
        </w:rPr>
        <w:t>porast populacija buše, zetske žuje i piperske.</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 očuvanje genetičkog fitodiverziteta velki značaj imaju stare šume, određeni spomenici prirode (14 monumentalnih stabala, Botanička bašta planinske flore u Dulovini u Kolašinu, Botanička bašta planinske flo</w:t>
      </w:r>
      <w:r>
        <w:rPr>
          <w:rFonts w:ascii="Times New Roman" w:eastAsia="Times New Roman" w:hAnsi="Times New Roman" w:cs="Times New Roman"/>
          <w:sz w:val="24"/>
          <w:szCs w:val="24"/>
        </w:rPr>
        <w:t>re u Brezojevicama u blizini Plava i Arboretum generala Voja Kovačevića u Grahovu) i sjemenske sastojine drvenastih vrsta. U Crnoj Gori je registrovano 16 sjemenskih sastojina, u kojima je zastupljeno više ekološki i ekonomski značajnih vrsta, kao što su b</w:t>
      </w:r>
      <w:r>
        <w:rPr>
          <w:rFonts w:ascii="Times New Roman" w:eastAsia="Times New Roman" w:hAnsi="Times New Roman" w:cs="Times New Roman"/>
          <w:sz w:val="24"/>
          <w:szCs w:val="24"/>
        </w:rPr>
        <w:t>ukva (</w:t>
      </w:r>
      <w:r>
        <w:rPr>
          <w:rFonts w:ascii="Times New Roman" w:eastAsia="Times New Roman" w:hAnsi="Times New Roman" w:cs="Times New Roman"/>
          <w:i/>
          <w:iCs/>
          <w:sz w:val="24"/>
          <w:szCs w:val="24"/>
        </w:rPr>
        <w:t>Fagus sylvatica</w:t>
      </w:r>
      <w:r>
        <w:rPr>
          <w:rFonts w:ascii="Times New Roman" w:eastAsia="Times New Roman" w:hAnsi="Times New Roman" w:cs="Times New Roman"/>
          <w:sz w:val="24"/>
          <w:szCs w:val="24"/>
        </w:rPr>
        <w:t>), jela (</w:t>
      </w:r>
      <w:r>
        <w:rPr>
          <w:rFonts w:ascii="Times New Roman" w:eastAsia="Times New Roman" w:hAnsi="Times New Roman" w:cs="Times New Roman"/>
          <w:i/>
          <w:iCs/>
          <w:sz w:val="24"/>
          <w:szCs w:val="24"/>
        </w:rPr>
        <w:t>Abies alba</w:t>
      </w:r>
      <w:r>
        <w:rPr>
          <w:rFonts w:ascii="Times New Roman" w:eastAsia="Times New Roman" w:hAnsi="Times New Roman" w:cs="Times New Roman"/>
          <w:sz w:val="24"/>
          <w:szCs w:val="24"/>
        </w:rPr>
        <w:t>), smrča (</w:t>
      </w:r>
      <w:r>
        <w:rPr>
          <w:rFonts w:ascii="Times New Roman" w:eastAsia="Times New Roman" w:hAnsi="Times New Roman" w:cs="Times New Roman"/>
          <w:i/>
          <w:iCs/>
          <w:sz w:val="24"/>
          <w:szCs w:val="24"/>
        </w:rPr>
        <w:t>Picea abies</w:t>
      </w:r>
      <w:r>
        <w:rPr>
          <w:rFonts w:ascii="Times New Roman" w:eastAsia="Times New Roman" w:hAnsi="Times New Roman" w:cs="Times New Roman"/>
          <w:sz w:val="24"/>
          <w:szCs w:val="24"/>
        </w:rPr>
        <w:t>), crni bor (</w:t>
      </w:r>
      <w:r>
        <w:rPr>
          <w:rFonts w:ascii="Times New Roman" w:eastAsia="Times New Roman" w:hAnsi="Times New Roman" w:cs="Times New Roman"/>
          <w:i/>
          <w:iCs/>
          <w:sz w:val="24"/>
          <w:szCs w:val="24"/>
        </w:rPr>
        <w:t>Pinus nigra</w:t>
      </w:r>
      <w:r>
        <w:rPr>
          <w:rFonts w:ascii="Times New Roman" w:eastAsia="Times New Roman" w:hAnsi="Times New Roman" w:cs="Times New Roman"/>
          <w:sz w:val="24"/>
          <w:szCs w:val="24"/>
        </w:rPr>
        <w:t>), bijeli bor (</w:t>
      </w:r>
      <w:r>
        <w:rPr>
          <w:rFonts w:ascii="Times New Roman" w:eastAsia="Times New Roman" w:hAnsi="Times New Roman" w:cs="Times New Roman"/>
          <w:i/>
          <w:iCs/>
          <w:sz w:val="24"/>
          <w:szCs w:val="24"/>
        </w:rPr>
        <w:t>Pinus sylvestris</w:t>
      </w:r>
      <w:r>
        <w:rPr>
          <w:rFonts w:ascii="Times New Roman" w:eastAsia="Times New Roman" w:hAnsi="Times New Roman" w:cs="Times New Roman"/>
          <w:sz w:val="24"/>
          <w:szCs w:val="24"/>
        </w:rPr>
        <w:t>), munika (</w:t>
      </w:r>
      <w:r>
        <w:rPr>
          <w:rFonts w:ascii="Times New Roman" w:eastAsia="Times New Roman" w:hAnsi="Times New Roman" w:cs="Times New Roman"/>
          <w:i/>
          <w:iCs/>
          <w:sz w:val="24"/>
          <w:szCs w:val="24"/>
        </w:rPr>
        <w:t>Pinus heldreichii</w:t>
      </w:r>
      <w:r>
        <w:rPr>
          <w:rFonts w:ascii="Times New Roman" w:eastAsia="Times New Roman" w:hAnsi="Times New Roman" w:cs="Times New Roman"/>
          <w:sz w:val="24"/>
          <w:szCs w:val="24"/>
        </w:rPr>
        <w:t>). Ove sastojine predstavljaju vrijedan genetički resurs, jer čuvaju lokalno adaptirane genotipove koji su rezul</w:t>
      </w:r>
      <w:r>
        <w:rPr>
          <w:rFonts w:ascii="Times New Roman" w:eastAsia="Times New Roman" w:hAnsi="Times New Roman" w:cs="Times New Roman"/>
          <w:sz w:val="24"/>
          <w:szCs w:val="24"/>
        </w:rPr>
        <w:t xml:space="preserve">tat dugotrajne evolucije i prilagođavanja specifičnim klimatskim i edafskim uslovima. Značaj sjemenskih sastojina je posebno izražen u kontekstu obnove šuma, pošumljavanja i adaptacije šumskih ekosistema na klimatske promjene. Korišćenjem sjemena poznatog </w:t>
      </w:r>
      <w:r>
        <w:rPr>
          <w:rFonts w:ascii="Times New Roman" w:eastAsia="Times New Roman" w:hAnsi="Times New Roman" w:cs="Times New Roman"/>
          <w:sz w:val="24"/>
          <w:szCs w:val="24"/>
        </w:rPr>
        <w:t>i provjerenog porijekla smanjuje se rizik od unošenja genetički neadekvatnog materijala, čime se obezbjeđuje stabilnost i dugoročna održivost šumskih ekosistema.</w:t>
      </w:r>
    </w:p>
    <w:p w:rsidR="004C2FFF" w:rsidRDefault="004C2FFF">
      <w:pPr>
        <w:spacing w:line="360" w:lineRule="auto"/>
        <w:rPr>
          <w:rFonts w:ascii="Times New Roman" w:eastAsia="Times New Roman" w:hAnsi="Times New Roman" w:cs="Times New Roman"/>
          <w:sz w:val="24"/>
          <w:szCs w:val="24"/>
        </w:rPr>
      </w:pPr>
    </w:p>
    <w:p w:rsidR="004C2FFF" w:rsidRDefault="004C2FFF">
      <w:pPr>
        <w:spacing w:line="360" w:lineRule="auto"/>
        <w:rPr>
          <w:rFonts w:ascii="Times New Roman" w:eastAsia="Times New Roman" w:hAnsi="Times New Roman" w:cs="Times New Roman"/>
          <w:sz w:val="24"/>
          <w:szCs w:val="24"/>
        </w:rPr>
      </w:pPr>
    </w:p>
    <w:p w:rsidR="004C2FFF" w:rsidRDefault="00953E6C">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3.  Analiza pritisaka i prijetnji </w:t>
      </w:r>
    </w:p>
    <w:p w:rsidR="004C2FFF" w:rsidRDefault="00953E6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Urbanizacija</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Urbanizacija ima veoma negativan uticaj na biodiverzitet i prirodu u cjelini, jer podrazumjeva ireverzibilni gubitak prirodnih staništa. Posebno su pogođene biljke čije se populacije direktno uništavaju. Istraživanja su pokazala da se ilegalna i loše plani</w:t>
      </w:r>
      <w:r>
        <w:rPr>
          <w:rFonts w:ascii="Times New Roman" w:eastAsia="Times New Roman" w:hAnsi="Times New Roman" w:cs="Times New Roman"/>
          <w:sz w:val="24"/>
          <w:szCs w:val="24"/>
        </w:rPr>
        <w:t xml:space="preserve">rana (prekomjerna) urbanizacija nalaze na vrhu liste antropogenih faktora koji ugrožavaju biodiverzitet u Crnoj Gori. Pored toga, izražen negativni uticaj postoji i tokom legalne i planirane gradnje, zbog nepoštovanja mjera koje su u Procjenama uticaja na </w:t>
      </w:r>
      <w:r>
        <w:rPr>
          <w:rFonts w:ascii="Times New Roman" w:eastAsia="Times New Roman" w:hAnsi="Times New Roman" w:cs="Times New Roman"/>
          <w:sz w:val="24"/>
          <w:szCs w:val="24"/>
        </w:rPr>
        <w:t xml:space="preserve">životnu sredinu predviđene za smanjenje uticaja na biodiverzitet i životnu sredinu. Najveći pritisak od urbanizacije postoji u primorskoj oblasti, gdje su neke vrste i staništa zbog ovog pritiska kritično ugroženi. Najugroženije su obalne dine i sve vrste </w:t>
      </w:r>
      <w:r>
        <w:rPr>
          <w:rFonts w:ascii="Times New Roman" w:eastAsia="Times New Roman" w:hAnsi="Times New Roman" w:cs="Times New Roman"/>
          <w:sz w:val="24"/>
          <w:szCs w:val="24"/>
        </w:rPr>
        <w:t>koje su vezane za ova staništa (</w:t>
      </w:r>
      <w:r>
        <w:rPr>
          <w:rFonts w:ascii="Times New Roman" w:eastAsia="Times New Roman" w:hAnsi="Times New Roman" w:cs="Times New Roman"/>
          <w:i/>
          <w:iCs/>
          <w:sz w:val="24"/>
          <w:szCs w:val="24"/>
        </w:rPr>
        <w:t xml:space="preserve">Euphorbia paralias, E. terracina, Amophila arenaria, Calystegia soldanella itd. </w:t>
      </w:r>
      <w:r>
        <w:rPr>
          <w:rFonts w:ascii="Times New Roman" w:eastAsia="Times New Roman" w:hAnsi="Times New Roman" w:cs="Times New Roman"/>
          <w:sz w:val="24"/>
          <w:szCs w:val="24"/>
        </w:rPr>
        <w:t>). Ilegalna urbanizacija bilježi se i u zaštićenim područijima.</w:t>
      </w:r>
    </w:p>
    <w:p w:rsidR="004C2FFF" w:rsidRDefault="00953E6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Invazivne vrste</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 Preliminarnoj listi invazivnih biljnih vrsta Crne Gore nalazi se 51 takson, ali je od perioda objavljivanja liste (2010, 2013) otkriveno preko 10 alohtonih biljaka sa invazivnim potencijalom. U Crnoj Gori su prisutne i dvije vrste sa evropske crne liste</w:t>
      </w:r>
      <w:r>
        <w:rPr>
          <w:rFonts w:ascii="Times New Roman" w:eastAsia="Times New Roman" w:hAnsi="Times New Roman" w:cs="Times New Roman"/>
          <w:sz w:val="24"/>
          <w:szCs w:val="24"/>
        </w:rPr>
        <w:t xml:space="preserve"> invazivnih biljaka: pajasen (</w:t>
      </w:r>
      <w:r>
        <w:rPr>
          <w:rFonts w:ascii="Times New Roman" w:eastAsia="Times New Roman" w:hAnsi="Times New Roman" w:cs="Times New Roman"/>
          <w:i/>
          <w:iCs/>
          <w:sz w:val="24"/>
          <w:szCs w:val="24"/>
        </w:rPr>
        <w:t>Ailanthus altissima</w:t>
      </w:r>
      <w:r>
        <w:rPr>
          <w:rFonts w:ascii="Times New Roman" w:eastAsia="Times New Roman" w:hAnsi="Times New Roman" w:cs="Times New Roman"/>
          <w:sz w:val="24"/>
          <w:szCs w:val="24"/>
        </w:rPr>
        <w:t>) i cigansko perje ili divlji duvan (</w:t>
      </w:r>
      <w:r>
        <w:rPr>
          <w:rFonts w:ascii="Times New Roman" w:eastAsia="Times New Roman" w:hAnsi="Times New Roman" w:cs="Times New Roman"/>
          <w:i/>
          <w:iCs/>
          <w:sz w:val="24"/>
          <w:szCs w:val="24"/>
        </w:rPr>
        <w:t>Asclepias syriaca</w:t>
      </w:r>
      <w:r>
        <w:rPr>
          <w:rFonts w:ascii="Times New Roman" w:eastAsia="Times New Roman" w:hAnsi="Times New Roman" w:cs="Times New Roman"/>
          <w:sz w:val="24"/>
          <w:szCs w:val="24"/>
        </w:rPr>
        <w:t xml:space="preserve">). Do sada nisu rađena sistematska istraživanja rasprostranjenja invazivnih vrsta, veličine njihovih populacija i uticaja na prirodne ekosisteme, puteva </w:t>
      </w:r>
      <w:r>
        <w:rPr>
          <w:rFonts w:ascii="Times New Roman" w:eastAsia="Times New Roman" w:hAnsi="Times New Roman" w:cs="Times New Roman"/>
          <w:sz w:val="24"/>
          <w:szCs w:val="24"/>
        </w:rPr>
        <w:t>nenamjernog unosa ovih vrsta. Na osnovu publikovanih podataka, u mediteranskom i submediteranskom dijelu države evidentiran je veći broj invazivnih vrsta u odnosu na kontinentalni i planinski dio. Invazivnošću se itiču: bagrem (</w:t>
      </w:r>
      <w:r>
        <w:rPr>
          <w:rFonts w:ascii="Times New Roman" w:eastAsia="Times New Roman" w:hAnsi="Times New Roman" w:cs="Times New Roman"/>
          <w:i/>
          <w:iCs/>
          <w:sz w:val="24"/>
          <w:szCs w:val="24"/>
        </w:rPr>
        <w:t>Robinia pseudoacacia</w:t>
      </w:r>
      <w:r>
        <w:rPr>
          <w:rFonts w:ascii="Times New Roman" w:eastAsia="Times New Roman" w:hAnsi="Times New Roman" w:cs="Times New Roman"/>
          <w:sz w:val="24"/>
          <w:szCs w:val="24"/>
        </w:rPr>
        <w:t>), kisel</w:t>
      </w:r>
      <w:r>
        <w:rPr>
          <w:rFonts w:ascii="Times New Roman" w:eastAsia="Times New Roman" w:hAnsi="Times New Roman" w:cs="Times New Roman"/>
          <w:sz w:val="24"/>
          <w:szCs w:val="24"/>
        </w:rPr>
        <w:t>jak (</w:t>
      </w:r>
      <w:r>
        <w:rPr>
          <w:rFonts w:ascii="Times New Roman" w:eastAsia="Times New Roman" w:hAnsi="Times New Roman" w:cs="Times New Roman"/>
          <w:i/>
          <w:iCs/>
          <w:sz w:val="24"/>
          <w:szCs w:val="24"/>
        </w:rPr>
        <w:t>Ailanthus altissima</w:t>
      </w:r>
      <w:r>
        <w:rPr>
          <w:rFonts w:ascii="Times New Roman" w:eastAsia="Times New Roman" w:hAnsi="Times New Roman" w:cs="Times New Roman"/>
          <w:sz w:val="24"/>
          <w:szCs w:val="24"/>
        </w:rPr>
        <w:t>) i bagremovac (</w:t>
      </w:r>
      <w:r>
        <w:rPr>
          <w:rFonts w:ascii="Times New Roman" w:eastAsia="Times New Roman" w:hAnsi="Times New Roman" w:cs="Times New Roman"/>
          <w:i/>
          <w:iCs/>
          <w:sz w:val="24"/>
          <w:szCs w:val="24"/>
        </w:rPr>
        <w:t>Amorpha fruticosa</w:t>
      </w:r>
      <w:r>
        <w:rPr>
          <w:rFonts w:ascii="Times New Roman" w:eastAsia="Times New Roman" w:hAnsi="Times New Roman" w:cs="Times New Roman"/>
          <w:sz w:val="24"/>
          <w:szCs w:val="24"/>
        </w:rPr>
        <w:t>). Među zeljastim biljkama veliki invazivni potencijal ima ambrozija (</w:t>
      </w:r>
      <w:r>
        <w:rPr>
          <w:rFonts w:ascii="Times New Roman" w:eastAsia="Times New Roman" w:hAnsi="Times New Roman" w:cs="Times New Roman"/>
          <w:i/>
          <w:iCs/>
          <w:sz w:val="24"/>
          <w:szCs w:val="24"/>
        </w:rPr>
        <w:t>Amrosia artemisifolia</w:t>
      </w:r>
      <w:r>
        <w:rPr>
          <w:rFonts w:ascii="Times New Roman" w:eastAsia="Times New Roman" w:hAnsi="Times New Roman" w:cs="Times New Roman"/>
          <w:sz w:val="24"/>
          <w:szCs w:val="24"/>
        </w:rPr>
        <w:t>), koja se nalazi u samom vrhu liste opasnih alergogenih biljaka. Rapidno povećavanje populacije je evidenti</w:t>
      </w:r>
      <w:r>
        <w:rPr>
          <w:rFonts w:ascii="Times New Roman" w:eastAsia="Times New Roman" w:hAnsi="Times New Roman" w:cs="Times New Roman"/>
          <w:sz w:val="24"/>
          <w:szCs w:val="24"/>
        </w:rPr>
        <w:t>rano u Parku prirode „Zeta“. U Nacionalnom parku Skadarsko jezero je poslednjih godina došlo do naglog širenja i povećavanja populacije bagremovca (</w:t>
      </w:r>
      <w:r>
        <w:rPr>
          <w:rFonts w:ascii="Times New Roman" w:eastAsia="Times New Roman" w:hAnsi="Times New Roman" w:cs="Times New Roman"/>
          <w:i/>
          <w:iCs/>
          <w:sz w:val="24"/>
          <w:szCs w:val="24"/>
        </w:rPr>
        <w:t>Amorpha fruticosa</w:t>
      </w:r>
      <w:r>
        <w:rPr>
          <w:rFonts w:ascii="Times New Roman" w:eastAsia="Times New Roman" w:hAnsi="Times New Roman" w:cs="Times New Roman"/>
          <w:sz w:val="24"/>
          <w:szCs w:val="24"/>
        </w:rPr>
        <w:t>). U ovom nacionalnom parku zabilježene su i dvije invazivne vodene biljke velikog reproduk</w:t>
      </w:r>
      <w:r>
        <w:rPr>
          <w:rFonts w:ascii="Times New Roman" w:eastAsia="Times New Roman" w:hAnsi="Times New Roman" w:cs="Times New Roman"/>
          <w:sz w:val="24"/>
          <w:szCs w:val="24"/>
        </w:rPr>
        <w:t xml:space="preserve">tivnog potencijala: </w:t>
      </w:r>
      <w:r>
        <w:rPr>
          <w:rFonts w:ascii="Times New Roman" w:eastAsia="Times New Roman" w:hAnsi="Times New Roman" w:cs="Times New Roman"/>
          <w:i/>
          <w:iCs/>
          <w:sz w:val="24"/>
          <w:szCs w:val="24"/>
        </w:rPr>
        <w:t>Egeria densa</w:t>
      </w:r>
      <w:r>
        <w:rPr>
          <w:rFonts w:ascii="Times New Roman" w:eastAsia="Times New Roman" w:hAnsi="Times New Roman" w:cs="Times New Roman"/>
          <w:sz w:val="24"/>
          <w:szCs w:val="24"/>
        </w:rPr>
        <w:t xml:space="preserve"> (brazilska vodena trava, vodena kuga) i </w:t>
      </w:r>
      <w:r>
        <w:rPr>
          <w:rFonts w:ascii="Times New Roman" w:eastAsia="Times New Roman" w:hAnsi="Times New Roman" w:cs="Times New Roman"/>
          <w:i/>
          <w:iCs/>
          <w:sz w:val="24"/>
          <w:szCs w:val="24"/>
        </w:rPr>
        <w:t>Elodea canadensis</w:t>
      </w:r>
      <w:r>
        <w:rPr>
          <w:rFonts w:ascii="Times New Roman" w:eastAsia="Times New Roman" w:hAnsi="Times New Roman" w:cs="Times New Roman"/>
          <w:sz w:val="24"/>
          <w:szCs w:val="24"/>
        </w:rPr>
        <w:t xml:space="preserve">. Vodena kuga je prvi put zabilježena 2018.godine na Plavnici, a monitoring koji je vršen do 2025.godine pokazuje intezivno širenje i povećavanje populacije vrste. </w:t>
      </w:r>
      <w:r>
        <w:rPr>
          <w:rFonts w:ascii="Times New Roman" w:eastAsia="Times New Roman" w:hAnsi="Times New Roman" w:cs="Times New Roman"/>
          <w:i/>
          <w:iCs/>
          <w:sz w:val="24"/>
          <w:szCs w:val="24"/>
        </w:rPr>
        <w:t>El</w:t>
      </w:r>
      <w:r>
        <w:rPr>
          <w:rFonts w:ascii="Times New Roman" w:eastAsia="Times New Roman" w:hAnsi="Times New Roman" w:cs="Times New Roman"/>
          <w:i/>
          <w:iCs/>
          <w:sz w:val="24"/>
          <w:szCs w:val="24"/>
        </w:rPr>
        <w:t>odea canadensis</w:t>
      </w:r>
      <w:r>
        <w:rPr>
          <w:rFonts w:ascii="Times New Roman" w:eastAsia="Times New Roman" w:hAnsi="Times New Roman" w:cs="Times New Roman"/>
          <w:sz w:val="24"/>
          <w:szCs w:val="24"/>
        </w:rPr>
        <w:t xml:space="preserve"> je prvi put zabilježena 2023. godine i za sad nije zabilježeno intezivno širenje. Velika plaža je takođe prepoznata kao zona </w:t>
      </w:r>
      <w:r>
        <w:rPr>
          <w:rFonts w:ascii="Times New Roman" w:eastAsia="Times New Roman" w:hAnsi="Times New Roman" w:cs="Times New Roman"/>
          <w:sz w:val="24"/>
          <w:szCs w:val="24"/>
        </w:rPr>
        <w:lastRenderedPageBreak/>
        <w:t>intezivnog širenja i namnožavanja invazivnih biljaka. Od morskih autotrofnih organizama, izražen negativan uticaj n</w:t>
      </w:r>
      <w:r>
        <w:rPr>
          <w:rFonts w:ascii="Times New Roman" w:eastAsia="Times New Roman" w:hAnsi="Times New Roman" w:cs="Times New Roman"/>
          <w:sz w:val="24"/>
          <w:szCs w:val="24"/>
        </w:rPr>
        <w:t>a autohtone ekosisteme ima alga kaulerpa.</w:t>
      </w:r>
    </w:p>
    <w:p w:rsidR="004C2FFF" w:rsidRDefault="00953E6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Do sada je realizovano nekoliko jednokratnih akcija uklanjanja invazivnih vrsta: bagrem (</w:t>
      </w:r>
      <w:r>
        <w:rPr>
          <w:rFonts w:ascii="Times New Roman" w:eastAsia="Times New Roman" w:hAnsi="Times New Roman" w:cs="Times New Roman"/>
          <w:i/>
          <w:iCs/>
          <w:sz w:val="24"/>
          <w:szCs w:val="24"/>
        </w:rPr>
        <w:t>Robinia pseudaccacia</w:t>
      </w:r>
      <w:r>
        <w:rPr>
          <w:rFonts w:ascii="Times New Roman" w:eastAsia="Times New Roman" w:hAnsi="Times New Roman" w:cs="Times New Roman"/>
          <w:sz w:val="24"/>
          <w:szCs w:val="24"/>
        </w:rPr>
        <w:t>) sa Gorice (Podgorica), amrozija (</w:t>
      </w:r>
      <w:r>
        <w:rPr>
          <w:rFonts w:ascii="Times New Roman" w:eastAsia="Times New Roman" w:hAnsi="Times New Roman" w:cs="Times New Roman"/>
          <w:i/>
          <w:iCs/>
          <w:sz w:val="24"/>
          <w:szCs w:val="24"/>
        </w:rPr>
        <w:t>Ambrosia artemisifolia</w:t>
      </w:r>
      <w:r>
        <w:rPr>
          <w:rFonts w:ascii="Times New Roman" w:eastAsia="Times New Roman" w:hAnsi="Times New Roman" w:cs="Times New Roman"/>
          <w:sz w:val="24"/>
          <w:szCs w:val="24"/>
        </w:rPr>
        <w:t>) sa više lokacija u Crnoj Gori, oenotere (</w:t>
      </w:r>
      <w:r>
        <w:rPr>
          <w:rFonts w:ascii="Times New Roman" w:eastAsia="Times New Roman" w:hAnsi="Times New Roman" w:cs="Times New Roman"/>
          <w:i/>
          <w:iCs/>
          <w:sz w:val="24"/>
          <w:szCs w:val="24"/>
        </w:rPr>
        <w:t>Oento</w:t>
      </w:r>
      <w:r>
        <w:rPr>
          <w:rFonts w:ascii="Times New Roman" w:eastAsia="Times New Roman" w:hAnsi="Times New Roman" w:cs="Times New Roman"/>
          <w:i/>
          <w:iCs/>
          <w:sz w:val="24"/>
          <w:szCs w:val="24"/>
        </w:rPr>
        <w:t>hera</w:t>
      </w:r>
      <w:r>
        <w:rPr>
          <w:rFonts w:ascii="Times New Roman" w:eastAsia="Times New Roman" w:hAnsi="Times New Roman" w:cs="Times New Roman"/>
          <w:sz w:val="24"/>
          <w:szCs w:val="24"/>
        </w:rPr>
        <w:t xml:space="preserve"> sp.) sa Velike plaže. Ove akcije nisu dale dugoročne rezultate. Invazivne biljke su bile u fokusu nekoliko projekata koje su realizovale NVO u saradnji sa državnim institucijama. Glavni rezultati projekata su preporuke koje se odnose na upravljanje in</w:t>
      </w:r>
      <w:r>
        <w:rPr>
          <w:rFonts w:ascii="Times New Roman" w:eastAsia="Times New Roman" w:hAnsi="Times New Roman" w:cs="Times New Roman"/>
          <w:sz w:val="24"/>
          <w:szCs w:val="24"/>
        </w:rPr>
        <w:t>vazivnim vrstama, ali još uvijek nisu sprovedene akcije u skladu sa tim preporukama.</w:t>
      </w:r>
      <w:r>
        <w:rPr>
          <w:rFonts w:ascii="Times New Roman" w:eastAsia="Times New Roman" w:hAnsi="Times New Roman" w:cs="Times New Roman"/>
          <w:b/>
          <w:bCs/>
          <w:sz w:val="24"/>
          <w:szCs w:val="24"/>
        </w:rPr>
        <w:t xml:space="preserve"> </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Požari </w:t>
      </w:r>
    </w:p>
    <w:p w:rsidR="004C2FFF" w:rsidRDefault="00953E6C">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Požari imaju višestruko negativni uticaj na ekosistem: smrtnost životinja, direktno uništavanje vegetacije, a time i staništa životinja, promjena kvaliteta zemlji</w:t>
      </w:r>
      <w:r>
        <w:rPr>
          <w:rFonts w:ascii="Times New Roman" w:eastAsia="Times New Roman" w:hAnsi="Times New Roman" w:cs="Times New Roman"/>
          <w:sz w:val="24"/>
          <w:szCs w:val="24"/>
        </w:rPr>
        <w:t>šta i vazduha. Opožareni ekosistemi su ranjivi, osjetljivi na bolesti i prodor invazivnih vrsta. Poslednjih godina u Crnoj Gori su opožarene velike površine šuma, šikara, makije, ali i zeljastih ekosistema. Posebno je osjetljiv mediteranski i submediterans</w:t>
      </w:r>
      <w:r>
        <w:rPr>
          <w:rFonts w:ascii="Times New Roman" w:eastAsia="Times New Roman" w:hAnsi="Times New Roman" w:cs="Times New Roman"/>
          <w:sz w:val="24"/>
          <w:szCs w:val="24"/>
        </w:rPr>
        <w:t>ki dio države tokom sušnih, ljetnjih mjeseci. Požari su se javljali i u zaštićenim podurčijima (NP Durmitor, NP Lovćen, NP Skadarsko jezero) i bili aktivni po nekoliko dana. U NP Lovćen postojali su izgledi da požar ugrozi populaciju stenoendemične crnogor</w:t>
      </w:r>
      <w:r>
        <w:rPr>
          <w:rFonts w:ascii="Times New Roman" w:eastAsia="Times New Roman" w:hAnsi="Times New Roman" w:cs="Times New Roman"/>
          <w:sz w:val="24"/>
          <w:szCs w:val="24"/>
        </w:rPr>
        <w:t>ske biljke, lovćenskog zvončića (</w:t>
      </w:r>
      <w:r>
        <w:rPr>
          <w:rFonts w:ascii="Times New Roman" w:eastAsia="Times New Roman" w:hAnsi="Times New Roman" w:cs="Times New Roman"/>
          <w:i/>
          <w:iCs/>
          <w:sz w:val="24"/>
          <w:szCs w:val="24"/>
        </w:rPr>
        <w:t>Edraianthus wettsteinii</w:t>
      </w:r>
      <w:r>
        <w:rPr>
          <w:rFonts w:ascii="Times New Roman" w:eastAsia="Times New Roman" w:hAnsi="Times New Roman" w:cs="Times New Roman"/>
          <w:sz w:val="24"/>
          <w:szCs w:val="24"/>
        </w:rPr>
        <w:t xml:space="preserve"> subsp. </w:t>
      </w:r>
      <w:r>
        <w:rPr>
          <w:rFonts w:ascii="Times New Roman" w:eastAsia="Times New Roman" w:hAnsi="Times New Roman" w:cs="Times New Roman"/>
          <w:i/>
          <w:iCs/>
          <w:sz w:val="24"/>
          <w:szCs w:val="24"/>
        </w:rPr>
        <w:t>lovcenicum</w:t>
      </w:r>
      <w:r>
        <w:rPr>
          <w:rFonts w:ascii="Times New Roman" w:eastAsia="Times New Roman" w:hAnsi="Times New Roman" w:cs="Times New Roman"/>
          <w:sz w:val="24"/>
          <w:szCs w:val="24"/>
        </w:rPr>
        <w:t>). U saradnji državnih institucija i NVO realizovan je projekat, u okviru kog je na stanišu lovćenskog zvončića instalirana specifična protivpožarna oprema (kanisteri sa vodom, biora</w:t>
      </w:r>
      <w:r>
        <w:rPr>
          <w:rFonts w:ascii="Times New Roman" w:eastAsia="Times New Roman" w:hAnsi="Times New Roman" w:cs="Times New Roman"/>
          <w:sz w:val="24"/>
          <w:szCs w:val="24"/>
        </w:rPr>
        <w:t xml:space="preserve">zgradive kese). Slične preventivne mjere zaštite trebalo bi primjeniti i za još neke ugrožene vrste, za čija staništa postoji realna opasnost od izbijanja požara (npr. </w:t>
      </w:r>
      <w:r>
        <w:rPr>
          <w:rFonts w:ascii="Times New Roman" w:eastAsia="Times New Roman" w:hAnsi="Times New Roman" w:cs="Times New Roman"/>
          <w:i/>
          <w:iCs/>
          <w:sz w:val="24"/>
          <w:szCs w:val="24"/>
        </w:rPr>
        <w:t>Asperuls baldacci</w:t>
      </w:r>
      <w:r>
        <w:rPr>
          <w:rFonts w:ascii="Times New Roman" w:eastAsia="Times New Roman" w:hAnsi="Times New Roman" w:cs="Times New Roman"/>
          <w:sz w:val="24"/>
          <w:szCs w:val="24"/>
        </w:rPr>
        <w:t>, crnogorski stenoendem)</w:t>
      </w:r>
    </w:p>
    <w:p w:rsidR="004C2FFF" w:rsidRDefault="004C2FFF">
      <w:pPr>
        <w:spacing w:after="0" w:line="360" w:lineRule="auto"/>
        <w:rPr>
          <w:rFonts w:ascii="Times New Roman" w:eastAsia="Times New Roman" w:hAnsi="Times New Roman" w:cs="Times New Roman"/>
          <w:b/>
          <w:bCs/>
          <w:sz w:val="24"/>
          <w:szCs w:val="24"/>
        </w:rPr>
      </w:pPr>
    </w:p>
    <w:p w:rsidR="004C2FFF" w:rsidRDefault="00953E6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Zarastanje pašnjaka i livadskih ekositema </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paša i redovno košenje livada važni su za održavanje travnatih ekosistema. Napuštanje tradicionalnog stočarstva za posledicu ima promjenu florističkog sastava travnatih ekosistema, uz smanjenje broja tipičnih livadskih i pašnjačkih vrsta. Time se smanjuje </w:t>
      </w:r>
      <w:r>
        <w:rPr>
          <w:rFonts w:ascii="Times New Roman" w:eastAsia="Times New Roman" w:hAnsi="Times New Roman" w:cs="Times New Roman"/>
          <w:sz w:val="24"/>
          <w:szCs w:val="24"/>
        </w:rPr>
        <w:t xml:space="preserve">reprezentativnost NATURA 2000 staništa koja su vezana za ove ekosisteme. Kako vrijeme odmiče, napušteni pašnjaci i livade zarastaju, dalje sukcesija napredije i na njihovom mjestu se razvijaju šikare i </w:t>
      </w:r>
      <w:r>
        <w:rPr>
          <w:rFonts w:ascii="Times New Roman" w:eastAsia="Times New Roman" w:hAnsi="Times New Roman" w:cs="Times New Roman"/>
          <w:sz w:val="24"/>
          <w:szCs w:val="24"/>
        </w:rPr>
        <w:lastRenderedPageBreak/>
        <w:t>kasnije šume. Tokom kartiranja NTURA 2000 staništa zar</w:t>
      </w:r>
      <w:r>
        <w:rPr>
          <w:rFonts w:ascii="Times New Roman" w:eastAsia="Times New Roman" w:hAnsi="Times New Roman" w:cs="Times New Roman"/>
          <w:sz w:val="24"/>
          <w:szCs w:val="24"/>
        </w:rPr>
        <w:t>astanje travnatih ekosistema je zabilježeno u svim dijelovima države.</w:t>
      </w:r>
    </w:p>
    <w:p w:rsidR="004C2FFF" w:rsidRDefault="00953E6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Neodrživo i nekontrolisano korištenje prirodnih resursa </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Jedan od ključnih problema je prekomjerna i često neplanska sječa šuma, koja nije uvijek usklađena sa principima održivog gazdova</w:t>
      </w:r>
      <w:r>
        <w:rPr>
          <w:rFonts w:ascii="Times New Roman" w:eastAsia="Times New Roman" w:hAnsi="Times New Roman" w:cs="Times New Roman"/>
          <w:sz w:val="24"/>
          <w:szCs w:val="24"/>
        </w:rPr>
        <w:t>nja. U pojedinim područjima dolazi do sječe koja prevazilazi prirodni kapacitet obnove šumskih sastojina, što dugoročno dovodi do smanjenja drvne mase, promjene strukture šuma i smanjenja njihove stabilnosti. Poseban problem predstavlja nelegalna sječa, ko</w:t>
      </w:r>
      <w:r>
        <w:rPr>
          <w:rFonts w:ascii="Times New Roman" w:eastAsia="Times New Roman" w:hAnsi="Times New Roman" w:cs="Times New Roman"/>
          <w:sz w:val="24"/>
          <w:szCs w:val="24"/>
        </w:rPr>
        <w:t xml:space="preserve">ja je često prisutna u teško pristupačnim planinskim područjima. Ova aktivnost se odvija bez adekvatne kontrole, što dovodi do trajnog gubitka šumskog pokrivača, fragmentacije staništa i ugrožavanja biljnih i životinjskih vrsta. </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Bilježi se i sakupljanje z</w:t>
      </w:r>
      <w:r>
        <w:rPr>
          <w:rFonts w:ascii="Times New Roman" w:eastAsia="Times New Roman" w:hAnsi="Times New Roman" w:cs="Times New Roman"/>
          <w:sz w:val="24"/>
          <w:szCs w:val="24"/>
        </w:rPr>
        <w:t>aštićenih biljnih vrsta i degradacija njihovih staništa. Tako se lincura (</w:t>
      </w:r>
      <w:r>
        <w:rPr>
          <w:rFonts w:ascii="Times New Roman" w:eastAsia="Times New Roman" w:hAnsi="Times New Roman" w:cs="Times New Roman"/>
          <w:i/>
          <w:iCs/>
          <w:sz w:val="24"/>
          <w:szCs w:val="24"/>
        </w:rPr>
        <w:t>Gentiana lutea</w:t>
      </w:r>
      <w:r>
        <w:rPr>
          <w:rFonts w:ascii="Times New Roman" w:eastAsia="Times New Roman" w:hAnsi="Times New Roman" w:cs="Times New Roman"/>
          <w:sz w:val="24"/>
          <w:szCs w:val="24"/>
        </w:rPr>
        <w:t>) može naći u slobodnoj prodaji, uprkos dugogodišnjoj zaštiti. Degradacija staništa zaštićenih vrsta evidentirana je i u zaštićenim područijima, npr. stanište gospine p</w:t>
      </w:r>
      <w:r>
        <w:rPr>
          <w:rFonts w:ascii="Times New Roman" w:eastAsia="Times New Roman" w:hAnsi="Times New Roman" w:cs="Times New Roman"/>
          <w:sz w:val="24"/>
          <w:szCs w:val="24"/>
        </w:rPr>
        <w:t>apučice (</w:t>
      </w:r>
      <w:r>
        <w:rPr>
          <w:rFonts w:ascii="Times New Roman" w:eastAsia="Times New Roman" w:hAnsi="Times New Roman" w:cs="Times New Roman"/>
          <w:i/>
          <w:iCs/>
          <w:sz w:val="24"/>
          <w:szCs w:val="24"/>
        </w:rPr>
        <w:t>Cypripedium calceolus</w:t>
      </w:r>
      <w:r>
        <w:rPr>
          <w:rFonts w:ascii="Times New Roman" w:eastAsia="Times New Roman" w:hAnsi="Times New Roman" w:cs="Times New Roman"/>
          <w:sz w:val="24"/>
          <w:szCs w:val="24"/>
        </w:rPr>
        <w:t xml:space="preserve">) u NP Durmitor. </w:t>
      </w:r>
    </w:p>
    <w:p w:rsidR="004C2FFF" w:rsidRDefault="00953E6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Klimatske promjene</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Klimatske promjene predstavljaju jedan od najvećim globalnih izazova, sa kojim se poslednjih decenija suočava i Crna Gora. Rezultati istraživanja pokazuju da se posledice klimatskih promjen</w:t>
      </w:r>
      <w:r>
        <w:rPr>
          <w:rFonts w:ascii="Times New Roman" w:eastAsia="Times New Roman" w:hAnsi="Times New Roman" w:cs="Times New Roman"/>
          <w:sz w:val="24"/>
          <w:szCs w:val="24"/>
        </w:rPr>
        <w:t>a osjećaju na različitim ekosistemima u državi. Od ranih devedesetih godina došlo je do porasta učestalosti, trajanja i intenziteta ekstremnih hidroloških događaja (suše, poplave). Ovo značajno utiče na vodni režim, a time i biodiverzitet, povremenih rječn</w:t>
      </w:r>
      <w:r>
        <w:rPr>
          <w:rFonts w:ascii="Times New Roman" w:eastAsia="Times New Roman" w:hAnsi="Times New Roman" w:cs="Times New Roman"/>
          <w:sz w:val="24"/>
          <w:szCs w:val="24"/>
        </w:rPr>
        <w:t>ih tokova, ali i svih vodenih ekosistema. Poplave ubrzavaju eroziju obala, povećavaju količinu suspendovanih čestica u rijekama i tako utiču na smanjenje biodiverziteta. Klimatske promjene povećavaju rizik od invazivnosti vodenih biljaka i morskih autohton</w:t>
      </w:r>
      <w:r>
        <w:rPr>
          <w:rFonts w:ascii="Times New Roman" w:eastAsia="Times New Roman" w:hAnsi="Times New Roman" w:cs="Times New Roman"/>
          <w:sz w:val="24"/>
          <w:szCs w:val="24"/>
        </w:rPr>
        <w:t xml:space="preserve">ih vrsta. Izazvale su pomjeranje fenofaza kod mnogih biljaka, prvenstveno ranije cvjetanje i kasniji listopad. </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Istraživanja su pokazala da je kod crnogorskih građana nivo svijesti o klimatskim promjenama još uvijek relativno slab. Nisu dovoljno upoznati s</w:t>
      </w:r>
      <w:r>
        <w:rPr>
          <w:rFonts w:ascii="Times New Roman" w:eastAsia="Times New Roman" w:hAnsi="Times New Roman" w:cs="Times New Roman"/>
          <w:sz w:val="24"/>
          <w:szCs w:val="24"/>
        </w:rPr>
        <w:t xml:space="preserve">a uzročnicima, sa ozbiljnošću posledica koje izazivaju i mali broj građana prepoznaje kako stanovništvo može doprinijeti njihovom ublažavanju. </w:t>
      </w:r>
    </w:p>
    <w:p w:rsidR="004C2FFF" w:rsidRDefault="00953E6C">
      <w:pPr>
        <w:spacing w:line="360" w:lineRule="auto"/>
        <w:rPr>
          <w:rFonts w:ascii="Times New Roman" w:eastAsia="Times New Roman" w:hAnsi="Times New Roman" w:cs="Times New Roman"/>
          <w:b/>
          <w:bCs/>
          <w:sz w:val="28"/>
          <w:szCs w:val="28"/>
        </w:rPr>
      </w:pPr>
      <w:bookmarkStart w:id="1" w:name="_heading=h.3mfx6h8a866b" w:colFirst="0" w:colLast="0"/>
      <w:bookmarkEnd w:id="1"/>
      <w:r>
        <w:rPr>
          <w:rFonts w:ascii="Times New Roman" w:eastAsia="Times New Roman" w:hAnsi="Times New Roman" w:cs="Times New Roman"/>
          <w:b/>
          <w:bCs/>
          <w:sz w:val="28"/>
          <w:szCs w:val="28"/>
        </w:rPr>
        <w:lastRenderedPageBreak/>
        <w:t>4. Predlog aktivnosti koje bi trebalo sprovesti</w:t>
      </w:r>
    </w:p>
    <w:p w:rsidR="004C2FFF" w:rsidRDefault="00953E6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Kreirati listu vrsta koje su prioritetne za izradu Studija zaštite, sprovođenje insitu i exsitu mjera zaštite</w:t>
      </w:r>
    </w:p>
    <w:p w:rsidR="004C2FFF" w:rsidRDefault="00953E6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Terenskim istraživanjima prikupiti podatke o distribuciji i veličini populacija vrsta koje su prepoznate kao prioritetne, a nema recentnih podatak</w:t>
      </w:r>
      <w:r>
        <w:rPr>
          <w:rFonts w:ascii="Times New Roman" w:eastAsia="Times New Roman" w:hAnsi="Times New Roman" w:cs="Times New Roman"/>
          <w:color w:val="000000"/>
          <w:sz w:val="24"/>
          <w:szCs w:val="24"/>
        </w:rPr>
        <w:t>a o njihovoj distribuciji i veličini populacija</w:t>
      </w:r>
    </w:p>
    <w:p w:rsidR="004C2FFF" w:rsidRDefault="00953E6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Kreirati Crvenu listu flore Crne Gore i Crvene liste za grupe faune za koje liste ne postoje</w:t>
      </w:r>
    </w:p>
    <w:p w:rsidR="004C2FFF" w:rsidRDefault="00953E6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Uraditi Studije zaštite za ugrožene vrste, uz fokus na stenoendeme jako uskog rasprostranjenja i kritično ugrožene taksone</w:t>
      </w:r>
    </w:p>
    <w:p w:rsidR="004C2FFF" w:rsidRDefault="00953E6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Realizovati in situ i ex situ zaštitu za kritično ugrožene vrste, kojima prijeti izčezavanje  ukoliko se ove mjere hitno ne preduzmu</w:t>
      </w:r>
    </w:p>
    <w:p w:rsidR="004C2FFF" w:rsidRDefault="00953E6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Unaprijediti listu zaštićenih vrsta, tako da postoji kategorija "zaštićena" i "strogo zaštićena" vrsta</w:t>
      </w:r>
    </w:p>
    <w:p w:rsidR="004C2FFF" w:rsidRDefault="00953E6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Napraviti pravilnik u kome će biti definisane mjere zaštite strogo zaštićenih vrsta i zaštićenih vrsta </w:t>
      </w:r>
    </w:p>
    <w:p w:rsidR="004C2FFF" w:rsidRDefault="00953E6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Sprovesti genetsku analizu i DNK bar kodiranje kl</w:t>
      </w:r>
      <w:r>
        <w:rPr>
          <w:rFonts w:ascii="Times New Roman" w:eastAsia="Times New Roman" w:hAnsi="Times New Roman" w:cs="Times New Roman"/>
          <w:color w:val="000000"/>
          <w:sz w:val="24"/>
          <w:szCs w:val="24"/>
        </w:rPr>
        <w:t>jučnih grupa vrsta</w:t>
      </w:r>
    </w:p>
    <w:p w:rsidR="004C2FFF" w:rsidRDefault="00953E6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Proširiti kapaciteta banke gena i nastaviti sakupjanje uzoraka</w:t>
      </w:r>
    </w:p>
    <w:p w:rsidR="004C2FFF" w:rsidRDefault="00953E6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Uraditi analizu i identifikaciju vrsta koje su nestale iz biodiverziteta Crne Gore, koje su nestale sa nekih lokaliteta (a rijetke su u državi)  ili su im populacije značajno</w:t>
      </w:r>
      <w:r>
        <w:rPr>
          <w:rFonts w:ascii="Times New Roman" w:eastAsia="Times New Roman" w:hAnsi="Times New Roman" w:cs="Times New Roman"/>
          <w:color w:val="000000"/>
          <w:sz w:val="24"/>
          <w:szCs w:val="24"/>
        </w:rPr>
        <w:t xml:space="preserve"> redukovane</w:t>
      </w:r>
    </w:p>
    <w:p w:rsidR="004C2FFF" w:rsidRDefault="00953E6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Povećati stručne kapacitete ustanova u odnosu na poslove očuvanja vrsta, ekosistema i genetskog diverziteta. Ovo se odnosi na usavršavanje postojećeg kadra, ali i na povećanja broja zaposlenih u ovim oblastima.</w:t>
      </w:r>
    </w:p>
    <w:p w:rsidR="004C2FFF" w:rsidRDefault="00953E6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Sprovesti sistematska istraživanj</w:t>
      </w:r>
      <w:r>
        <w:rPr>
          <w:rFonts w:ascii="Times New Roman" w:eastAsia="Times New Roman" w:hAnsi="Times New Roman" w:cs="Times New Roman"/>
          <w:color w:val="000000"/>
          <w:sz w:val="24"/>
          <w:szCs w:val="24"/>
        </w:rPr>
        <w:t>a invazivnih vrsta (distribucija, veličina populacija, putevi nenamjernog unosa)</w:t>
      </w:r>
    </w:p>
    <w:p w:rsidR="004C2FFF" w:rsidRDefault="00953E6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Kreirati nacionalnu bazu invazivnih vrsta sa podacima o distribuciji (GIS) i veličinama populacija (online baza, dostupna javnosti), bazu je potrebno redovno ažurirati</w:t>
      </w:r>
    </w:p>
    <w:p w:rsidR="004C2FFF" w:rsidRDefault="00953E6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Izradit</w:t>
      </w:r>
      <w:r>
        <w:rPr>
          <w:rFonts w:ascii="Times New Roman" w:eastAsia="Times New Roman" w:hAnsi="Times New Roman" w:cs="Times New Roman"/>
          <w:color w:val="000000"/>
          <w:sz w:val="24"/>
          <w:szCs w:val="24"/>
        </w:rPr>
        <w:t>i akcione planove za redukciju populacija invazivnih vrsta</w:t>
      </w:r>
    </w:p>
    <w:p w:rsidR="004C2FFF" w:rsidRDefault="00953E6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Sprovesti mjere redukcije populacija invazivnih vrsta</w:t>
      </w:r>
    </w:p>
    <w:p w:rsidR="004C2FFF" w:rsidRDefault="00953E6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Izraditi akcioni plan o kontroli puteva unosa invazivnih vrsta</w:t>
      </w:r>
    </w:p>
    <w:p w:rsidR="004C2FFF" w:rsidRDefault="00953E6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Izraditi Program sprječavanja i kontrole spontanog širenja invazivnih vrsta</w:t>
      </w:r>
    </w:p>
    <w:p w:rsidR="004C2FFF" w:rsidRDefault="00953E6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Podi</w:t>
      </w:r>
      <w:r>
        <w:rPr>
          <w:rFonts w:ascii="Times New Roman" w:eastAsia="Times New Roman" w:hAnsi="Times New Roman" w:cs="Times New Roman"/>
          <w:color w:val="000000"/>
          <w:sz w:val="24"/>
          <w:szCs w:val="24"/>
        </w:rPr>
        <w:t>zati svijest javnosti o značaju sprečavanja širenja invazivnih vrsta</w:t>
      </w:r>
    </w:p>
    <w:p w:rsidR="004C2FFF" w:rsidRDefault="00953E6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Poboljšati saradnju između institucija. Postoje brojni primjere neadekvatne komunikacije između nadležnih institucija. Npr. fitosanitarna služba ima Listu biljaka koje su prošle postupak </w:t>
      </w:r>
      <w:r>
        <w:rPr>
          <w:rFonts w:ascii="Times New Roman" w:eastAsia="Times New Roman" w:hAnsi="Times New Roman" w:cs="Times New Roman"/>
          <w:color w:val="000000"/>
          <w:sz w:val="24"/>
          <w:szCs w:val="24"/>
        </w:rPr>
        <w:t>sertifikacije u skladu sa Zakonom o sjemenskom materijalu poljoprivrednog bilja, Zakonom o sadnom materijalu, Zakonom o zdravstvenoj zaštiti bilja na kojoj se nalazi 9 vrsta sa Preliminarne liste invazivnih biljnih vrsta Crne Gore.</w:t>
      </w:r>
    </w:p>
    <w:p w:rsidR="004C2FFF" w:rsidRDefault="00953E6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Napraviti mapu ekosistem</w:t>
      </w:r>
      <w:r>
        <w:rPr>
          <w:rFonts w:ascii="Times New Roman" w:eastAsia="Times New Roman" w:hAnsi="Times New Roman" w:cs="Times New Roman"/>
          <w:color w:val="000000"/>
          <w:sz w:val="24"/>
          <w:szCs w:val="24"/>
        </w:rPr>
        <w:t xml:space="preserve">a, sa njihovim stanjem mapiranje potencijalnih usluga, za procjenu postojeće zelene infrastrukture i za planiranje restauracije. </w:t>
      </w:r>
    </w:p>
    <w:p w:rsidR="004C2FFF" w:rsidRDefault="00953E6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Razviti metodološku osnovu za definisanje zelene infrastrukture, mapiranje zelene infrastrukture i procjena stanja</w:t>
      </w:r>
    </w:p>
    <w:p w:rsidR="004C2FFF" w:rsidRDefault="00953E6C">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Ojačati međ</w:t>
      </w:r>
      <w:r>
        <w:rPr>
          <w:rFonts w:ascii="Times New Roman" w:eastAsia="Times New Roman" w:hAnsi="Times New Roman" w:cs="Times New Roman"/>
          <w:color w:val="000000"/>
          <w:sz w:val="24"/>
          <w:szCs w:val="24"/>
        </w:rPr>
        <w:t>unarodnu saradnju</w:t>
      </w:r>
    </w:p>
    <w:p w:rsidR="004C2FFF" w:rsidRDefault="004C2FFF">
      <w:pPr>
        <w:pBdr>
          <w:top w:val="nil"/>
          <w:left w:val="nil"/>
          <w:bottom w:val="nil"/>
          <w:right w:val="nil"/>
          <w:between w:val="nil"/>
        </w:pBdr>
        <w:spacing w:line="360" w:lineRule="auto"/>
        <w:ind w:left="720"/>
        <w:rPr>
          <w:rFonts w:ascii="Times New Roman" w:eastAsia="Times New Roman" w:hAnsi="Times New Roman" w:cs="Times New Roman"/>
          <w:color w:val="000000"/>
          <w:sz w:val="24"/>
          <w:szCs w:val="24"/>
        </w:rPr>
      </w:pPr>
    </w:p>
    <w:p w:rsidR="004C2FFF" w:rsidRDefault="00953E6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Literatura:</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Ćeranić, G., Krivokapić, N., Šarović, R., Živković, P. (2023): Perception of Climate Change and Assessment of the Importance of Sustainable Behavior for Their Mitigation: The Example of Montenegro. Sustainability, 15 (13): 10165.</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Iñigo, A., Milanović, Đ. (</w:t>
      </w:r>
      <w:r>
        <w:rPr>
          <w:rFonts w:ascii="Times New Roman" w:eastAsia="Times New Roman" w:hAnsi="Times New Roman" w:cs="Times New Roman"/>
          <w:sz w:val="24"/>
          <w:szCs w:val="24"/>
        </w:rPr>
        <w:t>2025): Presence and Distribution of Annex II and Reference List Plant Species in Montenegro. Support to the Establishment of the Natura 2000 Network for Montenegro, Project Reference: PR24TASER0003, Eptisa.</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Jovović, Z., Čizmović, M., Lazović, B., Maraš, V.</w:t>
      </w:r>
      <w:r>
        <w:rPr>
          <w:rFonts w:ascii="Times New Roman" w:eastAsia="Times New Roman" w:hAnsi="Times New Roman" w:cs="Times New Roman"/>
          <w:sz w:val="24"/>
          <w:szCs w:val="24"/>
        </w:rPr>
        <w:t>, Božović, Đ., Popović, T., Stešević, D., Velimirović, A. (2012): The state of agricultural plant genetic resources in Montenegro. Agriculture &amp; Forestry, Vol. 57. Issue 1: 33-50, Podgorica.</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Milanović, Đ., Caković, D., Hadžiablahović, S., Vuksanović, S., M</w:t>
      </w:r>
      <w:r>
        <w:rPr>
          <w:rFonts w:ascii="Times New Roman" w:eastAsia="Times New Roman" w:hAnsi="Times New Roman" w:cs="Times New Roman"/>
          <w:sz w:val="24"/>
          <w:szCs w:val="24"/>
        </w:rPr>
        <w:t>ačić, V., Stešević, D., Stanišić Vujačić M., Biberdžić, V., Lakušić, D. (2020): Priručnik za identifikaciju tipova staništa Crne Gore od značaja za Evropsku Uniju sa obrađenim glavnim edifikatorskim vrstama. Agencija za zaštitu životne sredine, Univerzitet</w:t>
      </w:r>
      <w:r>
        <w:rPr>
          <w:rFonts w:ascii="Times New Roman" w:eastAsia="Times New Roman" w:hAnsi="Times New Roman" w:cs="Times New Roman"/>
          <w:sz w:val="24"/>
          <w:szCs w:val="24"/>
        </w:rPr>
        <w:t xml:space="preserve"> u Banjoj Luci, Šumarski fakultet.</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Pešić V, Paunović M, Kostianoy AG (eds) (2020): The rivers of Montenegro.Edition: The handbook of environmental chemistry. Publisher: Springer Nature Switzerland</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Pulević, V. (ed) (2023): Botanički leksikon Crne Gore. Crno</w:t>
      </w:r>
      <w:r>
        <w:rPr>
          <w:rFonts w:ascii="Times New Roman" w:eastAsia="Times New Roman" w:hAnsi="Times New Roman" w:cs="Times New Roman"/>
          <w:sz w:val="24"/>
          <w:szCs w:val="24"/>
        </w:rPr>
        <w:t>gorska akademija nauka i umjetnosti.</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Saveljić, D. (ed.) (2021): Crna Gora između planina i mora – pejzaž i biodiverzitet. Agencija za zaštitu životne sredine Crne Gore.</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Stešević, D. &amp; Petrović, D. (2010): Preliminary list of plant invaders in Montenegro. B</w:t>
      </w:r>
      <w:r>
        <w:rPr>
          <w:rFonts w:ascii="Times New Roman" w:eastAsia="Times New Roman" w:hAnsi="Times New Roman" w:cs="Times New Roman"/>
          <w:sz w:val="24"/>
          <w:szCs w:val="24"/>
        </w:rPr>
        <w:t>iologica Nyssana, 1(1– 2): 35–42.</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Stešević, D. &amp; Caković, D. (2013): Contribution to the alien flora of Montenegro and Supplementum to the Preliminary list of plant invaders. Biologica Nyssana, 4(1–2): 1–7. </w:t>
      </w:r>
    </w:p>
    <w:p w:rsidR="004C2FFF" w:rsidRDefault="00953E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Vuksanović, S. (2016): Rasprostranjenje, horološ</w:t>
      </w:r>
      <w:r>
        <w:rPr>
          <w:rFonts w:ascii="Times New Roman" w:eastAsia="Times New Roman" w:hAnsi="Times New Roman" w:cs="Times New Roman"/>
          <w:sz w:val="24"/>
          <w:szCs w:val="24"/>
        </w:rPr>
        <w:t>ka struktura i centri diverziteta balkanske endemične flore u Crnoj Gori. Doktorska disertacija, Biološki fakultet Beograd.</w:t>
      </w:r>
    </w:p>
    <w:p w:rsidR="004C2FFF" w:rsidRDefault="004C2FFF">
      <w:pPr>
        <w:spacing w:line="360" w:lineRule="auto"/>
        <w:rPr>
          <w:rFonts w:ascii="Times New Roman" w:eastAsia="Times New Roman" w:hAnsi="Times New Roman" w:cs="Times New Roman"/>
          <w:sz w:val="24"/>
          <w:szCs w:val="24"/>
        </w:rPr>
      </w:pPr>
    </w:p>
    <w:p w:rsidR="004C2FFF" w:rsidRDefault="004C2FFF">
      <w:pPr>
        <w:spacing w:line="360" w:lineRule="auto"/>
        <w:rPr>
          <w:rFonts w:ascii="Times New Roman" w:eastAsia="Times New Roman" w:hAnsi="Times New Roman" w:cs="Times New Roman"/>
          <w:sz w:val="24"/>
          <w:szCs w:val="24"/>
        </w:rPr>
      </w:pPr>
    </w:p>
    <w:sectPr w:rsidR="004C2FFF">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53E6C">
      <w:pPr>
        <w:spacing w:after="0" w:line="240" w:lineRule="auto"/>
      </w:pPr>
      <w:r>
        <w:separator/>
      </w:r>
    </w:p>
  </w:endnote>
  <w:endnote w:type="continuationSeparator" w:id="0">
    <w:p w:rsidR="00000000" w:rsidRDefault="00953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3AE77B1-BFA4-41CC-A971-3DDFD5E6B9AB}"/>
  </w:font>
  <w:font w:name="Calibri">
    <w:panose1 w:val="020F0502020204030204"/>
    <w:charset w:val="00"/>
    <w:family w:val="swiss"/>
    <w:pitch w:val="variable"/>
    <w:sig w:usb0="E4002EFF" w:usb1="C200247B" w:usb2="00000009" w:usb3="00000000" w:csb0="000001FF" w:csb1="00000000"/>
    <w:embedRegular r:id="rId2" w:fontKey="{6EEE5FC2-A251-49C8-B85F-21C07A710851}"/>
    <w:embedBold r:id="rId3" w:fontKey="{C7567252-A093-4B43-A1B9-C7C6A0EF5EA2}"/>
    <w:embedItalic r:id="rId4" w:fontKey="{1DD7422D-98A2-475D-8902-F8CA19BBA180}"/>
  </w:font>
  <w:font w:name="Georgia">
    <w:panose1 w:val="02040502050405020303"/>
    <w:charset w:val="00"/>
    <w:family w:val="auto"/>
    <w:pitch w:val="default"/>
    <w:embedItalic r:id="rId5" w:fontKey="{88AC9C55-5032-4448-8A00-6BAA1A7ACCEA}"/>
  </w:font>
  <w:font w:name="Calibri Light">
    <w:panose1 w:val="020F0302020204030204"/>
    <w:charset w:val="00"/>
    <w:family w:val="swiss"/>
    <w:pitch w:val="variable"/>
    <w:sig w:usb0="E4002EFF" w:usb1="C200247B" w:usb2="00000009" w:usb3="00000000" w:csb0="000001FF" w:csb1="00000000"/>
    <w:embedRegular r:id="rId6" w:fontKey="{038A126B-B297-414F-BF4C-B1C1F018CFF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FFF" w:rsidRDefault="00953E6C">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3</w:t>
    </w:r>
    <w:r>
      <w:rPr>
        <w:color w:val="000000"/>
      </w:rPr>
      <w:fldChar w:fldCharType="end"/>
    </w:r>
  </w:p>
  <w:p w:rsidR="004C2FFF" w:rsidRDefault="004C2FF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53E6C">
      <w:pPr>
        <w:spacing w:after="0" w:line="240" w:lineRule="auto"/>
      </w:pPr>
      <w:r>
        <w:separator/>
      </w:r>
    </w:p>
  </w:footnote>
  <w:footnote w:type="continuationSeparator" w:id="0">
    <w:p w:rsidR="00000000" w:rsidRDefault="00953E6C">
      <w:pPr>
        <w:spacing w:after="0" w:line="240" w:lineRule="auto"/>
      </w:pPr>
      <w:r>
        <w:continuationSeparator/>
      </w:r>
    </w:p>
  </w:footnote>
  <w:footnote w:id="1">
    <w:p w:rsidR="004C2FFF" w:rsidRDefault="00953E6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Službeni list Republike Crne Gore, br. 76/06, Rješenje o stavljanju pod zaštitu pojedinih biljnih i životinjskih vrsta, Podgoric</w:t>
      </w:r>
      <w:r>
        <w:rPr>
          <w:color w:val="000000"/>
          <w:sz w:val="20"/>
          <w:szCs w:val="20"/>
        </w:rPr>
        <w:t>a</w:t>
      </w:r>
    </w:p>
  </w:footnote>
  <w:footnote w:id="2">
    <w:p w:rsidR="004C2FFF" w:rsidRDefault="00953E6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Habitats Directive - Council Directive 2013/17/ EU of 13 May 2013. Official Journal of the European Union L158: 193–229 (HD)</w:t>
      </w:r>
    </w:p>
  </w:footnote>
  <w:footnote w:id="3">
    <w:p w:rsidR="004C2FFF" w:rsidRDefault="00953E6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i/>
          <w:iCs/>
          <w:color w:val="000000"/>
          <w:sz w:val="20"/>
          <w:szCs w:val="20"/>
        </w:rPr>
        <w:t xml:space="preserve">Androsace mathildae </w:t>
      </w:r>
      <w:r>
        <w:rPr>
          <w:color w:val="000000"/>
          <w:sz w:val="20"/>
          <w:szCs w:val="20"/>
        </w:rPr>
        <w:t xml:space="preserve">s.l., u Crnoj Gori </w:t>
      </w:r>
      <w:r>
        <w:rPr>
          <w:i/>
          <w:iCs/>
          <w:color w:val="000000"/>
          <w:sz w:val="20"/>
          <w:szCs w:val="20"/>
        </w:rPr>
        <w:t>Androsace komovensis</w:t>
      </w:r>
      <w:r>
        <w:rPr>
          <w:color w:val="000000"/>
          <w:sz w:val="20"/>
          <w:szCs w:val="20"/>
        </w:rPr>
        <w:t xml:space="preserve"> Schönswetter &amp; Schneew.</w:t>
      </w:r>
    </w:p>
  </w:footnote>
  <w:footnote w:id="4">
    <w:p w:rsidR="004C2FFF" w:rsidRDefault="00953E6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Po NATURA 2000 terminologiji to su grupe staništa, po naučnoj biološkoj terminologiji (i onoj koja se koristi u našem jeziku) to su grupe ekosistema, obzirom da obuhvataju biotičku (biljke, životinje) i abiotičku komponentu</w:t>
      </w:r>
    </w:p>
  </w:footnote>
  <w:footnote w:id="5">
    <w:p w:rsidR="004C2FFF" w:rsidRDefault="00953E6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Prioritetni tipovi staništa (</w:t>
      </w:r>
      <w:r>
        <w:rPr>
          <w:color w:val="000000"/>
          <w:sz w:val="20"/>
          <w:szCs w:val="20"/>
        </w:rPr>
        <w:t>priority habitat types) predstavljaju najvrjedniji i najugroženiji dio evropske prirodne baštine. Definisani su u Aneksu I Habitats direktive (Direktiva o staništima 92/43/EEZ), kojom se uspostavlja mreža Natura 2000.</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EF72C8"/>
    <w:multiLevelType w:val="multilevel"/>
    <w:tmpl w:val="71E012A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FFF"/>
    <w:rsid w:val="004C2FFF"/>
    <w:rsid w:val="00953E6C"/>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68E815-5A47-4B93-8B60-54AB2BD22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r-Latn-ME" w:eastAsia="sr-Latn-M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ListParagraph">
    <w:name w:val="List Paragraph"/>
    <w:basedOn w:val="Normal"/>
    <w:uiPriority w:val="34"/>
    <w:qFormat/>
    <w:rsid w:val="00332EC7"/>
    <w:pPr>
      <w:ind w:left="720"/>
      <w:contextualSpacing/>
    </w:pPr>
  </w:style>
  <w:style w:type="paragraph" w:styleId="Header">
    <w:name w:val="header"/>
    <w:basedOn w:val="Normal"/>
    <w:link w:val="HeaderChar"/>
    <w:uiPriority w:val="99"/>
    <w:unhideWhenUsed/>
    <w:rsid w:val="00104D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DBA"/>
  </w:style>
  <w:style w:type="paragraph" w:styleId="Footer">
    <w:name w:val="footer"/>
    <w:basedOn w:val="Normal"/>
    <w:link w:val="FooterChar"/>
    <w:uiPriority w:val="99"/>
    <w:unhideWhenUsed/>
    <w:rsid w:val="00104D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DBA"/>
  </w:style>
  <w:style w:type="table" w:styleId="TableGrid">
    <w:name w:val="Table Grid"/>
    <w:basedOn w:val="TableNormal"/>
    <w:uiPriority w:val="39"/>
    <w:rsid w:val="00DC0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C0C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0C44"/>
    <w:rPr>
      <w:sz w:val="20"/>
      <w:szCs w:val="20"/>
    </w:rPr>
  </w:style>
  <w:style w:type="character" w:styleId="FootnoteReference">
    <w:name w:val="footnote reference"/>
    <w:basedOn w:val="DefaultParagraphFont"/>
    <w:uiPriority w:val="99"/>
    <w:semiHidden/>
    <w:unhideWhenUsed/>
    <w:rsid w:val="00DC0C44"/>
    <w:rPr>
      <w:vertAlign w:val="superscript"/>
    </w:rPr>
  </w:style>
  <w:style w:type="character" w:styleId="Emphasis">
    <w:name w:val="Emphasis"/>
    <w:basedOn w:val="DefaultParagraphFont"/>
    <w:uiPriority w:val="20"/>
    <w:qFormat/>
    <w:rsid w:val="008F20DB"/>
    <w:rPr>
      <w:i/>
      <w:iCs/>
    </w:rPr>
  </w:style>
  <w:style w:type="character" w:styleId="Hyperlink">
    <w:name w:val="Hyperlink"/>
    <w:basedOn w:val="DefaultParagraphFont"/>
    <w:uiPriority w:val="99"/>
    <w:unhideWhenUsed/>
    <w:rsid w:val="006910B9"/>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8dErRyYTOdjCaTDMh+Iv7pFCYg==">CgMxLjAyDmguM21meDZoOGE4NjZiOAByITFXMTAxREdzWlJlaUtTVkpXSFB1blZoekw0bG9iMlRxdQ==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6224</Words>
  <Characters>35481</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Aneta Kankaras</cp:lastModifiedBy>
  <cp:revision>2</cp:revision>
  <dcterms:created xsi:type="dcterms:W3CDTF">2026-02-23T15:12:00Z</dcterms:created>
  <dcterms:modified xsi:type="dcterms:W3CDTF">2026-02-23T15:12:00Z</dcterms:modified>
</cp:coreProperties>
</file>