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50" w:rsidRDefault="00E36150" w:rsidP="00E36150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</w:t>
      </w:r>
      <w:r w:rsidR="00057349">
        <w:rPr>
          <w:b/>
          <w:lang w:val="sr-Latn-ME"/>
        </w:rPr>
        <w:t xml:space="preserve">IČNIH SANKCIJA  SA ZARADAMA  ZA </w:t>
      </w:r>
      <w:r w:rsidR="00ED187C">
        <w:rPr>
          <w:b/>
          <w:lang w:val="sr-Latn-ME"/>
        </w:rPr>
        <w:t>MART</w:t>
      </w:r>
      <w:r w:rsidR="00C62C9E">
        <w:rPr>
          <w:b/>
          <w:lang w:val="sr-Latn-ME"/>
        </w:rPr>
        <w:t xml:space="preserve"> </w:t>
      </w:r>
      <w:r w:rsidR="00057349">
        <w:rPr>
          <w:b/>
          <w:lang w:val="sr-Latn-ME"/>
        </w:rPr>
        <w:t xml:space="preserve"> 2020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Ind w:w="-459" w:type="dxa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ED187C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2.171,51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ED187C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1.454,91</w:t>
            </w:r>
            <w:r w:rsidR="00C62C9E">
              <w:rPr>
                <w:lang w:val="sr-Latn-ME"/>
              </w:rPr>
              <w:t xml:space="preserve">  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057349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1.850,86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057349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1.240,08</w:t>
            </w:r>
            <w:r w:rsidR="00C62C9E">
              <w:rPr>
                <w:lang w:val="sr-Latn-ME"/>
              </w:rPr>
              <w:t xml:space="preserve">  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08" w:type="dxa"/>
          </w:tcPr>
          <w:p w:rsidR="00E36150" w:rsidRPr="00C12D8B" w:rsidRDefault="00ED187C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1.616,91</w:t>
            </w:r>
            <w:r w:rsidR="00C62C9E">
              <w:rPr>
                <w:lang w:val="sr-Latn-ME"/>
              </w:rPr>
              <w:t xml:space="preserve">  €</w:t>
            </w:r>
          </w:p>
        </w:tc>
        <w:tc>
          <w:tcPr>
            <w:tcW w:w="2508" w:type="dxa"/>
          </w:tcPr>
          <w:p w:rsidR="00E36150" w:rsidRPr="00C12D8B" w:rsidRDefault="00ED187C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1.083,33</w:t>
            </w:r>
            <w:r w:rsidR="00C62C9E">
              <w:rPr>
                <w:lang w:val="sr-Latn-ME"/>
              </w:rPr>
              <w:t xml:space="preserve">  €</w:t>
            </w:r>
          </w:p>
        </w:tc>
      </w:tr>
    </w:tbl>
    <w:p w:rsidR="00ED187C" w:rsidRDefault="00ED187C" w:rsidP="00ED187C">
      <w:pPr>
        <w:rPr>
          <w:b/>
          <w:lang w:val="sr-Latn-ME"/>
        </w:rPr>
      </w:pPr>
    </w:p>
    <w:p w:rsidR="00ED187C" w:rsidRDefault="0060274B" w:rsidP="00ED187C">
      <w:pPr>
        <w:rPr>
          <w:b/>
          <w:lang w:val="sr-Latn-ME"/>
        </w:rPr>
      </w:pPr>
      <w:r>
        <w:rPr>
          <w:b/>
          <w:lang w:val="sr-Latn-ME"/>
        </w:rPr>
        <w:t>Napomena: Svi javni funkcioneri su donirali polovinu zarade Nacionalnom koordinacionom tijelu.</w:t>
      </w:r>
      <w:bookmarkStart w:id="0" w:name="_GoBack"/>
      <w:bookmarkEnd w:id="0"/>
    </w:p>
    <w:p w:rsidR="00AE3CF0" w:rsidRDefault="00AE3CF0"/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50"/>
    <w:rsid w:val="00057349"/>
    <w:rsid w:val="00215C84"/>
    <w:rsid w:val="00394266"/>
    <w:rsid w:val="004643BC"/>
    <w:rsid w:val="00485274"/>
    <w:rsid w:val="004B0527"/>
    <w:rsid w:val="0060274B"/>
    <w:rsid w:val="0086649D"/>
    <w:rsid w:val="00AE3CF0"/>
    <w:rsid w:val="00C62C9E"/>
    <w:rsid w:val="00D46040"/>
    <w:rsid w:val="00E36150"/>
    <w:rsid w:val="00E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Božidar Čolović</cp:lastModifiedBy>
  <cp:revision>2</cp:revision>
  <dcterms:created xsi:type="dcterms:W3CDTF">2020-04-21T11:02:00Z</dcterms:created>
  <dcterms:modified xsi:type="dcterms:W3CDTF">2020-04-21T11:02:00Z</dcterms:modified>
</cp:coreProperties>
</file>