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A52" w:rsidRDefault="00AA6A52" w:rsidP="00AA6A52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FF61CB" w:rsidRPr="0018447B" w:rsidRDefault="00FF61CB" w:rsidP="00AA6A52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LightGrid-Accent5"/>
        <w:tblpPr w:leftFromText="180" w:rightFromText="180" w:vertAnchor="text" w:horzAnchor="margin" w:tblpY="531"/>
        <w:tblW w:w="0" w:type="auto"/>
        <w:tblLook w:val="04A0" w:firstRow="1" w:lastRow="0" w:firstColumn="1" w:lastColumn="0" w:noHBand="0" w:noVBand="1"/>
      </w:tblPr>
      <w:tblGrid>
        <w:gridCol w:w="3868"/>
        <w:gridCol w:w="5420"/>
      </w:tblGrid>
      <w:tr w:rsidR="00AA6A52" w:rsidRPr="0018447B" w:rsidTr="007C4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IZVJEŠTAJ O SPROVEDENOJ ANALIZI PROCJENE UTICAJA PROPISA</w:t>
            </w:r>
          </w:p>
        </w:tc>
      </w:tr>
      <w:tr w:rsidR="00AA6A52" w:rsidRPr="0018447B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</w:p>
        </w:tc>
      </w:tr>
      <w:tr w:rsidR="00AA6A52" w:rsidRPr="0018447B" w:rsidTr="00CC5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8" w:type="dxa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PREDLAGAČ PROPISA</w:t>
            </w:r>
          </w:p>
        </w:tc>
        <w:tc>
          <w:tcPr>
            <w:tcW w:w="5420" w:type="dxa"/>
            <w:vAlign w:val="center"/>
          </w:tcPr>
          <w:p w:rsidR="00AA6A52" w:rsidRPr="0018447B" w:rsidRDefault="00243907" w:rsidP="00BF5894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2"/>
                <w:szCs w:val="22"/>
                <w:lang w:val="pl-PL"/>
              </w:rPr>
            </w:pPr>
            <w:r w:rsidRPr="0018447B">
              <w:rPr>
                <w:rFonts w:asciiTheme="majorHAnsi" w:hAnsiTheme="majorHAnsi" w:cs="Arial"/>
                <w:sz w:val="22"/>
                <w:szCs w:val="22"/>
                <w:lang w:val="pl-PL"/>
              </w:rPr>
              <w:t>Ministarstvo finansija</w:t>
            </w:r>
            <w:r w:rsidR="00CC5C43" w:rsidRPr="0018447B">
              <w:rPr>
                <w:rFonts w:asciiTheme="majorHAnsi" w:hAnsiTheme="majorHAnsi" w:cs="Arial"/>
                <w:sz w:val="22"/>
                <w:szCs w:val="22"/>
                <w:lang w:val="pl-PL"/>
              </w:rPr>
              <w:t xml:space="preserve"> </w:t>
            </w:r>
          </w:p>
        </w:tc>
      </w:tr>
      <w:tr w:rsidR="00AA6A52" w:rsidRPr="0018447B" w:rsidTr="006F1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8" w:type="dxa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NAZIV PROPISA</w:t>
            </w:r>
          </w:p>
        </w:tc>
        <w:tc>
          <w:tcPr>
            <w:tcW w:w="5420" w:type="dxa"/>
          </w:tcPr>
          <w:p w:rsidR="00AA6A52" w:rsidRDefault="00452F86" w:rsidP="00BF589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  <w:lang w:val="pl-PL"/>
              </w:rPr>
              <w:t>Nacrt</w:t>
            </w:r>
            <w:bookmarkStart w:id="0" w:name="_GoBack"/>
            <w:bookmarkEnd w:id="0"/>
            <w:r w:rsidR="000B588B" w:rsidRPr="0018447B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C51A68" w:rsidRPr="0018447B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  <w:lang w:val="pl-PL"/>
              </w:rPr>
              <w:t>zakona o izmjenama i dopunama Zakona o poreskoj administraciji</w:t>
            </w:r>
          </w:p>
          <w:p w:rsidR="00FF61CB" w:rsidRPr="0018447B" w:rsidRDefault="00FF61CB" w:rsidP="00BF589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</w:p>
        </w:tc>
      </w:tr>
      <w:tr w:rsidR="00AA6A52" w:rsidRPr="0018447B" w:rsidTr="006F1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1. Definisanje problema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probleme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treba</w:t>
            </w:r>
            <w:proofErr w:type="spellEnd"/>
            <w:proofErr w:type="gram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da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riješi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predloženi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akt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Koji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uzroci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problema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posljedice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problema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Koji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subjekti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oštećeni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,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način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u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kojoj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mjeri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  <w:p w:rsidR="00AA6A52" w:rsidRPr="00FF61CB" w:rsidRDefault="00AA6A52" w:rsidP="002230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629" w:hanging="357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Kako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bi problem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evoluirao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bez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</w:t>
            </w:r>
            <w:r w:rsidR="00C73330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omjene</w:t>
            </w:r>
            <w:proofErr w:type="spellEnd"/>
            <w:r w:rsidR="00C73330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C73330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="00C73330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(“status </w:t>
            </w:r>
            <w:proofErr w:type="spellStart"/>
            <w:r w:rsidR="00C73330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quo”</w:t>
            </w: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opcija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)?</w:t>
            </w:r>
          </w:p>
          <w:p w:rsidR="00FF61CB" w:rsidRPr="0018447B" w:rsidRDefault="00FF61CB" w:rsidP="00FF61C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29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</w:p>
        </w:tc>
      </w:tr>
      <w:tr w:rsidR="00AA6A52" w:rsidRPr="0018447B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2336F0" w:rsidRPr="0018447B" w:rsidRDefault="00C51A68" w:rsidP="000B588B">
            <w:pPr>
              <w:spacing w:before="120" w:after="120"/>
              <w:jc w:val="both"/>
              <w:rPr>
                <w:rFonts w:asciiTheme="majorHAnsi" w:hAnsiTheme="majorHAnsi" w:cs="Arial"/>
                <w:bCs w:val="0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Predloženi akt rješava nedovoljno razvijen sistem administrativne saradnje i razmjene poreskih informacija sa drugim državama, posebno u kontekstu EU integracija. Postojeći okvir ne obezbjeđuje potpunu usklađenost sa obaveznom automatskom razmjenom informacija i izvještavanjem o prekograničnim aranžmanima. Nedostaju precizne obaveze za posrednike i poreske obveznike u pogledu prijavljivanja potencijalno rizičnih aranžmana. Takođe, nije adekvatno regulisana razmjena informacija o poreskim mišljenjima i transfernim cijenama, dok ograničena transparentnost otežava borbu protiv poreske evazije. Predloženim zakonskim rješenjem će biti izvršena harmonizacija nacionalnog propisa sa direktivama Evropske unije, te riješena pitanja dtandardizacije procedura i rokova. </w:t>
            </w:r>
          </w:p>
          <w:p w:rsidR="00C51A68" w:rsidRPr="0018447B" w:rsidRDefault="00C51A68" w:rsidP="000B588B">
            <w:pPr>
              <w:spacing w:before="120" w:after="120"/>
              <w:jc w:val="both"/>
              <w:rPr>
                <w:rFonts w:asciiTheme="majorHAnsi" w:hAnsiTheme="majorHAnsi" w:cs="Arial"/>
                <w:bCs w:val="0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>Glavni uzrok problema je nedovoljan novo usklađenosti nacionalnog zakonodavstva sa direktivama EU, posebno sa Direktivom 2015/2376, Direktivom 2018/822 (DAC6) i Direktivom 2025/872. Postoje nedostaci u regulisanju obavezne automatske razmjene informacija i izvještavanja o prekograničnim aranžmanima, što značajno otežava identifikaciju poreskih rizika u kontekstu razvoja kompleksnih međunarodnih poslovnih struktura. Nedostatak jasno definisanih obaveza za posrednike i poreske obveznike utiče na nivo transparentnosti, dok administrativni i tehnički kapaciteti nijesu u potpunosti prilagođeni novim standardima. Takođe, nedovoljna digitalizacija procesa dodatno komplikuje razmjenu informacija, što značajno doprinosi slabijoj efikasnosti sistema.</w:t>
            </w:r>
          </w:p>
          <w:p w:rsidR="00C51A68" w:rsidRPr="0018447B" w:rsidRDefault="00C51A68" w:rsidP="000B588B">
            <w:pPr>
              <w:spacing w:before="120" w:after="120"/>
              <w:jc w:val="both"/>
              <w:rPr>
                <w:rFonts w:asciiTheme="majorHAnsi" w:hAnsiTheme="majorHAnsi" w:cs="Arial"/>
                <w:bCs w:val="0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>Posljedice uključuju povećan rizik od poreske evazije što znači da država može izgubiti značajne poreske prihode zbog nedostatka pravovremenih i potpunih informacija. Otežana je međunarodna saradnja sa državama članicama EU, što može dovesti do negativne ocjene u procesu evropskih integracija.</w:t>
            </w:r>
            <w:r w:rsidR="00E573A7"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Poreska </w:t>
            </w:r>
            <w:r w:rsidR="00E573A7"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>uprava</w:t>
            </w:r>
            <w:r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 ima ograničene mogućnosti kontrole složenih transakcija</w:t>
            </w:r>
            <w:r w:rsidR="00E573A7"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, što dugoročno može negativno uticati na fiskalnu stabilnost. </w:t>
            </w:r>
          </w:p>
          <w:p w:rsidR="00E573A7" w:rsidRPr="0018447B" w:rsidRDefault="00E573A7" w:rsidP="000B588B">
            <w:pPr>
              <w:spacing w:before="120" w:after="120"/>
              <w:jc w:val="both"/>
              <w:rPr>
                <w:rFonts w:asciiTheme="majorHAnsi" w:hAnsiTheme="majorHAnsi" w:cs="Arial"/>
                <w:bCs w:val="0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U smislu oštećenih subjekata, evidentno je da država može biti oštećena strana usljed potencijalnog gubitka prihoda, posebno imajući u vidu da Poreska uprava ima ograničenu efikasnost u sprovođenju nadzora. </w:t>
            </w:r>
          </w:p>
          <w:p w:rsidR="00E573A7" w:rsidRDefault="00E573A7" w:rsidP="000B588B">
            <w:pPr>
              <w:spacing w:before="120" w:after="120"/>
              <w:jc w:val="both"/>
              <w:rPr>
                <w:rFonts w:asciiTheme="majorHAnsi" w:hAnsiTheme="majorHAnsi" w:cs="Arial"/>
                <w:bCs w:val="0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</w:rPr>
              <w:t xml:space="preserve">U slučaju „status quo“ opcije, Crna Gora bi ostala neusklađena sa EU direktivama što bi negativno uticalo na proces pristupanja Crne Gore Evropskoj uniji. Takođe, razmjena informacija bi ostala nedovoljno efikasna i nepotpuna, što bi negativno uticalo na nivo poreske discipline i ukupno na nivo povjerenja u poreski sistem. </w:t>
            </w:r>
          </w:p>
          <w:p w:rsidR="00FF61CB" w:rsidRPr="0018447B" w:rsidRDefault="00FF61CB" w:rsidP="000B588B">
            <w:pPr>
              <w:spacing w:before="120" w:after="120"/>
              <w:jc w:val="both"/>
              <w:rPr>
                <w:rFonts w:asciiTheme="majorHAnsi" w:hAnsiTheme="majorHAnsi" w:cs="Arial"/>
                <w:b w:val="0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A6A52" w:rsidRPr="0018447B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lastRenderedPageBreak/>
              <w:t>2. Ciljevi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Koji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ciljevi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se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postižu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predloženim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propisom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Navesti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usklađenost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ovih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ciljeva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postojećim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strategijama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ili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programima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Vlade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,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ako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je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primjenljivo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</w:tc>
      </w:tr>
      <w:tr w:rsidR="00AA6A52" w:rsidRPr="0018447B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0553D" w:rsidRPr="0018447B" w:rsidRDefault="00E573A7" w:rsidP="00E573A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Osnovni cilj </w:t>
            </w:r>
            <w:r w:rsidR="0088789C">
              <w:rPr>
                <w:rFonts w:asciiTheme="majorHAnsi" w:hAnsiTheme="majorHAnsi" w:cs="Arial"/>
                <w:b w:val="0"/>
                <w:sz w:val="22"/>
                <w:szCs w:val="22"/>
              </w:rPr>
              <w:t>Predloga</w:t>
            </w:r>
            <w:r w:rsidRPr="0018447B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zakona o izmjenama i dopunama Zakona o poreskoj administraciji je usklađivanje nacionalnog zakona sa direktivama Evropske unije, a prije svega sa</w:t>
            </w:r>
            <w:r w:rsidR="00A0553D" w:rsidRPr="0018447B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Direktivom 2015/2376 u pogledu obvezne automatske razmjene informacija u oblasti oporezivanja, Direktivom 2018/822 u pogledu obvezne automatske razmjene informacija u oblasti oporezivanja u odnosu na prekogranične aranžmane o kojima se izvještava, te Direktivom 2025/872 o administrativnoj saradnji u području oporezivanja. </w:t>
            </w:r>
          </w:p>
          <w:p w:rsidR="00A951CC" w:rsidRPr="0018447B" w:rsidRDefault="00A0553D" w:rsidP="00A0553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Cs w:val="0"/>
                <w:color w:val="FF0000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Predlog zakona o izmjenama i dopunama Zakona o poreskoj administraciji je usklađen sa Programom rada Vlade Crne Gore za 2026. godinu. Utvrđivanje Predloga zakona o izmjenama i dopunama Zakona o poreskoj administraciji predviđeno je za II kvartal 2026. godine. </w:t>
            </w:r>
            <w:r w:rsidRPr="0018447B">
              <w:rPr>
                <w:rFonts w:asciiTheme="majorHAnsi" w:hAnsiTheme="majorHAnsi" w:cs="Arial"/>
                <w:bCs w:val="0"/>
                <w:color w:val="FF0000"/>
                <w:sz w:val="22"/>
                <w:szCs w:val="22"/>
              </w:rPr>
              <w:t xml:space="preserve">  </w:t>
            </w:r>
          </w:p>
        </w:tc>
      </w:tr>
      <w:tr w:rsidR="00AA6A52" w:rsidRPr="0018447B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3. Opcije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moguće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opcije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za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ispunjavanje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ciljeva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rješavanje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problema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 (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uvijek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treba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razmatrati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“status quo”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opciju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preporučljivo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je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uključiti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neregulatornu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opciju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,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osim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ako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postoji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obaveza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donošenja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predloženog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).</w:t>
            </w:r>
          </w:p>
          <w:p w:rsidR="00AA6A52" w:rsidRPr="0018447B" w:rsidRDefault="00AA6A52" w:rsidP="002230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629" w:hanging="357"/>
              <w:contextualSpacing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Obrazložiti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preferiranu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opciju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</w:tc>
      </w:tr>
      <w:tr w:rsidR="00AA6A52" w:rsidRPr="0018447B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104769" w:rsidRPr="0018447B" w:rsidRDefault="00104769" w:rsidP="00250C9E">
            <w:pPr>
              <w:spacing w:before="120" w:after="120"/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Opcije uključuju status quo, neregulatorne i regulatorne mjere </w:t>
            </w:r>
          </w:p>
          <w:p w:rsidR="00104769" w:rsidRPr="0018447B" w:rsidRDefault="00104769" w:rsidP="00250C9E">
            <w:pPr>
              <w:spacing w:before="120" w:after="120"/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„Status quo“ ne omogućava usklađivanje sa direktivama Evropske unije, te ista ne može donijeti željeni rezultat. </w:t>
            </w:r>
          </w:p>
          <w:p w:rsidR="00104769" w:rsidRPr="0018447B" w:rsidRDefault="00104769" w:rsidP="00250C9E">
            <w:pPr>
              <w:spacing w:before="120" w:after="120"/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Neregulatorne mjere nijesu efikasne imajući u vidu da se ciljevi zakona mogu ostvariti isključivo regulatornom metodom. </w:t>
            </w:r>
          </w:p>
          <w:p w:rsidR="0018447B" w:rsidRPr="0018447B" w:rsidRDefault="00104769" w:rsidP="00250C9E">
            <w:pPr>
              <w:spacing w:before="120" w:after="120"/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Regulatorna opcija je u ovom slučaju jedino moguća, imajući u vidu da neregulatorna opcija ne može rezultirati usklađivanjem Zakona o poreskoj administraciji sa direktivama Evropske unije. </w:t>
            </w:r>
          </w:p>
          <w:p w:rsidR="00032374" w:rsidRPr="0018447B" w:rsidRDefault="00104769" w:rsidP="00250C9E">
            <w:pPr>
              <w:spacing w:before="120" w:after="120"/>
              <w:jc w:val="both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b w:val="0"/>
                <w:bCs w:val="0"/>
                <w:color w:val="000000" w:themeColor="text1"/>
                <w:sz w:val="22"/>
                <w:szCs w:val="22"/>
              </w:rPr>
              <w:t>Preferirana opcija je regulatorna jer obezbjeđuje potpuno usklađivanje sa direktivama Evropske unije</w:t>
            </w:r>
            <w:r w:rsidR="0018447B" w:rsidRPr="0018447B">
              <w:rPr>
                <w:rFonts w:asciiTheme="majorHAnsi" w:hAnsiTheme="maj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, omogućava jasno definisanje obaveza i rokova, osigurava pravnu sigurnost i omogućava kontrolu i razmjenu informacija. </w:t>
            </w:r>
          </w:p>
        </w:tc>
      </w:tr>
      <w:tr w:rsidR="00AA6A52" w:rsidRPr="0018447B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18447B" w:rsidRDefault="00AA6A52" w:rsidP="004B19A6">
            <w:pPr>
              <w:autoSpaceDE w:val="0"/>
              <w:autoSpaceDN w:val="0"/>
              <w:adjustRightInd w:val="0"/>
              <w:spacing w:before="12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4. Analiza uticaja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Na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koga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će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kako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će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najvjerovatnije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uticati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rješenja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u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-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nabrojati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pozitivne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negativne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uticaje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,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direktne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indirektne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troškove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će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primjena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izazvati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građanima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privredi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(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naročito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malim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srednjim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preduzećima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).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pozitivne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posljedice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donošenja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opravdavaju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troškove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će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on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stvoriti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se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propisom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podržava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stvaranje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novih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privrednih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subjekata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tržištu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tržišna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konkurencija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AA6A52" w:rsidRPr="0018447B" w:rsidRDefault="00AA6A52" w:rsidP="004B1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629" w:hanging="357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Uključiti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procjenu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administrativnih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opterećenja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biznis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barijera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</w:tc>
      </w:tr>
      <w:tr w:rsidR="00AA6A52" w:rsidRPr="0018447B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CA41DB" w:rsidRPr="0088789C" w:rsidRDefault="00CA41DB" w:rsidP="00CA41DB">
            <w:pPr>
              <w:widowControl w:val="0"/>
              <w:spacing w:before="120"/>
              <w:jc w:val="both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Predlog zakona o izmjenama i dopunama Zakona o poreskoj administraciji pozitivno će uticati na:</w:t>
            </w:r>
          </w:p>
          <w:p w:rsidR="00CA41DB" w:rsidRPr="0088789C" w:rsidRDefault="00CA41DB" w:rsidP="00CA41DB">
            <w:pPr>
              <w:pStyle w:val="ListParagraph"/>
              <w:widowControl w:val="0"/>
              <w:numPr>
                <w:ilvl w:val="0"/>
                <w:numId w:val="25"/>
              </w:numPr>
              <w:spacing w:after="120"/>
              <w:jc w:val="both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povećanje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budžetskih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prihoda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,</w:t>
            </w:r>
          </w:p>
          <w:p w:rsidR="00CA41DB" w:rsidRPr="0088789C" w:rsidRDefault="00CA41DB" w:rsidP="00CA41DB">
            <w:pPr>
              <w:pStyle w:val="ListParagraph"/>
              <w:widowControl w:val="0"/>
              <w:numPr>
                <w:ilvl w:val="0"/>
                <w:numId w:val="25"/>
              </w:numPr>
              <w:spacing w:before="120" w:after="1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smanjenje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poreske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evazije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,</w:t>
            </w:r>
          </w:p>
          <w:p w:rsidR="00CA41DB" w:rsidRPr="0088789C" w:rsidRDefault="00CA41DB" w:rsidP="00CA41DB">
            <w:pPr>
              <w:pStyle w:val="ListParagraph"/>
              <w:widowControl w:val="0"/>
              <w:numPr>
                <w:ilvl w:val="0"/>
                <w:numId w:val="25"/>
              </w:numPr>
              <w:spacing w:before="120" w:after="1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jačanje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međunarodne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saradnje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Crne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Gore.</w:t>
            </w:r>
            <w:r w:rsidRPr="0088789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35782D" w:rsidRPr="0088789C" w:rsidRDefault="00CA41DB" w:rsidP="00CA41DB">
            <w:pPr>
              <w:widowControl w:val="0"/>
              <w:spacing w:before="120" w:after="120"/>
              <w:jc w:val="both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>Predlog zakona o izmjenama i dopunama Zakona o poreskoj administraciji neće prouzrokovati negativne efekte</w:t>
            </w:r>
            <w:r w:rsidR="0088789C" w:rsidRPr="0088789C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. </w:t>
            </w:r>
          </w:p>
        </w:tc>
      </w:tr>
      <w:tr w:rsidR="00AA6A52" w:rsidRPr="0018447B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5. Procjena fiskalnog uticaja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je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potrebno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obezbjeđenje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finansijskih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sredstava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iz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budžeta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Crne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Gore za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implementaciju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u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iznosu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lastRenderedPageBreak/>
              <w:t xml:space="preserve">Da li je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obezbjeđenje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finansijskih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sredstava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jednokratno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,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ili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tokom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određenog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vremenskog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perioda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? 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Obrazložiti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implementacijom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proizilaze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međunarodne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finansijske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obaveze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?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Obrazložiti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neophodna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finansijska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sredstva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obezbijeđena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u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budžetu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za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tekuću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fiskalnu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godinu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,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odnosno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da li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planirana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u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budžetu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za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narednu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fiskanu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godinu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je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usvajanjem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predviđeno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donošenje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podzakonskih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akata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iz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će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proisteći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finansijske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obaveze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  <w:r w:rsidR="003B0907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će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se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implementacijom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ostvariti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prihod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za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budžet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Crne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Gore?</w:t>
            </w:r>
          </w:p>
          <w:p w:rsidR="00AA6A52" w:rsidRPr="0018447B" w:rsidRDefault="00CC2439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</w:t>
            </w:r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brazložiti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metodologiju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koja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je </w:t>
            </w:r>
            <w:proofErr w:type="spellStart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korišćenja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prilikom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obračuna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finansijskih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izdataka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/</w:t>
            </w:r>
            <w:proofErr w:type="spellStart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prihoda</w:t>
            </w:r>
            <w:proofErr w:type="spellEnd"/>
            <w:r w:rsidR="00AA6A52"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postojali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problemi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u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preciznom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obračunu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finansijskih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izdataka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/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prihoda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?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Obrazložiti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postojale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sugestije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Ministarstva finansija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nacrt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/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predlog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?</w:t>
            </w:r>
          </w:p>
          <w:p w:rsidR="00AA6A52" w:rsidRPr="00FF61CB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Da li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dobijene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primjedbe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uključene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u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tekst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?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Obrazložiti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FF61CB" w:rsidRPr="0018447B" w:rsidRDefault="00FF61CB" w:rsidP="00FF61CB">
            <w:pPr>
              <w:pStyle w:val="ListParagraph"/>
              <w:ind w:left="630"/>
              <w:contextualSpacing w:val="0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</w:p>
        </w:tc>
      </w:tr>
      <w:tr w:rsidR="00AA6A52" w:rsidRPr="0018447B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88789C" w:rsidRPr="0088789C" w:rsidRDefault="0088789C" w:rsidP="00250C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Cs w:val="0"/>
                <w:sz w:val="22"/>
                <w:szCs w:val="22"/>
                <w:lang w:val="en-GB"/>
              </w:rPr>
            </w:pPr>
            <w:bookmarkStart w:id="1" w:name="_Hlk224650795"/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lastRenderedPageBreak/>
              <w:t>Implementacija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Predloga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zakona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izmjenama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i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dopunama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Zakona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poreskoj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administraciji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neće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zahtijevati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obezbjeđenje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finansijskih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sredstava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iz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budžeta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>Crne</w:t>
            </w:r>
            <w:proofErr w:type="spellEnd"/>
            <w:r w:rsidRPr="0088789C">
              <w:rPr>
                <w:rFonts w:asciiTheme="majorHAnsi" w:hAnsiTheme="majorHAnsi" w:cs="Arial"/>
                <w:b w:val="0"/>
                <w:sz w:val="22"/>
                <w:szCs w:val="22"/>
                <w:lang w:val="en-GB"/>
              </w:rPr>
              <w:t xml:space="preserve"> Gore.</w:t>
            </w:r>
          </w:p>
          <w:p w:rsidR="0088789C" w:rsidRPr="0088789C" w:rsidRDefault="0088789C" w:rsidP="00250C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Implemenacijom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Predloga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zakona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izmjenama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dopunama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Zakona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poreskoj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administraciji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neće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nastati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međunarodne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finansijske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obaveze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.</w:t>
            </w:r>
          </w:p>
          <w:p w:rsidR="0088789C" w:rsidRPr="0088789C" w:rsidRDefault="0088789C" w:rsidP="00250C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Usvajanjem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Predloga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zakona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izmjenama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dopunama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Zakona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poreskoj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administraciji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nije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predviđeno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donošenje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podzakonskih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akata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iz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kojih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će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proisteći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finansijske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obaveze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. </w:t>
            </w:r>
          </w:p>
          <w:p w:rsidR="00913DAB" w:rsidRPr="0088789C" w:rsidRDefault="0088789C" w:rsidP="008878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</w:pPr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Ministarstvo finansija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nije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imalo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primjedbi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na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Predlog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zakona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izmjenama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dopunama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Zakoa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poreskoj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>administraciji</w:t>
            </w:r>
            <w:proofErr w:type="spellEnd"/>
            <w:r w:rsidRPr="0088789C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en-GB"/>
              </w:rPr>
              <w:t xml:space="preserve">. </w:t>
            </w:r>
            <w:bookmarkEnd w:id="1"/>
          </w:p>
        </w:tc>
      </w:tr>
      <w:tr w:rsidR="00AA6A52" w:rsidRPr="0018447B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18447B" w:rsidRDefault="00AA6A52" w:rsidP="007C4A5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6. </w:t>
            </w:r>
            <w:r w:rsidRPr="0018447B"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  <w:t>K</w:t>
            </w:r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onsultacije zainteresovanih strana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Naznačiti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da li je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korišćena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eksterna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ekspertska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podrška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ako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da,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kako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AA6A52" w:rsidRPr="0018447B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Naznačiti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grupe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zainteresovanih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strana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konsultovane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, u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kojoj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fazi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RIA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procesa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kako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(javne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ili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ciljane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konsultacije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).</w:t>
            </w:r>
          </w:p>
          <w:p w:rsidR="00AA6A52" w:rsidRDefault="00AA6A52" w:rsidP="007C4A57">
            <w:pPr>
              <w:pStyle w:val="ListParagraph"/>
              <w:autoSpaceDE w:val="0"/>
              <w:autoSpaceDN w:val="0"/>
              <w:adjustRightInd w:val="0"/>
              <w:ind w:left="630"/>
              <w:jc w:val="both"/>
              <w:rPr>
                <w:rFonts w:asciiTheme="majorHAnsi" w:hAnsiTheme="majorHAnsi" w:cs="Arial"/>
                <w:b w:val="0"/>
                <w:bCs w:val="0"/>
                <w:color w:val="365F91" w:themeColor="accent1" w:themeShade="BF"/>
                <w:sz w:val="22"/>
                <w:szCs w:val="22"/>
              </w:rPr>
            </w:pP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Naznačiti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glavne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rezultate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konsultacija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,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koji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predlozi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sugestije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zainteresovanih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strana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prihvaćeni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odnosno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nijesu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prihvaćeni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. </w:t>
            </w:r>
            <w:proofErr w:type="spellStart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Obrazložiti</w:t>
            </w:r>
            <w:proofErr w:type="spellEnd"/>
            <w:r w:rsidRPr="0018447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.</w:t>
            </w:r>
          </w:p>
          <w:p w:rsidR="00FF61CB" w:rsidRPr="0018447B" w:rsidRDefault="00FF61CB" w:rsidP="007C4A57">
            <w:pPr>
              <w:pStyle w:val="ListParagraph"/>
              <w:autoSpaceDE w:val="0"/>
              <w:autoSpaceDN w:val="0"/>
              <w:adjustRightInd w:val="0"/>
              <w:ind w:left="630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 w:rsidR="00AA6A52" w:rsidRPr="0018447B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88789C" w:rsidRPr="009C43C1" w:rsidRDefault="0088789C" w:rsidP="008878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9C43C1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Prilikom pripreme Predloga zakona o izmjenama i dopunama Zakona o poreskoj administraciji nije korišćena eksterna ekspertska podrška, isti se odnosi na usklađivanje nacionalnog zakona sa direktivama Evropske unije, a prije svega sa Direktivom 2015/2376 u pogledu obvezne automatske razmjene informacija u oblasti oporezivanja, Direktivom 2018/822 u pogledu obvezne automatske razmjene informacija u oblasti oporezivanja u odnosu na prekogranične aranžmane o kojima se izvještava, te Direktivom 2025/872 o administrativnoj saradnji u području oporezivanja. </w:t>
            </w:r>
          </w:p>
          <w:p w:rsidR="00913DAB" w:rsidRPr="009C43C1" w:rsidRDefault="0088789C" w:rsidP="00250C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pl-PL"/>
              </w:rPr>
            </w:pPr>
            <w:r w:rsidRPr="009C43C1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pl-PL"/>
              </w:rPr>
              <w:t xml:space="preserve">Ministarstvo finansija </w:t>
            </w:r>
            <w:r w:rsidR="009C43C1" w:rsidRPr="009C43C1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pl-PL"/>
              </w:rPr>
              <w:t>u postupku izrade RIA obrasca nije sprovodilo formalno konsultovanje zainteresovanih strana, imajući u vidu da se predloženo zakonsko rješenje odnosi</w:t>
            </w:r>
            <w:r w:rsidR="006240E9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pl-PL"/>
              </w:rPr>
              <w:t xml:space="preserve"> pretežno</w:t>
            </w:r>
            <w:r w:rsidR="009C43C1" w:rsidRPr="009C43C1">
              <w:rPr>
                <w:rFonts w:asciiTheme="majorHAnsi" w:hAnsiTheme="majorHAnsi" w:cs="Arial"/>
                <w:b w:val="0"/>
                <w:bCs w:val="0"/>
                <w:sz w:val="22"/>
                <w:szCs w:val="22"/>
                <w:lang w:val="pl-PL"/>
              </w:rPr>
              <w:t xml:space="preserve"> na usklađivanje Zakona o poreskoj administraciji sa direktivama Evropske unije.  </w:t>
            </w:r>
          </w:p>
        </w:tc>
      </w:tr>
      <w:tr w:rsidR="005F49D4" w:rsidRPr="0018447B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5F49D4" w:rsidRPr="0018447B" w:rsidRDefault="005F49D4" w:rsidP="000A2FA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 w:val="0"/>
                <w:bCs w:val="0"/>
                <w:color w:val="365F9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7: Monitoring i evaluacija</w:t>
            </w:r>
          </w:p>
          <w:p w:rsidR="005F49D4" w:rsidRPr="0018447B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bCs w:val="0"/>
                <w:color w:val="365F91"/>
                <w:sz w:val="22"/>
                <w:szCs w:val="22"/>
                <w:lang w:val="pl-PL"/>
              </w:rPr>
            </w:pPr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  <w:lang w:val="pl-PL"/>
              </w:rPr>
              <w:t xml:space="preserve">Koje su potencijalne prepreke za implementaciju propisa? </w:t>
            </w:r>
          </w:p>
          <w:p w:rsidR="005F49D4" w:rsidRPr="0018447B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bCs w:val="0"/>
                <w:color w:val="365F91"/>
                <w:sz w:val="22"/>
                <w:szCs w:val="22"/>
                <w:lang w:val="pl-PL"/>
              </w:rPr>
            </w:pPr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  <w:lang w:val="pl-PL"/>
              </w:rPr>
              <w:t>Koje će mjere biti preduzete tokom primjene propisa da bi se ispunili ciljevi?</w:t>
            </w:r>
          </w:p>
          <w:p w:rsidR="005F49D4" w:rsidRPr="0018447B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bCs w:val="0"/>
                <w:color w:val="365F91"/>
                <w:sz w:val="22"/>
                <w:szCs w:val="22"/>
                <w:lang w:val="pl-PL"/>
              </w:rPr>
            </w:pPr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  <w:lang w:val="pl-PL"/>
              </w:rPr>
              <w:t>Koji su glavni indikatori prema kojima će se mjeriti ispunjenje ciljeva?</w:t>
            </w:r>
          </w:p>
          <w:p w:rsidR="005F49D4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bCs w:val="0"/>
                <w:color w:val="365F91"/>
                <w:sz w:val="22"/>
                <w:szCs w:val="22"/>
              </w:rPr>
            </w:pPr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Ko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će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biti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zadužen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 za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sprovođenje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monitoringa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i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evaluacije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primjene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propisa</w:t>
            </w:r>
            <w:proofErr w:type="spellEnd"/>
            <w:r w:rsidRPr="0018447B">
              <w:rPr>
                <w:rFonts w:asciiTheme="majorHAnsi" w:hAnsiTheme="majorHAnsi" w:cs="Arial"/>
                <w:color w:val="365F91"/>
                <w:sz w:val="22"/>
                <w:szCs w:val="22"/>
              </w:rPr>
              <w:t>?</w:t>
            </w:r>
          </w:p>
          <w:p w:rsidR="00FF61CB" w:rsidRPr="0018447B" w:rsidRDefault="00FF61CB" w:rsidP="00FF61CB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ajorHAnsi" w:hAnsiTheme="majorHAnsi" w:cs="Arial"/>
                <w:b w:val="0"/>
                <w:bCs w:val="0"/>
                <w:color w:val="365F91"/>
                <w:sz w:val="22"/>
                <w:szCs w:val="22"/>
              </w:rPr>
            </w:pPr>
          </w:p>
        </w:tc>
      </w:tr>
      <w:tr w:rsidR="005F49D4" w:rsidRPr="0018447B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C05C0B" w:rsidRPr="006240E9" w:rsidRDefault="009C43C1" w:rsidP="00250C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 w:rsidRPr="006240E9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Potencijalne prepreke uključuju nedovoljne tehničke i IT kapacitete za obradu i razmjenu velikog obima podataka, te nedostatak obučenog kadra za primjenu složenih pravila koja proizlaze iz EU direktiva. </w:t>
            </w:r>
          </w:p>
          <w:p w:rsidR="006240E9" w:rsidRPr="006240E9" w:rsidRDefault="009C43C1" w:rsidP="00250C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 w:rsidRPr="006240E9">
              <w:rPr>
                <w:rFonts w:asciiTheme="majorHAnsi" w:hAnsiTheme="majorHAnsi" w:cs="Arial"/>
                <w:b w:val="0"/>
                <w:sz w:val="22"/>
                <w:szCs w:val="22"/>
              </w:rPr>
              <w:t>U cilju ispunjenja postavljenih ciljeva</w:t>
            </w:r>
            <w:r w:rsidR="006240E9" w:rsidRPr="006240E9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razvijaće se i unapređivati</w:t>
            </w:r>
            <w:r w:rsidRPr="006240E9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IT sistemi za elektronsku razmjenu informacija sa drugim državama</w:t>
            </w:r>
            <w:r w:rsidR="006240E9" w:rsidRPr="006240E9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, a uporedo će biti vršene edukacije zaposlenih koji će </w:t>
            </w:r>
            <w:r w:rsidR="006240E9" w:rsidRPr="006240E9">
              <w:rPr>
                <w:rFonts w:asciiTheme="majorHAnsi" w:hAnsiTheme="majorHAnsi" w:cs="Arial"/>
                <w:b w:val="0"/>
                <w:sz w:val="22"/>
                <w:szCs w:val="22"/>
              </w:rPr>
              <w:lastRenderedPageBreak/>
              <w:t xml:space="preserve">vršiti primjenu predloženog zakonskog rješenja. </w:t>
            </w:r>
          </w:p>
          <w:p w:rsidR="009C43C1" w:rsidRPr="006240E9" w:rsidRDefault="006240E9" w:rsidP="00250C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 w:rsidRPr="006240E9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Ispunjenje ciljeva će biti praćeni, prije svega, prema broju i kvalitetu razmijenjenih informacija sa drugim državama, te u broju otkrivenih slučajeva poreske evazije. </w:t>
            </w:r>
          </w:p>
          <w:p w:rsidR="006240E9" w:rsidRPr="0018447B" w:rsidRDefault="006240E9" w:rsidP="00250C9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 w:val="0"/>
                <w:color w:val="FF0000"/>
                <w:sz w:val="22"/>
                <w:szCs w:val="22"/>
              </w:rPr>
            </w:pPr>
            <w:r w:rsidRPr="006240E9">
              <w:rPr>
                <w:rFonts w:asciiTheme="majorHAnsi" w:hAnsiTheme="majorHAnsi" w:cs="Arial"/>
                <w:b w:val="0"/>
                <w:sz w:val="22"/>
                <w:szCs w:val="22"/>
              </w:rPr>
              <w:t>Za primjenu predloženog propisa će biti zadužena Poreska uprava, a Ministarstvo finansija će vršiti nadzor nad postupanjem nadležnog poreskog organa.</w:t>
            </w:r>
          </w:p>
        </w:tc>
      </w:tr>
    </w:tbl>
    <w:p w:rsidR="00AA6A52" w:rsidRPr="0018447B" w:rsidRDefault="00AA6A52" w:rsidP="00EB4DF5">
      <w:pPr>
        <w:autoSpaceDE w:val="0"/>
        <w:autoSpaceDN w:val="0"/>
        <w:adjustRightInd w:val="0"/>
        <w:rPr>
          <w:rFonts w:asciiTheme="majorHAnsi" w:hAnsiTheme="majorHAnsi" w:cs="Arial"/>
          <w:b/>
          <w:sz w:val="22"/>
          <w:szCs w:val="22"/>
        </w:rPr>
      </w:pPr>
    </w:p>
    <w:p w:rsidR="00962B1F" w:rsidRPr="0018447B" w:rsidRDefault="00962B1F" w:rsidP="00962B1F">
      <w:pPr>
        <w:rPr>
          <w:rFonts w:asciiTheme="majorHAnsi" w:hAnsiTheme="majorHAnsi" w:cs="Arial"/>
          <w:b/>
          <w:sz w:val="22"/>
          <w:szCs w:val="22"/>
        </w:rPr>
      </w:pPr>
      <w:r w:rsidRPr="0018447B">
        <w:rPr>
          <w:rFonts w:asciiTheme="majorHAnsi" w:hAnsiTheme="majorHAnsi" w:cs="Arial"/>
          <w:b/>
          <w:sz w:val="22"/>
          <w:szCs w:val="22"/>
        </w:rPr>
        <w:t>Datum i mjesto</w:t>
      </w:r>
      <w:r w:rsidRPr="0018447B">
        <w:rPr>
          <w:rFonts w:asciiTheme="majorHAnsi" w:hAnsiTheme="majorHAnsi" w:cs="Arial"/>
          <w:b/>
          <w:sz w:val="22"/>
          <w:szCs w:val="22"/>
        </w:rPr>
        <w:tab/>
      </w:r>
      <w:r w:rsidRPr="0018447B">
        <w:rPr>
          <w:rFonts w:asciiTheme="majorHAnsi" w:hAnsiTheme="majorHAnsi" w:cs="Arial"/>
          <w:b/>
          <w:sz w:val="22"/>
          <w:szCs w:val="22"/>
        </w:rPr>
        <w:tab/>
      </w:r>
      <w:r w:rsidRPr="0018447B">
        <w:rPr>
          <w:rFonts w:asciiTheme="majorHAnsi" w:hAnsiTheme="majorHAnsi" w:cs="Arial"/>
          <w:b/>
          <w:sz w:val="22"/>
          <w:szCs w:val="22"/>
        </w:rPr>
        <w:tab/>
      </w:r>
      <w:r w:rsidRPr="0018447B">
        <w:rPr>
          <w:rFonts w:asciiTheme="majorHAnsi" w:hAnsiTheme="majorHAnsi" w:cs="Arial"/>
          <w:b/>
          <w:sz w:val="22"/>
          <w:szCs w:val="22"/>
        </w:rPr>
        <w:tab/>
      </w:r>
      <w:r w:rsidRPr="0018447B">
        <w:rPr>
          <w:rFonts w:asciiTheme="majorHAnsi" w:hAnsiTheme="majorHAnsi" w:cs="Arial"/>
          <w:b/>
          <w:sz w:val="22"/>
          <w:szCs w:val="22"/>
        </w:rPr>
        <w:tab/>
      </w:r>
      <w:r w:rsidRPr="0018447B">
        <w:rPr>
          <w:rFonts w:asciiTheme="majorHAnsi" w:hAnsiTheme="majorHAnsi" w:cs="Arial"/>
          <w:b/>
          <w:sz w:val="22"/>
          <w:szCs w:val="22"/>
        </w:rPr>
        <w:tab/>
        <w:t xml:space="preserve">                                   Starješina </w:t>
      </w:r>
    </w:p>
    <w:p w:rsidR="00962B1F" w:rsidRPr="0018447B" w:rsidRDefault="00962B1F" w:rsidP="00962B1F">
      <w:pPr>
        <w:rPr>
          <w:rFonts w:asciiTheme="majorHAnsi" w:hAnsiTheme="majorHAnsi" w:cs="Arial"/>
          <w:sz w:val="22"/>
          <w:szCs w:val="22"/>
        </w:rPr>
      </w:pPr>
      <w:r w:rsidRPr="0018447B">
        <w:rPr>
          <w:rFonts w:asciiTheme="majorHAnsi" w:hAnsiTheme="majorHAnsi" w:cs="Arial"/>
          <w:sz w:val="22"/>
          <w:szCs w:val="22"/>
        </w:rPr>
        <w:t xml:space="preserve">Podgorica, </w:t>
      </w:r>
      <w:r w:rsidR="00250C9E" w:rsidRPr="0018447B">
        <w:rPr>
          <w:rFonts w:asciiTheme="majorHAnsi" w:hAnsiTheme="majorHAnsi" w:cs="Arial"/>
          <w:sz w:val="22"/>
          <w:szCs w:val="22"/>
        </w:rPr>
        <w:t>20</w:t>
      </w:r>
      <w:r w:rsidRPr="0018447B">
        <w:rPr>
          <w:rFonts w:asciiTheme="majorHAnsi" w:hAnsiTheme="majorHAnsi" w:cs="Arial"/>
          <w:sz w:val="22"/>
          <w:szCs w:val="22"/>
        </w:rPr>
        <w:t>. april 2026. godine</w:t>
      </w:r>
      <w:r w:rsidRPr="0018447B">
        <w:rPr>
          <w:rFonts w:asciiTheme="majorHAnsi" w:hAnsiTheme="majorHAnsi" w:cs="Arial"/>
          <w:sz w:val="22"/>
          <w:szCs w:val="22"/>
        </w:rPr>
        <w:tab/>
      </w:r>
      <w:r w:rsidRPr="0018447B">
        <w:rPr>
          <w:rFonts w:asciiTheme="majorHAnsi" w:hAnsiTheme="majorHAnsi" w:cs="Arial"/>
          <w:b/>
          <w:sz w:val="22"/>
          <w:szCs w:val="22"/>
        </w:rPr>
        <w:t xml:space="preserve">                                                      </w:t>
      </w:r>
      <w:r w:rsidR="009C43C1">
        <w:rPr>
          <w:rFonts w:asciiTheme="majorHAnsi" w:hAnsiTheme="majorHAnsi" w:cs="Arial"/>
          <w:b/>
          <w:sz w:val="22"/>
          <w:szCs w:val="22"/>
        </w:rPr>
        <w:t xml:space="preserve">                 </w:t>
      </w:r>
      <w:r w:rsidRPr="0018447B">
        <w:rPr>
          <w:rFonts w:asciiTheme="majorHAnsi" w:hAnsiTheme="majorHAnsi" w:cs="Arial"/>
          <w:b/>
          <w:sz w:val="22"/>
          <w:szCs w:val="22"/>
        </w:rPr>
        <w:t>mr Novica Vuković</w:t>
      </w:r>
      <w:r w:rsidRPr="0018447B">
        <w:rPr>
          <w:rFonts w:asciiTheme="majorHAnsi" w:hAnsiTheme="majorHAnsi" w:cs="Arial"/>
          <w:b/>
          <w:sz w:val="22"/>
          <w:szCs w:val="22"/>
        </w:rPr>
        <w:tab/>
      </w:r>
    </w:p>
    <w:p w:rsidR="00962B1F" w:rsidRPr="0018447B" w:rsidRDefault="00962B1F" w:rsidP="00962B1F">
      <w:pPr>
        <w:rPr>
          <w:rFonts w:asciiTheme="majorHAnsi" w:hAnsiTheme="majorHAnsi" w:cs="Arial"/>
          <w:sz w:val="22"/>
          <w:szCs w:val="22"/>
        </w:rPr>
      </w:pPr>
    </w:p>
    <w:sectPr w:rsidR="00962B1F" w:rsidRPr="0018447B" w:rsidSect="00835E1A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455"/>
    <w:multiLevelType w:val="hybridMultilevel"/>
    <w:tmpl w:val="9DCE76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444"/>
    <w:multiLevelType w:val="hybridMultilevel"/>
    <w:tmpl w:val="AB80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E71"/>
    <w:multiLevelType w:val="hybridMultilevel"/>
    <w:tmpl w:val="F5F6A56C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8BE"/>
    <w:multiLevelType w:val="hybridMultilevel"/>
    <w:tmpl w:val="A3D23154"/>
    <w:lvl w:ilvl="0" w:tplc="2FD42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2F9E"/>
    <w:multiLevelType w:val="hybridMultilevel"/>
    <w:tmpl w:val="0B32E09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6ED9"/>
    <w:multiLevelType w:val="hybridMultilevel"/>
    <w:tmpl w:val="79D664BA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52D9A"/>
    <w:multiLevelType w:val="hybridMultilevel"/>
    <w:tmpl w:val="4EFEF0F2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4CE9"/>
    <w:multiLevelType w:val="hybridMultilevel"/>
    <w:tmpl w:val="E460CB1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58BD"/>
    <w:multiLevelType w:val="hybridMultilevel"/>
    <w:tmpl w:val="4ABC959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C63333C"/>
    <w:multiLevelType w:val="hybridMultilevel"/>
    <w:tmpl w:val="96303E1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3253E"/>
    <w:multiLevelType w:val="hybridMultilevel"/>
    <w:tmpl w:val="C9123A82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44C0D"/>
    <w:multiLevelType w:val="hybridMultilevel"/>
    <w:tmpl w:val="A67C9146"/>
    <w:lvl w:ilvl="0" w:tplc="0394A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2709D"/>
    <w:multiLevelType w:val="hybridMultilevel"/>
    <w:tmpl w:val="F274E8E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A0FD3"/>
    <w:multiLevelType w:val="hybridMultilevel"/>
    <w:tmpl w:val="7E02AF6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236F5"/>
    <w:multiLevelType w:val="hybridMultilevel"/>
    <w:tmpl w:val="5AFE3C7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7394B"/>
    <w:multiLevelType w:val="hybridMultilevel"/>
    <w:tmpl w:val="7B888BD8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C36BE"/>
    <w:multiLevelType w:val="hybridMultilevel"/>
    <w:tmpl w:val="BDC48F3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96B1B"/>
    <w:multiLevelType w:val="hybridMultilevel"/>
    <w:tmpl w:val="C00AF66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0031C"/>
    <w:multiLevelType w:val="hybridMultilevel"/>
    <w:tmpl w:val="FB68501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E771F"/>
    <w:multiLevelType w:val="hybridMultilevel"/>
    <w:tmpl w:val="3FD058C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377FB"/>
    <w:multiLevelType w:val="hybridMultilevel"/>
    <w:tmpl w:val="4D9CABF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D5D80"/>
    <w:multiLevelType w:val="hybridMultilevel"/>
    <w:tmpl w:val="5BBA857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4228F"/>
    <w:multiLevelType w:val="hybridMultilevel"/>
    <w:tmpl w:val="241CAF6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125B"/>
    <w:multiLevelType w:val="hybridMultilevel"/>
    <w:tmpl w:val="A9BC296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1"/>
  </w:num>
  <w:num w:numId="4">
    <w:abstractNumId w:val="8"/>
  </w:num>
  <w:num w:numId="5">
    <w:abstractNumId w:val="0"/>
  </w:num>
  <w:num w:numId="6">
    <w:abstractNumId w:val="24"/>
  </w:num>
  <w:num w:numId="7">
    <w:abstractNumId w:val="16"/>
  </w:num>
  <w:num w:numId="8">
    <w:abstractNumId w:val="17"/>
  </w:num>
  <w:num w:numId="9">
    <w:abstractNumId w:val="15"/>
  </w:num>
  <w:num w:numId="10">
    <w:abstractNumId w:val="18"/>
  </w:num>
  <w:num w:numId="11">
    <w:abstractNumId w:val="2"/>
  </w:num>
  <w:num w:numId="12">
    <w:abstractNumId w:val="23"/>
  </w:num>
  <w:num w:numId="13">
    <w:abstractNumId w:val="19"/>
  </w:num>
  <w:num w:numId="14">
    <w:abstractNumId w:val="13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14"/>
  </w:num>
  <w:num w:numId="20">
    <w:abstractNumId w:val="5"/>
  </w:num>
  <w:num w:numId="21">
    <w:abstractNumId w:val="10"/>
  </w:num>
  <w:num w:numId="22">
    <w:abstractNumId w:val="4"/>
  </w:num>
  <w:num w:numId="23">
    <w:abstractNumId w:val="1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A52"/>
    <w:rsid w:val="0000375C"/>
    <w:rsid w:val="00004A2B"/>
    <w:rsid w:val="0001442D"/>
    <w:rsid w:val="000148EA"/>
    <w:rsid w:val="00022659"/>
    <w:rsid w:val="00032374"/>
    <w:rsid w:val="00085D90"/>
    <w:rsid w:val="0008681B"/>
    <w:rsid w:val="00093AC9"/>
    <w:rsid w:val="000B588B"/>
    <w:rsid w:val="000C1875"/>
    <w:rsid w:val="000C6B75"/>
    <w:rsid w:val="000D69BE"/>
    <w:rsid w:val="000E4232"/>
    <w:rsid w:val="000E7989"/>
    <w:rsid w:val="00101A09"/>
    <w:rsid w:val="00104769"/>
    <w:rsid w:val="00107725"/>
    <w:rsid w:val="001130F3"/>
    <w:rsid w:val="001250AF"/>
    <w:rsid w:val="00133BEC"/>
    <w:rsid w:val="001413CF"/>
    <w:rsid w:val="00141E3F"/>
    <w:rsid w:val="00143470"/>
    <w:rsid w:val="00172421"/>
    <w:rsid w:val="0018447B"/>
    <w:rsid w:val="001A451D"/>
    <w:rsid w:val="001D5842"/>
    <w:rsid w:val="001E0997"/>
    <w:rsid w:val="001F364A"/>
    <w:rsid w:val="001F7032"/>
    <w:rsid w:val="001F7547"/>
    <w:rsid w:val="00206681"/>
    <w:rsid w:val="00214217"/>
    <w:rsid w:val="00223062"/>
    <w:rsid w:val="002315DB"/>
    <w:rsid w:val="002336F0"/>
    <w:rsid w:val="00235EE7"/>
    <w:rsid w:val="00243907"/>
    <w:rsid w:val="00250C9E"/>
    <w:rsid w:val="00256FEC"/>
    <w:rsid w:val="00263704"/>
    <w:rsid w:val="00270494"/>
    <w:rsid w:val="002723E1"/>
    <w:rsid w:val="00290405"/>
    <w:rsid w:val="002946D5"/>
    <w:rsid w:val="00295CF1"/>
    <w:rsid w:val="00296D48"/>
    <w:rsid w:val="002A240D"/>
    <w:rsid w:val="002A3CD2"/>
    <w:rsid w:val="002B0B79"/>
    <w:rsid w:val="002B58F0"/>
    <w:rsid w:val="002B71D7"/>
    <w:rsid w:val="002B7609"/>
    <w:rsid w:val="002C66D1"/>
    <w:rsid w:val="002E224B"/>
    <w:rsid w:val="002E3DCA"/>
    <w:rsid w:val="002F4428"/>
    <w:rsid w:val="003178C0"/>
    <w:rsid w:val="003246DA"/>
    <w:rsid w:val="00352E55"/>
    <w:rsid w:val="003573F6"/>
    <w:rsid w:val="0035782D"/>
    <w:rsid w:val="00380DF5"/>
    <w:rsid w:val="0039183B"/>
    <w:rsid w:val="00394D7E"/>
    <w:rsid w:val="00395688"/>
    <w:rsid w:val="003A66F0"/>
    <w:rsid w:val="003B0907"/>
    <w:rsid w:val="003B6D87"/>
    <w:rsid w:val="003B7EC7"/>
    <w:rsid w:val="003D1837"/>
    <w:rsid w:val="003D6DC5"/>
    <w:rsid w:val="003E74D2"/>
    <w:rsid w:val="003F678D"/>
    <w:rsid w:val="0042091E"/>
    <w:rsid w:val="00430331"/>
    <w:rsid w:val="004310D4"/>
    <w:rsid w:val="0043790F"/>
    <w:rsid w:val="00452F86"/>
    <w:rsid w:val="004669AC"/>
    <w:rsid w:val="00470E74"/>
    <w:rsid w:val="00481B95"/>
    <w:rsid w:val="00483591"/>
    <w:rsid w:val="004866DA"/>
    <w:rsid w:val="004A431B"/>
    <w:rsid w:val="004B19A6"/>
    <w:rsid w:val="004C300B"/>
    <w:rsid w:val="004E23C8"/>
    <w:rsid w:val="004E2AAB"/>
    <w:rsid w:val="0050608C"/>
    <w:rsid w:val="00512F49"/>
    <w:rsid w:val="00517AFA"/>
    <w:rsid w:val="00543960"/>
    <w:rsid w:val="00547537"/>
    <w:rsid w:val="00551D20"/>
    <w:rsid w:val="00564CF0"/>
    <w:rsid w:val="00592400"/>
    <w:rsid w:val="005954B8"/>
    <w:rsid w:val="005A2855"/>
    <w:rsid w:val="005A288C"/>
    <w:rsid w:val="005A3F4F"/>
    <w:rsid w:val="005A746E"/>
    <w:rsid w:val="005B24B1"/>
    <w:rsid w:val="005C403B"/>
    <w:rsid w:val="005C4150"/>
    <w:rsid w:val="005C4409"/>
    <w:rsid w:val="005E0BDA"/>
    <w:rsid w:val="005E2CC3"/>
    <w:rsid w:val="005E73E0"/>
    <w:rsid w:val="005F0200"/>
    <w:rsid w:val="005F0F2F"/>
    <w:rsid w:val="005F167B"/>
    <w:rsid w:val="005F3C86"/>
    <w:rsid w:val="005F49D4"/>
    <w:rsid w:val="00613656"/>
    <w:rsid w:val="006240E9"/>
    <w:rsid w:val="00624105"/>
    <w:rsid w:val="00637425"/>
    <w:rsid w:val="0066028B"/>
    <w:rsid w:val="006669D1"/>
    <w:rsid w:val="00666B0F"/>
    <w:rsid w:val="00677AB3"/>
    <w:rsid w:val="00696431"/>
    <w:rsid w:val="006A2B10"/>
    <w:rsid w:val="006A7D66"/>
    <w:rsid w:val="006B55C0"/>
    <w:rsid w:val="006C1DDC"/>
    <w:rsid w:val="006C314C"/>
    <w:rsid w:val="006C4C96"/>
    <w:rsid w:val="006E5A20"/>
    <w:rsid w:val="006F10C9"/>
    <w:rsid w:val="00707730"/>
    <w:rsid w:val="00707CDB"/>
    <w:rsid w:val="00712589"/>
    <w:rsid w:val="00716C1A"/>
    <w:rsid w:val="00720D06"/>
    <w:rsid w:val="00725EE3"/>
    <w:rsid w:val="00745FB7"/>
    <w:rsid w:val="00766398"/>
    <w:rsid w:val="007719D4"/>
    <w:rsid w:val="00795FF9"/>
    <w:rsid w:val="007A6B4F"/>
    <w:rsid w:val="007A7030"/>
    <w:rsid w:val="007C4A57"/>
    <w:rsid w:val="007D19B8"/>
    <w:rsid w:val="007D611E"/>
    <w:rsid w:val="007F0FE4"/>
    <w:rsid w:val="007F4876"/>
    <w:rsid w:val="008065FD"/>
    <w:rsid w:val="008101AA"/>
    <w:rsid w:val="00813843"/>
    <w:rsid w:val="00821E52"/>
    <w:rsid w:val="00826739"/>
    <w:rsid w:val="00830297"/>
    <w:rsid w:val="00835E1A"/>
    <w:rsid w:val="00866B48"/>
    <w:rsid w:val="00884FEB"/>
    <w:rsid w:val="008857B6"/>
    <w:rsid w:val="0088789C"/>
    <w:rsid w:val="00887BC4"/>
    <w:rsid w:val="0089059C"/>
    <w:rsid w:val="008A53C5"/>
    <w:rsid w:val="008A6ECF"/>
    <w:rsid w:val="008B5DB4"/>
    <w:rsid w:val="008B6D40"/>
    <w:rsid w:val="008D7468"/>
    <w:rsid w:val="008F520B"/>
    <w:rsid w:val="00900B0B"/>
    <w:rsid w:val="00913DAB"/>
    <w:rsid w:val="009300D1"/>
    <w:rsid w:val="00931D53"/>
    <w:rsid w:val="00935A42"/>
    <w:rsid w:val="00945B35"/>
    <w:rsid w:val="00962B1F"/>
    <w:rsid w:val="0097272F"/>
    <w:rsid w:val="00975FC8"/>
    <w:rsid w:val="00993617"/>
    <w:rsid w:val="009A530D"/>
    <w:rsid w:val="009A7967"/>
    <w:rsid w:val="009B78C7"/>
    <w:rsid w:val="009C0898"/>
    <w:rsid w:val="009C43C1"/>
    <w:rsid w:val="009D1221"/>
    <w:rsid w:val="009D36BD"/>
    <w:rsid w:val="009F6710"/>
    <w:rsid w:val="009F6AA5"/>
    <w:rsid w:val="009F71D7"/>
    <w:rsid w:val="00A0553D"/>
    <w:rsid w:val="00A229DF"/>
    <w:rsid w:val="00A248C2"/>
    <w:rsid w:val="00A4156B"/>
    <w:rsid w:val="00A6112A"/>
    <w:rsid w:val="00A64479"/>
    <w:rsid w:val="00A86B73"/>
    <w:rsid w:val="00A93C09"/>
    <w:rsid w:val="00A951CC"/>
    <w:rsid w:val="00AA5801"/>
    <w:rsid w:val="00AA6A52"/>
    <w:rsid w:val="00AB3AAD"/>
    <w:rsid w:val="00AB5E31"/>
    <w:rsid w:val="00AD3466"/>
    <w:rsid w:val="00AD5200"/>
    <w:rsid w:val="00AE0B20"/>
    <w:rsid w:val="00AE18D3"/>
    <w:rsid w:val="00AF61BA"/>
    <w:rsid w:val="00B04415"/>
    <w:rsid w:val="00B05089"/>
    <w:rsid w:val="00B472F6"/>
    <w:rsid w:val="00B62088"/>
    <w:rsid w:val="00B66782"/>
    <w:rsid w:val="00B70D26"/>
    <w:rsid w:val="00B74CF7"/>
    <w:rsid w:val="00B756C4"/>
    <w:rsid w:val="00B8024B"/>
    <w:rsid w:val="00B87B07"/>
    <w:rsid w:val="00BB4BB6"/>
    <w:rsid w:val="00BC1474"/>
    <w:rsid w:val="00BD11FF"/>
    <w:rsid w:val="00BD3147"/>
    <w:rsid w:val="00BE482C"/>
    <w:rsid w:val="00BF5894"/>
    <w:rsid w:val="00C050AB"/>
    <w:rsid w:val="00C05C0B"/>
    <w:rsid w:val="00C169AD"/>
    <w:rsid w:val="00C16CCA"/>
    <w:rsid w:val="00C454E9"/>
    <w:rsid w:val="00C46384"/>
    <w:rsid w:val="00C51A68"/>
    <w:rsid w:val="00C60172"/>
    <w:rsid w:val="00C73330"/>
    <w:rsid w:val="00C76BE5"/>
    <w:rsid w:val="00C87B35"/>
    <w:rsid w:val="00C97E5A"/>
    <w:rsid w:val="00CA41DB"/>
    <w:rsid w:val="00CB093D"/>
    <w:rsid w:val="00CC2439"/>
    <w:rsid w:val="00CC5C43"/>
    <w:rsid w:val="00CC7A2B"/>
    <w:rsid w:val="00CE4722"/>
    <w:rsid w:val="00CE5535"/>
    <w:rsid w:val="00CF4277"/>
    <w:rsid w:val="00CF6482"/>
    <w:rsid w:val="00D00FDF"/>
    <w:rsid w:val="00D131AA"/>
    <w:rsid w:val="00D25646"/>
    <w:rsid w:val="00D40531"/>
    <w:rsid w:val="00D456D5"/>
    <w:rsid w:val="00D835E8"/>
    <w:rsid w:val="00D94EC1"/>
    <w:rsid w:val="00DC6AB2"/>
    <w:rsid w:val="00DD4A45"/>
    <w:rsid w:val="00DF29C0"/>
    <w:rsid w:val="00DF3406"/>
    <w:rsid w:val="00E112E4"/>
    <w:rsid w:val="00E12983"/>
    <w:rsid w:val="00E22FAF"/>
    <w:rsid w:val="00E31CD1"/>
    <w:rsid w:val="00E338D7"/>
    <w:rsid w:val="00E451EE"/>
    <w:rsid w:val="00E454F0"/>
    <w:rsid w:val="00E56865"/>
    <w:rsid w:val="00E573A7"/>
    <w:rsid w:val="00E62569"/>
    <w:rsid w:val="00E65AAD"/>
    <w:rsid w:val="00E73D2C"/>
    <w:rsid w:val="00E828BC"/>
    <w:rsid w:val="00EA45C1"/>
    <w:rsid w:val="00EB4DF5"/>
    <w:rsid w:val="00EC2713"/>
    <w:rsid w:val="00F0401F"/>
    <w:rsid w:val="00F1001F"/>
    <w:rsid w:val="00F30352"/>
    <w:rsid w:val="00F44A80"/>
    <w:rsid w:val="00F470BB"/>
    <w:rsid w:val="00F57AE1"/>
    <w:rsid w:val="00F66BF9"/>
    <w:rsid w:val="00F66E44"/>
    <w:rsid w:val="00F81CC7"/>
    <w:rsid w:val="00F90303"/>
    <w:rsid w:val="00FA6156"/>
    <w:rsid w:val="00FC59C6"/>
    <w:rsid w:val="00FE13AF"/>
    <w:rsid w:val="00FE6087"/>
    <w:rsid w:val="00FF2F9A"/>
    <w:rsid w:val="00FF3B95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86DE"/>
  <w15:docId w15:val="{62810549-E688-40FC-91B7-C04C907E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6A52"/>
    <w:pPr>
      <w:ind w:left="720"/>
      <w:contextualSpacing/>
    </w:pPr>
    <w:rPr>
      <w:lang w:val="en-US"/>
    </w:rPr>
  </w:style>
  <w:style w:type="table" w:styleId="LightGrid-Accent5">
    <w:name w:val="Light Grid Accent 5"/>
    <w:basedOn w:val="TableNormal"/>
    <w:uiPriority w:val="62"/>
    <w:rsid w:val="00AA6A5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qFormat/>
    <w:rsid w:val="00FF2F9A"/>
    <w:rPr>
      <w:b/>
      <w:bCs/>
    </w:rPr>
  </w:style>
  <w:style w:type="paragraph" w:styleId="NormalWeb">
    <w:name w:val="Normal (Web)"/>
    <w:basedOn w:val="Normal"/>
    <w:rsid w:val="00FF2F9A"/>
    <w:pPr>
      <w:spacing w:before="100" w:beforeAutospacing="1" w:after="100" w:afterAutospacing="1"/>
    </w:pPr>
    <w:rPr>
      <w:rFonts w:ascii="Verdana" w:hAnsi="Verdana"/>
      <w:sz w:val="20"/>
      <w:szCs w:val="20"/>
      <w:lang w:val="en-GB"/>
    </w:rPr>
  </w:style>
  <w:style w:type="paragraph" w:styleId="NoSpacing">
    <w:name w:val="No Spacing"/>
    <w:uiPriority w:val="1"/>
    <w:qFormat/>
    <w:rsid w:val="002439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r-Latn-ME"/>
    </w:rPr>
  </w:style>
  <w:style w:type="character" w:customStyle="1" w:styleId="DefaultParagraphFont0">
    <w:name w:val="DefaultParagraphFont"/>
    <w:rsid w:val="005E0BDA"/>
  </w:style>
  <w:style w:type="paragraph" w:customStyle="1" w:styleId="C30X">
    <w:name w:val="C30X"/>
    <w:basedOn w:val="Normal"/>
    <w:uiPriority w:val="99"/>
    <w:rsid w:val="003D6DC5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sr-Latn-ME" w:eastAsia="sr-Latn-ME"/>
    </w:rPr>
  </w:style>
  <w:style w:type="paragraph" w:customStyle="1" w:styleId="T30X">
    <w:name w:val="T30X"/>
    <w:basedOn w:val="Normal"/>
    <w:uiPriority w:val="99"/>
    <w:rsid w:val="00F66BF9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AB"/>
    <w:rPr>
      <w:rFonts w:ascii="Tahoma" w:eastAsia="Times New Roman" w:hAnsi="Tahoma" w:cs="Tahoma"/>
      <w:sz w:val="16"/>
      <w:szCs w:val="16"/>
      <w:lang w:val="sr-Latn-CS"/>
    </w:rPr>
  </w:style>
  <w:style w:type="table" w:styleId="TableGrid">
    <w:name w:val="Table Grid"/>
    <w:basedOn w:val="TableNormal"/>
    <w:uiPriority w:val="59"/>
    <w:rsid w:val="0008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620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4B5C-C85F-4006-9AF3-6D977316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 Bajceta</dc:creator>
  <cp:lastModifiedBy>Aleksandar Bozovic</cp:lastModifiedBy>
  <cp:revision>163</cp:revision>
  <cp:lastPrinted>2026-04-09T11:18:00Z</cp:lastPrinted>
  <dcterms:created xsi:type="dcterms:W3CDTF">2019-06-07T08:32:00Z</dcterms:created>
  <dcterms:modified xsi:type="dcterms:W3CDTF">2026-04-23T12:29:00Z</dcterms:modified>
</cp:coreProperties>
</file>