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A52" w:rsidRDefault="00AA6A52" w:rsidP="00AA6A52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</w:p>
    <w:p w:rsidR="00FF61CB" w:rsidRPr="0018447B" w:rsidRDefault="00FF61CB" w:rsidP="00AA6A52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2"/>
          <w:szCs w:val="22"/>
        </w:rPr>
      </w:pPr>
    </w:p>
    <w:tbl>
      <w:tblPr>
        <w:tblStyle w:val="LightGrid-Accent5"/>
        <w:tblpPr w:leftFromText="180" w:rightFromText="180" w:vertAnchor="text" w:horzAnchor="margin" w:tblpY="531"/>
        <w:tblW w:w="0" w:type="auto"/>
        <w:tblLook w:val="04A0" w:firstRow="1" w:lastRow="0" w:firstColumn="1" w:lastColumn="0" w:noHBand="0" w:noVBand="1"/>
      </w:tblPr>
      <w:tblGrid>
        <w:gridCol w:w="3868"/>
        <w:gridCol w:w="5420"/>
      </w:tblGrid>
      <w:tr w:rsidR="00AA6A52" w:rsidRPr="0018447B" w:rsidTr="007C4A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A6A52" w:rsidRPr="0018447B" w:rsidRDefault="00AA6A52" w:rsidP="007C4A5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IZVJEŠTAJ O SPROVEDENOJ ANALIZI PROCJENE UTICAJA PROPISA</w:t>
            </w:r>
          </w:p>
        </w:tc>
      </w:tr>
      <w:tr w:rsidR="00AA6A52" w:rsidRPr="0018447B" w:rsidTr="007C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A6A52" w:rsidRPr="0018447B" w:rsidRDefault="00AA6A52" w:rsidP="007C4A5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</w:p>
        </w:tc>
      </w:tr>
      <w:tr w:rsidR="00AA6A52" w:rsidRPr="0018447B" w:rsidTr="00CC5C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8" w:type="dxa"/>
          </w:tcPr>
          <w:p w:rsidR="00AA6A52" w:rsidRPr="0018447B" w:rsidRDefault="00AA6A52" w:rsidP="007C4A57">
            <w:p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PREDLAGAČ PROPISA</w:t>
            </w:r>
          </w:p>
        </w:tc>
        <w:tc>
          <w:tcPr>
            <w:tcW w:w="5420" w:type="dxa"/>
            <w:vAlign w:val="center"/>
          </w:tcPr>
          <w:p w:rsidR="00AA6A52" w:rsidRPr="0018447B" w:rsidRDefault="00243907" w:rsidP="00BF5894">
            <w:pPr>
              <w:pStyle w:val="NormalWeb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Arial"/>
                <w:sz w:val="22"/>
                <w:szCs w:val="22"/>
                <w:lang w:val="pl-PL"/>
              </w:rPr>
            </w:pPr>
            <w:r w:rsidRPr="0018447B">
              <w:rPr>
                <w:rFonts w:asciiTheme="majorHAnsi" w:hAnsiTheme="majorHAnsi" w:cs="Arial"/>
                <w:sz w:val="22"/>
                <w:szCs w:val="22"/>
                <w:lang w:val="pl-PL"/>
              </w:rPr>
              <w:t>Ministarstvo finansija</w:t>
            </w:r>
            <w:r w:rsidR="00CC5C43" w:rsidRPr="0018447B">
              <w:rPr>
                <w:rFonts w:asciiTheme="majorHAnsi" w:hAnsiTheme="majorHAnsi" w:cs="Arial"/>
                <w:sz w:val="22"/>
                <w:szCs w:val="22"/>
                <w:lang w:val="pl-PL"/>
              </w:rPr>
              <w:t xml:space="preserve"> </w:t>
            </w:r>
          </w:p>
        </w:tc>
      </w:tr>
      <w:tr w:rsidR="00AA6A52" w:rsidRPr="0018447B" w:rsidTr="006F10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8" w:type="dxa"/>
          </w:tcPr>
          <w:p w:rsidR="00AA6A52" w:rsidRPr="0018447B" w:rsidRDefault="00AA6A52" w:rsidP="007C4A57">
            <w:p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NAZIV PROPISA</w:t>
            </w:r>
          </w:p>
        </w:tc>
        <w:tc>
          <w:tcPr>
            <w:tcW w:w="5420" w:type="dxa"/>
          </w:tcPr>
          <w:p w:rsidR="00AA6A52" w:rsidRDefault="00452F86" w:rsidP="00BF5894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Cs/>
                <w:color w:val="000000" w:themeColor="text1"/>
                <w:sz w:val="22"/>
                <w:szCs w:val="22"/>
                <w:lang w:val="pl-PL"/>
              </w:rPr>
            </w:pPr>
            <w:r>
              <w:rPr>
                <w:rFonts w:asciiTheme="majorHAnsi" w:hAnsiTheme="majorHAnsi" w:cs="Arial"/>
                <w:bCs/>
                <w:color w:val="000000" w:themeColor="text1"/>
                <w:sz w:val="22"/>
                <w:szCs w:val="22"/>
                <w:lang w:val="pl-PL"/>
              </w:rPr>
              <w:t>Nacrt</w:t>
            </w:r>
            <w:bookmarkStart w:id="0" w:name="_GoBack"/>
            <w:bookmarkEnd w:id="0"/>
            <w:r w:rsidR="000B588B" w:rsidRPr="0018447B">
              <w:rPr>
                <w:rFonts w:asciiTheme="majorHAnsi" w:hAnsiTheme="majorHAnsi" w:cs="Arial"/>
                <w:b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C51A68" w:rsidRPr="0018447B">
              <w:rPr>
                <w:rFonts w:asciiTheme="majorHAnsi" w:hAnsiTheme="majorHAnsi" w:cs="Arial"/>
                <w:bCs/>
                <w:color w:val="000000" w:themeColor="text1"/>
                <w:sz w:val="22"/>
                <w:szCs w:val="22"/>
                <w:lang w:val="pl-PL"/>
              </w:rPr>
              <w:t>zakona o izmjenama i dopunama Zakona o poreskoj administraciji</w:t>
            </w:r>
          </w:p>
          <w:p w:rsidR="00FF61CB" w:rsidRPr="0018447B" w:rsidRDefault="00FF61CB" w:rsidP="00BF5894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</w:p>
        </w:tc>
      </w:tr>
      <w:tr w:rsidR="00AA6A52" w:rsidRPr="0018447B" w:rsidTr="006F10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A6A52" w:rsidRPr="0018447B" w:rsidRDefault="00AA6A52" w:rsidP="007C4A57">
            <w:p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1. Definisanje problema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probleme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treba</w:t>
            </w:r>
            <w:proofErr w:type="spellEnd"/>
            <w:proofErr w:type="gram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da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riješi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predloženi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akt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?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Koji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uzroci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problema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?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posljedice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problema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?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Koji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subjekti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oštećeni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,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koji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način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u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kojoj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mjeri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?</w:t>
            </w:r>
          </w:p>
          <w:p w:rsidR="00AA6A52" w:rsidRPr="00FF61CB" w:rsidRDefault="00AA6A52" w:rsidP="0022306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629" w:hanging="357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Kako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bi problem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evoluirao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bez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</w:t>
            </w:r>
            <w:r w:rsidR="00C73330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omjene</w:t>
            </w:r>
            <w:proofErr w:type="spellEnd"/>
            <w:r w:rsidR="00C73330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="00C73330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propisa</w:t>
            </w:r>
            <w:proofErr w:type="spellEnd"/>
            <w:r w:rsidR="00C73330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(“status </w:t>
            </w:r>
            <w:proofErr w:type="spellStart"/>
            <w:r w:rsidR="00C73330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quo”</w:t>
            </w: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opcija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)?</w:t>
            </w:r>
          </w:p>
          <w:p w:rsidR="00FF61CB" w:rsidRPr="0018447B" w:rsidRDefault="00FF61CB" w:rsidP="00FF61CB">
            <w:pPr>
              <w:pStyle w:val="ListParagraph"/>
              <w:autoSpaceDE w:val="0"/>
              <w:autoSpaceDN w:val="0"/>
              <w:adjustRightInd w:val="0"/>
              <w:spacing w:before="120" w:after="120"/>
              <w:ind w:left="629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</w:p>
        </w:tc>
      </w:tr>
      <w:tr w:rsidR="00AA6A52" w:rsidRPr="0018447B" w:rsidTr="007C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2336F0" w:rsidRPr="0018447B" w:rsidRDefault="00C51A68" w:rsidP="000B588B">
            <w:pPr>
              <w:spacing w:before="120" w:after="120"/>
              <w:jc w:val="both"/>
              <w:rPr>
                <w:rFonts w:asciiTheme="majorHAnsi" w:hAnsiTheme="majorHAnsi" w:cs="Arial"/>
                <w:bCs w:val="0"/>
                <w:color w:val="000000" w:themeColor="text1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b w:val="0"/>
                <w:color w:val="000000" w:themeColor="text1"/>
                <w:sz w:val="22"/>
                <w:szCs w:val="22"/>
              </w:rPr>
              <w:t xml:space="preserve">Predloženi akt rješava nedovoljno razvijen sistem administrativne saradnje i razmjene poreskih informacija sa drugim državama, posebno u kontekstu EU integracija. Postojeći okvir ne obezbjeđuje potpunu usklađenost sa obaveznom automatskom razmjenom informacija i izvještavanjem o prekograničnim aranžmanima. Nedostaju precizne obaveze za posrednike i poreske obveznike u pogledu prijavljivanja potencijalno rizičnih aranžmana. Takođe, nije adekvatno regulisana razmjena informacija o poreskim mišljenjima i transfernim cijenama, dok ograničena transparentnost otežava borbu protiv poreske evazije. Predloženim zakonskim rješenjem će biti izvršena harmonizacija nacionalnog propisa sa direktivama Evropske unije, te riješena pitanja dtandardizacije procedura i rokova. </w:t>
            </w:r>
          </w:p>
          <w:p w:rsidR="00C51A68" w:rsidRPr="0018447B" w:rsidRDefault="00C51A68" w:rsidP="000B588B">
            <w:pPr>
              <w:spacing w:before="120" w:after="120"/>
              <w:jc w:val="both"/>
              <w:rPr>
                <w:rFonts w:asciiTheme="majorHAnsi" w:hAnsiTheme="majorHAnsi" w:cs="Arial"/>
                <w:bCs w:val="0"/>
                <w:color w:val="000000" w:themeColor="text1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b w:val="0"/>
                <w:color w:val="000000" w:themeColor="text1"/>
                <w:sz w:val="22"/>
                <w:szCs w:val="22"/>
              </w:rPr>
              <w:t>Glavni uzrok problema je nedovoljan novo usklađenosti nacionalnog zakonodavstva sa direktivama EU, posebno sa Direktivom 2015/2376, Direktivom 2018/822 (DAC6) i Direktivom 2025/872. Postoje nedostaci u regulisanju obavezne automatske razmjene informacija i izvještavanja o prekograničnim aranžmanima, što značajno otežava identifikaciju poreskih rizika u kontekstu razvoja kompleksnih međunarodnih poslovnih struktura. Nedostatak jasno definisanih obaveza za posrednike i poreske obveznike utiče na nivo transparentnosti, dok administrativni i tehnički kapaciteti nijesu u potpunosti prilagođeni novim standardima. Takođe, nedovoljna digitalizacija procesa dodatno komplikuje razmjenu informacija, što značajno doprinosi slabijoj efikasnosti sistema.</w:t>
            </w:r>
          </w:p>
          <w:p w:rsidR="00C51A68" w:rsidRPr="0018447B" w:rsidRDefault="00C51A68" w:rsidP="000B588B">
            <w:pPr>
              <w:spacing w:before="120" w:after="120"/>
              <w:jc w:val="both"/>
              <w:rPr>
                <w:rFonts w:asciiTheme="majorHAnsi" w:hAnsiTheme="majorHAnsi" w:cs="Arial"/>
                <w:bCs w:val="0"/>
                <w:color w:val="000000" w:themeColor="text1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b w:val="0"/>
                <w:color w:val="000000" w:themeColor="text1"/>
                <w:sz w:val="22"/>
                <w:szCs w:val="22"/>
              </w:rPr>
              <w:t>Posljedice uključuju povećan rizik od poreske evazije što znači da država može izgubiti značajne poreske prihode zbog nedostatka pravovremenih i potpunih informacija. Otežana je međunarodna saradnja sa državama članicama EU, što može dovesti do negativne ocjene u procesu evropskih integracija.</w:t>
            </w:r>
            <w:r w:rsidR="00E573A7" w:rsidRPr="0018447B">
              <w:rPr>
                <w:rFonts w:asciiTheme="majorHAnsi" w:hAnsiTheme="majorHAnsi" w:cs="Arial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18447B">
              <w:rPr>
                <w:rFonts w:asciiTheme="majorHAnsi" w:hAnsiTheme="majorHAnsi" w:cs="Arial"/>
                <w:b w:val="0"/>
                <w:color w:val="000000" w:themeColor="text1"/>
                <w:sz w:val="22"/>
                <w:szCs w:val="22"/>
              </w:rPr>
              <w:t xml:space="preserve">Poreska </w:t>
            </w:r>
            <w:r w:rsidR="00E573A7" w:rsidRPr="0018447B">
              <w:rPr>
                <w:rFonts w:asciiTheme="majorHAnsi" w:hAnsiTheme="majorHAnsi" w:cs="Arial"/>
                <w:b w:val="0"/>
                <w:color w:val="000000" w:themeColor="text1"/>
                <w:sz w:val="22"/>
                <w:szCs w:val="22"/>
              </w:rPr>
              <w:t>uprava</w:t>
            </w:r>
            <w:r w:rsidRPr="0018447B">
              <w:rPr>
                <w:rFonts w:asciiTheme="majorHAnsi" w:hAnsiTheme="majorHAnsi" w:cs="Arial"/>
                <w:b w:val="0"/>
                <w:color w:val="000000" w:themeColor="text1"/>
                <w:sz w:val="22"/>
                <w:szCs w:val="22"/>
              </w:rPr>
              <w:t xml:space="preserve"> ima ograničene mogućnosti kontrole složenih transakcija</w:t>
            </w:r>
            <w:r w:rsidR="00E573A7" w:rsidRPr="0018447B">
              <w:rPr>
                <w:rFonts w:asciiTheme="majorHAnsi" w:hAnsiTheme="majorHAnsi" w:cs="Arial"/>
                <w:b w:val="0"/>
                <w:color w:val="000000" w:themeColor="text1"/>
                <w:sz w:val="22"/>
                <w:szCs w:val="22"/>
              </w:rPr>
              <w:t xml:space="preserve">, što dugoročno može negativno uticati na fiskalnu stabilnost. </w:t>
            </w:r>
          </w:p>
          <w:p w:rsidR="00E573A7" w:rsidRPr="0018447B" w:rsidRDefault="00E573A7" w:rsidP="000B588B">
            <w:pPr>
              <w:spacing w:before="120" w:after="120"/>
              <w:jc w:val="both"/>
              <w:rPr>
                <w:rFonts w:asciiTheme="majorHAnsi" w:hAnsiTheme="majorHAnsi" w:cs="Arial"/>
                <w:bCs w:val="0"/>
                <w:color w:val="000000" w:themeColor="text1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b w:val="0"/>
                <w:color w:val="000000" w:themeColor="text1"/>
                <w:sz w:val="22"/>
                <w:szCs w:val="22"/>
              </w:rPr>
              <w:t xml:space="preserve">U smislu oštećenih subjekata, evidentno je da država može biti oštećena strana usljed potencijalnog gubitka prihoda, posebno imajući u vidu da Poreska uprava ima ograničenu efikasnost u sprovođenju nadzora. </w:t>
            </w:r>
          </w:p>
          <w:p w:rsidR="00E573A7" w:rsidRDefault="00E573A7" w:rsidP="000B588B">
            <w:pPr>
              <w:spacing w:before="120" w:after="120"/>
              <w:jc w:val="both"/>
              <w:rPr>
                <w:rFonts w:asciiTheme="majorHAnsi" w:hAnsiTheme="majorHAnsi" w:cs="Arial"/>
                <w:bCs w:val="0"/>
                <w:color w:val="000000" w:themeColor="text1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b w:val="0"/>
                <w:color w:val="000000" w:themeColor="text1"/>
                <w:sz w:val="22"/>
                <w:szCs w:val="22"/>
              </w:rPr>
              <w:t xml:space="preserve">U slučaju „status quo“ opcije, Crna Gora bi ostala neusklađena sa EU direktivama što bi negativno uticalo na proces pristupanja Crne Gore Evropskoj uniji. Takođe, razmjena informacija bi ostala nedovoljno efikasna i nepotpuna, što bi negativno uticalo na nivo poreske discipline i ukupno na nivo povjerenja u poreski sistem. </w:t>
            </w:r>
          </w:p>
          <w:p w:rsidR="00FF61CB" w:rsidRPr="0018447B" w:rsidRDefault="00FF61CB" w:rsidP="000B588B">
            <w:pPr>
              <w:spacing w:before="120" w:after="120"/>
              <w:jc w:val="both"/>
              <w:rPr>
                <w:rFonts w:asciiTheme="majorHAnsi" w:hAnsiTheme="majorHAnsi" w:cs="Arial"/>
                <w:b w:val="0"/>
                <w:color w:val="000000" w:themeColor="text1"/>
                <w:sz w:val="22"/>
                <w:szCs w:val="22"/>
                <w:lang w:val="pl-PL"/>
              </w:rPr>
            </w:pPr>
          </w:p>
        </w:tc>
      </w:tr>
      <w:tr w:rsidR="00AA6A52" w:rsidRPr="0018447B" w:rsidTr="007C4A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A6A52" w:rsidRPr="0018447B" w:rsidRDefault="00AA6A52" w:rsidP="007C4A57">
            <w:p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lastRenderedPageBreak/>
              <w:t>2. Ciljevi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Koji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ciljevi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se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postižu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predloženim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propisom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?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Navesti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usklađenost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ovih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ciljeva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postojećim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strategijama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ili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programima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Vlade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,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ako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je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primjenljivo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.</w:t>
            </w:r>
          </w:p>
        </w:tc>
      </w:tr>
      <w:tr w:rsidR="00AA6A52" w:rsidRPr="0018447B" w:rsidTr="007C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0553D" w:rsidRPr="0018447B" w:rsidRDefault="00E573A7" w:rsidP="00E573A7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Arial"/>
                <w:bCs w:val="0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Osnovni cilj </w:t>
            </w:r>
            <w:r w:rsidR="0088789C">
              <w:rPr>
                <w:rFonts w:asciiTheme="majorHAnsi" w:hAnsiTheme="majorHAnsi" w:cs="Arial"/>
                <w:b w:val="0"/>
                <w:sz w:val="22"/>
                <w:szCs w:val="22"/>
              </w:rPr>
              <w:t>Predloga</w:t>
            </w:r>
            <w:r w:rsidRPr="0018447B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zakona o izmjenama i dopunama Zakona o poreskoj administraciji je usklađivanje nacionalnog zakona sa direktivama Evropske unije, a prije svega sa</w:t>
            </w:r>
            <w:r w:rsidR="00A0553D" w:rsidRPr="0018447B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Direktivom 2015/2376 u pogledu obvezne automatske razmjene informacija u oblasti oporezivanja, Direktivom 2018/822 u pogledu obvezne automatske razmjene informacija u oblasti oporezivanja u odnosu na prekogranične aranžmane o kojima se izvještava, te Direktivom 2025/872 o administrativnoj saradnji u području oporezivanja. </w:t>
            </w:r>
          </w:p>
          <w:p w:rsidR="00A951CC" w:rsidRPr="0018447B" w:rsidRDefault="00A0553D" w:rsidP="00A0553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 w:cs="Arial"/>
                <w:bCs w:val="0"/>
                <w:color w:val="FF0000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Predlog zakona o izmjenama i dopunama Zakona o poreskoj administraciji je usklađen sa Programom rada Vlade Crne Gore za 2026. godinu. Utvrđivanje Predloga zakona o izmjenama i dopunama Zakona o poreskoj administraciji predviđeno je za II kvartal 2026. godine. </w:t>
            </w:r>
            <w:r w:rsidRPr="0018447B">
              <w:rPr>
                <w:rFonts w:asciiTheme="majorHAnsi" w:hAnsiTheme="majorHAnsi" w:cs="Arial"/>
                <w:bCs w:val="0"/>
                <w:color w:val="FF0000"/>
                <w:sz w:val="22"/>
                <w:szCs w:val="22"/>
              </w:rPr>
              <w:t xml:space="preserve">  </w:t>
            </w:r>
          </w:p>
        </w:tc>
      </w:tr>
      <w:tr w:rsidR="00AA6A52" w:rsidRPr="0018447B" w:rsidTr="007C4A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A6A52" w:rsidRPr="0018447B" w:rsidRDefault="00AA6A52" w:rsidP="007C4A57">
            <w:pPr>
              <w:autoSpaceDE w:val="0"/>
              <w:autoSpaceDN w:val="0"/>
              <w:adjustRightInd w:val="0"/>
              <w:spacing w:before="120" w:after="120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3. Opcije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moguće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opcije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za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ispunjavanje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ciljeva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rješavanje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problema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? (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uvijek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treba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razmatrati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“status quo”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opciju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preporučljivo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je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uključiti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neregulatornu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opciju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,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osim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ako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postoji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obaveza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donošenja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predloženog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propisa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).</w:t>
            </w:r>
          </w:p>
          <w:p w:rsidR="00AA6A52" w:rsidRPr="0018447B" w:rsidRDefault="00AA6A52" w:rsidP="00223062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629" w:hanging="357"/>
              <w:contextualSpacing w:val="0"/>
              <w:jc w:val="both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Obrazložiti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preferiranu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opciju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?</w:t>
            </w:r>
          </w:p>
        </w:tc>
      </w:tr>
      <w:tr w:rsidR="00AA6A52" w:rsidRPr="0018447B" w:rsidTr="007C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104769" w:rsidRPr="0018447B" w:rsidRDefault="00104769" w:rsidP="00250C9E">
            <w:pPr>
              <w:spacing w:before="120" w:after="120"/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Opcije uključuju status quo, neregulatorne i regulatorne mjere </w:t>
            </w:r>
          </w:p>
          <w:p w:rsidR="00104769" w:rsidRPr="0018447B" w:rsidRDefault="00104769" w:rsidP="00250C9E">
            <w:pPr>
              <w:spacing w:before="120" w:after="120"/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„Status quo“ ne omogućava usklađivanje sa direktivama Evropske unije, te ista ne može donijeti željeni rezultat. </w:t>
            </w:r>
          </w:p>
          <w:p w:rsidR="00104769" w:rsidRPr="0018447B" w:rsidRDefault="00104769" w:rsidP="00250C9E">
            <w:pPr>
              <w:spacing w:before="120" w:after="120"/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Neregulatorne mjere nijesu efikasne imajući u vidu da se ciljevi zakona mogu ostvariti isključivo regulatornom metodom. </w:t>
            </w:r>
          </w:p>
          <w:p w:rsidR="0018447B" w:rsidRPr="0018447B" w:rsidRDefault="00104769" w:rsidP="00250C9E">
            <w:pPr>
              <w:spacing w:before="120" w:after="120"/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Regulatorna opcija je u ovom slučaju jedino moguća, imajući u vidu da neregulatorna opcija ne može rezultirati usklađivanjem Zakona o poreskoj administraciji sa direktivama Evropske unije. </w:t>
            </w:r>
          </w:p>
          <w:p w:rsidR="00032374" w:rsidRPr="0018447B" w:rsidRDefault="00104769" w:rsidP="00250C9E">
            <w:pPr>
              <w:spacing w:before="120" w:after="120"/>
              <w:jc w:val="both"/>
              <w:rPr>
                <w:rFonts w:asciiTheme="majorHAnsi" w:hAnsiTheme="majorHAnsi" w:cs="Arial"/>
                <w:color w:val="000000" w:themeColor="text1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b w:val="0"/>
                <w:bCs w:val="0"/>
                <w:color w:val="000000" w:themeColor="text1"/>
                <w:sz w:val="22"/>
                <w:szCs w:val="22"/>
              </w:rPr>
              <w:t>Preferirana opcija je regulatorna jer obezbjeđuje potpuno usklađivanje sa direktivama Evropske unije</w:t>
            </w:r>
            <w:r w:rsidR="0018447B" w:rsidRPr="0018447B">
              <w:rPr>
                <w:rFonts w:asciiTheme="majorHAnsi" w:hAnsiTheme="majorHAnsi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, omogućava jasno definisanje obaveza i rokova, osigurava pravnu sigurnost i omogućava kontrolu i razmjenu informacija. </w:t>
            </w:r>
          </w:p>
        </w:tc>
      </w:tr>
      <w:tr w:rsidR="00AA6A52" w:rsidRPr="0018447B" w:rsidTr="007C4A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A6A52" w:rsidRPr="0018447B" w:rsidRDefault="00AA6A52" w:rsidP="004B19A6">
            <w:pPr>
              <w:autoSpaceDE w:val="0"/>
              <w:autoSpaceDN w:val="0"/>
              <w:adjustRightInd w:val="0"/>
              <w:spacing w:before="120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4. Analiza uticaja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Na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koga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će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kako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će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najvjerovatnije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uticati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rješenja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u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propisu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-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nabrojati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pozitivne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negativne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uticaje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,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direktne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indirektne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.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troškove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će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primjena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propisa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izazvati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građanima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privredi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(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naročito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malim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srednjim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preduzećima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).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Da li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pozitivne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posljedice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donošenja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propisa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opravdavaju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troškove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će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on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stvoriti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.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Da li se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propisom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podržava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stvaranje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novih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privrednih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subjekata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tržištu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tržišna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konkurencija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.</w:t>
            </w:r>
          </w:p>
          <w:p w:rsidR="00AA6A52" w:rsidRPr="0018447B" w:rsidRDefault="00AA6A52" w:rsidP="004B19A6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629" w:hanging="357"/>
              <w:jc w:val="both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Uključiti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procjenu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administrativnih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opterećenja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biznis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barijera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.</w:t>
            </w:r>
          </w:p>
        </w:tc>
      </w:tr>
      <w:tr w:rsidR="00AA6A52" w:rsidRPr="0018447B" w:rsidTr="007C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CA41DB" w:rsidRPr="0088789C" w:rsidRDefault="00CA41DB" w:rsidP="00CA41DB">
            <w:pPr>
              <w:widowControl w:val="0"/>
              <w:spacing w:before="120"/>
              <w:jc w:val="both"/>
              <w:rPr>
                <w:rFonts w:asciiTheme="majorHAnsi" w:hAnsiTheme="majorHAnsi" w:cs="Arial"/>
                <w:bCs w:val="0"/>
                <w:sz w:val="22"/>
                <w:szCs w:val="22"/>
              </w:rPr>
            </w:pPr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>Predlog zakona o izmjenama i dopunama Zakona o poreskoj administraciji pozitivno će uticati na:</w:t>
            </w:r>
          </w:p>
          <w:p w:rsidR="00CA41DB" w:rsidRPr="0088789C" w:rsidRDefault="00CA41DB" w:rsidP="00CA41DB">
            <w:pPr>
              <w:pStyle w:val="ListParagraph"/>
              <w:widowControl w:val="0"/>
              <w:numPr>
                <w:ilvl w:val="0"/>
                <w:numId w:val="25"/>
              </w:numPr>
              <w:spacing w:after="120"/>
              <w:jc w:val="both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>povećanje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>budžetskih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>prihoda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>,</w:t>
            </w:r>
          </w:p>
          <w:p w:rsidR="00CA41DB" w:rsidRPr="0088789C" w:rsidRDefault="00CA41DB" w:rsidP="00CA41DB">
            <w:pPr>
              <w:pStyle w:val="ListParagraph"/>
              <w:widowControl w:val="0"/>
              <w:numPr>
                <w:ilvl w:val="0"/>
                <w:numId w:val="25"/>
              </w:numPr>
              <w:spacing w:before="120" w:after="12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>smanjenje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>poreske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>evazije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>,</w:t>
            </w:r>
          </w:p>
          <w:p w:rsidR="00CA41DB" w:rsidRPr="0088789C" w:rsidRDefault="00CA41DB" w:rsidP="00CA41DB">
            <w:pPr>
              <w:pStyle w:val="ListParagraph"/>
              <w:widowControl w:val="0"/>
              <w:numPr>
                <w:ilvl w:val="0"/>
                <w:numId w:val="25"/>
              </w:numPr>
              <w:spacing w:before="120" w:after="120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>jačanje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>međunarodne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>saradnje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>Crne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Gore.</w:t>
            </w:r>
            <w:r w:rsidRPr="0088789C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</w:p>
          <w:p w:rsidR="0035782D" w:rsidRPr="0088789C" w:rsidRDefault="00CA41DB" w:rsidP="00CA41DB">
            <w:pPr>
              <w:widowControl w:val="0"/>
              <w:spacing w:before="120" w:after="120"/>
              <w:jc w:val="both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>Predlog zakona o izmjenama i dopunama Zakona o poreskoj administraciji neće prouzrokovati negativne efekte</w:t>
            </w:r>
            <w:r w:rsidR="0088789C" w:rsidRPr="0088789C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. </w:t>
            </w:r>
          </w:p>
        </w:tc>
      </w:tr>
      <w:tr w:rsidR="00AA6A52" w:rsidRPr="0018447B" w:rsidTr="007C4A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A6A52" w:rsidRPr="0018447B" w:rsidRDefault="00AA6A52" w:rsidP="007C4A57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5. Procjena fiskalnog uticaja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Da li je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potrebno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obezbjeđenje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finansijskih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sredstava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iz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budžeta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Crne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Gore za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implementaciju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propisa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u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kom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iznosu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?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lastRenderedPageBreak/>
              <w:t xml:space="preserve">Da li je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obezbjeđenje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finansijskih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sredstava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jednokratno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,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ili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tokom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određenog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vremenskog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perioda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? 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Obrazložiti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.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Da li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implementacijom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propisa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proizilaze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međunarodne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finansijske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obaveze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?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Obrazložiti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.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Da li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neophodna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finansijska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sredstva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obezbijeđena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u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budžetu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za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tekuću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fiskalnu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godinu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,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odnosno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da li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planirana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u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budžetu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za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narednu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fiskanu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godinu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?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Da li je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usvajanjem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propisa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predviđeno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donošenje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podzakonskih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akata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iz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kojih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će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proisteći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finansijske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obaveze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?</w:t>
            </w:r>
            <w:r w:rsidR="003B0907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Da li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će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se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implementacijom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propisa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ostvariti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prihod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za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budžet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Crne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Gore?</w:t>
            </w:r>
          </w:p>
          <w:p w:rsidR="00AA6A52" w:rsidRPr="0018447B" w:rsidRDefault="00CC2439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</w:t>
            </w:r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brazložiti</w:t>
            </w:r>
            <w:proofErr w:type="spellEnd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metodologiju</w:t>
            </w:r>
            <w:proofErr w:type="spellEnd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koja</w:t>
            </w:r>
            <w:proofErr w:type="spellEnd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je </w:t>
            </w:r>
            <w:proofErr w:type="spellStart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korišćenja</w:t>
            </w:r>
            <w:proofErr w:type="spellEnd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prilikom</w:t>
            </w:r>
            <w:proofErr w:type="spellEnd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obračuna</w:t>
            </w:r>
            <w:proofErr w:type="spellEnd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finansijskih</w:t>
            </w:r>
            <w:proofErr w:type="spellEnd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izdataka</w:t>
            </w:r>
            <w:proofErr w:type="spellEnd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/</w:t>
            </w:r>
            <w:proofErr w:type="spellStart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prihoda</w:t>
            </w:r>
            <w:proofErr w:type="spellEnd"/>
            <w:r w:rsidR="00AA6A52"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.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Da li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postojali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problemi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u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preciznom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obračunu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finansijskih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izdataka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/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prihoda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?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Obrazložiti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.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Da li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postojale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sugestije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Ministarstva finansija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nacrt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/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predlog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propisa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?</w:t>
            </w:r>
          </w:p>
          <w:p w:rsidR="00AA6A52" w:rsidRPr="00FF61CB" w:rsidRDefault="00AA6A52" w:rsidP="007C4A57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Da li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dobijene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primjedbe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uključene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u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tekst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propisa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?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Obrazložiti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.</w:t>
            </w:r>
          </w:p>
          <w:p w:rsidR="00FF61CB" w:rsidRPr="0018447B" w:rsidRDefault="00FF61CB" w:rsidP="00FF61CB">
            <w:pPr>
              <w:pStyle w:val="ListParagraph"/>
              <w:ind w:left="630"/>
              <w:contextualSpacing w:val="0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</w:p>
        </w:tc>
      </w:tr>
      <w:tr w:rsidR="00AA6A52" w:rsidRPr="0018447B" w:rsidTr="007C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88789C" w:rsidRPr="0088789C" w:rsidRDefault="0088789C" w:rsidP="00250C9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 w:cs="Arial"/>
                <w:bCs w:val="0"/>
                <w:sz w:val="22"/>
                <w:szCs w:val="22"/>
                <w:lang w:val="en-GB"/>
              </w:rPr>
            </w:pPr>
            <w:bookmarkStart w:id="1" w:name="_Hlk224650795"/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lastRenderedPageBreak/>
              <w:t>Implementacija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>Predloga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>zakona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>izmjenama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>i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>dopunama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>Zakona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>poreskoj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>administraciji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>neće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>zahtijevati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>obezbjeđenje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>finansijskih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>sredstava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>iz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>budžeta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>Crne</w:t>
            </w:r>
            <w:proofErr w:type="spellEnd"/>
            <w:r w:rsidRPr="0088789C">
              <w:rPr>
                <w:rFonts w:asciiTheme="majorHAnsi" w:hAnsiTheme="majorHAnsi" w:cs="Arial"/>
                <w:b w:val="0"/>
                <w:sz w:val="22"/>
                <w:szCs w:val="22"/>
                <w:lang w:val="en-GB"/>
              </w:rPr>
              <w:t xml:space="preserve"> Gore.</w:t>
            </w:r>
          </w:p>
          <w:p w:rsidR="0088789C" w:rsidRPr="0088789C" w:rsidRDefault="0088789C" w:rsidP="00250C9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Implemenacijom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Predloga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zakona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izmjenama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i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dopunama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Zakona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poreskoj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administraciji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neće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nastati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međunarodne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finansijske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obaveze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.</w:t>
            </w:r>
          </w:p>
          <w:p w:rsidR="0088789C" w:rsidRPr="0088789C" w:rsidRDefault="0088789C" w:rsidP="00250C9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 w:cs="Arial"/>
                <w:sz w:val="22"/>
                <w:szCs w:val="22"/>
                <w:lang w:val="en-GB"/>
              </w:rPr>
            </w:pP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Usvajanjem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Predloga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zakona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izmjenama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i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dopunama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Zakona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poreskoj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administraciji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nije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predviđeno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donošenje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podzakonskih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akata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iz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kojih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će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proisteći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finansijske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obaveze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. </w:t>
            </w:r>
          </w:p>
          <w:p w:rsidR="00913DAB" w:rsidRPr="0088789C" w:rsidRDefault="0088789C" w:rsidP="008878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</w:pPr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Ministarstvo finansija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nije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imalo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primjedbi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na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Predlog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zakona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izmjenama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i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dopunama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Zakoa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poreskoj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>administraciji</w:t>
            </w:r>
            <w:proofErr w:type="spellEnd"/>
            <w:r w:rsidRPr="0088789C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en-GB"/>
              </w:rPr>
              <w:t xml:space="preserve">. </w:t>
            </w:r>
            <w:bookmarkEnd w:id="1"/>
          </w:p>
        </w:tc>
      </w:tr>
      <w:tr w:rsidR="00AA6A52" w:rsidRPr="0018447B" w:rsidTr="007C4A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AA6A52" w:rsidRPr="0018447B" w:rsidRDefault="00AA6A52" w:rsidP="007C4A57">
            <w:pPr>
              <w:autoSpaceDE w:val="0"/>
              <w:autoSpaceDN w:val="0"/>
              <w:adjustRightInd w:val="0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6. </w:t>
            </w:r>
            <w:r w:rsidRPr="0018447B"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</w:rPr>
              <w:t>K</w:t>
            </w:r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onsultacije zainteresovanih strana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Naznačiti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da li je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korišćena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eksterna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ekspertska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podrška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ako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da,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kako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.</w:t>
            </w:r>
          </w:p>
          <w:p w:rsidR="00AA6A52" w:rsidRPr="0018447B" w:rsidRDefault="00AA6A52" w:rsidP="007C4A57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</w:pP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Naznačiti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grupe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zainteresovanih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strana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konsultovane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, u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kojoj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fazi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RIA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procesa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kako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(javne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ili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ciljane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konsultacije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).</w:t>
            </w:r>
          </w:p>
          <w:p w:rsidR="00AA6A52" w:rsidRDefault="00AA6A52" w:rsidP="007C4A57">
            <w:pPr>
              <w:pStyle w:val="ListParagraph"/>
              <w:autoSpaceDE w:val="0"/>
              <w:autoSpaceDN w:val="0"/>
              <w:adjustRightInd w:val="0"/>
              <w:ind w:left="630"/>
              <w:jc w:val="both"/>
              <w:rPr>
                <w:rFonts w:asciiTheme="majorHAnsi" w:hAnsiTheme="majorHAnsi" w:cs="Arial"/>
                <w:b w:val="0"/>
                <w:bCs w:val="0"/>
                <w:color w:val="365F91" w:themeColor="accent1" w:themeShade="BF"/>
                <w:sz w:val="22"/>
                <w:szCs w:val="22"/>
              </w:rPr>
            </w:pP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Naznačiti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glavne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rezultate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konsultacija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,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koji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predlozi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sugestije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zainteresovanih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strana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prihvaćeni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odnosno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nijesu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prihvaćeni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 xml:space="preserve">. </w:t>
            </w:r>
            <w:proofErr w:type="spellStart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Obrazložiti</w:t>
            </w:r>
            <w:proofErr w:type="spellEnd"/>
            <w:r w:rsidRPr="0018447B">
              <w:rPr>
                <w:rFonts w:asciiTheme="majorHAnsi" w:hAnsiTheme="majorHAnsi" w:cs="Arial"/>
                <w:color w:val="365F91" w:themeColor="accent1" w:themeShade="BF"/>
                <w:sz w:val="22"/>
                <w:szCs w:val="22"/>
              </w:rPr>
              <w:t>.</w:t>
            </w:r>
          </w:p>
          <w:p w:rsidR="00FF61CB" w:rsidRPr="0018447B" w:rsidRDefault="00FF61CB" w:rsidP="007C4A57">
            <w:pPr>
              <w:pStyle w:val="ListParagraph"/>
              <w:autoSpaceDE w:val="0"/>
              <w:autoSpaceDN w:val="0"/>
              <w:adjustRightInd w:val="0"/>
              <w:ind w:left="630"/>
              <w:jc w:val="both"/>
              <w:rPr>
                <w:rFonts w:asciiTheme="majorHAnsi" w:hAnsiTheme="majorHAnsi" w:cs="Arial"/>
                <w:b w:val="0"/>
                <w:color w:val="365F91" w:themeColor="accent1" w:themeShade="BF"/>
                <w:sz w:val="22"/>
                <w:szCs w:val="22"/>
                <w:highlight w:val="yellow"/>
              </w:rPr>
            </w:pPr>
          </w:p>
        </w:tc>
      </w:tr>
      <w:tr w:rsidR="00AA6A52" w:rsidRPr="0018447B" w:rsidTr="007C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88789C" w:rsidRPr="009C43C1" w:rsidRDefault="0088789C" w:rsidP="0088789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 w:rsidRPr="009C43C1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Prilikom pripreme Predloga zakona o izmjenama i dopunama Zakona o poreskoj administraciji nije korišćena eksterna ekspertska podrška, isti se odnosi na usklađivanje nacionalnog zakona sa direktivama Evropske unije, a prije svega sa Direktivom 2015/2376 u pogledu obvezne automatske razmjene informacija u oblasti oporezivanja, Direktivom 2018/822 u pogledu obvezne automatske razmjene informacija u oblasti oporezivanja u odnosu na prekogranične aranžmane o kojima se izvještava, te Direktivom 2025/872 o administrativnoj saradnji u području oporezivanja. </w:t>
            </w:r>
          </w:p>
          <w:p w:rsidR="00913DAB" w:rsidRPr="009C43C1" w:rsidRDefault="0088789C" w:rsidP="00250C9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pl-PL"/>
              </w:rPr>
            </w:pPr>
            <w:r w:rsidRPr="009C43C1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pl-PL"/>
              </w:rPr>
              <w:t xml:space="preserve">Ministarstvo finansija </w:t>
            </w:r>
            <w:r w:rsidR="009C43C1" w:rsidRPr="009C43C1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pl-PL"/>
              </w:rPr>
              <w:t>u postupku izrade RIA obrasca nije sprovodilo formalno konsultovanje zainteresovanih strana, imajući u vidu da se predloženo zakonsko rješenje odnosi</w:t>
            </w:r>
            <w:r w:rsidR="006240E9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pl-PL"/>
              </w:rPr>
              <w:t xml:space="preserve"> pretežno</w:t>
            </w:r>
            <w:r w:rsidR="009C43C1" w:rsidRPr="009C43C1">
              <w:rPr>
                <w:rFonts w:asciiTheme="majorHAnsi" w:hAnsiTheme="majorHAnsi" w:cs="Arial"/>
                <w:b w:val="0"/>
                <w:bCs w:val="0"/>
                <w:sz w:val="22"/>
                <w:szCs w:val="22"/>
                <w:lang w:val="pl-PL"/>
              </w:rPr>
              <w:t xml:space="preserve"> na usklađivanje Zakona o poreskoj administraciji sa direktivama Evropske unije.  </w:t>
            </w:r>
          </w:p>
        </w:tc>
      </w:tr>
      <w:tr w:rsidR="005F49D4" w:rsidRPr="0018447B" w:rsidTr="007C4A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5F49D4" w:rsidRPr="0018447B" w:rsidRDefault="005F49D4" w:rsidP="000A2FA3">
            <w:pPr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Arial"/>
                <w:b w:val="0"/>
                <w:bCs w:val="0"/>
                <w:color w:val="365F91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>7: Monitoring i evaluacija</w:t>
            </w:r>
          </w:p>
          <w:p w:rsidR="005F49D4" w:rsidRPr="0018447B" w:rsidRDefault="005F49D4" w:rsidP="000A2FA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="Arial"/>
                <w:b w:val="0"/>
                <w:bCs w:val="0"/>
                <w:color w:val="365F91"/>
                <w:sz w:val="22"/>
                <w:szCs w:val="22"/>
                <w:lang w:val="pl-PL"/>
              </w:rPr>
            </w:pPr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  <w:lang w:val="pl-PL"/>
              </w:rPr>
              <w:t xml:space="preserve">Koje su potencijalne prepreke za implementaciju propisa? </w:t>
            </w:r>
          </w:p>
          <w:p w:rsidR="005F49D4" w:rsidRPr="0018447B" w:rsidRDefault="005F49D4" w:rsidP="000A2FA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="Arial"/>
                <w:b w:val="0"/>
                <w:bCs w:val="0"/>
                <w:color w:val="365F91"/>
                <w:sz w:val="22"/>
                <w:szCs w:val="22"/>
                <w:lang w:val="pl-PL"/>
              </w:rPr>
            </w:pPr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  <w:lang w:val="pl-PL"/>
              </w:rPr>
              <w:t>Koje će mjere biti preduzete tokom primjene propisa da bi se ispunili ciljevi?</w:t>
            </w:r>
          </w:p>
          <w:p w:rsidR="005F49D4" w:rsidRPr="0018447B" w:rsidRDefault="005F49D4" w:rsidP="000A2FA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="Arial"/>
                <w:b w:val="0"/>
                <w:bCs w:val="0"/>
                <w:color w:val="365F91"/>
                <w:sz w:val="22"/>
                <w:szCs w:val="22"/>
                <w:lang w:val="pl-PL"/>
              </w:rPr>
            </w:pPr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  <w:lang w:val="pl-PL"/>
              </w:rPr>
              <w:t>Koji su glavni indikatori prema kojima će se mjeriti ispunjenje ciljeva?</w:t>
            </w:r>
          </w:p>
          <w:p w:rsidR="005F49D4" w:rsidRDefault="005F49D4" w:rsidP="000A2FA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Theme="majorHAnsi" w:hAnsiTheme="majorHAnsi" w:cs="Arial"/>
                <w:b w:val="0"/>
                <w:bCs w:val="0"/>
                <w:color w:val="365F91"/>
                <w:sz w:val="22"/>
                <w:szCs w:val="22"/>
              </w:rPr>
            </w:pPr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 xml:space="preserve">Ko </w:t>
            </w:r>
            <w:proofErr w:type="spellStart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>će</w:t>
            </w:r>
            <w:proofErr w:type="spellEnd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>biti</w:t>
            </w:r>
            <w:proofErr w:type="spellEnd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>zadužen</w:t>
            </w:r>
            <w:proofErr w:type="spellEnd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 xml:space="preserve"> za </w:t>
            </w:r>
            <w:proofErr w:type="spellStart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>sprovođenje</w:t>
            </w:r>
            <w:proofErr w:type="spellEnd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>monitoringa</w:t>
            </w:r>
            <w:proofErr w:type="spellEnd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>i</w:t>
            </w:r>
            <w:proofErr w:type="spellEnd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>evaluacije</w:t>
            </w:r>
            <w:proofErr w:type="spellEnd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>primjene</w:t>
            </w:r>
            <w:proofErr w:type="spellEnd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 xml:space="preserve"> </w:t>
            </w:r>
            <w:proofErr w:type="spellStart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>propisa</w:t>
            </w:r>
            <w:proofErr w:type="spellEnd"/>
            <w:r w:rsidRPr="0018447B">
              <w:rPr>
                <w:rFonts w:asciiTheme="majorHAnsi" w:hAnsiTheme="majorHAnsi" w:cs="Arial"/>
                <w:color w:val="365F91"/>
                <w:sz w:val="22"/>
                <w:szCs w:val="22"/>
              </w:rPr>
              <w:t>?</w:t>
            </w:r>
          </w:p>
          <w:p w:rsidR="00FF61CB" w:rsidRPr="0018447B" w:rsidRDefault="00FF61CB" w:rsidP="00FF61CB">
            <w:pPr>
              <w:pStyle w:val="ListParagraph"/>
              <w:autoSpaceDE w:val="0"/>
              <w:autoSpaceDN w:val="0"/>
              <w:adjustRightInd w:val="0"/>
              <w:ind w:left="630"/>
              <w:rPr>
                <w:rFonts w:asciiTheme="majorHAnsi" w:hAnsiTheme="majorHAnsi" w:cs="Arial"/>
                <w:b w:val="0"/>
                <w:bCs w:val="0"/>
                <w:color w:val="365F91"/>
                <w:sz w:val="22"/>
                <w:szCs w:val="22"/>
              </w:rPr>
            </w:pPr>
          </w:p>
        </w:tc>
      </w:tr>
      <w:tr w:rsidR="005F49D4" w:rsidRPr="0018447B" w:rsidTr="007C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C05C0B" w:rsidRPr="006240E9" w:rsidRDefault="009C43C1" w:rsidP="00250C9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 w:cs="Arial"/>
                <w:bCs w:val="0"/>
                <w:sz w:val="22"/>
                <w:szCs w:val="22"/>
              </w:rPr>
            </w:pPr>
            <w:r w:rsidRPr="006240E9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Potencijalne prepreke uključuju nedovoljne tehničke i IT kapacitete za obradu i razmjenu velikog obima podataka, te nedostatak obučenog kadra za primjenu složenih pravila koja proizlaze iz EU direktiva. </w:t>
            </w:r>
          </w:p>
          <w:p w:rsidR="006240E9" w:rsidRPr="006240E9" w:rsidRDefault="009C43C1" w:rsidP="00250C9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 w:cs="Arial"/>
                <w:bCs w:val="0"/>
                <w:sz w:val="22"/>
                <w:szCs w:val="22"/>
              </w:rPr>
            </w:pPr>
            <w:r w:rsidRPr="006240E9">
              <w:rPr>
                <w:rFonts w:asciiTheme="majorHAnsi" w:hAnsiTheme="majorHAnsi" w:cs="Arial"/>
                <w:b w:val="0"/>
                <w:sz w:val="22"/>
                <w:szCs w:val="22"/>
              </w:rPr>
              <w:t>U cilju ispunjenja postavljenih ciljeva</w:t>
            </w:r>
            <w:r w:rsidR="006240E9" w:rsidRPr="006240E9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razvijaće se i unapređivati</w:t>
            </w:r>
            <w:r w:rsidRPr="006240E9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IT sistemi za elektronsku razmjenu informacija sa drugim državama</w:t>
            </w:r>
            <w:r w:rsidR="006240E9" w:rsidRPr="006240E9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, a uporedo će biti vršene edukacije zaposlenih koji će </w:t>
            </w:r>
            <w:r w:rsidR="006240E9" w:rsidRPr="006240E9">
              <w:rPr>
                <w:rFonts w:asciiTheme="majorHAnsi" w:hAnsiTheme="majorHAnsi" w:cs="Arial"/>
                <w:b w:val="0"/>
                <w:sz w:val="22"/>
                <w:szCs w:val="22"/>
              </w:rPr>
              <w:lastRenderedPageBreak/>
              <w:t xml:space="preserve">vršiti primjenu predloženog zakonskog rješenja. </w:t>
            </w:r>
          </w:p>
          <w:p w:rsidR="009C43C1" w:rsidRPr="006240E9" w:rsidRDefault="006240E9" w:rsidP="00250C9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 w:cs="Arial"/>
                <w:bCs w:val="0"/>
                <w:sz w:val="22"/>
                <w:szCs w:val="22"/>
              </w:rPr>
            </w:pPr>
            <w:r w:rsidRPr="006240E9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Ispunjenje ciljeva će biti praćeni, prije svega, prema broju i kvalitetu razmijenjenih informacija sa drugim državama, te u broju otkrivenih slučajeva poreske evazije. </w:t>
            </w:r>
          </w:p>
          <w:p w:rsidR="006240E9" w:rsidRPr="0018447B" w:rsidRDefault="006240E9" w:rsidP="00250C9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 w:cs="Arial"/>
                <w:b w:val="0"/>
                <w:color w:val="FF0000"/>
                <w:sz w:val="22"/>
                <w:szCs w:val="22"/>
              </w:rPr>
            </w:pPr>
            <w:r w:rsidRPr="006240E9">
              <w:rPr>
                <w:rFonts w:asciiTheme="majorHAnsi" w:hAnsiTheme="majorHAnsi" w:cs="Arial"/>
                <w:b w:val="0"/>
                <w:sz w:val="22"/>
                <w:szCs w:val="22"/>
              </w:rPr>
              <w:t>Za primjenu predloženog propisa će biti zadužena Poreska uprava, a Ministarstvo finansija će vršiti nadzor nad postupanjem nadležnog poreskog organa.</w:t>
            </w:r>
          </w:p>
        </w:tc>
      </w:tr>
    </w:tbl>
    <w:p w:rsidR="00AA6A52" w:rsidRPr="0018447B" w:rsidRDefault="00AA6A52" w:rsidP="00EB4DF5">
      <w:pPr>
        <w:autoSpaceDE w:val="0"/>
        <w:autoSpaceDN w:val="0"/>
        <w:adjustRightInd w:val="0"/>
        <w:rPr>
          <w:rFonts w:asciiTheme="majorHAnsi" w:hAnsiTheme="majorHAnsi" w:cs="Arial"/>
          <w:b/>
          <w:sz w:val="22"/>
          <w:szCs w:val="22"/>
        </w:rPr>
      </w:pPr>
    </w:p>
    <w:p w:rsidR="00962B1F" w:rsidRPr="0018447B" w:rsidRDefault="00962B1F" w:rsidP="00962B1F">
      <w:pPr>
        <w:rPr>
          <w:rFonts w:asciiTheme="majorHAnsi" w:hAnsiTheme="majorHAnsi" w:cs="Arial"/>
          <w:b/>
          <w:sz w:val="22"/>
          <w:szCs w:val="22"/>
        </w:rPr>
      </w:pPr>
      <w:r w:rsidRPr="0018447B">
        <w:rPr>
          <w:rFonts w:asciiTheme="majorHAnsi" w:hAnsiTheme="majorHAnsi" w:cs="Arial"/>
          <w:b/>
          <w:sz w:val="22"/>
          <w:szCs w:val="22"/>
        </w:rPr>
        <w:t>Datum i mjesto</w:t>
      </w:r>
      <w:r w:rsidRPr="0018447B">
        <w:rPr>
          <w:rFonts w:asciiTheme="majorHAnsi" w:hAnsiTheme="majorHAnsi" w:cs="Arial"/>
          <w:b/>
          <w:sz w:val="22"/>
          <w:szCs w:val="22"/>
        </w:rPr>
        <w:tab/>
      </w:r>
      <w:r w:rsidRPr="0018447B">
        <w:rPr>
          <w:rFonts w:asciiTheme="majorHAnsi" w:hAnsiTheme="majorHAnsi" w:cs="Arial"/>
          <w:b/>
          <w:sz w:val="22"/>
          <w:szCs w:val="22"/>
        </w:rPr>
        <w:tab/>
      </w:r>
      <w:r w:rsidRPr="0018447B">
        <w:rPr>
          <w:rFonts w:asciiTheme="majorHAnsi" w:hAnsiTheme="majorHAnsi" w:cs="Arial"/>
          <w:b/>
          <w:sz w:val="22"/>
          <w:szCs w:val="22"/>
        </w:rPr>
        <w:tab/>
      </w:r>
      <w:r w:rsidRPr="0018447B">
        <w:rPr>
          <w:rFonts w:asciiTheme="majorHAnsi" w:hAnsiTheme="majorHAnsi" w:cs="Arial"/>
          <w:b/>
          <w:sz w:val="22"/>
          <w:szCs w:val="22"/>
        </w:rPr>
        <w:tab/>
      </w:r>
      <w:r w:rsidRPr="0018447B">
        <w:rPr>
          <w:rFonts w:asciiTheme="majorHAnsi" w:hAnsiTheme="majorHAnsi" w:cs="Arial"/>
          <w:b/>
          <w:sz w:val="22"/>
          <w:szCs w:val="22"/>
        </w:rPr>
        <w:tab/>
      </w:r>
      <w:r w:rsidRPr="0018447B">
        <w:rPr>
          <w:rFonts w:asciiTheme="majorHAnsi" w:hAnsiTheme="majorHAnsi" w:cs="Arial"/>
          <w:b/>
          <w:sz w:val="22"/>
          <w:szCs w:val="22"/>
        </w:rPr>
        <w:tab/>
        <w:t xml:space="preserve">                                   Starješina </w:t>
      </w:r>
    </w:p>
    <w:p w:rsidR="00962B1F" w:rsidRPr="0018447B" w:rsidRDefault="00962B1F" w:rsidP="00962B1F">
      <w:pPr>
        <w:rPr>
          <w:rFonts w:asciiTheme="majorHAnsi" w:hAnsiTheme="majorHAnsi" w:cs="Arial"/>
          <w:sz w:val="22"/>
          <w:szCs w:val="22"/>
        </w:rPr>
      </w:pPr>
      <w:r w:rsidRPr="0018447B">
        <w:rPr>
          <w:rFonts w:asciiTheme="majorHAnsi" w:hAnsiTheme="majorHAnsi" w:cs="Arial"/>
          <w:sz w:val="22"/>
          <w:szCs w:val="22"/>
        </w:rPr>
        <w:t xml:space="preserve">Podgorica, </w:t>
      </w:r>
      <w:r w:rsidR="00250C9E" w:rsidRPr="0018447B">
        <w:rPr>
          <w:rFonts w:asciiTheme="majorHAnsi" w:hAnsiTheme="majorHAnsi" w:cs="Arial"/>
          <w:sz w:val="22"/>
          <w:szCs w:val="22"/>
        </w:rPr>
        <w:t>20</w:t>
      </w:r>
      <w:r w:rsidRPr="0018447B">
        <w:rPr>
          <w:rFonts w:asciiTheme="majorHAnsi" w:hAnsiTheme="majorHAnsi" w:cs="Arial"/>
          <w:sz w:val="22"/>
          <w:szCs w:val="22"/>
        </w:rPr>
        <w:t>. april 2026. godine</w:t>
      </w:r>
      <w:r w:rsidRPr="0018447B">
        <w:rPr>
          <w:rFonts w:asciiTheme="majorHAnsi" w:hAnsiTheme="majorHAnsi" w:cs="Arial"/>
          <w:sz w:val="22"/>
          <w:szCs w:val="22"/>
        </w:rPr>
        <w:tab/>
      </w:r>
      <w:r w:rsidRPr="0018447B">
        <w:rPr>
          <w:rFonts w:asciiTheme="majorHAnsi" w:hAnsiTheme="majorHAnsi" w:cs="Arial"/>
          <w:b/>
          <w:sz w:val="22"/>
          <w:szCs w:val="22"/>
        </w:rPr>
        <w:t xml:space="preserve">                                                      </w:t>
      </w:r>
      <w:r w:rsidR="009C43C1">
        <w:rPr>
          <w:rFonts w:asciiTheme="majorHAnsi" w:hAnsiTheme="majorHAnsi" w:cs="Arial"/>
          <w:b/>
          <w:sz w:val="22"/>
          <w:szCs w:val="22"/>
        </w:rPr>
        <w:t xml:space="preserve">                 </w:t>
      </w:r>
      <w:r w:rsidRPr="0018447B">
        <w:rPr>
          <w:rFonts w:asciiTheme="majorHAnsi" w:hAnsiTheme="majorHAnsi" w:cs="Arial"/>
          <w:b/>
          <w:sz w:val="22"/>
          <w:szCs w:val="22"/>
        </w:rPr>
        <w:t>mr Novica Vuković</w:t>
      </w:r>
      <w:r w:rsidRPr="0018447B">
        <w:rPr>
          <w:rFonts w:asciiTheme="majorHAnsi" w:hAnsiTheme="majorHAnsi" w:cs="Arial"/>
          <w:b/>
          <w:sz w:val="22"/>
          <w:szCs w:val="22"/>
        </w:rPr>
        <w:tab/>
      </w:r>
    </w:p>
    <w:p w:rsidR="00962B1F" w:rsidRPr="0018447B" w:rsidRDefault="00962B1F" w:rsidP="00962B1F">
      <w:pPr>
        <w:rPr>
          <w:rFonts w:asciiTheme="majorHAnsi" w:hAnsiTheme="majorHAnsi" w:cs="Arial"/>
          <w:sz w:val="22"/>
          <w:szCs w:val="22"/>
        </w:rPr>
      </w:pPr>
    </w:p>
    <w:sectPr w:rsidR="00962B1F" w:rsidRPr="0018447B" w:rsidSect="00835E1A">
      <w:pgSz w:w="11906" w:h="16838"/>
      <w:pgMar w:top="568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90455"/>
    <w:multiLevelType w:val="hybridMultilevel"/>
    <w:tmpl w:val="9DCE76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E6444"/>
    <w:multiLevelType w:val="hybridMultilevel"/>
    <w:tmpl w:val="AB80F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65E71"/>
    <w:multiLevelType w:val="hybridMultilevel"/>
    <w:tmpl w:val="F5F6A56C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148BE"/>
    <w:multiLevelType w:val="hybridMultilevel"/>
    <w:tmpl w:val="A3D23154"/>
    <w:lvl w:ilvl="0" w:tplc="2FD424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82F9E"/>
    <w:multiLevelType w:val="hybridMultilevel"/>
    <w:tmpl w:val="0B32E09E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D6ED9"/>
    <w:multiLevelType w:val="hybridMultilevel"/>
    <w:tmpl w:val="79D664BA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52D9A"/>
    <w:multiLevelType w:val="hybridMultilevel"/>
    <w:tmpl w:val="4EFEF0F2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74CE9"/>
    <w:multiLevelType w:val="hybridMultilevel"/>
    <w:tmpl w:val="E460CB10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858BD"/>
    <w:multiLevelType w:val="hybridMultilevel"/>
    <w:tmpl w:val="4ABC959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4C63333C"/>
    <w:multiLevelType w:val="hybridMultilevel"/>
    <w:tmpl w:val="96303E10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3253E"/>
    <w:multiLevelType w:val="hybridMultilevel"/>
    <w:tmpl w:val="C9123A82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44C0D"/>
    <w:multiLevelType w:val="hybridMultilevel"/>
    <w:tmpl w:val="A67C9146"/>
    <w:lvl w:ilvl="0" w:tplc="0394A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2709D"/>
    <w:multiLevelType w:val="hybridMultilevel"/>
    <w:tmpl w:val="F274E8E0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8A0FD3"/>
    <w:multiLevelType w:val="hybridMultilevel"/>
    <w:tmpl w:val="7E02AF68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236F5"/>
    <w:multiLevelType w:val="hybridMultilevel"/>
    <w:tmpl w:val="5AFE3C74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B7394B"/>
    <w:multiLevelType w:val="hybridMultilevel"/>
    <w:tmpl w:val="7B888BD8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C36BE"/>
    <w:multiLevelType w:val="hybridMultilevel"/>
    <w:tmpl w:val="BDC48F34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96B1B"/>
    <w:multiLevelType w:val="hybridMultilevel"/>
    <w:tmpl w:val="C00AF660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0031C"/>
    <w:multiLevelType w:val="hybridMultilevel"/>
    <w:tmpl w:val="FB68501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E771F"/>
    <w:multiLevelType w:val="hybridMultilevel"/>
    <w:tmpl w:val="3FD058C0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7377FB"/>
    <w:multiLevelType w:val="hybridMultilevel"/>
    <w:tmpl w:val="4D9CABFE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D5D80"/>
    <w:multiLevelType w:val="hybridMultilevel"/>
    <w:tmpl w:val="5BBA857E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F4228F"/>
    <w:multiLevelType w:val="hybridMultilevel"/>
    <w:tmpl w:val="241CAF66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8125B"/>
    <w:multiLevelType w:val="hybridMultilevel"/>
    <w:tmpl w:val="A9BC2966"/>
    <w:lvl w:ilvl="0" w:tplc="0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1"/>
  </w:num>
  <w:num w:numId="4">
    <w:abstractNumId w:val="8"/>
  </w:num>
  <w:num w:numId="5">
    <w:abstractNumId w:val="0"/>
  </w:num>
  <w:num w:numId="6">
    <w:abstractNumId w:val="24"/>
  </w:num>
  <w:num w:numId="7">
    <w:abstractNumId w:val="16"/>
  </w:num>
  <w:num w:numId="8">
    <w:abstractNumId w:val="17"/>
  </w:num>
  <w:num w:numId="9">
    <w:abstractNumId w:val="15"/>
  </w:num>
  <w:num w:numId="10">
    <w:abstractNumId w:val="18"/>
  </w:num>
  <w:num w:numId="11">
    <w:abstractNumId w:val="2"/>
  </w:num>
  <w:num w:numId="12">
    <w:abstractNumId w:val="23"/>
  </w:num>
  <w:num w:numId="13">
    <w:abstractNumId w:val="19"/>
  </w:num>
  <w:num w:numId="14">
    <w:abstractNumId w:val="13"/>
  </w:num>
  <w:num w:numId="15">
    <w:abstractNumId w:val="22"/>
  </w:num>
  <w:num w:numId="16">
    <w:abstractNumId w:val="7"/>
  </w:num>
  <w:num w:numId="17">
    <w:abstractNumId w:val="6"/>
  </w:num>
  <w:num w:numId="18">
    <w:abstractNumId w:val="20"/>
  </w:num>
  <w:num w:numId="19">
    <w:abstractNumId w:val="14"/>
  </w:num>
  <w:num w:numId="20">
    <w:abstractNumId w:val="5"/>
  </w:num>
  <w:num w:numId="21">
    <w:abstractNumId w:val="10"/>
  </w:num>
  <w:num w:numId="22">
    <w:abstractNumId w:val="4"/>
  </w:num>
  <w:num w:numId="23">
    <w:abstractNumId w:val="12"/>
  </w:num>
  <w:num w:numId="24">
    <w:abstractNumId w:val="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A52"/>
    <w:rsid w:val="0000375C"/>
    <w:rsid w:val="00004A2B"/>
    <w:rsid w:val="0001442D"/>
    <w:rsid w:val="000148EA"/>
    <w:rsid w:val="00022659"/>
    <w:rsid w:val="00032374"/>
    <w:rsid w:val="00085D90"/>
    <w:rsid w:val="0008681B"/>
    <w:rsid w:val="00093AC9"/>
    <w:rsid w:val="000B588B"/>
    <w:rsid w:val="000C1875"/>
    <w:rsid w:val="000C6B75"/>
    <w:rsid w:val="000D69BE"/>
    <w:rsid w:val="000E4232"/>
    <w:rsid w:val="000E7989"/>
    <w:rsid w:val="00101A09"/>
    <w:rsid w:val="00104769"/>
    <w:rsid w:val="00107725"/>
    <w:rsid w:val="001130F3"/>
    <w:rsid w:val="001250AF"/>
    <w:rsid w:val="00133BEC"/>
    <w:rsid w:val="001413CF"/>
    <w:rsid w:val="00141E3F"/>
    <w:rsid w:val="00143470"/>
    <w:rsid w:val="00172421"/>
    <w:rsid w:val="0018447B"/>
    <w:rsid w:val="001A451D"/>
    <w:rsid w:val="001D5842"/>
    <w:rsid w:val="001E0997"/>
    <w:rsid w:val="001F364A"/>
    <w:rsid w:val="001F7032"/>
    <w:rsid w:val="001F7547"/>
    <w:rsid w:val="00206681"/>
    <w:rsid w:val="00214217"/>
    <w:rsid w:val="00223062"/>
    <w:rsid w:val="002315DB"/>
    <w:rsid w:val="002336F0"/>
    <w:rsid w:val="00235EE7"/>
    <w:rsid w:val="00243907"/>
    <w:rsid w:val="00250C9E"/>
    <w:rsid w:val="00256FEC"/>
    <w:rsid w:val="00263704"/>
    <w:rsid w:val="00270494"/>
    <w:rsid w:val="002723E1"/>
    <w:rsid w:val="00290405"/>
    <w:rsid w:val="002946D5"/>
    <w:rsid w:val="00295CF1"/>
    <w:rsid w:val="00296D48"/>
    <w:rsid w:val="002A240D"/>
    <w:rsid w:val="002A3CD2"/>
    <w:rsid w:val="002B0B79"/>
    <w:rsid w:val="002B58F0"/>
    <w:rsid w:val="002B71D7"/>
    <w:rsid w:val="002B7609"/>
    <w:rsid w:val="002C66D1"/>
    <w:rsid w:val="002E224B"/>
    <w:rsid w:val="002E3DCA"/>
    <w:rsid w:val="002F4428"/>
    <w:rsid w:val="003178C0"/>
    <w:rsid w:val="003246DA"/>
    <w:rsid w:val="00352E55"/>
    <w:rsid w:val="003573F6"/>
    <w:rsid w:val="0035782D"/>
    <w:rsid w:val="00380DF5"/>
    <w:rsid w:val="0039183B"/>
    <w:rsid w:val="00394D7E"/>
    <w:rsid w:val="00395688"/>
    <w:rsid w:val="003A66F0"/>
    <w:rsid w:val="003B0907"/>
    <w:rsid w:val="003B6D87"/>
    <w:rsid w:val="003B7EC7"/>
    <w:rsid w:val="003D1837"/>
    <w:rsid w:val="003D6DC5"/>
    <w:rsid w:val="003E74D2"/>
    <w:rsid w:val="003F678D"/>
    <w:rsid w:val="0042091E"/>
    <w:rsid w:val="00430331"/>
    <w:rsid w:val="004310D4"/>
    <w:rsid w:val="0043790F"/>
    <w:rsid w:val="00452F86"/>
    <w:rsid w:val="004669AC"/>
    <w:rsid w:val="00470E74"/>
    <w:rsid w:val="00481B95"/>
    <w:rsid w:val="00483591"/>
    <w:rsid w:val="004866DA"/>
    <w:rsid w:val="004A431B"/>
    <w:rsid w:val="004B19A6"/>
    <w:rsid w:val="004C300B"/>
    <w:rsid w:val="004E23C8"/>
    <w:rsid w:val="004E2AAB"/>
    <w:rsid w:val="0050608C"/>
    <w:rsid w:val="00512F49"/>
    <w:rsid w:val="00517AFA"/>
    <w:rsid w:val="00543960"/>
    <w:rsid w:val="00547537"/>
    <w:rsid w:val="00551D20"/>
    <w:rsid w:val="00564CF0"/>
    <w:rsid w:val="00592400"/>
    <w:rsid w:val="005954B8"/>
    <w:rsid w:val="005A2855"/>
    <w:rsid w:val="005A288C"/>
    <w:rsid w:val="005A3F4F"/>
    <w:rsid w:val="005A746E"/>
    <w:rsid w:val="005B24B1"/>
    <w:rsid w:val="005C403B"/>
    <w:rsid w:val="005C4150"/>
    <w:rsid w:val="005C4409"/>
    <w:rsid w:val="005E0BDA"/>
    <w:rsid w:val="005E2CC3"/>
    <w:rsid w:val="005E73E0"/>
    <w:rsid w:val="005F0200"/>
    <w:rsid w:val="005F0F2F"/>
    <w:rsid w:val="005F167B"/>
    <w:rsid w:val="005F3C86"/>
    <w:rsid w:val="005F49D4"/>
    <w:rsid w:val="00613656"/>
    <w:rsid w:val="006240E9"/>
    <w:rsid w:val="00624105"/>
    <w:rsid w:val="00637425"/>
    <w:rsid w:val="0066028B"/>
    <w:rsid w:val="006669D1"/>
    <w:rsid w:val="00666B0F"/>
    <w:rsid w:val="00677AB3"/>
    <w:rsid w:val="00696431"/>
    <w:rsid w:val="006A2B10"/>
    <w:rsid w:val="006A7D66"/>
    <w:rsid w:val="006B55C0"/>
    <w:rsid w:val="006C1DDC"/>
    <w:rsid w:val="006C314C"/>
    <w:rsid w:val="006C4C96"/>
    <w:rsid w:val="006E5A20"/>
    <w:rsid w:val="006F10C9"/>
    <w:rsid w:val="00707730"/>
    <w:rsid w:val="00707CDB"/>
    <w:rsid w:val="00712589"/>
    <w:rsid w:val="00716C1A"/>
    <w:rsid w:val="00720D06"/>
    <w:rsid w:val="00725EE3"/>
    <w:rsid w:val="00745FB7"/>
    <w:rsid w:val="00766398"/>
    <w:rsid w:val="007719D4"/>
    <w:rsid w:val="00795FF9"/>
    <w:rsid w:val="007A6B4F"/>
    <w:rsid w:val="007A7030"/>
    <w:rsid w:val="007C4A57"/>
    <w:rsid w:val="007D19B8"/>
    <w:rsid w:val="007D611E"/>
    <w:rsid w:val="007F0FE4"/>
    <w:rsid w:val="007F4876"/>
    <w:rsid w:val="008065FD"/>
    <w:rsid w:val="008101AA"/>
    <w:rsid w:val="00813843"/>
    <w:rsid w:val="00821E52"/>
    <w:rsid w:val="00826739"/>
    <w:rsid w:val="00830297"/>
    <w:rsid w:val="00835E1A"/>
    <w:rsid w:val="00866B48"/>
    <w:rsid w:val="00884FEB"/>
    <w:rsid w:val="008857B6"/>
    <w:rsid w:val="0088789C"/>
    <w:rsid w:val="00887BC4"/>
    <w:rsid w:val="0089059C"/>
    <w:rsid w:val="008A53C5"/>
    <w:rsid w:val="008A6ECF"/>
    <w:rsid w:val="008B5DB4"/>
    <w:rsid w:val="008B6D40"/>
    <w:rsid w:val="008D7468"/>
    <w:rsid w:val="008F520B"/>
    <w:rsid w:val="00900B0B"/>
    <w:rsid w:val="00913DAB"/>
    <w:rsid w:val="009300D1"/>
    <w:rsid w:val="00931D53"/>
    <w:rsid w:val="00935A42"/>
    <w:rsid w:val="00945B35"/>
    <w:rsid w:val="00962B1F"/>
    <w:rsid w:val="0097272F"/>
    <w:rsid w:val="00975FC8"/>
    <w:rsid w:val="00993617"/>
    <w:rsid w:val="009A530D"/>
    <w:rsid w:val="009A7967"/>
    <w:rsid w:val="009B78C7"/>
    <w:rsid w:val="009C0898"/>
    <w:rsid w:val="009C43C1"/>
    <w:rsid w:val="009D1221"/>
    <w:rsid w:val="009D36BD"/>
    <w:rsid w:val="009F6710"/>
    <w:rsid w:val="009F6AA5"/>
    <w:rsid w:val="009F71D7"/>
    <w:rsid w:val="00A0553D"/>
    <w:rsid w:val="00A229DF"/>
    <w:rsid w:val="00A248C2"/>
    <w:rsid w:val="00A4156B"/>
    <w:rsid w:val="00A6112A"/>
    <w:rsid w:val="00A64479"/>
    <w:rsid w:val="00A86B73"/>
    <w:rsid w:val="00A93C09"/>
    <w:rsid w:val="00A951CC"/>
    <w:rsid w:val="00AA5801"/>
    <w:rsid w:val="00AA6A52"/>
    <w:rsid w:val="00AB3AAD"/>
    <w:rsid w:val="00AB5E31"/>
    <w:rsid w:val="00AD3466"/>
    <w:rsid w:val="00AD5200"/>
    <w:rsid w:val="00AE0B20"/>
    <w:rsid w:val="00AE18D3"/>
    <w:rsid w:val="00AF61BA"/>
    <w:rsid w:val="00B04415"/>
    <w:rsid w:val="00B05089"/>
    <w:rsid w:val="00B472F6"/>
    <w:rsid w:val="00B62088"/>
    <w:rsid w:val="00B66782"/>
    <w:rsid w:val="00B70D26"/>
    <w:rsid w:val="00B74CF7"/>
    <w:rsid w:val="00B756C4"/>
    <w:rsid w:val="00B8024B"/>
    <w:rsid w:val="00B87B07"/>
    <w:rsid w:val="00BB4BB6"/>
    <w:rsid w:val="00BC1474"/>
    <w:rsid w:val="00BD11FF"/>
    <w:rsid w:val="00BD3147"/>
    <w:rsid w:val="00BE482C"/>
    <w:rsid w:val="00BF5894"/>
    <w:rsid w:val="00C050AB"/>
    <w:rsid w:val="00C05C0B"/>
    <w:rsid w:val="00C169AD"/>
    <w:rsid w:val="00C16CCA"/>
    <w:rsid w:val="00C454E9"/>
    <w:rsid w:val="00C46384"/>
    <w:rsid w:val="00C51A68"/>
    <w:rsid w:val="00C60172"/>
    <w:rsid w:val="00C73330"/>
    <w:rsid w:val="00C76BE5"/>
    <w:rsid w:val="00C87B35"/>
    <w:rsid w:val="00C97E5A"/>
    <w:rsid w:val="00CA41DB"/>
    <w:rsid w:val="00CB093D"/>
    <w:rsid w:val="00CC2439"/>
    <w:rsid w:val="00CC5C43"/>
    <w:rsid w:val="00CC7A2B"/>
    <w:rsid w:val="00CE4722"/>
    <w:rsid w:val="00CE5535"/>
    <w:rsid w:val="00CF4277"/>
    <w:rsid w:val="00CF6482"/>
    <w:rsid w:val="00D00FDF"/>
    <w:rsid w:val="00D131AA"/>
    <w:rsid w:val="00D25646"/>
    <w:rsid w:val="00D40531"/>
    <w:rsid w:val="00D456D5"/>
    <w:rsid w:val="00D835E8"/>
    <w:rsid w:val="00D94EC1"/>
    <w:rsid w:val="00DC6AB2"/>
    <w:rsid w:val="00DD4A45"/>
    <w:rsid w:val="00DF29C0"/>
    <w:rsid w:val="00DF3406"/>
    <w:rsid w:val="00E112E4"/>
    <w:rsid w:val="00E12983"/>
    <w:rsid w:val="00E22FAF"/>
    <w:rsid w:val="00E31CD1"/>
    <w:rsid w:val="00E338D7"/>
    <w:rsid w:val="00E451EE"/>
    <w:rsid w:val="00E454F0"/>
    <w:rsid w:val="00E56865"/>
    <w:rsid w:val="00E573A7"/>
    <w:rsid w:val="00E62569"/>
    <w:rsid w:val="00E65AAD"/>
    <w:rsid w:val="00E73D2C"/>
    <w:rsid w:val="00E828BC"/>
    <w:rsid w:val="00EA45C1"/>
    <w:rsid w:val="00EB4DF5"/>
    <w:rsid w:val="00EC2713"/>
    <w:rsid w:val="00F0401F"/>
    <w:rsid w:val="00F1001F"/>
    <w:rsid w:val="00F30352"/>
    <w:rsid w:val="00F44A80"/>
    <w:rsid w:val="00F470BB"/>
    <w:rsid w:val="00F57AE1"/>
    <w:rsid w:val="00F66BF9"/>
    <w:rsid w:val="00F66E44"/>
    <w:rsid w:val="00F81CC7"/>
    <w:rsid w:val="00F90303"/>
    <w:rsid w:val="00FA6156"/>
    <w:rsid w:val="00FC59C6"/>
    <w:rsid w:val="00FE13AF"/>
    <w:rsid w:val="00FE6087"/>
    <w:rsid w:val="00FF2F9A"/>
    <w:rsid w:val="00FF3B95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E86DE"/>
  <w15:docId w15:val="{62810549-E688-40FC-91B7-C04C907E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6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A6A52"/>
    <w:pPr>
      <w:ind w:left="720"/>
      <w:contextualSpacing/>
    </w:pPr>
    <w:rPr>
      <w:lang w:val="en-US"/>
    </w:rPr>
  </w:style>
  <w:style w:type="table" w:styleId="LightGrid-Accent5">
    <w:name w:val="Light Grid Accent 5"/>
    <w:basedOn w:val="TableNormal"/>
    <w:uiPriority w:val="62"/>
    <w:rsid w:val="00AA6A5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Strong">
    <w:name w:val="Strong"/>
    <w:basedOn w:val="DefaultParagraphFont"/>
    <w:qFormat/>
    <w:rsid w:val="00FF2F9A"/>
    <w:rPr>
      <w:b/>
      <w:bCs/>
    </w:rPr>
  </w:style>
  <w:style w:type="paragraph" w:styleId="NormalWeb">
    <w:name w:val="Normal (Web)"/>
    <w:basedOn w:val="Normal"/>
    <w:rsid w:val="00FF2F9A"/>
    <w:pPr>
      <w:spacing w:before="100" w:beforeAutospacing="1" w:after="100" w:afterAutospacing="1"/>
    </w:pPr>
    <w:rPr>
      <w:rFonts w:ascii="Verdana" w:hAnsi="Verdana"/>
      <w:sz w:val="20"/>
      <w:szCs w:val="20"/>
      <w:lang w:val="en-GB"/>
    </w:rPr>
  </w:style>
  <w:style w:type="paragraph" w:styleId="NoSpacing">
    <w:name w:val="No Spacing"/>
    <w:uiPriority w:val="1"/>
    <w:qFormat/>
    <w:rsid w:val="002439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sr-Latn-ME"/>
    </w:rPr>
  </w:style>
  <w:style w:type="character" w:customStyle="1" w:styleId="DefaultParagraphFont0">
    <w:name w:val="DefaultParagraphFont"/>
    <w:rsid w:val="005E0BDA"/>
  </w:style>
  <w:style w:type="paragraph" w:customStyle="1" w:styleId="C30X">
    <w:name w:val="C30X"/>
    <w:basedOn w:val="Normal"/>
    <w:uiPriority w:val="99"/>
    <w:rsid w:val="003D6DC5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  <w:lang w:val="sr-Latn-ME" w:eastAsia="sr-Latn-ME"/>
    </w:rPr>
  </w:style>
  <w:style w:type="paragraph" w:customStyle="1" w:styleId="T30X">
    <w:name w:val="T30X"/>
    <w:basedOn w:val="Normal"/>
    <w:uiPriority w:val="99"/>
    <w:rsid w:val="00F66BF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  <w:lang w:val="sr-Latn-ME" w:eastAsia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A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AAB"/>
    <w:rPr>
      <w:rFonts w:ascii="Tahoma" w:eastAsia="Times New Roman" w:hAnsi="Tahoma" w:cs="Tahoma"/>
      <w:sz w:val="16"/>
      <w:szCs w:val="16"/>
      <w:lang w:val="sr-Latn-CS"/>
    </w:rPr>
  </w:style>
  <w:style w:type="table" w:styleId="TableGrid">
    <w:name w:val="Table Grid"/>
    <w:basedOn w:val="TableNormal"/>
    <w:uiPriority w:val="59"/>
    <w:rsid w:val="00085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B6208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24B5C-C85F-4006-9AF3-6D977316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Ruzica Bajceta</dc:creator>
  <cp:lastModifiedBy>Aleksandar Bozovic</cp:lastModifiedBy>
  <cp:revision>163</cp:revision>
  <cp:lastPrinted>2026-04-09T11:18:00Z</cp:lastPrinted>
  <dcterms:created xsi:type="dcterms:W3CDTF">2019-06-07T08:32:00Z</dcterms:created>
  <dcterms:modified xsi:type="dcterms:W3CDTF">2026-04-23T12:29:00Z</dcterms:modified>
</cp:coreProperties>
</file>