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7C92E9D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0DAF5045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3E7324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D52E9A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V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0F69AB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7011D62" w14:textId="24C05A57" w:rsidR="006431DF" w:rsidRDefault="00645E32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M</w:t>
      </w:r>
      <w:bookmarkStart w:id="0" w:name="_GoBack"/>
      <w:bookmarkEnd w:id="0"/>
      <w:r w:rsidR="003B39F9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art</w:t>
      </w:r>
      <w:r w:rsidR="0006149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</w:t>
      </w:r>
      <w:r w:rsidR="00D52E9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4</w:t>
      </w:r>
      <w:r w:rsidR="0006149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161EB08C" w14:textId="51DA83DA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3E33B9E4" w:rsidR="00320B48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Javni prihodi</w:t>
      </w:r>
      <w:r w:rsidR="00720342">
        <w:rPr>
          <w:rFonts w:ascii="Garamond" w:hAnsi="Garamond"/>
          <w:sz w:val="24"/>
          <w:szCs w:val="24"/>
        </w:rPr>
        <w:t xml:space="preserve"> </w:t>
      </w:r>
      <w:r w:rsidR="00BC36DF" w:rsidRPr="00F16719">
        <w:rPr>
          <w:rFonts w:ascii="Garamond" w:hAnsi="Garamond"/>
          <w:sz w:val="24"/>
          <w:szCs w:val="24"/>
        </w:rPr>
        <w:t xml:space="preserve">u </w:t>
      </w:r>
      <w:r w:rsidR="002A06FB" w:rsidRPr="00F16719">
        <w:rPr>
          <w:rFonts w:ascii="Garamond" w:hAnsi="Garamond"/>
          <w:sz w:val="24"/>
          <w:szCs w:val="24"/>
        </w:rPr>
        <w:t>202</w:t>
      </w:r>
      <w:r w:rsidR="00D52E9A">
        <w:rPr>
          <w:rFonts w:ascii="Garamond" w:hAnsi="Garamond"/>
          <w:sz w:val="24"/>
          <w:szCs w:val="24"/>
        </w:rPr>
        <w:t>3</w:t>
      </w:r>
      <w:r w:rsidR="00EF0897" w:rsidRPr="00F16719">
        <w:rPr>
          <w:rFonts w:ascii="Garamond" w:hAnsi="Garamond"/>
          <w:sz w:val="24"/>
          <w:szCs w:val="24"/>
        </w:rPr>
        <w:t>. godin</w:t>
      </w:r>
      <w:r w:rsidR="0056252C">
        <w:rPr>
          <w:rFonts w:ascii="Garamond" w:hAnsi="Garamond"/>
          <w:sz w:val="24"/>
          <w:szCs w:val="24"/>
        </w:rPr>
        <w:t>i</w:t>
      </w:r>
      <w:r w:rsidR="00A47746" w:rsidRPr="00F16719">
        <w:rPr>
          <w:rFonts w:ascii="Garamond" w:hAnsi="Garamond"/>
          <w:sz w:val="24"/>
          <w:szCs w:val="24"/>
        </w:rPr>
        <w:t xml:space="preserve"> iznosili su </w:t>
      </w:r>
      <w:r w:rsidR="00E43A86">
        <w:rPr>
          <w:rFonts w:ascii="Garamond" w:hAnsi="Garamond"/>
          <w:sz w:val="24"/>
          <w:szCs w:val="24"/>
        </w:rPr>
        <w:t xml:space="preserve"> </w:t>
      </w:r>
      <w:r w:rsidR="0056252C">
        <w:rPr>
          <w:rFonts w:ascii="Garamond" w:hAnsi="Garamond"/>
          <w:sz w:val="24"/>
          <w:szCs w:val="24"/>
        </w:rPr>
        <w:t xml:space="preserve">2.941,3 </w:t>
      </w:r>
      <w:r w:rsidR="00347D33" w:rsidRPr="00F16719">
        <w:rPr>
          <w:rFonts w:ascii="Garamond" w:hAnsi="Garamond"/>
          <w:sz w:val="24"/>
          <w:szCs w:val="24"/>
        </w:rPr>
        <w:t xml:space="preserve">mil. € ili </w:t>
      </w:r>
      <w:r w:rsidR="0056252C">
        <w:rPr>
          <w:rFonts w:ascii="Garamond" w:hAnsi="Garamond"/>
          <w:sz w:val="24"/>
          <w:szCs w:val="24"/>
        </w:rPr>
        <w:t>4</w:t>
      </w:r>
      <w:r w:rsidR="00720342">
        <w:rPr>
          <w:rFonts w:ascii="Garamond" w:hAnsi="Garamond"/>
          <w:sz w:val="24"/>
          <w:szCs w:val="24"/>
        </w:rPr>
        <w:t>3</w:t>
      </w:r>
      <w:r w:rsidR="00347D33" w:rsidRPr="00F16719">
        <w:rPr>
          <w:rFonts w:ascii="Garamond" w:hAnsi="Garamond"/>
          <w:sz w:val="24"/>
          <w:szCs w:val="24"/>
        </w:rPr>
        <w:t xml:space="preserve">% </w:t>
      </w:r>
      <w:r w:rsidR="00720342">
        <w:rPr>
          <w:rFonts w:ascii="Garamond" w:hAnsi="Garamond"/>
          <w:sz w:val="24"/>
          <w:szCs w:val="24"/>
        </w:rPr>
        <w:t>preliminarnog</w:t>
      </w:r>
      <w:r w:rsidR="00347D33" w:rsidRPr="00F16719">
        <w:rPr>
          <w:rFonts w:ascii="Garamond" w:hAnsi="Garamond"/>
          <w:sz w:val="24"/>
          <w:szCs w:val="24"/>
        </w:rPr>
        <w:t xml:space="preserve"> BDP-a (</w:t>
      </w:r>
      <w:r w:rsidR="00F11560" w:rsidRPr="00F16719">
        <w:rPr>
          <w:rFonts w:ascii="Garamond" w:hAnsi="Garamond"/>
          <w:sz w:val="24"/>
          <w:szCs w:val="24"/>
        </w:rPr>
        <w:t>6.</w:t>
      </w:r>
      <w:r w:rsidR="00720342">
        <w:rPr>
          <w:rFonts w:ascii="Garamond" w:hAnsi="Garamond"/>
          <w:sz w:val="24"/>
          <w:szCs w:val="24"/>
        </w:rPr>
        <w:t>847</w:t>
      </w:r>
      <w:r w:rsidR="0020289A">
        <w:rPr>
          <w:rFonts w:ascii="Garamond" w:hAnsi="Garamond"/>
          <w:sz w:val="24"/>
          <w:szCs w:val="24"/>
        </w:rPr>
        <w:t>,</w:t>
      </w:r>
      <w:r w:rsidR="00720342">
        <w:rPr>
          <w:rFonts w:ascii="Garamond" w:hAnsi="Garamond"/>
          <w:sz w:val="24"/>
          <w:szCs w:val="24"/>
        </w:rPr>
        <w:t>1</w:t>
      </w:r>
      <w:r w:rsidR="00F11560" w:rsidRPr="00F16719">
        <w:rPr>
          <w:rFonts w:ascii="Garamond" w:hAnsi="Garamond"/>
          <w:sz w:val="24"/>
          <w:szCs w:val="24"/>
        </w:rPr>
        <w:t xml:space="preserve"> </w:t>
      </w:r>
      <w:r w:rsidR="00347D33" w:rsidRPr="00F16719">
        <w:rPr>
          <w:rFonts w:ascii="Garamond" w:hAnsi="Garamond"/>
          <w:sz w:val="24"/>
          <w:szCs w:val="24"/>
        </w:rPr>
        <w:t>mil. €)</w:t>
      </w:r>
      <w:r w:rsidR="00A92463">
        <w:rPr>
          <w:rStyle w:val="FootnoteReference"/>
          <w:rFonts w:ascii="Garamond" w:hAnsi="Garamond"/>
          <w:sz w:val="24"/>
          <w:szCs w:val="24"/>
        </w:rPr>
        <w:footnoteReference w:id="1"/>
      </w:r>
      <w:r w:rsidR="00347D33" w:rsidRPr="00F16719">
        <w:rPr>
          <w:rFonts w:ascii="Garamond" w:hAnsi="Garamond"/>
          <w:sz w:val="24"/>
          <w:szCs w:val="24"/>
        </w:rPr>
        <w:t xml:space="preserve"> i u odnosu na planirane </w:t>
      </w:r>
      <w:r w:rsidR="002E417B" w:rsidRPr="00F16719">
        <w:rPr>
          <w:rFonts w:ascii="Garamond" w:hAnsi="Garamond"/>
          <w:sz w:val="24"/>
          <w:szCs w:val="24"/>
        </w:rPr>
        <w:t xml:space="preserve">veći su za </w:t>
      </w:r>
      <w:r w:rsidR="006202E8">
        <w:rPr>
          <w:rFonts w:ascii="Garamond" w:hAnsi="Garamond"/>
          <w:sz w:val="24"/>
          <w:szCs w:val="24"/>
        </w:rPr>
        <w:t>164,0</w:t>
      </w:r>
      <w:r w:rsidR="00E43A86">
        <w:rPr>
          <w:rFonts w:ascii="Garamond" w:hAnsi="Garamond"/>
          <w:sz w:val="24"/>
          <w:szCs w:val="24"/>
        </w:rPr>
        <w:t xml:space="preserve"> </w:t>
      </w:r>
      <w:r w:rsidR="002E417B" w:rsidRPr="00F16719">
        <w:rPr>
          <w:rFonts w:ascii="Garamond" w:hAnsi="Garamond"/>
          <w:sz w:val="24"/>
          <w:szCs w:val="24"/>
        </w:rPr>
        <w:t>mil. € ili</w:t>
      </w:r>
      <w:r w:rsidR="00511F53">
        <w:rPr>
          <w:rFonts w:ascii="Garamond" w:hAnsi="Garamond"/>
          <w:sz w:val="24"/>
          <w:szCs w:val="24"/>
        </w:rPr>
        <w:t xml:space="preserve"> </w:t>
      </w:r>
      <w:r w:rsidR="006202E8">
        <w:rPr>
          <w:rFonts w:ascii="Garamond" w:hAnsi="Garamond"/>
          <w:sz w:val="24"/>
          <w:szCs w:val="24"/>
        </w:rPr>
        <w:t>5,9</w:t>
      </w:r>
      <w:r w:rsidR="002E417B" w:rsidRPr="00F16719">
        <w:rPr>
          <w:rFonts w:ascii="Garamond" w:hAnsi="Garamond"/>
          <w:sz w:val="24"/>
          <w:szCs w:val="24"/>
        </w:rPr>
        <w:t>%</w:t>
      </w:r>
      <w:r w:rsidR="00347D33" w:rsidRPr="00F16719">
        <w:rPr>
          <w:rFonts w:ascii="Garamond" w:hAnsi="Garamond"/>
          <w:sz w:val="24"/>
          <w:szCs w:val="24"/>
        </w:rPr>
        <w:t xml:space="preserve">. U odnosu na </w:t>
      </w:r>
      <w:r w:rsidR="002E417B" w:rsidRPr="00F16719">
        <w:rPr>
          <w:rFonts w:ascii="Garamond" w:hAnsi="Garamond"/>
          <w:sz w:val="24"/>
          <w:szCs w:val="24"/>
        </w:rPr>
        <w:t xml:space="preserve">isti period </w:t>
      </w:r>
      <w:r w:rsidR="00347D33" w:rsidRPr="00F16719">
        <w:rPr>
          <w:rFonts w:ascii="Garamond" w:hAnsi="Garamond"/>
          <w:sz w:val="24"/>
          <w:szCs w:val="24"/>
        </w:rPr>
        <w:t>202</w:t>
      </w:r>
      <w:r w:rsidR="00F11560" w:rsidRPr="00F16719">
        <w:rPr>
          <w:rFonts w:ascii="Garamond" w:hAnsi="Garamond"/>
          <w:sz w:val="24"/>
          <w:szCs w:val="24"/>
        </w:rPr>
        <w:t>2</w:t>
      </w:r>
      <w:r w:rsidR="00347D33" w:rsidRPr="00F16719">
        <w:rPr>
          <w:rFonts w:ascii="Garamond" w:hAnsi="Garamond"/>
          <w:sz w:val="24"/>
          <w:szCs w:val="24"/>
        </w:rPr>
        <w:t>. godin</w:t>
      </w:r>
      <w:r w:rsidR="002E417B" w:rsidRPr="00F16719">
        <w:rPr>
          <w:rFonts w:ascii="Garamond" w:hAnsi="Garamond"/>
          <w:sz w:val="24"/>
          <w:szCs w:val="24"/>
        </w:rPr>
        <w:t>e</w:t>
      </w:r>
      <w:r w:rsidR="00347D33" w:rsidRPr="00F16719">
        <w:rPr>
          <w:rFonts w:ascii="Garamond" w:hAnsi="Garamond"/>
          <w:sz w:val="24"/>
          <w:szCs w:val="24"/>
        </w:rPr>
        <w:t>, javni prihodi su</w:t>
      </w:r>
      <w:r w:rsidR="002E417B" w:rsidRPr="00F16719">
        <w:rPr>
          <w:rFonts w:ascii="Garamond" w:hAnsi="Garamond"/>
          <w:sz w:val="24"/>
          <w:szCs w:val="24"/>
        </w:rPr>
        <w:t xml:space="preserve"> veći za </w:t>
      </w:r>
      <w:r w:rsidR="0056252C">
        <w:rPr>
          <w:rFonts w:ascii="Garamond" w:hAnsi="Garamond"/>
          <w:sz w:val="24"/>
          <w:szCs w:val="24"/>
        </w:rPr>
        <w:t>619,0</w:t>
      </w:r>
      <w:r w:rsidR="004360C9">
        <w:rPr>
          <w:rFonts w:ascii="Garamond" w:hAnsi="Garamond"/>
          <w:sz w:val="24"/>
          <w:szCs w:val="24"/>
        </w:rPr>
        <w:t xml:space="preserve"> </w:t>
      </w:r>
      <w:r w:rsidR="002E417B" w:rsidRPr="00F16719">
        <w:rPr>
          <w:rFonts w:ascii="Garamond" w:hAnsi="Garamond"/>
          <w:sz w:val="24"/>
          <w:szCs w:val="24"/>
        </w:rPr>
        <w:t xml:space="preserve">mil. € ili </w:t>
      </w:r>
      <w:r w:rsidR="0056252C">
        <w:rPr>
          <w:rFonts w:ascii="Garamond" w:hAnsi="Garamond"/>
          <w:sz w:val="24"/>
          <w:szCs w:val="24"/>
        </w:rPr>
        <w:t>26,7</w:t>
      </w:r>
      <w:r w:rsidR="002E417B" w:rsidRPr="00F16719">
        <w:rPr>
          <w:rFonts w:ascii="Garamond" w:hAnsi="Garamond"/>
          <w:sz w:val="24"/>
          <w:szCs w:val="24"/>
        </w:rPr>
        <w:t>%.</w:t>
      </w:r>
    </w:p>
    <w:p w14:paraId="6A3CEF7C" w14:textId="38B57EDC" w:rsidR="00EF3B97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Javna potrošnja</w:t>
      </w:r>
      <w:r w:rsidR="00720342">
        <w:rPr>
          <w:rFonts w:ascii="Garamond" w:hAnsi="Garamond"/>
          <w:b/>
          <w:sz w:val="24"/>
          <w:szCs w:val="24"/>
        </w:rPr>
        <w:t xml:space="preserve"> </w:t>
      </w:r>
      <w:r w:rsidR="00332FE1" w:rsidRPr="00F16719">
        <w:rPr>
          <w:rFonts w:ascii="Garamond" w:hAnsi="Garamond"/>
          <w:sz w:val="24"/>
          <w:szCs w:val="24"/>
        </w:rPr>
        <w:t xml:space="preserve">u </w:t>
      </w:r>
      <w:r w:rsidR="00274F4B" w:rsidRPr="00F16719">
        <w:rPr>
          <w:rFonts w:ascii="Garamond" w:hAnsi="Garamond"/>
          <w:sz w:val="24"/>
          <w:szCs w:val="24"/>
        </w:rPr>
        <w:t>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FE4414" w:rsidRPr="00F16719">
        <w:rPr>
          <w:rFonts w:ascii="Garamond" w:hAnsi="Garamond"/>
          <w:sz w:val="24"/>
          <w:szCs w:val="24"/>
        </w:rPr>
        <w:t>. godin</w:t>
      </w:r>
      <w:r w:rsidR="005833BB">
        <w:rPr>
          <w:rFonts w:ascii="Garamond" w:hAnsi="Garamond"/>
          <w:sz w:val="24"/>
          <w:szCs w:val="24"/>
        </w:rPr>
        <w:t xml:space="preserve">i </w:t>
      </w:r>
      <w:r w:rsidR="00A47746" w:rsidRPr="00F16719">
        <w:rPr>
          <w:rFonts w:ascii="Garamond" w:hAnsi="Garamond"/>
          <w:sz w:val="24"/>
          <w:szCs w:val="24"/>
        </w:rPr>
        <w:t xml:space="preserve">iznosila </w:t>
      </w:r>
      <w:r w:rsidR="00BB6086" w:rsidRPr="00F16719">
        <w:rPr>
          <w:rFonts w:ascii="Garamond" w:hAnsi="Garamond"/>
          <w:sz w:val="24"/>
          <w:szCs w:val="24"/>
        </w:rPr>
        <w:t>je</w:t>
      </w:r>
      <w:r w:rsidR="004360C9">
        <w:rPr>
          <w:rFonts w:ascii="Garamond" w:hAnsi="Garamond"/>
          <w:sz w:val="24"/>
          <w:szCs w:val="24"/>
        </w:rPr>
        <w:t xml:space="preserve"> </w:t>
      </w:r>
      <w:r w:rsidR="005833BB" w:rsidRPr="005833BB">
        <w:rPr>
          <w:rFonts w:ascii="Garamond" w:hAnsi="Garamond"/>
          <w:sz w:val="24"/>
          <w:szCs w:val="24"/>
        </w:rPr>
        <w:t>2.</w:t>
      </w:r>
      <w:r w:rsidR="0042572D">
        <w:rPr>
          <w:rFonts w:ascii="Garamond" w:hAnsi="Garamond"/>
          <w:sz w:val="24"/>
          <w:szCs w:val="24"/>
        </w:rPr>
        <w:t>900,1</w:t>
      </w:r>
      <w:r w:rsidR="00511F53">
        <w:rPr>
          <w:rFonts w:ascii="Garamond" w:hAnsi="Garamond"/>
          <w:sz w:val="24"/>
          <w:szCs w:val="24"/>
        </w:rPr>
        <w:t xml:space="preserve"> </w:t>
      </w:r>
      <w:r w:rsidR="00E6408D" w:rsidRPr="00F16719">
        <w:rPr>
          <w:rFonts w:ascii="Garamond" w:hAnsi="Garamond"/>
          <w:sz w:val="24"/>
          <w:szCs w:val="24"/>
        </w:rPr>
        <w:t xml:space="preserve">mil. € ili </w:t>
      </w:r>
      <w:r w:rsidR="005833BB">
        <w:rPr>
          <w:rFonts w:ascii="Garamond" w:hAnsi="Garamond"/>
          <w:sz w:val="24"/>
          <w:szCs w:val="24"/>
        </w:rPr>
        <w:t>4</w:t>
      </w:r>
      <w:r w:rsidR="00720342">
        <w:rPr>
          <w:rFonts w:ascii="Garamond" w:hAnsi="Garamond"/>
          <w:sz w:val="24"/>
          <w:szCs w:val="24"/>
        </w:rPr>
        <w:t>2</w:t>
      </w:r>
      <w:r w:rsidR="005833BB">
        <w:rPr>
          <w:rFonts w:ascii="Garamond" w:hAnsi="Garamond"/>
          <w:sz w:val="24"/>
          <w:szCs w:val="24"/>
        </w:rPr>
        <w:t>,</w:t>
      </w:r>
      <w:r w:rsidR="00720342">
        <w:rPr>
          <w:rFonts w:ascii="Garamond" w:hAnsi="Garamond"/>
          <w:sz w:val="24"/>
          <w:szCs w:val="24"/>
        </w:rPr>
        <w:t>4</w:t>
      </w:r>
      <w:r w:rsidR="00E6408D" w:rsidRPr="00F16719">
        <w:rPr>
          <w:rFonts w:ascii="Garamond" w:hAnsi="Garamond"/>
          <w:sz w:val="24"/>
          <w:szCs w:val="24"/>
        </w:rPr>
        <w:t xml:space="preserve">% BDP-a i manja je za </w:t>
      </w:r>
      <w:r w:rsidR="006202E8">
        <w:rPr>
          <w:rFonts w:ascii="Garamond" w:hAnsi="Garamond"/>
          <w:sz w:val="24"/>
          <w:szCs w:val="24"/>
        </w:rPr>
        <w:t>63,5</w:t>
      </w:r>
      <w:r w:rsidR="001D18BE">
        <w:rPr>
          <w:rFonts w:ascii="Garamond" w:hAnsi="Garamond"/>
          <w:sz w:val="24"/>
          <w:szCs w:val="24"/>
        </w:rPr>
        <w:t xml:space="preserve"> </w:t>
      </w:r>
      <w:r w:rsidR="00E6408D" w:rsidRPr="00F16719">
        <w:rPr>
          <w:rFonts w:ascii="Garamond" w:hAnsi="Garamond"/>
          <w:sz w:val="24"/>
          <w:szCs w:val="24"/>
        </w:rPr>
        <w:t xml:space="preserve">mil. € ili </w:t>
      </w:r>
      <w:r w:rsidR="006202E8">
        <w:rPr>
          <w:rFonts w:ascii="Garamond" w:hAnsi="Garamond"/>
          <w:sz w:val="24"/>
          <w:szCs w:val="24"/>
        </w:rPr>
        <w:t>2,1</w:t>
      </w:r>
      <w:r w:rsidR="00E6408D" w:rsidRPr="00F16719">
        <w:rPr>
          <w:rFonts w:ascii="Garamond" w:hAnsi="Garamond"/>
          <w:sz w:val="24"/>
          <w:szCs w:val="24"/>
        </w:rPr>
        <w:t>% u odnosu na planiranu, dok je u odnosu n</w:t>
      </w:r>
      <w:r w:rsidR="00BB6086" w:rsidRPr="00F16719">
        <w:rPr>
          <w:rFonts w:ascii="Garamond" w:hAnsi="Garamond"/>
          <w:sz w:val="24"/>
          <w:szCs w:val="24"/>
        </w:rPr>
        <w:t xml:space="preserve">a prethodnu godinu </w:t>
      </w:r>
      <w:r w:rsidR="00F11560" w:rsidRPr="00F16719">
        <w:rPr>
          <w:rFonts w:ascii="Garamond" w:hAnsi="Garamond"/>
          <w:sz w:val="24"/>
          <w:szCs w:val="24"/>
        </w:rPr>
        <w:t>veća</w:t>
      </w:r>
      <w:r w:rsidR="00BB6086" w:rsidRPr="00F16719">
        <w:rPr>
          <w:rFonts w:ascii="Garamond" w:hAnsi="Garamond"/>
          <w:sz w:val="24"/>
          <w:szCs w:val="24"/>
        </w:rPr>
        <w:t xml:space="preserve"> za </w:t>
      </w:r>
      <w:r w:rsidR="005833BB">
        <w:rPr>
          <w:rFonts w:ascii="Garamond" w:hAnsi="Garamond"/>
          <w:sz w:val="24"/>
          <w:szCs w:val="24"/>
        </w:rPr>
        <w:t>3</w:t>
      </w:r>
      <w:r w:rsidR="001D18BE">
        <w:rPr>
          <w:rFonts w:ascii="Garamond" w:hAnsi="Garamond"/>
          <w:sz w:val="24"/>
          <w:szCs w:val="24"/>
        </w:rPr>
        <w:t>26,0</w:t>
      </w:r>
      <w:r w:rsidR="004360C9">
        <w:rPr>
          <w:rFonts w:ascii="Garamond" w:hAnsi="Garamond"/>
          <w:sz w:val="24"/>
          <w:szCs w:val="24"/>
        </w:rPr>
        <w:t xml:space="preserve"> </w:t>
      </w:r>
      <w:r w:rsidR="00BB6086" w:rsidRPr="00F16719">
        <w:rPr>
          <w:rFonts w:ascii="Garamond" w:hAnsi="Garamond"/>
          <w:sz w:val="24"/>
          <w:szCs w:val="24"/>
        </w:rPr>
        <w:t xml:space="preserve">mil. € ili </w:t>
      </w:r>
      <w:r w:rsidR="005833BB">
        <w:rPr>
          <w:rFonts w:ascii="Garamond" w:hAnsi="Garamond"/>
          <w:sz w:val="24"/>
          <w:szCs w:val="24"/>
        </w:rPr>
        <w:t>12,</w:t>
      </w:r>
      <w:r w:rsidR="001D18BE">
        <w:rPr>
          <w:rFonts w:ascii="Garamond" w:hAnsi="Garamond"/>
          <w:sz w:val="24"/>
          <w:szCs w:val="24"/>
        </w:rPr>
        <w:t>7</w:t>
      </w:r>
      <w:r w:rsidR="00E6408D" w:rsidRPr="00F16719">
        <w:rPr>
          <w:rFonts w:ascii="Garamond" w:hAnsi="Garamond"/>
          <w:sz w:val="24"/>
          <w:szCs w:val="24"/>
        </w:rPr>
        <w:t>%</w:t>
      </w:r>
      <w:r w:rsidR="00274F4B" w:rsidRPr="00F16719">
        <w:rPr>
          <w:rFonts w:ascii="Garamond" w:hAnsi="Garamond"/>
          <w:sz w:val="24"/>
          <w:szCs w:val="24"/>
        </w:rPr>
        <w:t>.</w:t>
      </w:r>
    </w:p>
    <w:p w14:paraId="124EEB88" w14:textId="4D5B7DDD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 u</w:t>
      </w:r>
      <w:r w:rsidR="00FC6361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3</w:t>
      </w:r>
      <w:r w:rsidR="000E6B54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</w:t>
      </w:r>
      <w:r w:rsidR="00EF5D2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i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javnih finansija</w:t>
      </w:r>
      <w:r w:rsidR="00274F4B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8E1EF1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41,2</w:t>
      </w:r>
      <w:r w:rsidR="00EF5D2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mil. € ili</w:t>
      </w:r>
      <w:r w:rsidR="002E09B8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EF5D2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0,</w:t>
      </w:r>
      <w:r w:rsidR="008E1EF1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6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</w:t>
      </w:r>
      <w:r w:rsidR="00F16719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Pr="00720342" w:rsidRDefault="00E10CBA" w:rsidP="00720342">
      <w:pPr>
        <w:numPr>
          <w:ilvl w:val="1"/>
          <w:numId w:val="0"/>
        </w:numPr>
        <w:spacing w:before="360" w:after="120"/>
        <w:jc w:val="both"/>
        <w:rPr>
          <w:rFonts w:ascii="Garamond" w:hAnsi="Garamond"/>
          <w:color w:val="548DD4"/>
          <w:spacing w:val="15"/>
          <w:sz w:val="24"/>
          <w:shd w:val="clear" w:color="auto" w:fill="FFFFFF"/>
        </w:rPr>
      </w:pPr>
      <w:r w:rsidRPr="00720342">
        <w:rPr>
          <w:rFonts w:ascii="Garamond" w:hAnsi="Garamond"/>
          <w:color w:val="548DD4"/>
          <w:spacing w:val="15"/>
          <w:sz w:val="24"/>
          <w:shd w:val="clear" w:color="auto" w:fill="FFFFFF"/>
        </w:rPr>
        <w:t>BUDŽET CRNE GORE</w:t>
      </w:r>
    </w:p>
    <w:p w14:paraId="6B147BC7" w14:textId="155E5DD6" w:rsidR="004D40FC" w:rsidRDefault="00AF4886" w:rsidP="00720342">
      <w:pPr>
        <w:spacing w:after="0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</w:t>
      </w:r>
      <w:r w:rsidR="0020289A">
        <w:rPr>
          <w:rStyle w:val="FootnoteReference"/>
          <w:rFonts w:ascii="Garamond" w:hAnsi="Garamond" w:cstheme="minorHAnsi"/>
          <w:sz w:val="24"/>
          <w:szCs w:val="24"/>
        </w:rPr>
        <w:footnoteReference w:id="2"/>
      </w:r>
      <w:r w:rsidR="0061770D" w:rsidRPr="003B73C9">
        <w:rPr>
          <w:rFonts w:ascii="Garamond" w:hAnsi="Garamond" w:cstheme="minorHAnsi"/>
          <w:sz w:val="24"/>
          <w:szCs w:val="24"/>
        </w:rPr>
        <w:t xml:space="preserve">u periodu januar - </w:t>
      </w:r>
      <w:r w:rsidR="00C751B9">
        <w:rPr>
          <w:rFonts w:ascii="Garamond" w:hAnsi="Garamond" w:cstheme="minorHAnsi"/>
          <w:sz w:val="24"/>
          <w:szCs w:val="24"/>
        </w:rPr>
        <w:t>decembar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202</w:t>
      </w:r>
      <w:r w:rsidR="000F69AB">
        <w:rPr>
          <w:rFonts w:ascii="Garamond" w:hAnsi="Garamond" w:cstheme="minorHAnsi"/>
          <w:sz w:val="24"/>
          <w:szCs w:val="24"/>
        </w:rPr>
        <w:t>3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. godine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iznosili su </w:t>
      </w:r>
      <w:r w:rsidR="00C751B9">
        <w:rPr>
          <w:rFonts w:ascii="Garamond" w:eastAsia="Calibri" w:hAnsi="Garamond" w:cs="Times New Roman"/>
          <w:sz w:val="24"/>
          <w:szCs w:val="24"/>
        </w:rPr>
        <w:t>2.56</w:t>
      </w:r>
      <w:r w:rsidR="000148BA">
        <w:rPr>
          <w:rFonts w:ascii="Garamond" w:eastAsia="Calibri" w:hAnsi="Garamond" w:cs="Times New Roman"/>
          <w:sz w:val="24"/>
          <w:szCs w:val="24"/>
        </w:rPr>
        <w:t>6</w:t>
      </w:r>
      <w:r w:rsidR="00C751B9">
        <w:rPr>
          <w:rFonts w:ascii="Garamond" w:eastAsia="Calibri" w:hAnsi="Garamond" w:cs="Times New Roman"/>
          <w:sz w:val="24"/>
          <w:szCs w:val="24"/>
        </w:rPr>
        <w:t>,</w:t>
      </w:r>
      <w:r w:rsidR="000148BA">
        <w:rPr>
          <w:rFonts w:ascii="Garamond" w:eastAsia="Calibri" w:hAnsi="Garamond" w:cs="Times New Roman"/>
          <w:sz w:val="24"/>
          <w:szCs w:val="24"/>
        </w:rPr>
        <w:t>4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2F4893">
        <w:rPr>
          <w:rFonts w:ascii="Garamond" w:eastAsia="Calibri" w:hAnsi="Garamond" w:cs="Times New Roman"/>
          <w:sz w:val="24"/>
          <w:szCs w:val="24"/>
        </w:rPr>
        <w:t>3</w:t>
      </w:r>
      <w:r w:rsidR="00A92463">
        <w:rPr>
          <w:rFonts w:ascii="Garamond" w:eastAsia="Calibri" w:hAnsi="Garamond" w:cs="Times New Roman"/>
          <w:sz w:val="24"/>
          <w:szCs w:val="24"/>
        </w:rPr>
        <w:t>7</w:t>
      </w:r>
      <w:r w:rsidR="00C751B9">
        <w:rPr>
          <w:rFonts w:ascii="Garamond" w:eastAsia="Calibri" w:hAnsi="Garamond" w:cs="Times New Roman"/>
          <w:sz w:val="24"/>
          <w:szCs w:val="24"/>
        </w:rPr>
        <w:t>,</w:t>
      </w:r>
      <w:r w:rsidR="00A92463">
        <w:rPr>
          <w:rFonts w:ascii="Garamond" w:eastAsia="Calibri" w:hAnsi="Garamond" w:cs="Times New Roman"/>
          <w:sz w:val="24"/>
          <w:szCs w:val="24"/>
        </w:rPr>
        <w:t>5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% </w:t>
      </w:r>
      <w:r w:rsidR="00A92463">
        <w:rPr>
          <w:rFonts w:ascii="Garamond" w:eastAsia="Calibri" w:hAnsi="Garamond" w:cs="Times New Roman"/>
          <w:sz w:val="24"/>
          <w:szCs w:val="24"/>
        </w:rPr>
        <w:t xml:space="preserve">preliminarno ostvarenog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BDP-a i veći su za </w:t>
      </w:r>
      <w:r w:rsidR="00C751B9">
        <w:rPr>
          <w:rFonts w:ascii="Garamond" w:eastAsia="Calibri" w:hAnsi="Garamond" w:cs="Times New Roman"/>
          <w:sz w:val="24"/>
          <w:szCs w:val="24"/>
        </w:rPr>
        <w:t>14</w:t>
      </w:r>
      <w:r w:rsidR="000148BA">
        <w:rPr>
          <w:rFonts w:ascii="Garamond" w:eastAsia="Calibri" w:hAnsi="Garamond" w:cs="Times New Roman"/>
          <w:sz w:val="24"/>
          <w:szCs w:val="24"/>
        </w:rPr>
        <w:t>3</w:t>
      </w:r>
      <w:r w:rsidR="00C751B9">
        <w:rPr>
          <w:rFonts w:ascii="Garamond" w:eastAsia="Calibri" w:hAnsi="Garamond" w:cs="Times New Roman"/>
          <w:sz w:val="24"/>
          <w:szCs w:val="24"/>
        </w:rPr>
        <w:t>,6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>mil. € ili</w:t>
      </w:r>
      <w:r w:rsidR="00511F53">
        <w:rPr>
          <w:rFonts w:ascii="Garamond" w:eastAsia="Calibri" w:hAnsi="Garamond" w:cs="Times New Roman"/>
          <w:sz w:val="24"/>
          <w:szCs w:val="24"/>
        </w:rPr>
        <w:t xml:space="preserve"> </w:t>
      </w:r>
      <w:r w:rsidR="00C751B9">
        <w:rPr>
          <w:rFonts w:ascii="Garamond" w:eastAsia="Calibri" w:hAnsi="Garamond" w:cs="Times New Roman"/>
          <w:sz w:val="24"/>
          <w:szCs w:val="24"/>
        </w:rPr>
        <w:t>5,9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>% u odnosu na planirane</w:t>
      </w:r>
      <w:r w:rsidR="00C751B9">
        <w:rPr>
          <w:rFonts w:ascii="Garamond" w:eastAsia="Calibri" w:hAnsi="Garamond" w:cs="Times New Roman"/>
          <w:sz w:val="24"/>
          <w:szCs w:val="24"/>
        </w:rPr>
        <w:t xml:space="preserve"> rebalansom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, dok su u odnosu na uporedni period 2022. godine veći za </w:t>
      </w:r>
      <w:r w:rsidR="00C751B9">
        <w:rPr>
          <w:rFonts w:ascii="Garamond" w:eastAsia="Calibri" w:hAnsi="Garamond" w:cs="Times New Roman"/>
          <w:sz w:val="24"/>
          <w:szCs w:val="24"/>
        </w:rPr>
        <w:t>5</w:t>
      </w:r>
      <w:r w:rsidR="000E10F7">
        <w:rPr>
          <w:rFonts w:ascii="Garamond" w:eastAsia="Calibri" w:hAnsi="Garamond" w:cs="Times New Roman"/>
          <w:sz w:val="24"/>
          <w:szCs w:val="24"/>
        </w:rPr>
        <w:t>71,0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C751B9">
        <w:rPr>
          <w:rFonts w:ascii="Garamond" w:eastAsia="Calibri" w:hAnsi="Garamond" w:cs="Times New Roman"/>
          <w:sz w:val="24"/>
          <w:szCs w:val="24"/>
        </w:rPr>
        <w:t>28,6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%. U posmatranom periodu zabilježen je rast gotovo svih kategorija prihoda budžeta. Najznačajnija pozitivna odstupanja zabilježena su kod </w:t>
      </w:r>
      <w:r w:rsidR="004D40FC" w:rsidRPr="004D40FC">
        <w:rPr>
          <w:rFonts w:ascii="Garamond" w:eastAsia="Calibri" w:hAnsi="Garamond" w:cs="Times New Roman"/>
          <w:b/>
          <w:sz w:val="24"/>
          <w:szCs w:val="24"/>
        </w:rPr>
        <w:t>Ostalih prihoda, Prihoda po osnovu poreza na dodatu vrijednost, Prihoda po osnovu poreza na dobit pravnih lica, Doprinosa za obavezno socijalno osiguranje i Donacija i transfera.</w:t>
      </w:r>
    </w:p>
    <w:p w14:paraId="6042A119" w14:textId="77777777" w:rsidR="00A92463" w:rsidRPr="004D40FC" w:rsidRDefault="00A92463" w:rsidP="00720342">
      <w:pPr>
        <w:spacing w:after="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7069838" w14:textId="1548F5CA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Prihodi po osnovu</w:t>
      </w:r>
      <w:r w:rsidRPr="0020289A">
        <w:rPr>
          <w:rFonts w:ascii="Garamond" w:eastAsia="Calibri" w:hAnsi="Garamond" w:cs="Times New Roman"/>
          <w:b/>
          <w:sz w:val="24"/>
          <w:szCs w:val="24"/>
        </w:rPr>
        <w:t xml:space="preserve"> PDV-a</w:t>
      </w:r>
      <w:r w:rsidRPr="0020289A">
        <w:rPr>
          <w:rFonts w:ascii="Garamond" w:eastAsia="Calibri" w:hAnsi="Garamond" w:cs="Times New Roman"/>
          <w:sz w:val="24"/>
          <w:szCs w:val="24"/>
        </w:rPr>
        <w:t>, naplaćeni su u iznosu od 1.059,3 mil. € što je za 31,2 mil. € ili 3% veće u odnosu na planirane rebalansom i 151,2 mil. € ili 16</w:t>
      </w:r>
      <w:r w:rsidR="000E10F7">
        <w:rPr>
          <w:rFonts w:ascii="Garamond" w:eastAsia="Calibri" w:hAnsi="Garamond" w:cs="Times New Roman"/>
          <w:sz w:val="24"/>
          <w:szCs w:val="24"/>
        </w:rPr>
        <w:t>,7</w:t>
      </w:r>
      <w:r w:rsidRPr="0020289A">
        <w:rPr>
          <w:rFonts w:ascii="Garamond" w:eastAsia="Calibri" w:hAnsi="Garamond" w:cs="Times New Roman"/>
          <w:sz w:val="24"/>
          <w:szCs w:val="24"/>
        </w:rPr>
        <w:t>% veće u odnosu na isti period prethodne godine. Snažan rast prihoda po ovom osnovu rezultat je više faktora od kojih su najznačajniji: rezultati ljetnje turističke sezone, unaprijeđena poreska disciplina, kao i značajan rast uvoza i potrošnje domaćinstava, što uz projektovanu inflaciju najviše opredeljuje rast ove kategorije prihoda.</w:t>
      </w:r>
    </w:p>
    <w:p w14:paraId="705F7D88" w14:textId="064EAC9F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1A5FC644" w14:textId="3D6E054C" w:rsidR="00195E40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Prihodi od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>Akciza</w:t>
      </w:r>
      <w:r w:rsidRPr="0020289A">
        <w:rPr>
          <w:rFonts w:ascii="Garamond" w:eastAsia="Calibri" w:hAnsi="Garamond" w:cs="Times New Roman"/>
          <w:sz w:val="24"/>
          <w:szCs w:val="24"/>
        </w:rPr>
        <w:t>, u navedenom periodu, naplaćeni su u iznosu od 323,1 mil. €, što je u odnosu na plan po rebalansu veće za 26,7 mil. € ili 9%, odnosno 77,2 mil. € ili 31,4% u odnosu na isti period prethodne godine. Najveći doprinos rastu akciza u 2023. godini zabilježen je kod:</w:t>
      </w:r>
    </w:p>
    <w:p w14:paraId="40CDFECA" w14:textId="77777777" w:rsidR="0020289A" w:rsidRPr="0020289A" w:rsidRDefault="0020289A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2DE64EC7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- akcize na mineralna ulja i njihove derivate, i to u iznosu od 179,2 mil. €, što je za 61,1 mil. € ili 51,7% veće u odnosu na isti period prethodne godine.</w:t>
      </w:r>
    </w:p>
    <w:p w14:paraId="54AA187B" w14:textId="3292961D" w:rsidR="00195E40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- akcize na duvan i duvanske proizvode, i to u iznosu od 100,2 mil. €, što je za 8,2 mil. € ili 8,9% veće u odnosu na isti period prethodne godine.</w:t>
      </w:r>
    </w:p>
    <w:p w14:paraId="3C95A01E" w14:textId="77777777" w:rsidR="00BD4723" w:rsidRDefault="00BD4723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17AD75EF" w14:textId="4C59F82C" w:rsidR="00BD4723" w:rsidRDefault="00BD4723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BD4723">
        <w:rPr>
          <w:rFonts w:ascii="Garamond" w:eastAsia="Calibri" w:hAnsi="Garamond" w:cs="Times New Roman"/>
          <w:sz w:val="24"/>
          <w:szCs w:val="24"/>
        </w:rPr>
        <w:t>Po osnovu akcize na proizvode od šećera, kakaoa i sladoled, od jula mjeseca je naplaćeno ukupno 2,6 mil. €.</w:t>
      </w:r>
    </w:p>
    <w:p w14:paraId="2DF57AA0" w14:textId="77777777" w:rsidR="0020289A" w:rsidRPr="0020289A" w:rsidRDefault="0020289A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12FC5D9E" w14:textId="39B45E7B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U posmatranom periodu prihodi po osnovu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>Poreza na dobit pravnih lica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iznosili se 151,3 mil. € i veći su u odnosu na planirane rebalansom za 16,6 mil. € ili 12,4%, dok su u odnosu na uporedni period 2022. godine veći su za 61,1 mil. € ili 67,8%. Uvođenje progresivnih stopa na dobit, rast ekonomske aktivnosti i ostvareni rezultati privrednih subjekata u prethodnoj godini, kao i poboljšanje poreske discipline opredijelili su rast ove kategorije prihoda.</w:t>
      </w:r>
    </w:p>
    <w:p w14:paraId="76A02FA4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lastRenderedPageBreak/>
        <w:t xml:space="preserve"> </w:t>
      </w:r>
    </w:p>
    <w:p w14:paraId="7A509E16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Prihodi po osnovu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>doprinosa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naplaćeni su u iznosu od 575,7 mil. € što je za 63,5 mil. € ili 12,4% veće u odnosu na planirane rebalansom, odnosno 112,9 mil. € ili 24,4% veće u odnosu na uporedni period 2022. godine. Značajan rast ove kategorije prihoda prevashodno je rezultat smanjenja neformalne ekonomije na tržištu rada usljed smanjenja poreskog opterećenja na rad, povećanja zarada zaposlenih u javnom sektoru čime je uvećana i osnovica naplate poreza i doprinosa na zarade, veće poreske discipline, kao i efekata implementacije Zakona o reprogramu poreskog potraživanja.</w:t>
      </w:r>
    </w:p>
    <w:p w14:paraId="01CDA769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99C0C89" w14:textId="6E295E00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b/>
          <w:sz w:val="24"/>
          <w:szCs w:val="24"/>
        </w:rPr>
        <w:t>Ostali prihodi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u posmatranom periodu iznosili su 181,8 mil. €, što je za 18,</w:t>
      </w:r>
      <w:r w:rsidR="00BD4723">
        <w:rPr>
          <w:rFonts w:ascii="Garamond" w:eastAsia="Calibri" w:hAnsi="Garamond" w:cs="Times New Roman"/>
          <w:sz w:val="24"/>
          <w:szCs w:val="24"/>
        </w:rPr>
        <w:t>7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manje u odnosu na planirane rebalansom, dok su u odnosu na uporedni period 2022. godine veći za 152,</w:t>
      </w:r>
      <w:r w:rsidR="00BD4723">
        <w:rPr>
          <w:rFonts w:ascii="Garamond" w:eastAsia="Calibri" w:hAnsi="Garamond" w:cs="Times New Roman"/>
          <w:sz w:val="24"/>
          <w:szCs w:val="24"/>
        </w:rPr>
        <w:t>1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€. Rast ove kategorije prihoda u odnosu na 2022. godinu dominantno je rezultat prekida hedžing aranžmana iz 2021. godine, i to u iznosu od 60 mil. €, kao i prenos sredstava naplaćenih u okviru implementacije  projekta „Ekonomskog državljanstva“ u ukupnom iznosu od 68,2 mil. €. Pored navedenog, u 2023. godini  izvršena je uplata u iznosu od 11,6 mil. €, po osnovu uplaćenih dividendi od ostvarene dobiti privrednih društava u većinskom vlasništvu države.</w:t>
      </w:r>
    </w:p>
    <w:p w14:paraId="0299AFC1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5CF82A45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Značajan rast zabilježen je i kod kategorije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>Donacije i transferi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koji su ostvareni u iznosu od 71,3 mil. €, što je u odnosu na plan po rebalansu veće za 2,9 mil. €, i u odnosu na isti period prethodne godine za 36,9 mil. €. Rast navedene kategorije prevashodno je rezultat izvršene uplate sredstava od strane EU, a po osnovu direktne budžetske podrške za energetsku efikasnost.</w:t>
      </w:r>
    </w:p>
    <w:p w14:paraId="377A8AE3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732EED92" w14:textId="43145265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b/>
          <w:sz w:val="24"/>
          <w:szCs w:val="24"/>
        </w:rPr>
        <w:t>Izdaci budžeta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u 2023. godini iznosili su 2</w:t>
      </w:r>
      <w:r w:rsidR="00C50D16">
        <w:rPr>
          <w:rFonts w:ascii="Garamond" w:eastAsia="Calibri" w:hAnsi="Garamond" w:cs="Times New Roman"/>
          <w:sz w:val="24"/>
          <w:szCs w:val="24"/>
        </w:rPr>
        <w:t>.5</w:t>
      </w:r>
      <w:r w:rsidR="00294739">
        <w:rPr>
          <w:rFonts w:ascii="Garamond" w:eastAsia="Calibri" w:hAnsi="Garamond" w:cs="Times New Roman"/>
          <w:sz w:val="24"/>
          <w:szCs w:val="24"/>
        </w:rPr>
        <w:t>56,1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3</w:t>
      </w:r>
      <w:r w:rsidR="00A92463">
        <w:rPr>
          <w:rFonts w:ascii="Garamond" w:eastAsia="Calibri" w:hAnsi="Garamond" w:cs="Times New Roman"/>
          <w:sz w:val="24"/>
          <w:szCs w:val="24"/>
        </w:rPr>
        <w:t>7</w:t>
      </w:r>
      <w:r w:rsidRPr="0020289A">
        <w:rPr>
          <w:rFonts w:ascii="Garamond" w:eastAsia="Calibri" w:hAnsi="Garamond" w:cs="Times New Roman"/>
          <w:sz w:val="24"/>
          <w:szCs w:val="24"/>
        </w:rPr>
        <w:t>,</w:t>
      </w:r>
      <w:r w:rsidR="00A92463">
        <w:rPr>
          <w:rFonts w:ascii="Garamond" w:eastAsia="Calibri" w:hAnsi="Garamond" w:cs="Times New Roman"/>
          <w:sz w:val="24"/>
          <w:szCs w:val="24"/>
        </w:rPr>
        <w:t>3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</w:t>
      </w:r>
      <w:r w:rsidR="00A92463">
        <w:rPr>
          <w:rFonts w:ascii="Garamond" w:eastAsia="Calibri" w:hAnsi="Garamond" w:cs="Times New Roman"/>
          <w:sz w:val="24"/>
          <w:szCs w:val="24"/>
        </w:rPr>
        <w:t xml:space="preserve">preliminarnog 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BDP-a i u odnosu na planirane niži su za </w:t>
      </w:r>
      <w:r w:rsidR="00294739">
        <w:rPr>
          <w:rFonts w:ascii="Garamond" w:eastAsia="Calibri" w:hAnsi="Garamond" w:cs="Times New Roman"/>
          <w:sz w:val="24"/>
          <w:szCs w:val="24"/>
        </w:rPr>
        <w:t>8</w:t>
      </w:r>
      <w:r w:rsidR="00FE35F2">
        <w:rPr>
          <w:rFonts w:ascii="Garamond" w:eastAsia="Calibri" w:hAnsi="Garamond" w:cs="Times New Roman"/>
          <w:sz w:val="24"/>
          <w:szCs w:val="24"/>
        </w:rPr>
        <w:t>3</w:t>
      </w:r>
      <w:r w:rsidR="00294739">
        <w:rPr>
          <w:rFonts w:ascii="Garamond" w:eastAsia="Calibri" w:hAnsi="Garamond" w:cs="Times New Roman"/>
          <w:sz w:val="24"/>
          <w:szCs w:val="24"/>
        </w:rPr>
        <w:t>,0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3,</w:t>
      </w:r>
      <w:r w:rsidR="00294739">
        <w:rPr>
          <w:rFonts w:ascii="Garamond" w:eastAsia="Calibri" w:hAnsi="Garamond" w:cs="Times New Roman"/>
          <w:sz w:val="24"/>
          <w:szCs w:val="24"/>
        </w:rPr>
        <w:t>1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dok su u odnosu na isti period 2022. godine veći za </w:t>
      </w:r>
      <w:r w:rsidR="00294739">
        <w:rPr>
          <w:rFonts w:ascii="Garamond" w:eastAsia="Calibri" w:hAnsi="Garamond" w:cs="Times New Roman"/>
          <w:sz w:val="24"/>
          <w:szCs w:val="24"/>
        </w:rPr>
        <w:t xml:space="preserve">310,3 </w:t>
      </w:r>
      <w:r w:rsidRPr="0020289A">
        <w:rPr>
          <w:rFonts w:ascii="Garamond" w:eastAsia="Calibri" w:hAnsi="Garamond" w:cs="Times New Roman"/>
          <w:sz w:val="24"/>
          <w:szCs w:val="24"/>
        </w:rPr>
        <w:t>mil. € ili 13,</w:t>
      </w:r>
      <w:r w:rsidR="00294739">
        <w:rPr>
          <w:rFonts w:ascii="Garamond" w:eastAsia="Calibri" w:hAnsi="Garamond" w:cs="Times New Roman"/>
          <w:sz w:val="24"/>
          <w:szCs w:val="24"/>
        </w:rPr>
        <w:t>8</w:t>
      </w:r>
      <w:r w:rsidRPr="0020289A">
        <w:rPr>
          <w:rFonts w:ascii="Garamond" w:eastAsia="Calibri" w:hAnsi="Garamond" w:cs="Times New Roman"/>
          <w:sz w:val="24"/>
          <w:szCs w:val="24"/>
        </w:rPr>
        <w:t>%.</w:t>
      </w:r>
    </w:p>
    <w:p w14:paraId="6A5CE256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7E18DA6E" w14:textId="30F8E178" w:rsidR="00195E40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U strukturi ukupne potrošnje u posmatranom periodu,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>Tekući budžet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izvršen je na nivou 93% ukupne potrošnje, dok je Kapitalni budžet izvršen na nivou od 7% ukupne potrošnje.</w:t>
      </w:r>
    </w:p>
    <w:p w14:paraId="56EE8B77" w14:textId="77777777" w:rsidR="0020289A" w:rsidRPr="0020289A" w:rsidRDefault="0020289A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1A809E22" w14:textId="393C8A38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Posmatrajući glavne kategorije potrošnje u okviru Tekućeg budžeta, tekući izdaci, u navedenom periodu, realizovani su u iznosu od 1.0</w:t>
      </w:r>
      <w:r w:rsidR="00C50D16">
        <w:rPr>
          <w:rFonts w:ascii="Garamond" w:eastAsia="Calibri" w:hAnsi="Garamond" w:cs="Times New Roman"/>
          <w:sz w:val="24"/>
          <w:szCs w:val="24"/>
        </w:rPr>
        <w:t>73,0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 n</w:t>
      </w:r>
      <w:r w:rsidR="00C50D16">
        <w:rPr>
          <w:rFonts w:ascii="Garamond" w:eastAsia="Calibri" w:hAnsi="Garamond" w:cs="Times New Roman"/>
          <w:sz w:val="24"/>
          <w:szCs w:val="24"/>
        </w:rPr>
        <w:t xml:space="preserve">iži su od planiranih za 7,3 </w:t>
      </w:r>
      <w:r w:rsidR="00C50D16" w:rsidRPr="0020289A">
        <w:rPr>
          <w:rFonts w:ascii="Garamond" w:eastAsia="Calibri" w:hAnsi="Garamond" w:cs="Times New Roman"/>
          <w:sz w:val="24"/>
          <w:szCs w:val="24"/>
        </w:rPr>
        <w:t>mil. €</w:t>
      </w:r>
      <w:r w:rsidR="00C50D16">
        <w:rPr>
          <w:rFonts w:ascii="Garamond" w:eastAsia="Calibri" w:hAnsi="Garamond" w:cs="Times New Roman"/>
          <w:sz w:val="24"/>
          <w:szCs w:val="24"/>
        </w:rPr>
        <w:t xml:space="preserve"> ili 0,7%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. U okviru ove kategorije izdataka najznačajnija izdvajanja su kod Bruto zarada i doprinosa na teret poslodavca u iznosu od 643 mil. €, što je u odnosu na plan veće za </w:t>
      </w:r>
      <w:r w:rsidR="00C50D16">
        <w:rPr>
          <w:rFonts w:ascii="Garamond" w:eastAsia="Calibri" w:hAnsi="Garamond" w:cs="Times New Roman"/>
          <w:sz w:val="24"/>
          <w:szCs w:val="24"/>
        </w:rPr>
        <w:t>7,7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1,</w:t>
      </w:r>
      <w:r w:rsidR="00C50D16">
        <w:rPr>
          <w:rFonts w:ascii="Garamond" w:eastAsia="Calibri" w:hAnsi="Garamond" w:cs="Times New Roman"/>
          <w:sz w:val="24"/>
          <w:szCs w:val="24"/>
        </w:rPr>
        <w:t>2</w:t>
      </w:r>
      <w:r w:rsidRPr="0020289A">
        <w:rPr>
          <w:rFonts w:ascii="Garamond" w:eastAsia="Calibri" w:hAnsi="Garamond" w:cs="Times New Roman"/>
          <w:sz w:val="24"/>
          <w:szCs w:val="24"/>
        </w:rPr>
        <w:t>% i koje su realizovane u skladu sa važećim zakonskim propisima, potpisanim kolektivnim ugovorima i stvarnom obračunu zarada. Zatim, izdaci za kamate su realizovani u većem iznosu od plana za 1</w:t>
      </w:r>
      <w:r w:rsidR="00C46CA2">
        <w:rPr>
          <w:rFonts w:ascii="Garamond" w:eastAsia="Calibri" w:hAnsi="Garamond" w:cs="Times New Roman"/>
          <w:sz w:val="24"/>
          <w:szCs w:val="24"/>
        </w:rPr>
        <w:t>4,5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1</w:t>
      </w:r>
      <w:r w:rsidR="00C46CA2">
        <w:rPr>
          <w:rFonts w:ascii="Garamond" w:eastAsia="Calibri" w:hAnsi="Garamond" w:cs="Times New Roman"/>
          <w:sz w:val="24"/>
          <w:szCs w:val="24"/>
        </w:rPr>
        <w:t>3,2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%, </w:t>
      </w:r>
      <w:r w:rsidR="00294739" w:rsidRPr="00294739">
        <w:rPr>
          <w:rFonts w:ascii="Garamond" w:eastAsia="Calibri" w:hAnsi="Garamond" w:cs="Times New Roman"/>
          <w:sz w:val="24"/>
          <w:szCs w:val="24"/>
        </w:rPr>
        <w:t>Rashodi za usluge u iznosu od 64</w:t>
      </w:r>
      <w:r w:rsidR="00FE35F2">
        <w:rPr>
          <w:rFonts w:ascii="Garamond" w:eastAsia="Calibri" w:hAnsi="Garamond" w:cs="Times New Roman"/>
          <w:sz w:val="24"/>
          <w:szCs w:val="24"/>
        </w:rPr>
        <w:t>,0</w:t>
      </w:r>
      <w:r w:rsidR="00294739" w:rsidRPr="00294739">
        <w:rPr>
          <w:rFonts w:ascii="Garamond" w:eastAsia="Calibri" w:hAnsi="Garamond" w:cs="Times New Roman"/>
          <w:sz w:val="24"/>
          <w:szCs w:val="24"/>
        </w:rPr>
        <w:t xml:space="preserve"> mil € što je za 6</w:t>
      </w:r>
      <w:r w:rsidR="00FE35F2">
        <w:rPr>
          <w:rFonts w:ascii="Garamond" w:eastAsia="Calibri" w:hAnsi="Garamond" w:cs="Times New Roman"/>
          <w:sz w:val="24"/>
          <w:szCs w:val="24"/>
        </w:rPr>
        <w:t>,0</w:t>
      </w:r>
      <w:r w:rsidR="00294739" w:rsidRPr="00294739">
        <w:rPr>
          <w:rFonts w:ascii="Garamond" w:eastAsia="Calibri" w:hAnsi="Garamond" w:cs="Times New Roman"/>
          <w:sz w:val="24"/>
          <w:szCs w:val="24"/>
        </w:rPr>
        <w:t xml:space="preserve"> mil € ili 10 % veće od plana, kao i subvencije 74.4 mil € ili 1,6 mil € odnosno 2% više od plana. </w:t>
      </w:r>
      <w:r w:rsidRPr="0020289A">
        <w:rPr>
          <w:rFonts w:ascii="Garamond" w:eastAsia="Calibri" w:hAnsi="Garamond" w:cs="Times New Roman"/>
          <w:sz w:val="24"/>
          <w:szCs w:val="24"/>
        </w:rPr>
        <w:t>Pored navedenog, ostale budžetske pozicije u okviru Tekućih izdataka uglavnom ispod plana, shodno stvarnoj dinamici potrošnje potrošačkih jedinica.</w:t>
      </w:r>
    </w:p>
    <w:p w14:paraId="533F2EAE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39EEA91F" w14:textId="68AF7D80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Transferi za socijalnu zaštitu, na kraju godine ostvareni su u iznosu od 825,1 mil. € i niži su u odnosu na planirane za 15,7 mil. € ili 1,9%, dok su u odnosu na isti period 2022. godine veći za 157,8 mil. € ili 23,7%, što je dominantno rezultat većeg izvršenja po osnovu prava iz oblasti socijalne zaštite i prava iz oblasti penzijskog i invalidskog osiguranja, usljed redovnog i vanrednog usklađivanja ovih izdataka shodno važećim zakonskim propisima. Sa druge strane, Transferi institucijama, pojedincima, nevladinom i javnom sektoru ostvareni su u iznosu od 380,7 mil €, što je za 13,</w:t>
      </w:r>
      <w:r w:rsidR="009E6DD5">
        <w:rPr>
          <w:rFonts w:ascii="Garamond" w:eastAsia="Calibri" w:hAnsi="Garamond" w:cs="Times New Roman"/>
          <w:sz w:val="24"/>
          <w:szCs w:val="24"/>
        </w:rPr>
        <w:t>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 € ili 3.</w:t>
      </w:r>
      <w:r w:rsidR="009E6DD5">
        <w:rPr>
          <w:rFonts w:ascii="Garamond" w:eastAsia="Calibri" w:hAnsi="Garamond" w:cs="Times New Roman"/>
          <w:sz w:val="24"/>
          <w:szCs w:val="24"/>
        </w:rPr>
        <w:t>5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veće od plana usljed opredeljivanja sredstava za zdravstvenu zaštitu za potrebe Snabdijevanja ljekovima i medicinskim sredstvima u okviru javnog zdravstvenog sistema, </w:t>
      </w:r>
      <w:r w:rsidRPr="0020289A">
        <w:rPr>
          <w:rFonts w:ascii="Garamond" w:eastAsia="Calibri" w:hAnsi="Garamond" w:cs="Times New Roman"/>
          <w:sz w:val="24"/>
          <w:szCs w:val="24"/>
        </w:rPr>
        <w:lastRenderedPageBreak/>
        <w:t>kao i povlačenja donatorskih IPA sredstava u okviru projekata koji se realizuju kroz sistem decentralizovanog upravljanja.</w:t>
      </w:r>
    </w:p>
    <w:p w14:paraId="13DAD0EC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C8DAC39" w14:textId="77777777" w:rsidR="00195E40" w:rsidRPr="000727C1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0727C1">
        <w:rPr>
          <w:rFonts w:ascii="Garamond" w:eastAsia="Calibri" w:hAnsi="Garamond" w:cs="Times New Roman"/>
          <w:b/>
          <w:sz w:val="24"/>
          <w:szCs w:val="24"/>
        </w:rPr>
        <w:t>Kapitalni budžet</w:t>
      </w:r>
      <w:r w:rsidRPr="000727C1">
        <w:rPr>
          <w:rFonts w:ascii="Garamond" w:eastAsia="Calibri" w:hAnsi="Garamond" w:cs="Times New Roman"/>
          <w:sz w:val="24"/>
          <w:szCs w:val="24"/>
        </w:rPr>
        <w:t xml:space="preserve"> u posmatranom periodu ostvaren je u iznosu od 189 mil. €, što je za 11,6 mil € niža realizacija od plana, odnosno predstavlja 94% realizacije plana. Realizacija kapitalnog budžeta dominatno je realizovana u okviru potprograma Rekonstrukcije regionalnih i magistralnih puteva u iznosu od 71.6 mil €, odnosno 38% ukupnog kapitalnog budžeta, zatim izgradnje lokalne infrastrukture 32 mil € ili 17%, kao i Projekta očuvanja životne sredine, Razvoja manje razvijenih lokalnih samouprava i Unapređenja turističke ponude na nivou od oko 5%-6% kapitalnog budžeta za svaku oblast pojedinačno.</w:t>
      </w:r>
    </w:p>
    <w:p w14:paraId="7214F347" w14:textId="77777777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28C5CC34" w14:textId="67238FE4" w:rsidR="00195E40" w:rsidRPr="0020289A" w:rsidRDefault="00195E40" w:rsidP="00195E40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Imajući u vidu realizaciju prihoda i rashoda, u 2023. godini ostvaren je </w:t>
      </w:r>
      <w:r w:rsidRPr="0020289A">
        <w:rPr>
          <w:rFonts w:ascii="Garamond" w:eastAsia="Calibri" w:hAnsi="Garamond" w:cs="Times New Roman"/>
          <w:b/>
          <w:sz w:val="24"/>
          <w:szCs w:val="24"/>
        </w:rPr>
        <w:t xml:space="preserve">suficit 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budžeta u iznosu od </w:t>
      </w:r>
      <w:r w:rsidR="00F90FA4">
        <w:rPr>
          <w:rFonts w:ascii="Garamond" w:eastAsia="Calibri" w:hAnsi="Garamond" w:cs="Times New Roman"/>
          <w:sz w:val="24"/>
          <w:szCs w:val="24"/>
        </w:rPr>
        <w:t>10,3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0,</w:t>
      </w:r>
      <w:r w:rsidR="009E6DD5">
        <w:rPr>
          <w:rFonts w:ascii="Garamond" w:eastAsia="Calibri" w:hAnsi="Garamond" w:cs="Times New Roman"/>
          <w:sz w:val="24"/>
          <w:szCs w:val="24"/>
        </w:rPr>
        <w:t>2</w:t>
      </w:r>
      <w:r w:rsidRPr="0020289A">
        <w:rPr>
          <w:rFonts w:ascii="Garamond" w:eastAsia="Calibri" w:hAnsi="Garamond" w:cs="Times New Roman"/>
          <w:sz w:val="24"/>
          <w:szCs w:val="24"/>
        </w:rPr>
        <w:t>% procjenjenog BDP-a.</w:t>
      </w:r>
    </w:p>
    <w:p w14:paraId="78ED81D7" w14:textId="11FEA116" w:rsidR="00B61DE7" w:rsidRPr="00720342" w:rsidRDefault="00B61DE7" w:rsidP="00720342">
      <w:pPr>
        <w:numPr>
          <w:ilvl w:val="1"/>
          <w:numId w:val="0"/>
        </w:numPr>
        <w:spacing w:before="360" w:after="120"/>
        <w:jc w:val="both"/>
        <w:rPr>
          <w:rFonts w:ascii="Garamond" w:hAnsi="Garamond"/>
          <w:color w:val="548DD4"/>
          <w:spacing w:val="15"/>
          <w:sz w:val="24"/>
          <w:shd w:val="clear" w:color="auto" w:fill="FFFFFF"/>
        </w:rPr>
      </w:pPr>
      <w:r w:rsidRPr="00720342">
        <w:rPr>
          <w:rFonts w:ascii="Garamond" w:hAnsi="Garamond"/>
          <w:color w:val="548DD4"/>
          <w:spacing w:val="15"/>
          <w:sz w:val="24"/>
          <w:shd w:val="clear" w:color="auto" w:fill="FFFFFF"/>
        </w:rPr>
        <w:t>LOKALNA SAMOUPRAVA</w:t>
      </w:r>
    </w:p>
    <w:p w14:paraId="21DEDC5F" w14:textId="72B9D488" w:rsidR="008972C7" w:rsidRPr="007D6230" w:rsidRDefault="008972C7" w:rsidP="008972C7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7D6230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u periodu januar - decembar 2023. godine iznosili su 374,9 mil. € ili 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 w:rsidR="00A92463"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 BDP-a i odnosu na ostvarene u istom periodu 2022. veći su za </w:t>
      </w:r>
      <w:r>
        <w:rPr>
          <w:rFonts w:ascii="Garamond" w:hAnsi="Garamond" w:cstheme="minorHAnsi"/>
          <w:sz w:val="24"/>
          <w:szCs w:val="24"/>
          <w:lang w:val="sr-Latn-RS"/>
        </w:rPr>
        <w:t>48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14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7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%, dok su u odnosu na planirane veći za </w:t>
      </w:r>
      <w:r>
        <w:rPr>
          <w:rFonts w:ascii="Garamond" w:hAnsi="Garamond" w:cstheme="minorHAnsi"/>
          <w:sz w:val="24"/>
          <w:szCs w:val="24"/>
          <w:lang w:val="sr-Latn-RS"/>
        </w:rPr>
        <w:t>20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%.</w:t>
      </w:r>
    </w:p>
    <w:p w14:paraId="7DB8EB7F" w14:textId="3788EA37" w:rsidR="008972C7" w:rsidRPr="007D6230" w:rsidRDefault="008972C7" w:rsidP="008972C7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7D6230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u periodu januar - decembar 2023. godine iznosili su 34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,0 mil. €, što je za </w:t>
      </w:r>
      <w:r>
        <w:rPr>
          <w:rFonts w:ascii="Garamond" w:hAnsi="Garamond" w:cstheme="minorHAnsi"/>
          <w:sz w:val="24"/>
          <w:szCs w:val="24"/>
          <w:lang w:val="sr-Latn-RS"/>
        </w:rPr>
        <w:t>19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6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% više u odnosu na planirane dok su u odnosu na uporedni period 2022. godine izdaci veći za 1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%. </w:t>
      </w:r>
    </w:p>
    <w:p w14:paraId="66A9E376" w14:textId="1DF40B7A" w:rsidR="00D938E9" w:rsidRPr="001B1CA6" w:rsidRDefault="008972C7" w:rsidP="00E76334">
      <w:p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 w:rsidR="006B43A9">
        <w:rPr>
          <w:rFonts w:ascii="Garamond" w:hAnsi="Garamond" w:cstheme="minorHAnsi"/>
          <w:sz w:val="24"/>
          <w:szCs w:val="24"/>
          <w:lang w:val="sr-Latn-RS"/>
        </w:rPr>
        <w:t xml:space="preserve">periodu januar – decembar 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2023. godine zabilježen je </w:t>
      </w:r>
      <w:r w:rsidRPr="007D6230">
        <w:rPr>
          <w:rFonts w:ascii="Garamond" w:hAnsi="Garamond" w:cstheme="minorHAnsi"/>
          <w:b/>
          <w:sz w:val="24"/>
          <w:szCs w:val="24"/>
          <w:lang w:val="sr-Latn-RS"/>
        </w:rPr>
        <w:t>suficit lokalne samouprave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u iznosu od 30,</w:t>
      </w:r>
      <w:r>
        <w:rPr>
          <w:rFonts w:ascii="Garamond" w:hAnsi="Garamond" w:cstheme="minorHAnsi"/>
          <w:sz w:val="24"/>
          <w:szCs w:val="24"/>
          <w:lang w:val="sr-Latn-RS"/>
        </w:rPr>
        <w:t>9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€.</w:t>
      </w: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D3148" w14:textId="77777777" w:rsidR="0065716D" w:rsidRDefault="0065716D" w:rsidP="005539C6">
      <w:pPr>
        <w:spacing w:after="0" w:line="240" w:lineRule="auto"/>
      </w:pPr>
      <w:r>
        <w:separator/>
      </w:r>
    </w:p>
  </w:endnote>
  <w:endnote w:type="continuationSeparator" w:id="0">
    <w:p w14:paraId="7D527D55" w14:textId="77777777" w:rsidR="0065716D" w:rsidRDefault="0065716D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82AAB" w14:textId="77777777" w:rsidR="0065716D" w:rsidRDefault="0065716D" w:rsidP="005539C6">
      <w:pPr>
        <w:spacing w:after="0" w:line="240" w:lineRule="auto"/>
      </w:pPr>
      <w:r>
        <w:separator/>
      </w:r>
    </w:p>
  </w:footnote>
  <w:footnote w:type="continuationSeparator" w:id="0">
    <w:p w14:paraId="2A30365B" w14:textId="77777777" w:rsidR="0065716D" w:rsidRDefault="0065716D" w:rsidP="005539C6">
      <w:pPr>
        <w:spacing w:after="0" w:line="240" w:lineRule="auto"/>
      </w:pPr>
      <w:r>
        <w:continuationSeparator/>
      </w:r>
    </w:p>
  </w:footnote>
  <w:footnote w:id="1">
    <w:p w14:paraId="616F36D1" w14:textId="079C35B1" w:rsidR="00A92463" w:rsidRDefault="00A92463">
      <w:pPr>
        <w:pStyle w:val="FootnoteText"/>
      </w:pPr>
      <w:r>
        <w:rPr>
          <w:rStyle w:val="FootnoteReference"/>
        </w:rPr>
        <w:footnoteRef/>
      </w:r>
      <w:r w:rsidRPr="00A92463">
        <w:rPr>
          <w:rFonts w:ascii="Garamond" w:hAnsi="Garamond"/>
        </w:rPr>
        <w:t xml:space="preserve"> Preliminarni obračun kvartalnog BDP-a za četvrti kvartal 2023. godine, obavljeni na internet stranici Uprave za statistiku 13.03.2024. godine</w:t>
      </w:r>
    </w:p>
  </w:footnote>
  <w:footnote w:id="2">
    <w:p w14:paraId="5D355AEB" w14:textId="37AA5707" w:rsidR="0020289A" w:rsidRPr="000148BA" w:rsidRDefault="0020289A">
      <w:pPr>
        <w:pStyle w:val="FootnoteText"/>
        <w:rPr>
          <w:rFonts w:ascii="Garamond" w:hAnsi="Garamond"/>
        </w:rPr>
      </w:pPr>
      <w:r w:rsidRPr="000148BA">
        <w:rPr>
          <w:rStyle w:val="FootnoteReference"/>
          <w:rFonts w:ascii="Garamond" w:hAnsi="Garamond"/>
        </w:rPr>
        <w:footnoteRef/>
      </w:r>
      <w:r w:rsidRPr="000148BA">
        <w:rPr>
          <w:rFonts w:ascii="Garamond" w:hAnsi="Garamond"/>
        </w:rPr>
        <w:t xml:space="preserve"> </w:t>
      </w:r>
      <w:r w:rsidRPr="000148BA">
        <w:rPr>
          <w:rFonts w:ascii="Garamond" w:hAnsi="Garamond"/>
        </w:rPr>
        <w:t>Podaci će biti konačni nakon usvajanja Zakona o završnom računu budžeta Crne Gore za 2023. godinu.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48BA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574C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71016"/>
    <w:rsid w:val="000727C1"/>
    <w:rsid w:val="0007457E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5E19"/>
    <w:rsid w:val="000B71C6"/>
    <w:rsid w:val="000B7DAE"/>
    <w:rsid w:val="000C7F89"/>
    <w:rsid w:val="000D1050"/>
    <w:rsid w:val="000D1E71"/>
    <w:rsid w:val="000D29FB"/>
    <w:rsid w:val="000D36FC"/>
    <w:rsid w:val="000D6B3D"/>
    <w:rsid w:val="000D7116"/>
    <w:rsid w:val="000E10F7"/>
    <w:rsid w:val="000E2675"/>
    <w:rsid w:val="000E2994"/>
    <w:rsid w:val="000E6B54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0F91"/>
    <w:rsid w:val="001126EE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2923"/>
    <w:rsid w:val="0017388D"/>
    <w:rsid w:val="00175484"/>
    <w:rsid w:val="001827C7"/>
    <w:rsid w:val="00184E48"/>
    <w:rsid w:val="0018700E"/>
    <w:rsid w:val="00187EC0"/>
    <w:rsid w:val="0019596A"/>
    <w:rsid w:val="00195E40"/>
    <w:rsid w:val="00196191"/>
    <w:rsid w:val="001A167B"/>
    <w:rsid w:val="001A2304"/>
    <w:rsid w:val="001A6FDC"/>
    <w:rsid w:val="001B04B9"/>
    <w:rsid w:val="001B1CA6"/>
    <w:rsid w:val="001B2598"/>
    <w:rsid w:val="001B28B9"/>
    <w:rsid w:val="001B5492"/>
    <w:rsid w:val="001C23C1"/>
    <w:rsid w:val="001C2909"/>
    <w:rsid w:val="001D18BE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0289A"/>
    <w:rsid w:val="00212FB5"/>
    <w:rsid w:val="00215787"/>
    <w:rsid w:val="00215C9E"/>
    <w:rsid w:val="00217488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5087"/>
    <w:rsid w:val="002866DC"/>
    <w:rsid w:val="002872ED"/>
    <w:rsid w:val="00291FAC"/>
    <w:rsid w:val="00293F5B"/>
    <w:rsid w:val="00294739"/>
    <w:rsid w:val="002971C1"/>
    <w:rsid w:val="002A06FB"/>
    <w:rsid w:val="002A37B6"/>
    <w:rsid w:val="002A4AC8"/>
    <w:rsid w:val="002A4D7B"/>
    <w:rsid w:val="002B0678"/>
    <w:rsid w:val="002B1BCF"/>
    <w:rsid w:val="002B1E0C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09B8"/>
    <w:rsid w:val="002E417B"/>
    <w:rsid w:val="002E76D6"/>
    <w:rsid w:val="002E7A78"/>
    <w:rsid w:val="002F148D"/>
    <w:rsid w:val="002F29D6"/>
    <w:rsid w:val="002F4893"/>
    <w:rsid w:val="002F4ABB"/>
    <w:rsid w:val="002F5D08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2486"/>
    <w:rsid w:val="00347D33"/>
    <w:rsid w:val="00361A08"/>
    <w:rsid w:val="003625AD"/>
    <w:rsid w:val="0036355B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39F9"/>
    <w:rsid w:val="003B68ED"/>
    <w:rsid w:val="003B6F6D"/>
    <w:rsid w:val="003C0DC8"/>
    <w:rsid w:val="003C2C6D"/>
    <w:rsid w:val="003C4F7B"/>
    <w:rsid w:val="003C7DDF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7324"/>
    <w:rsid w:val="003F255D"/>
    <w:rsid w:val="003F7829"/>
    <w:rsid w:val="00401070"/>
    <w:rsid w:val="004071D9"/>
    <w:rsid w:val="0041095A"/>
    <w:rsid w:val="00412AA6"/>
    <w:rsid w:val="0042055A"/>
    <w:rsid w:val="004216F0"/>
    <w:rsid w:val="00422E10"/>
    <w:rsid w:val="00423CD3"/>
    <w:rsid w:val="00424DE2"/>
    <w:rsid w:val="0042557D"/>
    <w:rsid w:val="0042572D"/>
    <w:rsid w:val="00425A3F"/>
    <w:rsid w:val="00426D61"/>
    <w:rsid w:val="0043011A"/>
    <w:rsid w:val="00433531"/>
    <w:rsid w:val="004360C9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30B6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3C5"/>
    <w:rsid w:val="004A0430"/>
    <w:rsid w:val="004A1669"/>
    <w:rsid w:val="004B0889"/>
    <w:rsid w:val="004B1797"/>
    <w:rsid w:val="004B2A3E"/>
    <w:rsid w:val="004B30A1"/>
    <w:rsid w:val="004B33F3"/>
    <w:rsid w:val="004C03A3"/>
    <w:rsid w:val="004C14B4"/>
    <w:rsid w:val="004C14E6"/>
    <w:rsid w:val="004C42E0"/>
    <w:rsid w:val="004C443A"/>
    <w:rsid w:val="004C5D7A"/>
    <w:rsid w:val="004D21F0"/>
    <w:rsid w:val="004D40FC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1F53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4D60"/>
    <w:rsid w:val="00535B9F"/>
    <w:rsid w:val="00536682"/>
    <w:rsid w:val="00536966"/>
    <w:rsid w:val="00541108"/>
    <w:rsid w:val="00542B8A"/>
    <w:rsid w:val="00547997"/>
    <w:rsid w:val="005539C6"/>
    <w:rsid w:val="00555587"/>
    <w:rsid w:val="0056252C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33BB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10B4"/>
    <w:rsid w:val="005D279C"/>
    <w:rsid w:val="005D33B0"/>
    <w:rsid w:val="005D45B9"/>
    <w:rsid w:val="005D576E"/>
    <w:rsid w:val="005D66C9"/>
    <w:rsid w:val="005E2048"/>
    <w:rsid w:val="005E2CC7"/>
    <w:rsid w:val="005E390D"/>
    <w:rsid w:val="005F01DE"/>
    <w:rsid w:val="005F3B29"/>
    <w:rsid w:val="005F515F"/>
    <w:rsid w:val="005F5C2C"/>
    <w:rsid w:val="005F5E81"/>
    <w:rsid w:val="005F77D3"/>
    <w:rsid w:val="00602893"/>
    <w:rsid w:val="00604A3C"/>
    <w:rsid w:val="006131DC"/>
    <w:rsid w:val="0061402F"/>
    <w:rsid w:val="0061770D"/>
    <w:rsid w:val="006202E8"/>
    <w:rsid w:val="00621E90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8F6"/>
    <w:rsid w:val="00641B82"/>
    <w:rsid w:val="00643027"/>
    <w:rsid w:val="006431DF"/>
    <w:rsid w:val="00644ECB"/>
    <w:rsid w:val="00645E32"/>
    <w:rsid w:val="00653DCB"/>
    <w:rsid w:val="00656903"/>
    <w:rsid w:val="00656DE0"/>
    <w:rsid w:val="0065716D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1BD"/>
    <w:rsid w:val="00687BA5"/>
    <w:rsid w:val="00696616"/>
    <w:rsid w:val="006A3110"/>
    <w:rsid w:val="006A46DC"/>
    <w:rsid w:val="006A53DE"/>
    <w:rsid w:val="006A6CDA"/>
    <w:rsid w:val="006B2462"/>
    <w:rsid w:val="006B43A9"/>
    <w:rsid w:val="006C129A"/>
    <w:rsid w:val="006C46F7"/>
    <w:rsid w:val="006D6D67"/>
    <w:rsid w:val="006E05CC"/>
    <w:rsid w:val="006E0D24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342"/>
    <w:rsid w:val="00720705"/>
    <w:rsid w:val="00721783"/>
    <w:rsid w:val="00725614"/>
    <w:rsid w:val="00725634"/>
    <w:rsid w:val="007261E0"/>
    <w:rsid w:val="007272B2"/>
    <w:rsid w:val="007308C4"/>
    <w:rsid w:val="007338C6"/>
    <w:rsid w:val="00733DDF"/>
    <w:rsid w:val="007346A5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53CBC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96DD6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1F1D"/>
    <w:rsid w:val="007F4F67"/>
    <w:rsid w:val="0080042B"/>
    <w:rsid w:val="00800F54"/>
    <w:rsid w:val="00804C50"/>
    <w:rsid w:val="00806B04"/>
    <w:rsid w:val="00810A53"/>
    <w:rsid w:val="00811FE4"/>
    <w:rsid w:val="008120B3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77AF5"/>
    <w:rsid w:val="0088543E"/>
    <w:rsid w:val="00886D33"/>
    <w:rsid w:val="008921A4"/>
    <w:rsid w:val="00893B55"/>
    <w:rsid w:val="008940C5"/>
    <w:rsid w:val="00894376"/>
    <w:rsid w:val="0089439C"/>
    <w:rsid w:val="00894CBA"/>
    <w:rsid w:val="0089708C"/>
    <w:rsid w:val="008971E6"/>
    <w:rsid w:val="008972C7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1EF1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3D0F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78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E6DD5"/>
    <w:rsid w:val="009F0132"/>
    <w:rsid w:val="009F1D39"/>
    <w:rsid w:val="009F2001"/>
    <w:rsid w:val="009F243D"/>
    <w:rsid w:val="009F29CC"/>
    <w:rsid w:val="009F2A82"/>
    <w:rsid w:val="009F44E5"/>
    <w:rsid w:val="00A02C83"/>
    <w:rsid w:val="00A039EE"/>
    <w:rsid w:val="00A04296"/>
    <w:rsid w:val="00A13182"/>
    <w:rsid w:val="00A13280"/>
    <w:rsid w:val="00A1563F"/>
    <w:rsid w:val="00A161E8"/>
    <w:rsid w:val="00A16C3A"/>
    <w:rsid w:val="00A2492B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57071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463"/>
    <w:rsid w:val="00A9258B"/>
    <w:rsid w:val="00A93523"/>
    <w:rsid w:val="00AA1E9F"/>
    <w:rsid w:val="00AA42EA"/>
    <w:rsid w:val="00AA4761"/>
    <w:rsid w:val="00AA4D2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54FB6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4723"/>
    <w:rsid w:val="00BD49BA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BF542D"/>
    <w:rsid w:val="00BF5F22"/>
    <w:rsid w:val="00C02F08"/>
    <w:rsid w:val="00C12552"/>
    <w:rsid w:val="00C12940"/>
    <w:rsid w:val="00C1329F"/>
    <w:rsid w:val="00C16EAF"/>
    <w:rsid w:val="00C17525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46CA2"/>
    <w:rsid w:val="00C50D16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51B9"/>
    <w:rsid w:val="00C762A5"/>
    <w:rsid w:val="00C7749B"/>
    <w:rsid w:val="00C8120A"/>
    <w:rsid w:val="00C81567"/>
    <w:rsid w:val="00C85AB2"/>
    <w:rsid w:val="00C86FA4"/>
    <w:rsid w:val="00C87EA8"/>
    <w:rsid w:val="00C91A86"/>
    <w:rsid w:val="00C92068"/>
    <w:rsid w:val="00C92FEF"/>
    <w:rsid w:val="00C954B0"/>
    <w:rsid w:val="00CA2B1C"/>
    <w:rsid w:val="00CA3DB5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52E9A"/>
    <w:rsid w:val="00D54672"/>
    <w:rsid w:val="00D604D3"/>
    <w:rsid w:val="00D64AEE"/>
    <w:rsid w:val="00D70034"/>
    <w:rsid w:val="00D70CFB"/>
    <w:rsid w:val="00D71503"/>
    <w:rsid w:val="00D732DC"/>
    <w:rsid w:val="00D7487F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5210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3A86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0B2D"/>
    <w:rsid w:val="00E71676"/>
    <w:rsid w:val="00E71734"/>
    <w:rsid w:val="00E74A3C"/>
    <w:rsid w:val="00E74D2B"/>
    <w:rsid w:val="00E76334"/>
    <w:rsid w:val="00E81437"/>
    <w:rsid w:val="00E83D54"/>
    <w:rsid w:val="00E87AAE"/>
    <w:rsid w:val="00E95006"/>
    <w:rsid w:val="00E96A11"/>
    <w:rsid w:val="00EA557B"/>
    <w:rsid w:val="00EA5D8E"/>
    <w:rsid w:val="00EC0A02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5D2D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0AA0"/>
    <w:rsid w:val="00F11560"/>
    <w:rsid w:val="00F12284"/>
    <w:rsid w:val="00F13E1D"/>
    <w:rsid w:val="00F147CC"/>
    <w:rsid w:val="00F14CE2"/>
    <w:rsid w:val="00F14CE4"/>
    <w:rsid w:val="00F16719"/>
    <w:rsid w:val="00F16EA0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3EAF"/>
    <w:rsid w:val="00F86EBE"/>
    <w:rsid w:val="00F90FA4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0DD3"/>
    <w:rsid w:val="00FE1631"/>
    <w:rsid w:val="00FE2D4A"/>
    <w:rsid w:val="00FE35F2"/>
    <w:rsid w:val="00FE3F30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956-ECE8-433D-8152-AF292C0A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Bojan Paunovic</cp:lastModifiedBy>
  <cp:revision>7</cp:revision>
  <cp:lastPrinted>2024-03-28T07:24:00Z</cp:lastPrinted>
  <dcterms:created xsi:type="dcterms:W3CDTF">2024-03-29T14:11:00Z</dcterms:created>
  <dcterms:modified xsi:type="dcterms:W3CDTF">2024-03-31T09:01:00Z</dcterms:modified>
</cp:coreProperties>
</file>