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D1" w:rsidRDefault="00C94DD1" w:rsidP="00564A77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="Arial"/>
          <w:color w:val="365F91" w:themeColor="accent1" w:themeShade="BF"/>
          <w:szCs w:val="24"/>
        </w:rPr>
      </w:pPr>
      <w:r w:rsidRPr="00B81BE3">
        <w:rPr>
          <w:rFonts w:asciiTheme="majorHAnsi" w:hAnsiTheme="majorHAnsi" w:cs="Arial"/>
          <w:color w:val="365F91" w:themeColor="accent1" w:themeShade="BF"/>
          <w:szCs w:val="24"/>
        </w:rPr>
        <w:t>OBRAZAC</w:t>
      </w:r>
    </w:p>
    <w:p w:rsidR="000F2103" w:rsidRPr="00B81BE3" w:rsidRDefault="000F2103" w:rsidP="00AE3AB8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365F91" w:themeColor="accent1" w:themeShade="BF"/>
          <w:szCs w:val="24"/>
        </w:rPr>
      </w:pPr>
    </w:p>
    <w:tbl>
      <w:tblPr>
        <w:tblStyle w:val="LightGrid-Accent5"/>
        <w:tblW w:w="9738" w:type="dxa"/>
        <w:tblLook w:val="04A0"/>
      </w:tblPr>
      <w:tblGrid>
        <w:gridCol w:w="3978"/>
        <w:gridCol w:w="5760"/>
      </w:tblGrid>
      <w:tr w:rsidR="00C94DD1" w:rsidRPr="00B81BE3" w:rsidTr="00B46827">
        <w:trPr>
          <w:cnfStyle w:val="100000000000"/>
        </w:trPr>
        <w:tc>
          <w:tcPr>
            <w:cnfStyle w:val="001000000000"/>
            <w:tcW w:w="9738" w:type="dxa"/>
            <w:gridSpan w:val="2"/>
          </w:tcPr>
          <w:p w:rsidR="00C94DD1" w:rsidRPr="00B81BE3" w:rsidRDefault="00C94DD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IZVJEŠTAJ O SPROVEDENOJ ANALIZI PROCJENE UTICAJA PROPISA</w:t>
            </w:r>
          </w:p>
        </w:tc>
      </w:tr>
      <w:tr w:rsidR="00C94DD1" w:rsidRPr="00B81BE3" w:rsidTr="00B46827">
        <w:trPr>
          <w:cnfStyle w:val="000000100000"/>
        </w:trPr>
        <w:tc>
          <w:tcPr>
            <w:cnfStyle w:val="001000000000"/>
            <w:tcW w:w="3978" w:type="dxa"/>
          </w:tcPr>
          <w:p w:rsidR="00C94DD1" w:rsidRPr="00B81BE3" w:rsidRDefault="00C94DD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PREDLAGAČ PROPISA</w:t>
            </w:r>
          </w:p>
        </w:tc>
        <w:tc>
          <w:tcPr>
            <w:tcW w:w="5760" w:type="dxa"/>
          </w:tcPr>
          <w:p w:rsidR="00C94DD1" w:rsidRPr="00B81BE3" w:rsidRDefault="00D80211" w:rsidP="00AE3AB8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/>
              <w:rPr>
                <w:rFonts w:asciiTheme="majorHAnsi" w:hAnsiTheme="majorHAnsi" w:cs="Arial"/>
                <w:color w:val="365F91" w:themeColor="accent1" w:themeShade="BF"/>
                <w:szCs w:val="24"/>
              </w:rPr>
            </w:pPr>
            <w:r>
              <w:rPr>
                <w:rFonts w:asciiTheme="majorHAnsi" w:hAnsiTheme="majorHAnsi" w:cs="Arial"/>
                <w:color w:val="365F91" w:themeColor="accent1" w:themeShade="BF"/>
                <w:szCs w:val="24"/>
              </w:rPr>
              <w:t>Ministarstvo finansija</w:t>
            </w:r>
          </w:p>
        </w:tc>
      </w:tr>
      <w:tr w:rsidR="00C94DD1" w:rsidRPr="00B81BE3" w:rsidTr="00B46827">
        <w:trPr>
          <w:cnfStyle w:val="000000010000"/>
        </w:trPr>
        <w:tc>
          <w:tcPr>
            <w:cnfStyle w:val="001000000000"/>
            <w:tcW w:w="3978" w:type="dxa"/>
          </w:tcPr>
          <w:p w:rsidR="00C94DD1" w:rsidRPr="00B81BE3" w:rsidRDefault="00C94DD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NAZIV PROPISA</w:t>
            </w:r>
          </w:p>
        </w:tc>
        <w:tc>
          <w:tcPr>
            <w:tcW w:w="5760" w:type="dxa"/>
          </w:tcPr>
          <w:p w:rsidR="00C94DD1" w:rsidRPr="0087117D" w:rsidRDefault="0087117D" w:rsidP="00AE3AB8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10000"/>
              <w:rPr>
                <w:rFonts w:asciiTheme="majorHAnsi" w:hAnsiTheme="majorHAnsi" w:cs="Arial"/>
                <w:b/>
                <w:color w:val="365F91" w:themeColor="accent1" w:themeShade="BF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Cs w:val="24"/>
              </w:rPr>
              <w:t>Nacrt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Cs w:val="24"/>
              </w:rPr>
              <w:t>z</w:t>
            </w:r>
            <w:r w:rsidR="003E7753" w:rsidRPr="0087117D">
              <w:rPr>
                <w:rFonts w:asciiTheme="majorHAnsi" w:hAnsiTheme="majorHAnsi"/>
                <w:b/>
                <w:szCs w:val="24"/>
              </w:rPr>
              <w:t>akona</w:t>
            </w:r>
            <w:proofErr w:type="spellEnd"/>
            <w:r w:rsidR="003E7753" w:rsidRPr="0087117D">
              <w:rPr>
                <w:rFonts w:asciiTheme="majorHAnsi" w:hAnsiTheme="majorHAnsi"/>
                <w:b/>
                <w:szCs w:val="24"/>
              </w:rPr>
              <w:t xml:space="preserve"> o </w:t>
            </w:r>
            <w:proofErr w:type="spellStart"/>
            <w:r w:rsidR="003E7753" w:rsidRPr="0087117D">
              <w:rPr>
                <w:rFonts w:asciiTheme="majorHAnsi" w:hAnsiTheme="majorHAnsi"/>
                <w:b/>
                <w:szCs w:val="24"/>
              </w:rPr>
              <w:t>izmjenama</w:t>
            </w:r>
            <w:proofErr w:type="spellEnd"/>
            <w:r w:rsidR="003E7753" w:rsidRPr="0087117D">
              <w:rPr>
                <w:rFonts w:asciiTheme="majorHAnsi" w:hAnsiTheme="majorHAnsi"/>
                <w:b/>
                <w:szCs w:val="24"/>
              </w:rPr>
              <w:t xml:space="preserve"> i </w:t>
            </w:r>
            <w:proofErr w:type="spellStart"/>
            <w:r w:rsidR="003E7753" w:rsidRPr="0087117D">
              <w:rPr>
                <w:rFonts w:asciiTheme="majorHAnsi" w:hAnsiTheme="majorHAnsi"/>
                <w:b/>
                <w:szCs w:val="24"/>
              </w:rPr>
              <w:t>dopunama</w:t>
            </w:r>
            <w:proofErr w:type="spellEnd"/>
            <w:r w:rsidR="003E7753" w:rsidRPr="0087117D">
              <w:rPr>
                <w:rFonts w:asciiTheme="majorHAnsi" w:hAnsiTheme="majorHAnsi"/>
                <w:b/>
                <w:szCs w:val="24"/>
              </w:rPr>
              <w:t xml:space="preserve"> </w:t>
            </w:r>
            <w:proofErr w:type="spellStart"/>
            <w:r w:rsidR="003E7753" w:rsidRPr="0087117D">
              <w:rPr>
                <w:rFonts w:asciiTheme="majorHAnsi" w:hAnsiTheme="majorHAnsi"/>
                <w:b/>
                <w:szCs w:val="24"/>
              </w:rPr>
              <w:t>Zakona</w:t>
            </w:r>
            <w:proofErr w:type="spellEnd"/>
            <w:r w:rsidR="003E7753" w:rsidRPr="0087117D">
              <w:rPr>
                <w:rFonts w:asciiTheme="majorHAnsi" w:hAnsiTheme="majorHAnsi"/>
                <w:b/>
                <w:szCs w:val="24"/>
              </w:rPr>
              <w:t xml:space="preserve"> o </w:t>
            </w:r>
            <w:proofErr w:type="spellStart"/>
            <w:r w:rsidR="003E7753" w:rsidRPr="0087117D">
              <w:rPr>
                <w:rFonts w:asciiTheme="majorHAnsi" w:hAnsiTheme="majorHAnsi"/>
                <w:b/>
                <w:szCs w:val="24"/>
              </w:rPr>
              <w:t>osiguranju</w:t>
            </w:r>
            <w:proofErr w:type="spellEnd"/>
          </w:p>
        </w:tc>
      </w:tr>
      <w:tr w:rsidR="00C94DD1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C94DD1" w:rsidRPr="00B81BE3" w:rsidRDefault="00C94DD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1.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Definisanje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problema</w:t>
            </w:r>
            <w:proofErr w:type="spellEnd"/>
          </w:p>
          <w:p w:rsidR="00C94DD1" w:rsidRPr="00B81BE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Kontekst</w:t>
            </w:r>
            <w:proofErr w:type="spellEnd"/>
          </w:p>
        </w:tc>
      </w:tr>
      <w:tr w:rsidR="00C94DD1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3B16A0" w:rsidRPr="00B81BE3" w:rsidRDefault="003B16A0" w:rsidP="00AE3AB8">
            <w:pPr>
              <w:jc w:val="both"/>
            </w:pPr>
          </w:p>
          <w:p w:rsidR="006B0121" w:rsidRPr="00D80211" w:rsidRDefault="006B012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Osnovni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r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>azlo</w:t>
            </w:r>
            <w:r w:rsidRPr="00D80211">
              <w:rPr>
                <w:rFonts w:asciiTheme="majorHAnsi" w:hAnsiTheme="majorHAnsi"/>
                <w:b w:val="0"/>
                <w:szCs w:val="24"/>
              </w:rPr>
              <w:t>g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za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izradu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D80903">
              <w:rPr>
                <w:rFonts w:asciiTheme="majorHAnsi" w:hAnsiTheme="majorHAnsi"/>
                <w:b w:val="0"/>
                <w:szCs w:val="24"/>
              </w:rPr>
              <w:t>Nacrta</w:t>
            </w:r>
            <w:proofErr w:type="spellEnd"/>
            <w:r w:rsidR="00D80903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D80903">
              <w:rPr>
                <w:rFonts w:asciiTheme="majorHAnsi" w:hAnsiTheme="majorHAnsi"/>
                <w:b w:val="0"/>
                <w:szCs w:val="24"/>
              </w:rPr>
              <w:t>z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>akona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izmjenama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dopunama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Zakona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osiguranju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je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obaveza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usklađivanja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>akona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osiguranju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Zakonom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državnoj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upravi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("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Službeni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list Crne Gore", br. 078/18 od 04.12.2018</w:t>
            </w:r>
            <w:r w:rsidR="00A63CC2" w:rsidRPr="00D80211">
              <w:rPr>
                <w:rFonts w:asciiTheme="majorHAnsi" w:hAnsiTheme="majorHAnsi"/>
                <w:b w:val="0"/>
                <w:szCs w:val="24"/>
              </w:rPr>
              <w:t>.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>)</w:t>
            </w:r>
            <w:r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kojim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je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izmijenjen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r w:rsidR="00EB5A18" w:rsidRPr="00D80211">
              <w:rPr>
                <w:rFonts w:asciiTheme="majorHAnsi" w:hAnsiTheme="majorHAnsi"/>
                <w:b w:val="0"/>
                <w:szCs w:val="24"/>
              </w:rPr>
              <w:t>status</w:t>
            </w:r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Agencije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za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nadzor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ista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uvedena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u s</w:t>
            </w:r>
            <w:r w:rsidR="00A63CC2" w:rsidRPr="00D80211">
              <w:rPr>
                <w:rFonts w:asciiTheme="majorHAnsi" w:hAnsiTheme="majorHAnsi"/>
                <w:b w:val="0"/>
                <w:szCs w:val="24"/>
              </w:rPr>
              <w:t>i</w:t>
            </w:r>
            <w:r w:rsidRPr="00D80211">
              <w:rPr>
                <w:rFonts w:asciiTheme="majorHAnsi" w:hAnsiTheme="majorHAnsi"/>
                <w:b w:val="0"/>
                <w:szCs w:val="24"/>
              </w:rPr>
              <w:t xml:space="preserve">stem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državne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uprave.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</w:p>
          <w:p w:rsidR="006B0121" w:rsidRPr="00D80211" w:rsidRDefault="00EB5A18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Razlozi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za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izmjenu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je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takođe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</w:t>
            </w:r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praks</w:t>
            </w:r>
            <w:r w:rsidRPr="00D80211">
              <w:rPr>
                <w:rFonts w:asciiTheme="majorHAnsi" w:hAnsiTheme="majorHAnsi"/>
                <w:b w:val="0"/>
                <w:szCs w:val="24"/>
              </w:rPr>
              <w:t>a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nadzora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nad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djelatnošću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osiguranja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koja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ukazuje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na</w:t>
            </w:r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</w:t>
            </w:r>
            <w:r w:rsidR="009C7001" w:rsidRPr="00D80211">
              <w:rPr>
                <w:rFonts w:asciiTheme="majorHAnsi" w:hAnsiTheme="majorHAnsi"/>
                <w:b w:val="0"/>
                <w:szCs w:val="24"/>
              </w:rPr>
              <w:t>eophodno</w:t>
            </w:r>
            <w:r w:rsidRPr="00D80211">
              <w:rPr>
                <w:rFonts w:asciiTheme="majorHAnsi" w:hAnsiTheme="majorHAnsi"/>
                <w:b w:val="0"/>
                <w:szCs w:val="24"/>
              </w:rPr>
              <w:t>st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kontinuirano</w:t>
            </w:r>
            <w:r w:rsidRPr="00D80211">
              <w:rPr>
                <w:rFonts w:asciiTheme="majorHAnsi" w:hAnsiTheme="majorHAnsi"/>
                <w:b w:val="0"/>
                <w:szCs w:val="24"/>
              </w:rPr>
              <w:t>g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unaprjeđ</w:t>
            </w:r>
            <w:r w:rsidRPr="00D80211">
              <w:rPr>
                <w:rFonts w:asciiTheme="majorHAnsi" w:hAnsiTheme="majorHAnsi"/>
                <w:b w:val="0"/>
                <w:szCs w:val="24"/>
              </w:rPr>
              <w:t>enja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regulatornih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standard</w:t>
            </w:r>
            <w:r w:rsidRPr="00D80211">
              <w:rPr>
                <w:rFonts w:asciiTheme="majorHAnsi" w:hAnsiTheme="majorHAnsi"/>
                <w:b w:val="0"/>
                <w:szCs w:val="24"/>
              </w:rPr>
              <w:t>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kako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bi se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omogućio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stepen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zaštite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interesa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osiguranika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korisnika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trećih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lica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adekvatan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međunarodn</w:t>
            </w:r>
            <w:r w:rsidRPr="00D80211">
              <w:rPr>
                <w:rFonts w:asciiTheme="majorHAnsi" w:hAnsiTheme="majorHAnsi"/>
                <w:b w:val="0"/>
                <w:szCs w:val="24"/>
              </w:rPr>
              <w:t>om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odnosno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evropskom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nivo</w:t>
            </w:r>
            <w:r w:rsidRPr="00D80211">
              <w:rPr>
                <w:rFonts w:asciiTheme="majorHAnsi" w:hAnsiTheme="majorHAnsi"/>
                <w:b w:val="0"/>
                <w:szCs w:val="24"/>
              </w:rPr>
              <w:t>u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.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Takođe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postoji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neophodnost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izmjene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određenih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normi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zakona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kada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to </w:t>
            </w:r>
            <w:proofErr w:type="spellStart"/>
            <w:r w:rsidR="006B0121" w:rsidRPr="00D80211">
              <w:rPr>
                <w:rFonts w:asciiTheme="majorHAnsi" w:hAnsiTheme="majorHAnsi"/>
                <w:b w:val="0"/>
                <w:szCs w:val="24"/>
              </w:rPr>
              <w:t>pokaže</w:t>
            </w:r>
            <w:proofErr w:type="spellEnd"/>
            <w:r w:rsidR="006B012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iskustv</w:t>
            </w:r>
            <w:r w:rsidR="006B0121" w:rsidRPr="00D80211">
              <w:rPr>
                <w:rFonts w:asciiTheme="majorHAnsi" w:hAnsiTheme="majorHAnsi"/>
                <w:b w:val="0"/>
                <w:szCs w:val="24"/>
              </w:rPr>
              <w:t>o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u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primjeni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dosadašnjih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D80211">
              <w:rPr>
                <w:rFonts w:asciiTheme="majorHAnsi" w:hAnsiTheme="majorHAnsi"/>
                <w:b w:val="0"/>
                <w:szCs w:val="24"/>
              </w:rPr>
              <w:t>propisa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kao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 u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cilju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usklađivanja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drugom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domaćom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regulativom</w:t>
            </w:r>
            <w:proofErr w:type="spellEnd"/>
            <w:r w:rsidR="009C7001" w:rsidRPr="00D80211">
              <w:rPr>
                <w:rFonts w:asciiTheme="majorHAnsi" w:hAnsiTheme="majorHAnsi"/>
                <w:b w:val="0"/>
                <w:szCs w:val="24"/>
              </w:rPr>
              <w:t xml:space="preserve">. </w:t>
            </w:r>
          </w:p>
          <w:p w:rsidR="006B0121" w:rsidRPr="00D80211" w:rsidRDefault="006B012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  <w:p w:rsidR="004F37F0" w:rsidRPr="00D80211" w:rsidRDefault="004F37F0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Theme="minorHAnsi" w:hAnsiTheme="majorHAnsi" w:cs="Verdana"/>
                <w:b w:val="0"/>
                <w:szCs w:val="24"/>
                <w:lang w:val="en-US" w:eastAsia="en-US"/>
              </w:rPr>
            </w:pP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Ustavni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osnov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za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donošenje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Zakona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izmjenama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dopunama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Zakona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osiguranju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sadržan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je u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odredbi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člana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16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stav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r w:rsidR="003E53D6" w:rsidRPr="00D80211">
              <w:rPr>
                <w:rFonts w:asciiTheme="majorHAnsi" w:hAnsiTheme="majorHAnsi"/>
                <w:b w:val="0"/>
                <w:szCs w:val="24"/>
              </w:rPr>
              <w:t xml:space="preserve">1 </w:t>
            </w:r>
            <w:proofErr w:type="spellStart"/>
            <w:r w:rsidR="003E53D6" w:rsidRPr="00D80211">
              <w:rPr>
                <w:rFonts w:asciiTheme="majorHAnsi" w:hAnsiTheme="majorHAnsi"/>
                <w:b w:val="0"/>
                <w:szCs w:val="24"/>
              </w:rPr>
              <w:t>tačka</w:t>
            </w:r>
            <w:proofErr w:type="spellEnd"/>
            <w:r w:rsidR="003E53D6"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r w:rsidRPr="00D80211">
              <w:rPr>
                <w:rFonts w:asciiTheme="majorHAnsi" w:hAnsiTheme="majorHAnsi"/>
                <w:b w:val="0"/>
                <w:szCs w:val="24"/>
              </w:rPr>
              <w:t xml:space="preserve">5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Ustava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Crne Gore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kojim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je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propisano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se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zakonom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u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skladu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Ustavom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uređuju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druga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pitanja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od interesa za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Crnu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D80211">
              <w:rPr>
                <w:rFonts w:asciiTheme="majorHAnsi" w:hAnsiTheme="majorHAnsi"/>
                <w:b w:val="0"/>
                <w:szCs w:val="24"/>
              </w:rPr>
              <w:t>Goru</w:t>
            </w:r>
            <w:proofErr w:type="spellEnd"/>
            <w:r w:rsidRPr="00D80211">
              <w:rPr>
                <w:rFonts w:asciiTheme="majorHAnsi" w:hAnsiTheme="majorHAnsi"/>
                <w:b w:val="0"/>
                <w:szCs w:val="24"/>
              </w:rPr>
              <w:t>.</w:t>
            </w:r>
          </w:p>
          <w:p w:rsidR="00C94DD1" w:rsidRPr="00B81BE3" w:rsidRDefault="00C94DD1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</w:p>
        </w:tc>
      </w:tr>
      <w:tr w:rsidR="00C94DD1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C94DD1" w:rsidRPr="00B81BE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treba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riješi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predloženi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akt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C94DD1" w:rsidRPr="00B81BE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Koji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uzroci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C94DD1" w:rsidRPr="000F210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posljedice</w:t>
            </w:r>
            <w:proofErr w:type="spellEnd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problema</w:t>
            </w:r>
            <w:proofErr w:type="spellEnd"/>
            <w:r w:rsidRPr="000F210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C94DD1" w:rsidRPr="00B81BE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Koji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subjekti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oštećeni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na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način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kojoj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mjeri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C94DD1" w:rsidRPr="00B81BE3" w:rsidRDefault="00C94DD1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bi problem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evoluirao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bez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promjene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(“status quo”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)?</w:t>
            </w: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EB5A18" w:rsidRPr="0023737B" w:rsidRDefault="003E53D6" w:rsidP="00AE3A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Predložene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izmjene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će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obezbijediti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potpunu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usaglašenost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Zakonom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državnoj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upravi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je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propisano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će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 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se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odredbe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posebnog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zakona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je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osnovana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Agencija za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nadzor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uskladiti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roku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od 12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mjeseci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od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dana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stupanja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snagu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Zakona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državnoj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upravi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.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</w:p>
          <w:p w:rsidR="003E53D6" w:rsidRPr="0023737B" w:rsidRDefault="006B0121" w:rsidP="00AE3AB8">
            <w:pPr>
              <w:pStyle w:val="Default"/>
              <w:spacing w:line="276" w:lineRule="auto"/>
              <w:ind w:left="720"/>
              <w:jc w:val="both"/>
              <w:rPr>
                <w:rFonts w:asciiTheme="majorHAnsi" w:hAnsiTheme="majorHAnsi"/>
                <w:b w:val="0"/>
                <w:bCs w:val="0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Takođe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predložene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norme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treba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postupno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uvedu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segmente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režima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upravljanja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društvima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osiguranje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EB5A18" w:rsidRPr="0023737B">
              <w:rPr>
                <w:rFonts w:asciiTheme="majorHAnsi" w:hAnsiTheme="majorHAnsi"/>
                <w:b w:val="0"/>
                <w:bCs w:val="0"/>
              </w:rPr>
              <w:t>koji</w:t>
            </w:r>
            <w:proofErr w:type="spellEnd"/>
            <w:r w:rsidR="00EB5A18" w:rsidRPr="0023737B">
              <w:rPr>
                <w:rFonts w:asciiTheme="majorHAnsi" w:hAnsiTheme="majorHAnsi"/>
                <w:b w:val="0"/>
                <w:bCs w:val="0"/>
              </w:rPr>
              <w:t xml:space="preserve"> je od 2016.godine na </w:t>
            </w:r>
            <w:proofErr w:type="spellStart"/>
            <w:r w:rsidR="00EB5A18" w:rsidRPr="0023737B">
              <w:rPr>
                <w:rFonts w:asciiTheme="majorHAnsi" w:hAnsiTheme="majorHAnsi"/>
                <w:b w:val="0"/>
                <w:bCs w:val="0"/>
              </w:rPr>
              <w:t>snazi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EU (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direktiva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Solventnost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II),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sistem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upravljanja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rizicima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način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kako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to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predviđa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ista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direktiva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što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će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biti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naknadno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razrađeno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podzakonskim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aktima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. Pored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ovoga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uvedene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izmjene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otklanjaju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određene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prepreke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uočene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primjeni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dosadašnjeg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propisa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unijete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odrednice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čine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jasnijom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strukturu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nekih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segmenata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zakona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.</w:t>
            </w:r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Izvršeno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je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usaglašavanje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izmjenama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Zakona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upravnom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postupku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dijelu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brisanja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konačnosti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akata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upravnom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postupku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>.</w:t>
            </w:r>
          </w:p>
          <w:p w:rsidR="00047D37" w:rsidRPr="0023737B" w:rsidRDefault="00047D37" w:rsidP="00AE3AB8">
            <w:pPr>
              <w:pStyle w:val="Default"/>
              <w:spacing w:line="276" w:lineRule="auto"/>
              <w:ind w:left="720"/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3E53D6" w:rsidRPr="0023737B" w:rsidRDefault="003E53D6" w:rsidP="00AE3A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lastRenderedPageBreak/>
              <w:t>Uzro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k</w:t>
            </w:r>
            <w:proofErr w:type="spellEnd"/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="006B0121" w:rsidRPr="0023737B">
              <w:rPr>
                <w:rFonts w:asciiTheme="majorHAnsi" w:hAnsiTheme="majorHAnsi"/>
                <w:b w:val="0"/>
                <w:bCs w:val="0"/>
              </w:rPr>
              <w:t>neposredni</w:t>
            </w:r>
            <w:proofErr w:type="spellEnd"/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6B0121" w:rsidRPr="0023737B">
              <w:rPr>
                <w:rFonts w:asciiTheme="majorHAnsi" w:hAnsiTheme="majorHAnsi"/>
                <w:b w:val="0"/>
                <w:bCs w:val="0"/>
              </w:rPr>
              <w:t>povod</w:t>
            </w:r>
            <w:proofErr w:type="spellEnd"/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="006B0121" w:rsidRPr="0023737B">
              <w:rPr>
                <w:rFonts w:asciiTheme="majorHAnsi" w:hAnsiTheme="majorHAnsi"/>
                <w:b w:val="0"/>
                <w:bCs w:val="0"/>
              </w:rPr>
              <w:t>ove</w:t>
            </w:r>
            <w:proofErr w:type="spellEnd"/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6B0121" w:rsidRPr="0023737B">
              <w:rPr>
                <w:rFonts w:asciiTheme="majorHAnsi" w:hAnsiTheme="majorHAnsi"/>
                <w:b w:val="0"/>
                <w:bCs w:val="0"/>
              </w:rPr>
              <w:t>izmjene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je</w:t>
            </w:r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D74EC8" w:rsidRPr="0023737B">
              <w:rPr>
                <w:rFonts w:asciiTheme="majorHAnsi" w:hAnsiTheme="majorHAnsi"/>
                <w:b w:val="0"/>
                <w:bCs w:val="0"/>
              </w:rPr>
              <w:t>donošenje</w:t>
            </w:r>
            <w:proofErr w:type="spellEnd"/>
            <w:r w:rsidR="00D74EC8" w:rsidRPr="0023737B">
              <w:rPr>
                <w:rFonts w:asciiTheme="majorHAnsi" w:hAnsiTheme="majorHAnsi"/>
                <w:b w:val="0"/>
                <w:bCs w:val="0"/>
              </w:rPr>
              <w:t xml:space="preserve"> novog Zakona o državnoj 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upravi sa kojim j</w:t>
            </w:r>
            <w:r w:rsidR="00D74EC8" w:rsidRPr="0023737B">
              <w:rPr>
                <w:rFonts w:asciiTheme="majorHAnsi" w:hAnsiTheme="majorHAnsi"/>
                <w:b w:val="0"/>
                <w:bCs w:val="0"/>
              </w:rPr>
              <w:t>e treba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lo</w:t>
            </w:r>
            <w:r w:rsidR="00D74EC8" w:rsidRPr="0023737B">
              <w:rPr>
                <w:rFonts w:asciiTheme="majorHAnsi" w:hAnsiTheme="majorHAnsi"/>
                <w:b w:val="0"/>
                <w:bCs w:val="0"/>
              </w:rPr>
              <w:t xml:space="preserve"> uskladiti 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Zakon o osiguranju, </w:t>
            </w:r>
            <w:r w:rsidR="00D74EC8" w:rsidRPr="0023737B">
              <w:rPr>
                <w:rFonts w:asciiTheme="majorHAnsi" w:hAnsiTheme="majorHAnsi"/>
                <w:b w:val="0"/>
                <w:bCs w:val="0"/>
              </w:rPr>
              <w:t xml:space="preserve">kao </w:t>
            </w:r>
            <w:r w:rsidR="0094666B" w:rsidRPr="0023737B">
              <w:rPr>
                <w:rFonts w:asciiTheme="majorHAnsi" w:hAnsiTheme="majorHAnsi"/>
                <w:b w:val="0"/>
                <w:bCs w:val="0"/>
              </w:rPr>
              <w:t xml:space="preserve">i 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potreba </w:t>
            </w:r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za </w:t>
            </w:r>
            <w:r w:rsidR="0094666B" w:rsidRPr="0023737B">
              <w:rPr>
                <w:rFonts w:asciiTheme="majorHAnsi" w:hAnsiTheme="majorHAnsi"/>
                <w:b w:val="0"/>
                <w:bCs w:val="0"/>
              </w:rPr>
              <w:t>dodatn</w:t>
            </w:r>
            <w:r w:rsidR="0089341A" w:rsidRPr="0023737B">
              <w:rPr>
                <w:rFonts w:asciiTheme="majorHAnsi" w:hAnsiTheme="majorHAnsi"/>
                <w:b w:val="0"/>
                <w:bCs w:val="0"/>
              </w:rPr>
              <w:t>im</w:t>
            </w:r>
            <w:r w:rsidR="0094666B" w:rsidRPr="0023737B">
              <w:rPr>
                <w:rFonts w:asciiTheme="majorHAnsi" w:hAnsiTheme="majorHAnsi"/>
                <w:b w:val="0"/>
                <w:bCs w:val="0"/>
              </w:rPr>
              <w:t xml:space="preserve"> iz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m</w:t>
            </w:r>
            <w:r w:rsidR="0094666B" w:rsidRPr="0023737B">
              <w:rPr>
                <w:rFonts w:asciiTheme="majorHAnsi" w:hAnsiTheme="majorHAnsi"/>
                <w:b w:val="0"/>
                <w:bCs w:val="0"/>
              </w:rPr>
              <w:t>jen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>a</w:t>
            </w:r>
            <w:r w:rsidR="0089341A" w:rsidRPr="0023737B">
              <w:rPr>
                <w:rFonts w:asciiTheme="majorHAnsi" w:hAnsiTheme="majorHAnsi"/>
                <w:b w:val="0"/>
                <w:bCs w:val="0"/>
              </w:rPr>
              <w:t>ma</w:t>
            </w:r>
            <w:r w:rsidR="006B0121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89341A" w:rsidRPr="0023737B">
              <w:rPr>
                <w:rFonts w:asciiTheme="majorHAnsi" w:hAnsiTheme="majorHAnsi"/>
                <w:b w:val="0"/>
                <w:bCs w:val="0"/>
              </w:rPr>
              <w:t>kojima bi se u regulatorne standarde postupno uvele obaveze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koje će društva za osiguranje svakako imati u momentu pristupanja Crne Gore EU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, odnosno stupanjem na snagu planiranog novog Zakona o osiguranju</w:t>
            </w:r>
            <w:r w:rsidR="0094666B" w:rsidRPr="0023737B">
              <w:rPr>
                <w:rFonts w:asciiTheme="majorHAnsi" w:hAnsiTheme="majorHAnsi"/>
                <w:b w:val="0"/>
                <w:bCs w:val="0"/>
              </w:rPr>
              <w:t>.</w:t>
            </w:r>
          </w:p>
          <w:p w:rsidR="003E53D6" w:rsidRPr="0023737B" w:rsidRDefault="003E53D6" w:rsidP="00AE3AB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927C3E" w:rsidRPr="0023737B" w:rsidRDefault="00EB5A18" w:rsidP="00AE3A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/>
                <w:b w:val="0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Bez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promjene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propisa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>akon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osiguranju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ostaje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neusaglašen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sa Zakonom o državnoj upravi</w:t>
            </w:r>
            <w:r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koji</w:t>
            </w:r>
            <w:r w:rsidRPr="0023737B">
              <w:rPr>
                <w:rFonts w:asciiTheme="majorHAnsi" w:hAnsiTheme="majorHAnsi"/>
                <w:b w:val="0"/>
                <w:bCs w:val="0"/>
              </w:rPr>
              <w:t xml:space="preserve"> u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čla</w:t>
            </w:r>
            <w:r w:rsidRPr="0023737B">
              <w:rPr>
                <w:rFonts w:asciiTheme="majorHAnsi" w:hAnsiTheme="majorHAnsi"/>
                <w:b w:val="0"/>
                <w:bCs w:val="0"/>
              </w:rPr>
              <w:t>nu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87 propisuje obavezu usaglašavanja u roku od 12 mjeseci od dana njegovog donošenja. </w:t>
            </w:r>
          </w:p>
          <w:p w:rsidR="00D74EC8" w:rsidRPr="0023737B" w:rsidRDefault="00927C3E" w:rsidP="00AE3AB8">
            <w:pPr>
              <w:pStyle w:val="Default"/>
              <w:spacing w:line="276" w:lineRule="auto"/>
              <w:ind w:left="720"/>
              <w:jc w:val="both"/>
              <w:rPr>
                <w:rFonts w:asciiTheme="majorHAnsi" w:hAnsiTheme="majorHAnsi"/>
                <w:b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Pored toga,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f</w:t>
            </w:r>
            <w:r w:rsidR="003E53D6" w:rsidRPr="0023737B">
              <w:rPr>
                <w:rFonts w:asciiTheme="majorHAnsi" w:hAnsiTheme="majorHAnsi"/>
                <w:b w:val="0"/>
                <w:bCs w:val="0"/>
              </w:rPr>
              <w:t>ormulacija</w:t>
            </w:r>
            <w:proofErr w:type="spellEnd"/>
            <w:r w:rsidR="003E53D6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3E53D6" w:rsidRPr="0023737B">
              <w:rPr>
                <w:rFonts w:asciiTheme="majorHAnsi" w:hAnsiTheme="majorHAnsi"/>
                <w:b w:val="0"/>
                <w:bCs w:val="0"/>
              </w:rPr>
              <w:t>postojećih</w:t>
            </w:r>
            <w:proofErr w:type="spellEnd"/>
            <w:r w:rsidR="003E53D6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3E53D6" w:rsidRPr="0023737B">
              <w:rPr>
                <w:rFonts w:asciiTheme="majorHAnsi" w:hAnsiTheme="majorHAnsi"/>
                <w:b w:val="0"/>
                <w:bCs w:val="0"/>
              </w:rPr>
              <w:t>rješenja</w:t>
            </w:r>
            <w:proofErr w:type="spellEnd"/>
            <w:r w:rsidR="003E53D6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skladu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važećim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standardima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poslovanja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osiguravača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u EU.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Zadržavanje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istog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nivoa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standarda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usporilo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bi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potrebno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unaprjeđenje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načina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organizacije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poslovanja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osiguravača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držalo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ga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nivou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je na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međunarodnom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nivou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procijenjen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nedovoljan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zastareo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.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Takođe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pojedine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norme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kontinuirano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stvaraju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problem</w:t>
            </w:r>
            <w:r w:rsidRPr="0023737B">
              <w:rPr>
                <w:rFonts w:asciiTheme="majorHAnsi" w:hAnsiTheme="majorHAnsi"/>
                <w:b w:val="0"/>
                <w:bCs w:val="0"/>
              </w:rPr>
              <w:t>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pitanja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vezi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načinom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primjene</w:t>
            </w:r>
            <w:proofErr w:type="spellEnd"/>
            <w:r w:rsidR="0089341A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9341A" w:rsidRPr="0023737B">
              <w:rPr>
                <w:rFonts w:asciiTheme="majorHAnsi" w:hAnsiTheme="majorHAnsi"/>
                <w:b w:val="0"/>
                <w:bCs w:val="0"/>
              </w:rPr>
              <w:t>norme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EB5A18" w:rsidRPr="0023737B">
              <w:rPr>
                <w:rFonts w:asciiTheme="majorHAnsi" w:hAnsiTheme="majorHAnsi"/>
                <w:b w:val="0"/>
                <w:bCs w:val="0"/>
              </w:rPr>
              <w:t>dio</w:t>
            </w:r>
            <w:proofErr w:type="spellEnd"/>
            <w:r w:rsidR="00EB5A18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EB5A18" w:rsidRPr="0023737B">
              <w:rPr>
                <w:rFonts w:asciiTheme="majorHAnsi" w:hAnsiTheme="majorHAnsi"/>
                <w:b w:val="0"/>
                <w:bCs w:val="0"/>
              </w:rPr>
              <w:t>n</w:t>
            </w:r>
            <w:r w:rsidRPr="0023737B">
              <w:rPr>
                <w:rFonts w:asciiTheme="majorHAnsi" w:hAnsiTheme="majorHAnsi"/>
                <w:b w:val="0"/>
                <w:bCs w:val="0"/>
              </w:rPr>
              <w:t>o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r</w:t>
            </w:r>
            <w:r w:rsidRPr="0023737B">
              <w:rPr>
                <w:rFonts w:asciiTheme="majorHAnsi" w:hAnsiTheme="majorHAnsi"/>
                <w:b w:val="0"/>
                <w:bCs w:val="0"/>
              </w:rPr>
              <w:t>mi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otežava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nadzor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eventualnu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primjenu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adekvatnih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mjera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.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Uo</w:t>
            </w:r>
            <w:r w:rsidRPr="0023737B">
              <w:rPr>
                <w:rFonts w:asciiTheme="majorHAnsi" w:hAnsiTheme="majorHAnsi"/>
                <w:b w:val="0"/>
                <w:bCs w:val="0"/>
              </w:rPr>
              <w:t>čeno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je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sistematika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zakona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pojedinim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segmentima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adekvatna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da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postoje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odredbe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zakonu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koje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su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nesaglasju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Zakonom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upravnom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bCs w:val="0"/>
              </w:rPr>
              <w:t>postupku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. </w:t>
            </w:r>
          </w:p>
          <w:p w:rsidR="00927C3E" w:rsidRPr="0023737B" w:rsidRDefault="00927C3E" w:rsidP="00AE3AB8">
            <w:pPr>
              <w:pStyle w:val="Default"/>
              <w:spacing w:line="276" w:lineRule="auto"/>
              <w:ind w:left="720"/>
              <w:jc w:val="both"/>
              <w:rPr>
                <w:rFonts w:asciiTheme="majorHAnsi" w:hAnsiTheme="majorHAnsi"/>
                <w:b w:val="0"/>
              </w:rPr>
            </w:pPr>
          </w:p>
          <w:p w:rsidR="00927C3E" w:rsidRPr="0023737B" w:rsidRDefault="00927C3E" w:rsidP="00AE3A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Neusklađivanje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važećim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međunarodnim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standardima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pogledu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zahtjeva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krajnjem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ne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omogućava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EB5A18" w:rsidRPr="0023737B">
              <w:rPr>
                <w:rFonts w:asciiTheme="majorHAnsi" w:hAnsiTheme="majorHAnsi"/>
                <w:b w:val="0"/>
                <w:bCs w:val="0"/>
              </w:rPr>
              <w:t>razvoj</w:t>
            </w:r>
            <w:proofErr w:type="spellEnd"/>
            <w:r w:rsidR="00EB5A18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adekvatn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og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nadzor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nad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posl</w:t>
            </w:r>
            <w:r w:rsidR="00EB5A18" w:rsidRPr="0023737B">
              <w:rPr>
                <w:rFonts w:asciiTheme="majorHAnsi" w:hAnsiTheme="majorHAnsi"/>
                <w:b w:val="0"/>
                <w:bCs w:val="0"/>
              </w:rPr>
              <w:t>o</w:t>
            </w:r>
            <w:r w:rsidRPr="0023737B">
              <w:rPr>
                <w:rFonts w:asciiTheme="majorHAnsi" w:hAnsiTheme="majorHAnsi"/>
                <w:b w:val="0"/>
                <w:bCs w:val="0"/>
              </w:rPr>
              <w:t>vanjem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osiguravača</w:t>
            </w:r>
            <w:proofErr w:type="spellEnd"/>
            <w:r w:rsidR="00EB5A18"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što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rezultat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ima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neadekvatnu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zaštitu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osiguranika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korisnika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osiguranja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trećih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oštećenih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lica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.</w:t>
            </w:r>
          </w:p>
          <w:p w:rsidR="00927C3E" w:rsidRPr="0023737B" w:rsidRDefault="00927C3E" w:rsidP="00AE3AB8">
            <w:pPr>
              <w:pStyle w:val="Default"/>
              <w:spacing w:line="276" w:lineRule="auto"/>
              <w:ind w:left="720"/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D74EC8" w:rsidRPr="0023737B" w:rsidRDefault="00AE3AB8" w:rsidP="00AE3AB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>“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>Status quo</w:t>
            </w:r>
            <w:r w:rsidRPr="0023737B">
              <w:rPr>
                <w:rFonts w:asciiTheme="majorHAnsi" w:hAnsiTheme="majorHAnsi"/>
                <w:b w:val="0"/>
                <w:bCs w:val="0"/>
              </w:rPr>
              <w:t>”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opcija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razmatrana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.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Ista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moguća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s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obzirom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obavezu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usklađivanja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Zakonom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državnoj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upravi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. </w:t>
            </w:r>
            <w:r w:rsidRPr="0023737B">
              <w:rPr>
                <w:rFonts w:asciiTheme="majorHAnsi" w:hAnsiTheme="majorHAnsi"/>
                <w:b w:val="0"/>
                <w:bCs w:val="0"/>
              </w:rPr>
              <w:t>“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>Status quo</w:t>
            </w:r>
            <w:r w:rsidRPr="0023737B">
              <w:rPr>
                <w:rFonts w:asciiTheme="majorHAnsi" w:hAnsiTheme="majorHAnsi"/>
                <w:b w:val="0"/>
                <w:bCs w:val="0"/>
              </w:rPr>
              <w:t>”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takođe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prihvaćen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u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primjeni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naprednijih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zahtjeva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iz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razloga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,</w:t>
            </w:r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prvo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usmjerenja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Crne Gore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prema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evropskim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integracijama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, a,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drugo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što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bi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naknadni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nagli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prelaz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potpuno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927C3E" w:rsidRPr="0023737B">
              <w:rPr>
                <w:rFonts w:asciiTheme="majorHAnsi" w:hAnsiTheme="majorHAnsi"/>
                <w:b w:val="0"/>
                <w:bCs w:val="0"/>
              </w:rPr>
              <w:t>nov</w:t>
            </w:r>
            <w:proofErr w:type="spellEnd"/>
            <w:r w:rsidR="00927C3E" w:rsidRPr="0023737B">
              <w:rPr>
                <w:rFonts w:asciiTheme="majorHAnsi" w:hAnsiTheme="majorHAnsi"/>
                <w:b w:val="0"/>
                <w:bCs w:val="0"/>
              </w:rPr>
              <w:t xml:space="preserve"> set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izmjena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mogao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biti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teži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primjenu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praćenje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, a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moguće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bi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donio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zahtjev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dodatnim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rokovima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Pr="0023737B">
              <w:rPr>
                <w:rFonts w:asciiTheme="majorHAnsi" w:hAnsiTheme="majorHAnsi"/>
                <w:b w:val="0"/>
                <w:bCs w:val="0"/>
              </w:rPr>
              <w:t xml:space="preserve">(od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strane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subjekata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nadzora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) </w:t>
            </w:r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za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punu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primjenu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direk</w:t>
            </w:r>
            <w:r w:rsidR="00411E63" w:rsidRPr="0023737B">
              <w:rPr>
                <w:rFonts w:asciiTheme="majorHAnsi" w:hAnsiTheme="majorHAnsi"/>
                <w:b w:val="0"/>
                <w:bCs w:val="0"/>
              </w:rPr>
              <w:t>tive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Solventnost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II,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koja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mogućnost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u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ovom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trenutku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 xml:space="preserve"> ne </w:t>
            </w:r>
            <w:proofErr w:type="spellStart"/>
            <w:r w:rsidR="00411E63" w:rsidRPr="0023737B">
              <w:rPr>
                <w:rFonts w:asciiTheme="majorHAnsi" w:hAnsiTheme="majorHAnsi"/>
                <w:b w:val="0"/>
                <w:bCs w:val="0"/>
              </w:rPr>
              <w:t>postoj</w:t>
            </w:r>
            <w:r w:rsidRPr="0023737B">
              <w:rPr>
                <w:rFonts w:asciiTheme="majorHAnsi" w:hAnsiTheme="majorHAnsi"/>
                <w:b w:val="0"/>
                <w:bCs w:val="0"/>
              </w:rPr>
              <w:t>i</w:t>
            </w:r>
            <w:proofErr w:type="spellEnd"/>
            <w:r w:rsidR="00411E63" w:rsidRPr="0023737B">
              <w:rPr>
                <w:rFonts w:asciiTheme="majorHAnsi" w:hAnsiTheme="majorHAnsi"/>
                <w:b w:val="0"/>
                <w:bCs w:val="0"/>
              </w:rPr>
              <w:t>.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Cambria"/>
                <w:b w:val="0"/>
                <w:color w:val="000000"/>
                <w:szCs w:val="24"/>
              </w:rPr>
            </w:pPr>
          </w:p>
        </w:tc>
      </w:tr>
      <w:tr w:rsidR="003E53D6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B81BE3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lastRenderedPageBreak/>
              <w:t xml:space="preserve">2.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Ciljevi</w:t>
            </w:r>
            <w:proofErr w:type="spellEnd"/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Koji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se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postižu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predloženim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Navesti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usklađenost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ovih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sa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postojećim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strategijama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programima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Vlade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primjenljivo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AE3AB8" w:rsidRPr="0023737B" w:rsidRDefault="0023737B" w:rsidP="00AE3AB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>
              <w:rPr>
                <w:rFonts w:asciiTheme="majorHAnsi" w:hAnsiTheme="majorHAnsi"/>
                <w:b w:val="0"/>
                <w:szCs w:val="24"/>
              </w:rPr>
              <w:t>Ci</w:t>
            </w:r>
            <w:r w:rsidR="00AE3AB8" w:rsidRPr="0023737B">
              <w:rPr>
                <w:rFonts w:asciiTheme="majorHAnsi" w:hAnsiTheme="majorHAnsi"/>
                <w:b w:val="0"/>
                <w:szCs w:val="24"/>
              </w:rPr>
              <w:t>ljevi</w:t>
            </w:r>
            <w:proofErr w:type="spellEnd"/>
            <w:r w:rsidR="00AE3AB8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AE3AB8" w:rsidRPr="0023737B">
              <w:rPr>
                <w:rFonts w:asciiTheme="majorHAnsi" w:hAnsiTheme="majorHAnsi"/>
                <w:b w:val="0"/>
                <w:szCs w:val="24"/>
              </w:rPr>
              <w:t>su</w:t>
            </w:r>
            <w:proofErr w:type="spellEnd"/>
            <w:r w:rsidR="00AE3AB8" w:rsidRPr="0023737B">
              <w:rPr>
                <w:rFonts w:asciiTheme="majorHAnsi" w:hAnsiTheme="majorHAnsi"/>
                <w:b w:val="0"/>
                <w:szCs w:val="24"/>
              </w:rPr>
              <w:t>:</w:t>
            </w:r>
          </w:p>
          <w:p w:rsidR="00AE3AB8" w:rsidRPr="0023737B" w:rsidRDefault="00AE3AB8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usklađivanje</w:t>
            </w:r>
            <w:proofErr w:type="spellEnd"/>
            <w:r w:rsidRPr="0023737B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domaćim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zakonodavstvom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(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Zakon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državnoj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upravi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Zakon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upravnom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9C7001" w:rsidRPr="0023737B">
              <w:rPr>
                <w:rFonts w:asciiTheme="majorHAnsi" w:hAnsiTheme="majorHAnsi"/>
                <w:b w:val="0"/>
                <w:szCs w:val="24"/>
              </w:rPr>
              <w:t>postupku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,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Zakon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nacionalnom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okviru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kvalifikacija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malom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segmentu</w:t>
            </w:r>
            <w:proofErr w:type="spellEnd"/>
            <w:r w:rsidR="00787DD7" w:rsidRPr="0023737B">
              <w:rPr>
                <w:rFonts w:asciiTheme="majorHAnsi" w:hAnsiTheme="majorHAnsi"/>
                <w:b w:val="0"/>
                <w:szCs w:val="24"/>
              </w:rPr>
              <w:t>)</w:t>
            </w:r>
            <w:r w:rsidRPr="0023737B">
              <w:rPr>
                <w:rFonts w:asciiTheme="majorHAnsi" w:hAnsiTheme="majorHAnsi"/>
                <w:b w:val="0"/>
                <w:szCs w:val="24"/>
              </w:rPr>
              <w:t>;</w:t>
            </w:r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</w:p>
          <w:p w:rsidR="00AE3AB8" w:rsidRPr="0023737B" w:rsidRDefault="00AE3AB8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p</w:t>
            </w:r>
            <w:r w:rsidR="00810ECD" w:rsidRPr="0023737B">
              <w:rPr>
                <w:rFonts w:asciiTheme="majorHAnsi" w:hAnsiTheme="majorHAnsi"/>
                <w:b w:val="0"/>
                <w:szCs w:val="24"/>
              </w:rPr>
              <w:t>ostupni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prelazak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na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način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upravljanja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društvima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za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osiguranje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kakav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predviđa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režim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Solventnost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II, i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koji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je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sastavni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dio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novog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Zakona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osiguranju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koji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bi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trebalo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da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stupi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snagu</w:t>
            </w:r>
            <w:proofErr w:type="spellEnd"/>
            <w:r w:rsidRPr="0023737B">
              <w:rPr>
                <w:rFonts w:asciiTheme="majorHAnsi" w:hAnsiTheme="majorHAnsi"/>
                <w:b w:val="0"/>
                <w:szCs w:val="24"/>
              </w:rPr>
              <w:t xml:space="preserve"> do </w:t>
            </w: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dana</w:t>
            </w:r>
            <w:proofErr w:type="spellEnd"/>
            <w:r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pristupanja</w:t>
            </w:r>
            <w:proofErr w:type="spellEnd"/>
            <w:r w:rsidRPr="0023737B">
              <w:rPr>
                <w:rFonts w:asciiTheme="majorHAnsi" w:hAnsiTheme="majorHAnsi"/>
                <w:b w:val="0"/>
                <w:szCs w:val="24"/>
              </w:rPr>
              <w:t xml:space="preserve"> CG EU;</w:t>
            </w:r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</w:p>
          <w:p w:rsidR="003E53D6" w:rsidRPr="0023737B" w:rsidRDefault="00AE3AB8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u</w:t>
            </w:r>
            <w:r w:rsidR="005B28D4" w:rsidRPr="0023737B">
              <w:rPr>
                <w:rFonts w:asciiTheme="majorHAnsi" w:hAnsiTheme="majorHAnsi"/>
                <w:b w:val="0"/>
                <w:szCs w:val="24"/>
              </w:rPr>
              <w:t>naprjeđenje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szCs w:val="24"/>
              </w:rPr>
              <w:t>regulatornih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szCs w:val="24"/>
              </w:rPr>
              <w:t>standarda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i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szCs w:val="24"/>
              </w:rPr>
              <w:t>nadzora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szCs w:val="24"/>
              </w:rPr>
              <w:t>nad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szCs w:val="24"/>
              </w:rPr>
              <w:t>osiguravačima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szCs w:val="24"/>
              </w:rPr>
              <w:t>.</w:t>
            </w:r>
          </w:p>
          <w:p w:rsidR="00AE3AB8" w:rsidRPr="0023737B" w:rsidRDefault="00AE3AB8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/>
                <w:b w:val="0"/>
                <w:szCs w:val="24"/>
              </w:rPr>
            </w:pPr>
          </w:p>
          <w:p w:rsidR="009C7001" w:rsidRPr="0023737B" w:rsidRDefault="002211B6" w:rsidP="00AE3AB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 w:val="0"/>
                <w:szCs w:val="24"/>
              </w:rPr>
            </w:pP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Predložene</w:t>
            </w:r>
            <w:proofErr w:type="spellEnd"/>
            <w:r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szCs w:val="24"/>
              </w:rPr>
              <w:t>i</w:t>
            </w:r>
            <w:r w:rsidR="009C7001" w:rsidRPr="0023737B">
              <w:rPr>
                <w:rFonts w:asciiTheme="majorHAnsi" w:hAnsiTheme="majorHAnsi"/>
                <w:b w:val="0"/>
                <w:szCs w:val="24"/>
              </w:rPr>
              <w:t>zmjene</w:t>
            </w:r>
            <w:proofErr w:type="spellEnd"/>
            <w:r w:rsidR="009C7001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skladu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su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Programom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rada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Vlade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za 2019.godinu u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dijelu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us</w:t>
            </w:r>
            <w:r w:rsidR="00AE3AB8" w:rsidRPr="0023737B">
              <w:rPr>
                <w:rFonts w:asciiTheme="majorHAnsi" w:hAnsiTheme="majorHAnsi"/>
                <w:b w:val="0"/>
                <w:szCs w:val="24"/>
              </w:rPr>
              <w:t>a</w:t>
            </w:r>
            <w:r w:rsidR="00810ECD" w:rsidRPr="0023737B">
              <w:rPr>
                <w:rFonts w:asciiTheme="majorHAnsi" w:hAnsiTheme="majorHAnsi"/>
                <w:b w:val="0"/>
                <w:szCs w:val="24"/>
              </w:rPr>
              <w:t>glašavanja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sa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Zakonom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o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državnoj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 </w:t>
            </w:r>
            <w:proofErr w:type="spellStart"/>
            <w:r w:rsidR="00810ECD" w:rsidRPr="0023737B">
              <w:rPr>
                <w:rFonts w:asciiTheme="majorHAnsi" w:hAnsiTheme="majorHAnsi"/>
                <w:b w:val="0"/>
                <w:szCs w:val="24"/>
              </w:rPr>
              <w:t>upravi</w:t>
            </w:r>
            <w:proofErr w:type="spellEnd"/>
            <w:r w:rsidR="00810ECD" w:rsidRPr="0023737B">
              <w:rPr>
                <w:rFonts w:asciiTheme="majorHAnsi" w:hAnsiTheme="majorHAnsi"/>
                <w:b w:val="0"/>
                <w:szCs w:val="24"/>
              </w:rPr>
              <w:t xml:space="preserve">. 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Cambria"/>
                <w:szCs w:val="24"/>
              </w:rPr>
            </w:pPr>
          </w:p>
        </w:tc>
      </w:tr>
      <w:tr w:rsidR="003E53D6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543C38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3.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Opcije</w:t>
            </w:r>
            <w:proofErr w:type="spellEnd"/>
          </w:p>
          <w:p w:rsidR="003E53D6" w:rsidRPr="00543C38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moguće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opcije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ispunjavanje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rješavanje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 (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uvijek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treba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razmatrati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“status quo”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preporučljivo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uključiti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neregulatornu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osim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ako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postoji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obaveza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donošenja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predloženog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).</w:t>
            </w:r>
          </w:p>
          <w:p w:rsidR="003E53D6" w:rsidRPr="00543C38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Obrazložiti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preferiranu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opciju</w:t>
            </w:r>
            <w:proofErr w:type="spellEnd"/>
            <w:r w:rsidRPr="00543C38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AE3AB8" w:rsidRPr="0023737B" w:rsidRDefault="00AE3AB8" w:rsidP="00AE3AB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AE3AB8" w:rsidRPr="0023737B" w:rsidRDefault="00AE3AB8" w:rsidP="00AE3AB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1.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Pri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analizi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mogućih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opcija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, “status quo”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opcija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je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ocijenjena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kao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neprimjenljiva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s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obzirom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obavezu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usklađivanja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sa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Zakonom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o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državnoj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/>
                <w:b w:val="0"/>
                <w:bCs w:val="0"/>
              </w:rPr>
              <w:t>upravi</w:t>
            </w:r>
            <w:proofErr w:type="spellEnd"/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. </w:t>
            </w:r>
          </w:p>
          <w:p w:rsidR="005B28D4" w:rsidRPr="0023737B" w:rsidRDefault="005B28D4" w:rsidP="00AE3AB8">
            <w:pPr>
              <w:pStyle w:val="Default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“Status quo” u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dijelu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primjene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standarda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takođe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nije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prihvaćen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,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jer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bi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naknadni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nagli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prelaz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potpuno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nov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set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regulatornih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izmjena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mogao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biti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teži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primjenu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praćenje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od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strane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 xml:space="preserve"> </w:t>
            </w:r>
            <w:proofErr w:type="spellStart"/>
            <w:r w:rsidRPr="0023737B">
              <w:rPr>
                <w:rFonts w:asciiTheme="majorHAnsi" w:hAnsiTheme="majorHAnsi"/>
                <w:b w:val="0"/>
                <w:bCs w:val="0"/>
              </w:rPr>
              <w:t>regulatora</w:t>
            </w:r>
            <w:proofErr w:type="spellEnd"/>
            <w:r w:rsidRPr="0023737B">
              <w:rPr>
                <w:rFonts w:asciiTheme="majorHAnsi" w:hAnsiTheme="majorHAnsi"/>
                <w:b w:val="0"/>
                <w:bCs w:val="0"/>
              </w:rPr>
              <w:t>.</w:t>
            </w:r>
          </w:p>
          <w:p w:rsidR="005B28D4" w:rsidRPr="0023737B" w:rsidRDefault="005B28D4" w:rsidP="00AE3AB8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5B28D4" w:rsidRPr="0023737B" w:rsidRDefault="00AE3AB8" w:rsidP="00AE3AB8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2. </w:t>
            </w:r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U dijelu </w:t>
            </w:r>
            <w:r w:rsidR="002E5B6D" w:rsidRPr="0023737B">
              <w:rPr>
                <w:rFonts w:asciiTheme="majorHAnsi" w:hAnsiTheme="majorHAnsi"/>
                <w:b w:val="0"/>
                <w:bCs w:val="0"/>
              </w:rPr>
              <w:t xml:space="preserve"> propisa koji ne predstavlja usaglašavanje sa domaćim zakonima, r</w:t>
            </w:r>
            <w:r w:rsidR="005B28D4" w:rsidRPr="0023737B">
              <w:rPr>
                <w:rFonts w:asciiTheme="majorHAnsi" w:hAnsiTheme="majorHAnsi"/>
                <w:b w:val="0"/>
                <w:bCs w:val="0"/>
              </w:rPr>
              <w:t>azmatran</w:t>
            </w:r>
            <w:r w:rsidR="002E5B6D" w:rsidRPr="0023737B">
              <w:rPr>
                <w:rFonts w:asciiTheme="majorHAnsi" w:hAnsiTheme="majorHAnsi"/>
                <w:b w:val="0"/>
                <w:bCs w:val="0"/>
              </w:rPr>
              <w:t xml:space="preserve"> je sistem Solventnosti II iz istoimene direktive EU, kao i </w:t>
            </w:r>
            <w:r w:rsidR="005B28D4" w:rsidRPr="0023737B">
              <w:rPr>
                <w:rFonts w:asciiTheme="majorHAnsi" w:hAnsiTheme="majorHAnsi"/>
                <w:b w:val="0"/>
                <w:bCs w:val="0"/>
              </w:rPr>
              <w:t xml:space="preserve">uporedna </w:t>
            </w:r>
            <w:r w:rsidR="002E5B6D" w:rsidRPr="0023737B">
              <w:rPr>
                <w:rFonts w:asciiTheme="majorHAnsi" w:hAnsiTheme="majorHAnsi"/>
                <w:b w:val="0"/>
                <w:bCs w:val="0"/>
              </w:rPr>
              <w:t>praksa zemalja u okruženju i regionu (Hrvatska, Slovenija, Austrija, isl), sa akcentom na mogućnost prenošenja EU standarda, koje neke od tih zemalja već imaju u svojim propisima, na CG tržište. Ocijenjeno je da se određeni elementi mogu prenijeti uz potrebne modifikacije koje predstavljaju posebnosti CG tržišta, uključujući tu i aspekt organizacije akcionarskih društava prema aktuelnom Zakonu o privrednim društvima.</w:t>
            </w:r>
          </w:p>
          <w:p w:rsidR="003E53D6" w:rsidRPr="0023737B" w:rsidRDefault="002E5B6D" w:rsidP="00AE3AB8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  <w:b w:val="0"/>
                <w:bCs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U dijelu upravljanja, procijenjeno je da se dio elemenata sistema upravljanja može prenijeti na podzakonske akte, kako bi se obezbijedil fleksibilnost kod eventualnih izmjena u skladu sa važećim EU standardima u toj oblasti. </w:t>
            </w:r>
          </w:p>
          <w:p w:rsidR="00397652" w:rsidRPr="0023737B" w:rsidRDefault="00397652" w:rsidP="00397652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  <w:b w:val="0"/>
              </w:rPr>
            </w:pPr>
            <w:r w:rsidRPr="0023737B">
              <w:rPr>
                <w:rFonts w:asciiTheme="majorHAnsi" w:hAnsiTheme="majorHAnsi"/>
                <w:b w:val="0"/>
                <w:bCs w:val="0"/>
              </w:rPr>
              <w:t xml:space="preserve">U dijelu mjera nadzora, preciznije, kod uvođenja posebne naknade društvima koja obavljaju poslove posredovanja ili zastupanja u soiguranju, kao i preduzetnicima zastupnicima i bankama koje se bave zastupanjem u osiguranju, Agencija je izvršila analizu na osnovu podataka kojima raspolaže.  </w:t>
            </w:r>
            <w:r w:rsidRPr="0023737B">
              <w:rPr>
                <w:rFonts w:asciiTheme="majorHAnsi" w:hAnsiTheme="majorHAnsi"/>
                <w:b w:val="0"/>
              </w:rPr>
              <w:t xml:space="preserve">Uzeta je u obzir uloga i značaj tih subjekata na tržištu osiguranja odnosno podatak da, na kraju 2018. godine, ovi subjekti imaju sljedeće učešće u bruto fakturisanoj premiji osiguranja: društva za zastupanje u osiguranju 20,4%, društva za posredovanje u osiguranju 9,5%, banke -zastupnici u osiguranju 3,6%, preduzetnici- zastupnici u osiguranju ispod 1%. Takođe je uzeta kao i odgovornost tih subjekata shodno obavezama propisanim Zakonom o osiguranju. </w:t>
            </w:r>
          </w:p>
          <w:p w:rsidR="00397652" w:rsidRPr="0023737B" w:rsidRDefault="00397652" w:rsidP="00397652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  <w:b w:val="0"/>
              </w:rPr>
            </w:pPr>
            <w:r w:rsidRPr="0023737B">
              <w:rPr>
                <w:rFonts w:asciiTheme="majorHAnsi" w:hAnsiTheme="majorHAnsi"/>
                <w:b w:val="0"/>
              </w:rPr>
              <w:t xml:space="preserve"> U skladu sa navedenim, Agencija je ocijenila cjelishodnijim reagovanje u postupku nadzora putem novčane kazne, i to kada rješenjem budu utvrđene nepravilnosti i nezakonitosti u radu navedenih subjekata, kako bi se snažnije uticalo da poslovanje navedenih subjekata bude u skladu sa zakonom, kao i da se isti sankcionišu većom kaznom u situaciji kada se navedene nepravilnosti i nezakonitosti  ponove.  Tako je prilikom utrđivanja visine naknade u dijelu definisanja procenta, Agencija  uzela u obzir visinu prihoda koje ostvaruju navedena lica, pa je predložen iznos posebne naknade koji ne može biti veći od 0.8% iznosa prihoda koje, za pružene usluge posredovanja odnosno zastupanja u osiguranju, ostvari društvo za posredovanje u osiguranju, društvo za zastupanje u osiguranju ili preduzetnik-zastupnik u osiguranju, odnosno fakturisanog iznosa provizije koji za pružene usluge zastupanja u osiguranju ostvari banka koja ima saglasnost za obavljanje poslova zastupanja u osiguranju, a kojima je izrečena mjera nadzora zbog utvrđenih nepravilnosti i nezakonitosti u poslovanju. </w:t>
            </w:r>
          </w:p>
          <w:p w:rsidR="00397652" w:rsidRPr="00902A82" w:rsidRDefault="00397652" w:rsidP="00397652">
            <w:pPr>
              <w:pStyle w:val="Default"/>
              <w:spacing w:after="120" w:line="276" w:lineRule="auto"/>
              <w:jc w:val="both"/>
              <w:rPr>
                <w:rFonts w:asciiTheme="majorHAnsi" w:hAnsiTheme="majorHAnsi"/>
              </w:rPr>
            </w:pPr>
            <w:r w:rsidRPr="0023737B">
              <w:rPr>
                <w:rFonts w:asciiTheme="majorHAnsi" w:hAnsiTheme="majorHAnsi"/>
                <w:b w:val="0"/>
              </w:rPr>
              <w:t>Agencija je mišljenja da navedena visina posebne naknade ne može negativno uticati na subjekte nadzora koji posluju u skladu sa zakonom, već ima karakter novčane sankcije u situacijama kada je utvrđeno poslovanje suprotno zakonu.</w:t>
            </w:r>
          </w:p>
        </w:tc>
      </w:tr>
      <w:tr w:rsidR="003E53D6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B81BE3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4.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Analiza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uticaja</w:t>
            </w:r>
            <w:proofErr w:type="spellEnd"/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Na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koga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najvjerovatnije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uticati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rješenja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-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nabrojati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pozitivne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negativne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uticaje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direktne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indirektne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troškove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primjena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izazvati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građanima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privredi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(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naročito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malim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srednjim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preduzećima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).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pozitivne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posljedice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donošenja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opravdavaju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troškove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on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stvoriti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se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podržava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stvaranje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novih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privrednih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subjekata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na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tržištu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tržišna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konkurencija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Uključiti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procjenu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administrativnih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opterećenja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biznis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barijera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</w:p>
          <w:p w:rsidR="00787DD7" w:rsidRPr="0023737B" w:rsidRDefault="00787DD7" w:rsidP="00AE3A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Primjena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će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pozitivno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uticati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osiguravače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osiguranike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treća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lica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.</w:t>
            </w:r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Primjena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omogućiće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druge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vidove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adminsitartivnih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sankcija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subjektima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koji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obavljaju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djelatnost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posredovanja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ili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zastupanja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u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osiguranju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.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Ukupni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očekivan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efekat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međutim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trebalo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bi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je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pozitivan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korisnike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usluga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osiguranja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u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smislu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većg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nivoa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zakonitosti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poslovanja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tih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subjekata</w:t>
            </w:r>
            <w:proofErr w:type="spellEnd"/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.</w:t>
            </w:r>
          </w:p>
          <w:p w:rsidR="00787DD7" w:rsidRPr="0023737B" w:rsidRDefault="00787DD7" w:rsidP="00AE3A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Primjena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neće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izazvati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građanima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privredi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naknadne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troškove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niti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će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postojati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druga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opterećenja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barijere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.</w:t>
            </w:r>
          </w:p>
          <w:p w:rsidR="005B28D4" w:rsidRPr="0023737B" w:rsidRDefault="005B28D4" w:rsidP="00AE3A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ima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isti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uticaj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eventualno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stv</w:t>
            </w:r>
            <w:r w:rsidR="002E5B6D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a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ranje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novih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privrednih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subjekata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tržištu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osiguranja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kao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dosadašnji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zakon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.</w:t>
            </w:r>
          </w:p>
          <w:p w:rsidR="003E53D6" w:rsidRPr="00B81BE3" w:rsidRDefault="003E53D6" w:rsidP="00AE3AB8">
            <w:pPr>
              <w:autoSpaceDE w:val="0"/>
              <w:autoSpaceDN w:val="0"/>
              <w:adjustRightInd w:val="0"/>
              <w:spacing w:line="276" w:lineRule="auto"/>
              <w:ind w:left="270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</w:p>
        </w:tc>
      </w:tr>
      <w:tr w:rsidR="003E53D6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B81BE3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5.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Procjena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fiskalnog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uticaja</w:t>
            </w:r>
            <w:proofErr w:type="spellEnd"/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potrebno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obezbjeđenje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sredstava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budžeta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Crne Gore za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implementaciju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iznosu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obezbjeđenje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sredstava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jednokratno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tokom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određenog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vremenskog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perioda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? 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implementacijom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proizilaze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međ</w:t>
            </w: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unarodne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finansijske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obaveze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?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neophodna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sredstva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obezbijeđena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budžetu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tekuću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fiskal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nu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godinu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,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odnosno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planirana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budžetu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narednu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fiskanu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godinu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usvajanjem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predviđeno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donošenje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podzakonskih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akata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proisteći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obaveze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se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implementacijom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ostvariti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prihod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budžet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Crne Gore?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metodologiju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korišćenja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prilikom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obračuna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izdataka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/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prihoda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postojali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problemi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preciz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nom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obračunu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finansijskih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izdataka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/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prihoda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?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</w:t>
            </w: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postojale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sugestije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Ministarstva finansija na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nacrt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/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predlog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?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dobijene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primjedbe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uključene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tekst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propisa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 xml:space="preserve">?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  <w:lang w:val="en-US"/>
              </w:rPr>
              <w:t>Obra</w:t>
            </w: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zložiti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3E53D6" w:rsidRPr="0023737B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</w:p>
          <w:p w:rsidR="00787DD7" w:rsidRPr="0023737B" w:rsidRDefault="00787DD7" w:rsidP="00AE3AB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Donošenje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nema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fiskalnog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uticaja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Budžet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jer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ne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predviđa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izdvajanje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finansijskih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sredstava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njegovu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primjenu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, 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takođe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implementacijom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propisa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 ne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nastaju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međunarodne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finansijske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obaveze</w:t>
            </w:r>
            <w:proofErr w:type="spellEnd"/>
          </w:p>
          <w:p w:rsidR="00787DD7" w:rsidRPr="0023737B" w:rsidRDefault="00787DD7" w:rsidP="00AE3AB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U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utvrđivanju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primjenjene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metodologije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korišćena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su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uporedna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zakonska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i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podzakonska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rješenja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zemalja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u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okruženju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. </w:t>
            </w:r>
          </w:p>
          <w:p w:rsidR="005B28D4" w:rsidRPr="0023737B" w:rsidRDefault="005B28D4" w:rsidP="00AE3AB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Implementacija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ne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donosi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nove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prihode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Budžet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CG.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</w:p>
        </w:tc>
      </w:tr>
      <w:tr w:rsidR="003E53D6" w:rsidRPr="00B81BE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B81BE3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6.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Konsultacije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zainteresovanih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strana</w:t>
            </w:r>
            <w:proofErr w:type="spellEnd"/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Naznačiti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je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korišćena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eksterna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ekspertska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podrška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Naznačiti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grupe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zainteresovanih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strana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konsultovane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u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kojoj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fazi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RIA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procesa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kako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(javne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ili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ciljane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konsultacije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).</w:t>
            </w:r>
          </w:p>
          <w:p w:rsidR="003E53D6" w:rsidRPr="00B81BE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Naznačiti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glavne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rezultate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konsultacija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,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predlozi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sugestije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zainteresovanih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strana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prihvaćeni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odnosno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nijesu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prihvaćeni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. </w:t>
            </w:r>
            <w:proofErr w:type="spellStart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Obrazložiti</w:t>
            </w:r>
            <w:proofErr w:type="spellEnd"/>
            <w:r w:rsidRPr="00B81BE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.</w:t>
            </w:r>
          </w:p>
        </w:tc>
      </w:tr>
      <w:tr w:rsidR="003E53D6" w:rsidRPr="00B81BE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3E53D6" w:rsidRPr="00D66BDF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 w:cs="Arial"/>
                <w:color w:val="FF0000"/>
                <w:szCs w:val="24"/>
              </w:rPr>
            </w:pPr>
          </w:p>
          <w:p w:rsidR="00787DD7" w:rsidRPr="0023737B" w:rsidRDefault="00787DD7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FF0000"/>
                <w:szCs w:val="24"/>
              </w:rPr>
            </w:pP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Nije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korišćena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eksterna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ekspertska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podrška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. </w:t>
            </w:r>
            <w:proofErr w:type="spellStart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Nacrtnu</w:t>
            </w:r>
            <w:proofErr w:type="spellEnd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verziju</w:t>
            </w:r>
            <w:proofErr w:type="spellEnd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pripremila</w:t>
            </w:r>
            <w:proofErr w:type="spellEnd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je Agencija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za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nadzor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osiguranja</w:t>
            </w:r>
            <w:proofErr w:type="spellEnd"/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.</w:t>
            </w:r>
          </w:p>
          <w:p w:rsidR="003E53D6" w:rsidRPr="00B81BE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 w:cs="Arial"/>
                <w:color w:val="FF0000"/>
                <w:szCs w:val="24"/>
              </w:rPr>
            </w:pPr>
          </w:p>
        </w:tc>
      </w:tr>
      <w:tr w:rsidR="003E53D6" w:rsidRPr="003E7753" w:rsidTr="00B46827">
        <w:trPr>
          <w:cnfStyle w:val="000000100000"/>
        </w:trPr>
        <w:tc>
          <w:tcPr>
            <w:cnfStyle w:val="001000000000"/>
            <w:tcW w:w="9738" w:type="dxa"/>
            <w:gridSpan w:val="2"/>
          </w:tcPr>
          <w:p w:rsidR="003E53D6" w:rsidRPr="003E7753" w:rsidRDefault="003E53D6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7: Monitoring i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evaluacija</w:t>
            </w:r>
            <w:proofErr w:type="spellEnd"/>
          </w:p>
          <w:p w:rsidR="003E53D6" w:rsidRPr="003E775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potencijalne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prepreke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implementaciju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? </w:t>
            </w:r>
          </w:p>
          <w:p w:rsidR="003E53D6" w:rsidRPr="003E775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mjere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biti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preduzete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tokom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primjene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da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bi se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ispunili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Pr="003E775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Koji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su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glavni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indikatori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prema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kojima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se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mjeriti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ispunjenje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ciljeva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  <w:p w:rsidR="003E53D6" w:rsidRPr="003E7753" w:rsidRDefault="003E53D6" w:rsidP="00AE3A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</w:pP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Ko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će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biti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zadužen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za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sprovođenje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monitoringa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i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evaluacije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primjene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propisa</w:t>
            </w:r>
            <w:proofErr w:type="spellEnd"/>
            <w:r w:rsidRPr="003E7753">
              <w:rPr>
                <w:rFonts w:asciiTheme="majorHAnsi" w:hAnsiTheme="majorHAnsi" w:cs="Arial"/>
                <w:b w:val="0"/>
                <w:color w:val="365F91" w:themeColor="accent1" w:themeShade="BF"/>
                <w:szCs w:val="24"/>
              </w:rPr>
              <w:t>?</w:t>
            </w:r>
          </w:p>
        </w:tc>
      </w:tr>
      <w:tr w:rsidR="003E53D6" w:rsidRPr="003E7753" w:rsidTr="00B46827">
        <w:trPr>
          <w:cnfStyle w:val="000000010000"/>
        </w:trPr>
        <w:tc>
          <w:tcPr>
            <w:cnfStyle w:val="001000000000"/>
            <w:tcW w:w="9738" w:type="dxa"/>
            <w:gridSpan w:val="2"/>
          </w:tcPr>
          <w:p w:rsidR="00787DD7" w:rsidRPr="0023737B" w:rsidRDefault="00787DD7" w:rsidP="00C81D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</w:pP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Prepreke u implementaciji se ne očekuju, iz razloga što </w:t>
            </w:r>
            <w:r w:rsidR="005E752E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se 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usvajanjem ovog </w:t>
            </w:r>
            <w:r w:rsidR="00D80903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Nacrta zakona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, </w:t>
            </w:r>
            <w:r w:rsidR="005E752E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vr</w:t>
            </w:r>
            <w:r w:rsidR="00FF402C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</w:rPr>
              <w:t>ši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usaglaš</w:t>
            </w:r>
            <w:r w:rsidR="00FF402C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avanje sa domaćim zakonodavstvom pri</w:t>
            </w:r>
            <w:r w:rsidR="0054548F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m</w:t>
            </w:r>
            <w:r w:rsidR="00FF402C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arno sa 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Zakonom o </w:t>
            </w:r>
            <w:r w:rsidR="00FF402C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državnoj upravi ("Službeni list Crne Gore", br. 078/18 od 04.12.2018) a i sa drugim zakonima sa kojima </w:t>
            </w:r>
            <w:r w:rsidR="0054548F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se bilo nužno uskladiti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.</w:t>
            </w:r>
          </w:p>
          <w:p w:rsidR="00AE3AB8" w:rsidRPr="0023737B" w:rsidRDefault="00AE3AB8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</w:pPr>
          </w:p>
          <w:p w:rsidR="003E7753" w:rsidRPr="0023737B" w:rsidRDefault="00787DD7" w:rsidP="00C81D1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</w:pP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Ispunjenje ciljeva mjeriće se 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u sklopu redovnog nadzora nad društvima za osiguranje, u sklopu kojeg je moguće analizirati 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indikator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e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, kao što je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efik</w:t>
            </w:r>
            <w:r w:rsidR="00C81D19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a</w:t>
            </w:r>
            <w:bookmarkStart w:id="0" w:name="_GoBack"/>
            <w:bookmarkEnd w:id="0"/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snost postupka izdavanja dozvola, saglasnosti isl.,</w:t>
            </w: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redovno izvještavanje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, 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adekvatnije 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izjašnj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ava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nje 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subjekata nadzora u postupcima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kontrola. 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Indikatorom se može smatrati o ocjena EK o napretku u dijelu usaglašavanja sa EU zakonodavstvom u pogledu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uskla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đivanja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sa Solventno</w:t>
            </w:r>
            <w:r w:rsidR="005B28D4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>šću</w:t>
            </w:r>
            <w:r w:rsidR="003E7753"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 II .</w:t>
            </w:r>
          </w:p>
          <w:p w:rsidR="00AE3AB8" w:rsidRPr="0023737B" w:rsidRDefault="00AE3AB8" w:rsidP="00AE3A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</w:pPr>
          </w:p>
          <w:p w:rsidR="003E53D6" w:rsidRPr="0023737B" w:rsidRDefault="00787DD7" w:rsidP="00AE3AB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630"/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</w:pPr>
            <w:r w:rsidRPr="0023737B">
              <w:rPr>
                <w:rFonts w:asciiTheme="majorHAnsi" w:hAnsiTheme="majorHAnsi" w:cs="Arial"/>
                <w:b w:val="0"/>
                <w:color w:val="000000" w:themeColor="text1"/>
                <w:szCs w:val="24"/>
                <w:lang w:val="sr-Latn-CS"/>
              </w:rPr>
              <w:t xml:space="preserve">Za monitoring primjene propisa biće zadužena Agencija za nadzor osiguranja. </w:t>
            </w:r>
          </w:p>
          <w:p w:rsidR="003E53D6" w:rsidRPr="003E7753" w:rsidRDefault="003E53D6" w:rsidP="00AE3AB8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jc w:val="both"/>
              <w:rPr>
                <w:rFonts w:asciiTheme="majorHAnsi" w:hAnsiTheme="majorHAnsi" w:cs="Arial"/>
                <w:color w:val="365F91" w:themeColor="accent1" w:themeShade="BF"/>
                <w:szCs w:val="24"/>
              </w:rPr>
            </w:pPr>
          </w:p>
        </w:tc>
      </w:tr>
    </w:tbl>
    <w:p w:rsidR="00C94DD1" w:rsidRPr="00B81BE3" w:rsidRDefault="00C94DD1" w:rsidP="00AE3AB8">
      <w:pPr>
        <w:spacing w:line="276" w:lineRule="auto"/>
        <w:rPr>
          <w:rFonts w:asciiTheme="majorHAnsi" w:hAnsiTheme="majorHAnsi"/>
          <w:color w:val="365F91" w:themeColor="accent1" w:themeShade="BF"/>
          <w:szCs w:val="24"/>
        </w:rPr>
      </w:pPr>
    </w:p>
    <w:p w:rsidR="00C94DD1" w:rsidRPr="00B81BE3" w:rsidRDefault="00C94DD1" w:rsidP="00AE3AB8">
      <w:pPr>
        <w:spacing w:line="276" w:lineRule="auto"/>
        <w:rPr>
          <w:rFonts w:asciiTheme="majorHAnsi" w:hAnsiTheme="majorHAnsi" w:cs="Arial"/>
          <w:color w:val="365F91" w:themeColor="accent1" w:themeShade="BF"/>
          <w:szCs w:val="24"/>
        </w:rPr>
      </w:pPr>
      <w:r w:rsidRPr="00B81BE3">
        <w:rPr>
          <w:rFonts w:asciiTheme="majorHAnsi" w:hAnsiTheme="majorHAnsi" w:cs="Arial"/>
          <w:color w:val="365F91" w:themeColor="accent1" w:themeShade="BF"/>
          <w:szCs w:val="24"/>
        </w:rPr>
        <w:t xml:space="preserve">Datum i </w:t>
      </w:r>
      <w:proofErr w:type="spellStart"/>
      <w:r w:rsidRPr="00B81BE3">
        <w:rPr>
          <w:rFonts w:asciiTheme="majorHAnsi" w:hAnsiTheme="majorHAnsi" w:cs="Arial"/>
          <w:color w:val="365F91" w:themeColor="accent1" w:themeShade="BF"/>
          <w:szCs w:val="24"/>
        </w:rPr>
        <w:t>mjesto</w:t>
      </w:r>
      <w:proofErr w:type="spellEnd"/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="00C77C0F">
        <w:rPr>
          <w:rFonts w:asciiTheme="majorHAnsi" w:hAnsiTheme="majorHAnsi" w:cs="Arial"/>
          <w:color w:val="365F91" w:themeColor="accent1" w:themeShade="BF"/>
          <w:szCs w:val="24"/>
        </w:rPr>
        <w:t xml:space="preserve">                           </w:t>
      </w:r>
      <w:proofErr w:type="spellStart"/>
      <w:r w:rsidRPr="00B81BE3">
        <w:rPr>
          <w:rFonts w:asciiTheme="majorHAnsi" w:hAnsiTheme="majorHAnsi" w:cs="Arial"/>
          <w:color w:val="365F91" w:themeColor="accent1" w:themeShade="BF"/>
          <w:szCs w:val="24"/>
        </w:rPr>
        <w:t>Starješina</w:t>
      </w:r>
      <w:proofErr w:type="spellEnd"/>
      <w:r w:rsidRPr="00B81BE3">
        <w:rPr>
          <w:rFonts w:asciiTheme="majorHAnsi" w:hAnsiTheme="majorHAnsi" w:cs="Arial"/>
          <w:color w:val="365F91" w:themeColor="accent1" w:themeShade="BF"/>
          <w:szCs w:val="24"/>
        </w:rPr>
        <w:t xml:space="preserve"> </w:t>
      </w:r>
    </w:p>
    <w:p w:rsidR="00C94DD1" w:rsidRPr="00B81BE3" w:rsidRDefault="00C94DD1" w:rsidP="00AE3AB8">
      <w:pPr>
        <w:spacing w:line="276" w:lineRule="auto"/>
        <w:rPr>
          <w:rFonts w:asciiTheme="majorHAnsi" w:hAnsiTheme="majorHAnsi" w:cs="Arial"/>
          <w:color w:val="365F91" w:themeColor="accent1" w:themeShade="BF"/>
          <w:szCs w:val="24"/>
        </w:rPr>
      </w:pPr>
    </w:p>
    <w:p w:rsidR="00E36CF0" w:rsidRPr="008D12B5" w:rsidRDefault="00C94DD1" w:rsidP="00AE3AB8">
      <w:pPr>
        <w:spacing w:line="276" w:lineRule="auto"/>
        <w:rPr>
          <w:rFonts w:asciiTheme="majorHAnsi" w:hAnsiTheme="majorHAnsi"/>
          <w:szCs w:val="24"/>
        </w:rPr>
      </w:pPr>
      <w:r w:rsidRPr="00B81BE3">
        <w:rPr>
          <w:rFonts w:asciiTheme="majorHAnsi" w:hAnsiTheme="majorHAnsi" w:cs="Arial"/>
          <w:color w:val="365F91" w:themeColor="accent1" w:themeShade="BF"/>
          <w:szCs w:val="24"/>
        </w:rPr>
        <w:t>___________________</w:t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ab/>
      </w:r>
      <w:r w:rsidR="00C77C0F">
        <w:rPr>
          <w:rFonts w:asciiTheme="majorHAnsi" w:hAnsiTheme="majorHAnsi" w:cs="Arial"/>
          <w:color w:val="365F91" w:themeColor="accent1" w:themeShade="BF"/>
          <w:szCs w:val="24"/>
        </w:rPr>
        <w:t xml:space="preserve">                              </w:t>
      </w:r>
      <w:r w:rsidRPr="00B81BE3">
        <w:rPr>
          <w:rFonts w:asciiTheme="majorHAnsi" w:hAnsiTheme="majorHAnsi" w:cs="Arial"/>
          <w:color w:val="365F91" w:themeColor="accent1" w:themeShade="BF"/>
          <w:szCs w:val="24"/>
        </w:rPr>
        <w:t>__________________________</w:t>
      </w:r>
    </w:p>
    <w:sectPr w:rsidR="00E36CF0" w:rsidRPr="008D12B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548"/>
    <w:multiLevelType w:val="hybridMultilevel"/>
    <w:tmpl w:val="D4100500"/>
    <w:lvl w:ilvl="0" w:tplc="07349F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EAA"/>
    <w:multiLevelType w:val="hybridMultilevel"/>
    <w:tmpl w:val="5CAA4E28"/>
    <w:lvl w:ilvl="0" w:tplc="F7562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D77D41"/>
    <w:multiLevelType w:val="hybridMultilevel"/>
    <w:tmpl w:val="D1065FB8"/>
    <w:lvl w:ilvl="0" w:tplc="E6CCE62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F46DB"/>
    <w:multiLevelType w:val="hybridMultilevel"/>
    <w:tmpl w:val="AF9ED254"/>
    <w:lvl w:ilvl="0" w:tplc="6EB0EE6E">
      <w:start w:val="1"/>
      <w:numFmt w:val="decimal"/>
      <w:lvlText w:val="%1."/>
      <w:lvlJc w:val="left"/>
      <w:pPr>
        <w:ind w:left="761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5">
    <w:nsid w:val="10485512"/>
    <w:multiLevelType w:val="hybridMultilevel"/>
    <w:tmpl w:val="55FE75D4"/>
    <w:lvl w:ilvl="0" w:tplc="F7562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44580"/>
    <w:multiLevelType w:val="hybridMultilevel"/>
    <w:tmpl w:val="DEFE631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317BC"/>
    <w:multiLevelType w:val="hybridMultilevel"/>
    <w:tmpl w:val="7ACEBF78"/>
    <w:lvl w:ilvl="0" w:tplc="3822B8E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58635A"/>
    <w:multiLevelType w:val="hybridMultilevel"/>
    <w:tmpl w:val="9858D20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85024"/>
    <w:multiLevelType w:val="hybridMultilevel"/>
    <w:tmpl w:val="B8C61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57BC4"/>
    <w:multiLevelType w:val="hybridMultilevel"/>
    <w:tmpl w:val="B3B827C2"/>
    <w:lvl w:ilvl="0" w:tplc="07349FD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E22058A"/>
    <w:multiLevelType w:val="hybridMultilevel"/>
    <w:tmpl w:val="94A2962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3228F"/>
    <w:multiLevelType w:val="hybridMultilevel"/>
    <w:tmpl w:val="395AB0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991EE8"/>
    <w:multiLevelType w:val="hybridMultilevel"/>
    <w:tmpl w:val="48E289AC"/>
    <w:lvl w:ilvl="0" w:tplc="14429A2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46C239A2"/>
    <w:multiLevelType w:val="hybridMultilevel"/>
    <w:tmpl w:val="A65A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22E7B"/>
    <w:multiLevelType w:val="hybridMultilevel"/>
    <w:tmpl w:val="ACDCDF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D1766D"/>
    <w:multiLevelType w:val="hybridMultilevel"/>
    <w:tmpl w:val="66DC8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B0E0D75"/>
    <w:multiLevelType w:val="hybridMultilevel"/>
    <w:tmpl w:val="061A5CA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00D9F"/>
    <w:multiLevelType w:val="hybridMultilevel"/>
    <w:tmpl w:val="EBD8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00ECD"/>
    <w:multiLevelType w:val="hybridMultilevel"/>
    <w:tmpl w:val="3FF6552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80B27"/>
    <w:multiLevelType w:val="hybridMultilevel"/>
    <w:tmpl w:val="33D6FE94"/>
    <w:lvl w:ilvl="0" w:tplc="F7562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714D7"/>
    <w:multiLevelType w:val="hybridMultilevel"/>
    <w:tmpl w:val="9F921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B4177"/>
    <w:multiLevelType w:val="hybridMultilevel"/>
    <w:tmpl w:val="1E3C4E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865133"/>
    <w:multiLevelType w:val="hybridMultilevel"/>
    <w:tmpl w:val="F246F246"/>
    <w:lvl w:ilvl="0" w:tplc="F7562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339F6"/>
    <w:multiLevelType w:val="hybridMultilevel"/>
    <w:tmpl w:val="A65A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F0DE0"/>
    <w:multiLevelType w:val="hybridMultilevel"/>
    <w:tmpl w:val="D4B4BC9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F110C"/>
    <w:multiLevelType w:val="hybridMultilevel"/>
    <w:tmpl w:val="67408C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BE7039"/>
    <w:multiLevelType w:val="hybridMultilevel"/>
    <w:tmpl w:val="1BF02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7"/>
  </w:num>
  <w:num w:numId="6">
    <w:abstractNumId w:val="26"/>
  </w:num>
  <w:num w:numId="7">
    <w:abstractNumId w:val="24"/>
  </w:num>
  <w:num w:numId="8">
    <w:abstractNumId w:val="12"/>
  </w:num>
  <w:num w:numId="9">
    <w:abstractNumId w:val="22"/>
  </w:num>
  <w:num w:numId="10">
    <w:abstractNumId w:val="16"/>
  </w:num>
  <w:num w:numId="11">
    <w:abstractNumId w:val="5"/>
  </w:num>
  <w:num w:numId="12">
    <w:abstractNumId w:val="23"/>
  </w:num>
  <w:num w:numId="13">
    <w:abstractNumId w:val="15"/>
  </w:num>
  <w:num w:numId="14">
    <w:abstractNumId w:val="7"/>
  </w:num>
  <w:num w:numId="15">
    <w:abstractNumId w:val="0"/>
  </w:num>
  <w:num w:numId="16">
    <w:abstractNumId w:val="20"/>
  </w:num>
  <w:num w:numId="17">
    <w:abstractNumId w:val="9"/>
  </w:num>
  <w:num w:numId="18">
    <w:abstractNumId w:val="21"/>
  </w:num>
  <w:num w:numId="19">
    <w:abstractNumId w:val="10"/>
  </w:num>
  <w:num w:numId="20">
    <w:abstractNumId w:val="1"/>
  </w:num>
  <w:num w:numId="21">
    <w:abstractNumId w:val="8"/>
  </w:num>
  <w:num w:numId="22">
    <w:abstractNumId w:val="18"/>
  </w:num>
  <w:num w:numId="23">
    <w:abstractNumId w:val="14"/>
  </w:num>
  <w:num w:numId="24">
    <w:abstractNumId w:val="11"/>
  </w:num>
  <w:num w:numId="25">
    <w:abstractNumId w:val="17"/>
  </w:num>
  <w:num w:numId="26">
    <w:abstractNumId w:val="6"/>
  </w:num>
  <w:num w:numId="27">
    <w:abstractNumId w:val="2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/>
  <w:rsids>
    <w:rsidRoot w:val="00C94DD1"/>
    <w:rsid w:val="00034501"/>
    <w:rsid w:val="00047D37"/>
    <w:rsid w:val="00066B7C"/>
    <w:rsid w:val="0008050B"/>
    <w:rsid w:val="000B6DEE"/>
    <w:rsid w:val="000C6A92"/>
    <w:rsid w:val="000F2103"/>
    <w:rsid w:val="0011147E"/>
    <w:rsid w:val="001275D3"/>
    <w:rsid w:val="00157580"/>
    <w:rsid w:val="001644C0"/>
    <w:rsid w:val="0018696D"/>
    <w:rsid w:val="00190932"/>
    <w:rsid w:val="001B1773"/>
    <w:rsid w:val="001B40DB"/>
    <w:rsid w:val="001C0531"/>
    <w:rsid w:val="001C1760"/>
    <w:rsid w:val="001D514D"/>
    <w:rsid w:val="001D7F14"/>
    <w:rsid w:val="001E679F"/>
    <w:rsid w:val="00212593"/>
    <w:rsid w:val="002211B6"/>
    <w:rsid w:val="0023737B"/>
    <w:rsid w:val="002462F9"/>
    <w:rsid w:val="0028261D"/>
    <w:rsid w:val="002A6ABC"/>
    <w:rsid w:val="002C4851"/>
    <w:rsid w:val="002E5B6D"/>
    <w:rsid w:val="00301D3C"/>
    <w:rsid w:val="00311764"/>
    <w:rsid w:val="003522D8"/>
    <w:rsid w:val="00352610"/>
    <w:rsid w:val="0038040B"/>
    <w:rsid w:val="00383650"/>
    <w:rsid w:val="00397652"/>
    <w:rsid w:val="003B16A0"/>
    <w:rsid w:val="003B570C"/>
    <w:rsid w:val="003B6C31"/>
    <w:rsid w:val="003E53D6"/>
    <w:rsid w:val="003E7753"/>
    <w:rsid w:val="003F7C33"/>
    <w:rsid w:val="004039E7"/>
    <w:rsid w:val="00411E63"/>
    <w:rsid w:val="00426A8D"/>
    <w:rsid w:val="004431ED"/>
    <w:rsid w:val="004573F4"/>
    <w:rsid w:val="00464FC5"/>
    <w:rsid w:val="00470358"/>
    <w:rsid w:val="00493AD7"/>
    <w:rsid w:val="004A7099"/>
    <w:rsid w:val="004F37F0"/>
    <w:rsid w:val="005110A5"/>
    <w:rsid w:val="0051356C"/>
    <w:rsid w:val="00543C38"/>
    <w:rsid w:val="0054548F"/>
    <w:rsid w:val="00564A77"/>
    <w:rsid w:val="00564BA5"/>
    <w:rsid w:val="0057052E"/>
    <w:rsid w:val="00594177"/>
    <w:rsid w:val="005A46C2"/>
    <w:rsid w:val="005B28D4"/>
    <w:rsid w:val="005C2CB9"/>
    <w:rsid w:val="005C3C09"/>
    <w:rsid w:val="005E752E"/>
    <w:rsid w:val="00621C17"/>
    <w:rsid w:val="00626721"/>
    <w:rsid w:val="00655287"/>
    <w:rsid w:val="006B0121"/>
    <w:rsid w:val="006C14E5"/>
    <w:rsid w:val="00701CC0"/>
    <w:rsid w:val="00734EEE"/>
    <w:rsid w:val="00742A07"/>
    <w:rsid w:val="007621DE"/>
    <w:rsid w:val="00765F5C"/>
    <w:rsid w:val="00772529"/>
    <w:rsid w:val="00787DD7"/>
    <w:rsid w:val="007B0ABA"/>
    <w:rsid w:val="007B2DEB"/>
    <w:rsid w:val="007C7299"/>
    <w:rsid w:val="007C7EA0"/>
    <w:rsid w:val="007D53EC"/>
    <w:rsid w:val="007E6738"/>
    <w:rsid w:val="007F0EE9"/>
    <w:rsid w:val="008045B5"/>
    <w:rsid w:val="00810ECD"/>
    <w:rsid w:val="0082519A"/>
    <w:rsid w:val="00845118"/>
    <w:rsid w:val="0085575A"/>
    <w:rsid w:val="0087117D"/>
    <w:rsid w:val="00875DB3"/>
    <w:rsid w:val="008929B4"/>
    <w:rsid w:val="0089341A"/>
    <w:rsid w:val="008A200A"/>
    <w:rsid w:val="008A31CE"/>
    <w:rsid w:val="008D12B5"/>
    <w:rsid w:val="00901199"/>
    <w:rsid w:val="00902A82"/>
    <w:rsid w:val="00907FB0"/>
    <w:rsid w:val="00927C3E"/>
    <w:rsid w:val="00927FFE"/>
    <w:rsid w:val="0094666B"/>
    <w:rsid w:val="009825BE"/>
    <w:rsid w:val="00995423"/>
    <w:rsid w:val="009C7001"/>
    <w:rsid w:val="009D6754"/>
    <w:rsid w:val="009E77E7"/>
    <w:rsid w:val="009F7A13"/>
    <w:rsid w:val="00A0697C"/>
    <w:rsid w:val="00A46B22"/>
    <w:rsid w:val="00A479FC"/>
    <w:rsid w:val="00A63CC2"/>
    <w:rsid w:val="00A902F8"/>
    <w:rsid w:val="00AD4074"/>
    <w:rsid w:val="00AD6192"/>
    <w:rsid w:val="00AE3AB8"/>
    <w:rsid w:val="00AF03A0"/>
    <w:rsid w:val="00B04678"/>
    <w:rsid w:val="00B33306"/>
    <w:rsid w:val="00B42E7F"/>
    <w:rsid w:val="00B56262"/>
    <w:rsid w:val="00B762EE"/>
    <w:rsid w:val="00B81BE3"/>
    <w:rsid w:val="00BB449A"/>
    <w:rsid w:val="00BD4515"/>
    <w:rsid w:val="00BD5FE9"/>
    <w:rsid w:val="00BD6C2F"/>
    <w:rsid w:val="00BF10D5"/>
    <w:rsid w:val="00C01DC8"/>
    <w:rsid w:val="00C05A77"/>
    <w:rsid w:val="00C2264D"/>
    <w:rsid w:val="00C45D0E"/>
    <w:rsid w:val="00C56690"/>
    <w:rsid w:val="00C77C0F"/>
    <w:rsid w:val="00C819A4"/>
    <w:rsid w:val="00C81D19"/>
    <w:rsid w:val="00C836FC"/>
    <w:rsid w:val="00C94DD1"/>
    <w:rsid w:val="00CB0777"/>
    <w:rsid w:val="00CD11FA"/>
    <w:rsid w:val="00CE44C8"/>
    <w:rsid w:val="00CF27BF"/>
    <w:rsid w:val="00CF3F66"/>
    <w:rsid w:val="00D02A8E"/>
    <w:rsid w:val="00D061C7"/>
    <w:rsid w:val="00D16D42"/>
    <w:rsid w:val="00D26239"/>
    <w:rsid w:val="00D66BDF"/>
    <w:rsid w:val="00D74EC8"/>
    <w:rsid w:val="00D80211"/>
    <w:rsid w:val="00D80903"/>
    <w:rsid w:val="00D909B5"/>
    <w:rsid w:val="00DB6142"/>
    <w:rsid w:val="00E03515"/>
    <w:rsid w:val="00E1784B"/>
    <w:rsid w:val="00E322A3"/>
    <w:rsid w:val="00E37AF1"/>
    <w:rsid w:val="00E61D18"/>
    <w:rsid w:val="00E93576"/>
    <w:rsid w:val="00E93856"/>
    <w:rsid w:val="00EA115E"/>
    <w:rsid w:val="00EB5A18"/>
    <w:rsid w:val="00EC30C3"/>
    <w:rsid w:val="00ED0801"/>
    <w:rsid w:val="00EF75F8"/>
    <w:rsid w:val="00F37072"/>
    <w:rsid w:val="00F542C9"/>
    <w:rsid w:val="00F662A8"/>
    <w:rsid w:val="00F820CB"/>
    <w:rsid w:val="00F85429"/>
    <w:rsid w:val="00FA1CB6"/>
    <w:rsid w:val="00FC5113"/>
    <w:rsid w:val="00FF402C"/>
    <w:rsid w:val="00FF419C"/>
    <w:rsid w:val="00FF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C94DD1"/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4DD1"/>
    <w:pPr>
      <w:ind w:left="720"/>
    </w:pPr>
  </w:style>
  <w:style w:type="table" w:styleId="LightGrid-Accent5">
    <w:name w:val="Light Grid Accent 5"/>
    <w:basedOn w:val="TableNormal"/>
    <w:uiPriority w:val="62"/>
    <w:rsid w:val="00C94DD1"/>
    <w:pPr>
      <w:jc w:val="left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C94DD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479FC"/>
    <w:pPr>
      <w:spacing w:before="100" w:beforeAutospacing="1" w:after="100" w:afterAutospacing="1"/>
      <w:jc w:val="left"/>
    </w:pPr>
    <w:rPr>
      <w:rFonts w:ascii="Calibri" w:eastAsia="Calibri" w:hAnsi="Calibri"/>
      <w:bCs w:val="0"/>
      <w:szCs w:val="24"/>
      <w:lang w:val="hr-HR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479FC"/>
    <w:rPr>
      <w:rFonts w:ascii="Calibri" w:eastAsia="Calibri" w:hAnsi="Calibri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rsid w:val="000C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6A92"/>
    <w:pPr>
      <w:spacing w:after="200"/>
      <w:jc w:val="left"/>
    </w:pPr>
    <w:rPr>
      <w:rFonts w:ascii="Calibri" w:eastAsia="Calibri" w:hAnsi="Calibri" w:cs="Calibri"/>
      <w:bCs w:val="0"/>
      <w:sz w:val="20"/>
      <w:szCs w:val="20"/>
      <w:lang w:val="sr-Latn-C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A92"/>
    <w:rPr>
      <w:rFonts w:ascii="Calibri" w:eastAsia="Calibri" w:hAnsi="Calibri" w:cs="Calibri"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92"/>
    <w:rPr>
      <w:rFonts w:ascii="Tahoma" w:eastAsia="Times New Roman" w:hAnsi="Tahoma" w:cs="Tahoma"/>
      <w:bCs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C94DD1"/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4DD1"/>
    <w:pPr>
      <w:ind w:left="720"/>
    </w:pPr>
  </w:style>
  <w:style w:type="table" w:styleId="LightGrid-Accent5">
    <w:name w:val="Light Grid Accent 5"/>
    <w:basedOn w:val="TableNormal"/>
    <w:uiPriority w:val="62"/>
    <w:rsid w:val="00C94DD1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C94DD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479FC"/>
    <w:pPr>
      <w:spacing w:before="100" w:beforeAutospacing="1" w:after="100" w:afterAutospacing="1"/>
      <w:jc w:val="left"/>
    </w:pPr>
    <w:rPr>
      <w:rFonts w:ascii="Calibri" w:eastAsia="Calibri" w:hAnsi="Calibri"/>
      <w:bCs w:val="0"/>
      <w:szCs w:val="24"/>
      <w:lang w:val="hr-HR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479FC"/>
    <w:rPr>
      <w:rFonts w:ascii="Calibri" w:eastAsia="Calibri" w:hAnsi="Calibri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rsid w:val="000C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6A92"/>
    <w:pPr>
      <w:spacing w:after="200"/>
      <w:jc w:val="left"/>
    </w:pPr>
    <w:rPr>
      <w:rFonts w:ascii="Calibri" w:eastAsia="Calibri" w:hAnsi="Calibri" w:cs="Calibri"/>
      <w:bCs w:val="0"/>
      <w:sz w:val="20"/>
      <w:szCs w:val="20"/>
      <w:lang w:val="sr-Latn-C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A92"/>
    <w:rPr>
      <w:rFonts w:ascii="Calibri" w:eastAsia="Calibri" w:hAnsi="Calibri" w:cs="Calibri"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92"/>
    <w:rPr>
      <w:rFonts w:ascii="Tahoma" w:eastAsia="Times New Roman" w:hAnsi="Tahoma" w:cs="Tahoma"/>
      <w:bCs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430-A662-461A-BAF4-713FA993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Aleksandra Popovic</cp:lastModifiedBy>
  <cp:revision>14</cp:revision>
  <cp:lastPrinted>2013-08-12T08:01:00Z</cp:lastPrinted>
  <dcterms:created xsi:type="dcterms:W3CDTF">2019-07-30T05:54:00Z</dcterms:created>
  <dcterms:modified xsi:type="dcterms:W3CDTF">2019-08-02T10:40:00Z</dcterms:modified>
</cp:coreProperties>
</file>