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Grid-Accent5"/>
        <w:tblW w:w="9729" w:type="dxa"/>
        <w:tblInd w:w="-100" w:type="dxa"/>
        <w:tblLayout w:type="fixed"/>
        <w:tblLook w:val="04A0" w:firstRow="1" w:lastRow="0" w:firstColumn="1" w:lastColumn="0" w:noHBand="0" w:noVBand="1"/>
      </w:tblPr>
      <w:tblGrid>
        <w:gridCol w:w="4078"/>
        <w:gridCol w:w="5651"/>
      </w:tblGrid>
      <w:tr w:rsidR="007D6D91" w:rsidRPr="00D816B2" w:rsidTr="00CD7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IZVJEŠTAJ O SPROVEDENOJ ANALIZI PROCJENE UTICAJA PROPISA</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PREDLAGAČ PROPISA</w:t>
            </w:r>
          </w:p>
        </w:tc>
        <w:tc>
          <w:tcPr>
            <w:tcW w:w="5651" w:type="dxa"/>
          </w:tcPr>
          <w:p w:rsidR="007D6D91" w:rsidRPr="00D816B2" w:rsidRDefault="007D6D91" w:rsidP="00CD7092">
            <w:pPr>
              <w:autoSpaceDE w:val="0"/>
              <w:autoSpaceDN w:val="0"/>
              <w:adjustRightInd w:val="0"/>
              <w:ind w:left="142"/>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Cs w:val="24"/>
                <w:lang w:val="sr-Latn-RS"/>
              </w:rPr>
            </w:pPr>
            <w:r w:rsidRPr="00D816B2">
              <w:rPr>
                <w:rFonts w:ascii="Arial" w:hAnsi="Arial" w:cs="Arial"/>
                <w:color w:val="000000" w:themeColor="text1"/>
                <w:szCs w:val="24"/>
                <w:lang w:val="sr-Latn-RS"/>
              </w:rPr>
              <w:t>Ministarstvo pravde</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NAZIV PROPISA</w:t>
            </w:r>
          </w:p>
        </w:tc>
        <w:tc>
          <w:tcPr>
            <w:tcW w:w="5651" w:type="dxa"/>
          </w:tcPr>
          <w:p w:rsidR="007D6D91" w:rsidRPr="00D816B2" w:rsidRDefault="00EC30A4" w:rsidP="00CD7092">
            <w:pPr>
              <w:ind w:left="142"/>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Cs w:val="24"/>
                <w:lang w:val="sr-Latn-RS"/>
              </w:rPr>
            </w:pPr>
            <w:r w:rsidRPr="00EC30A4">
              <w:rPr>
                <w:rFonts w:ascii="Arial" w:hAnsi="Arial" w:cs="Arial"/>
                <w:color w:val="000000" w:themeColor="text1"/>
                <w:szCs w:val="24"/>
                <w:lang w:val="sr-Latn-RS"/>
              </w:rPr>
              <w:t>Nacrt zakona o izmjenama i dopunama Zakona o odgovornosti pravnih lica za krivična djela</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1. Definisanje problema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probleme treba da riješi predloženi akt?</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uzroci problema?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Koje su posljedice problema?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Koji su subjekti oštećeni, na koji način i u kojoj mjeri?</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Kako bi problem evoluirao bez promjene propisa (“status quo” opcija)?</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729" w:type="dxa"/>
            <w:gridSpan w:val="2"/>
          </w:tcPr>
          <w:p w:rsidR="00EC30A4" w:rsidRPr="00EC30A4" w:rsidRDefault="005351A9" w:rsidP="00EC30A4">
            <w:pPr>
              <w:rPr>
                <w:rFonts w:ascii="Arial" w:hAnsi="Arial" w:cs="Arial"/>
                <w:b w:val="0"/>
                <w:szCs w:val="24"/>
                <w:lang w:val="sr-Latn-ME"/>
              </w:rPr>
            </w:pPr>
            <w:r>
              <w:rPr>
                <w:rFonts w:ascii="Arial" w:hAnsi="Arial" w:cs="Arial"/>
                <w:b w:val="0"/>
                <w:szCs w:val="24"/>
                <w:lang w:val="sr-Latn-ME"/>
              </w:rPr>
              <w:t>Donošenjem</w:t>
            </w:r>
            <w:r w:rsidR="00EC30A4" w:rsidRPr="00EC30A4">
              <w:rPr>
                <w:rFonts w:ascii="Arial" w:hAnsi="Arial" w:cs="Arial"/>
                <w:b w:val="0"/>
                <w:szCs w:val="24"/>
                <w:lang w:val="sr-Latn-ME"/>
              </w:rPr>
              <w:t xml:space="preserve"> Nacrt</w:t>
            </w:r>
            <w:r>
              <w:rPr>
                <w:rFonts w:ascii="Arial" w:hAnsi="Arial" w:cs="Arial"/>
                <w:b w:val="0"/>
                <w:szCs w:val="24"/>
                <w:lang w:val="sr-Latn-ME"/>
              </w:rPr>
              <w:t>a</w:t>
            </w:r>
            <w:r w:rsidR="00EC30A4" w:rsidRPr="00EC30A4">
              <w:rPr>
                <w:rFonts w:ascii="Arial" w:hAnsi="Arial" w:cs="Arial"/>
                <w:b w:val="0"/>
                <w:szCs w:val="24"/>
                <w:lang w:val="sr-Latn-ME"/>
              </w:rPr>
              <w:t xml:space="preserve"> zakona </w:t>
            </w:r>
            <w:r w:rsidR="00727019">
              <w:rPr>
                <w:rFonts w:ascii="Arial" w:hAnsi="Arial" w:cs="Arial"/>
                <w:b w:val="0"/>
                <w:szCs w:val="24"/>
                <w:lang w:val="sr-Latn-ME"/>
              </w:rPr>
              <w:t xml:space="preserve">o izmjenama i dopunama </w:t>
            </w:r>
            <w:r w:rsidR="00EC30A4" w:rsidRPr="00EC30A4">
              <w:rPr>
                <w:rFonts w:ascii="Arial" w:hAnsi="Arial" w:cs="Arial"/>
                <w:b w:val="0"/>
                <w:szCs w:val="24"/>
                <w:lang w:val="sr-Latn-ME"/>
              </w:rPr>
              <w:t xml:space="preserve">Zakona o odgovornosti pravnih lica za krivična djela </w:t>
            </w:r>
            <w:r w:rsidR="00727019" w:rsidRPr="00EC30A4">
              <w:rPr>
                <w:rFonts w:ascii="Arial" w:hAnsi="Arial" w:cs="Arial"/>
                <w:b w:val="0"/>
                <w:szCs w:val="24"/>
                <w:lang w:val="sr-Latn-ME"/>
              </w:rPr>
              <w:t xml:space="preserve">rješava se problem neusklađenosti </w:t>
            </w:r>
            <w:r w:rsidR="00EC30A4" w:rsidRPr="00EC30A4">
              <w:rPr>
                <w:rFonts w:ascii="Arial" w:hAnsi="Arial" w:cs="Arial"/>
                <w:b w:val="0"/>
                <w:szCs w:val="24"/>
                <w:lang w:val="sr-Latn-ME"/>
              </w:rPr>
              <w:t>sa obavezama koje proizilaze iz relevantne Direktive Evropske unije u oblasti odgovornosti pravnih lica za krivična djela protiv životne sredine. Ključni nedostatak važećeg zakonodavnog okvira ogleda se u tome što propisane novčane kazne nisu u skladu sa visinama koje zahtijeva Direktiva, prema kojoj maksimalne novčane kazne za određena krivična djela ne smiju biti niže od 24.000.000 eura, odnosno 40.000.000 eura za najteže oblike djela. Važeći zakon, donesen 2007. godine, predviđa znatno niže iznose, koji ne omogućavaju efikasno sankcionisanje pravnih lica niti ostvarivanje preventivne funkcije kaznene politike.</w:t>
            </w:r>
          </w:p>
          <w:p w:rsidR="00EC30A4" w:rsidRPr="00EC30A4" w:rsidRDefault="00EC30A4" w:rsidP="00EC30A4">
            <w:pPr>
              <w:rPr>
                <w:rFonts w:ascii="Arial" w:hAnsi="Arial" w:cs="Arial"/>
                <w:b w:val="0"/>
                <w:szCs w:val="24"/>
                <w:lang w:val="sr-Latn-ME"/>
              </w:rPr>
            </w:pPr>
            <w:r w:rsidRPr="00EC30A4">
              <w:rPr>
                <w:rFonts w:ascii="Arial" w:hAnsi="Arial" w:cs="Arial"/>
                <w:b w:val="0"/>
                <w:szCs w:val="24"/>
                <w:lang w:val="sr-Latn-ME"/>
              </w:rPr>
              <w:t xml:space="preserve">Uzrok problema leži u zastarjelosti postojećih odredbi o novčanim kaznama, koje nijesu mijenjane gotovo dvije decenije, kao i u činjenici da je evropski regulatorni okvir značajno unaprijeđen, naročito u oblasti ekološkog kriminaliteta. Takođe, važeći zakon ne sadrži određene mjere koje </w:t>
            </w:r>
            <w:r>
              <w:rPr>
                <w:rFonts w:ascii="Arial" w:hAnsi="Arial" w:cs="Arial"/>
                <w:b w:val="0"/>
                <w:szCs w:val="24"/>
                <w:lang w:val="sr-Latn-ME"/>
              </w:rPr>
              <w:t>Direktiva</w:t>
            </w:r>
            <w:r w:rsidRPr="00EC30A4">
              <w:rPr>
                <w:rFonts w:ascii="Arial" w:hAnsi="Arial" w:cs="Arial"/>
                <w:b w:val="0"/>
                <w:szCs w:val="24"/>
                <w:lang w:val="sr-Latn-ME"/>
              </w:rPr>
              <w:t xml:space="preserve"> zahtijeva, poput isključenja pravnog lica iz pristupa javnom finansiranju, uključujući tendere, grantove, koncesije i licence, što dodatno produbljuje neusklađenost zakonodavstva.</w:t>
            </w:r>
          </w:p>
          <w:p w:rsidR="00EC30A4" w:rsidRPr="00EC30A4" w:rsidRDefault="00EC30A4" w:rsidP="00EC30A4">
            <w:pPr>
              <w:rPr>
                <w:rFonts w:ascii="Arial" w:hAnsi="Arial" w:cs="Arial"/>
                <w:b w:val="0"/>
                <w:szCs w:val="24"/>
                <w:lang w:val="sr-Latn-ME"/>
              </w:rPr>
            </w:pPr>
            <w:r w:rsidRPr="00EC30A4">
              <w:rPr>
                <w:rFonts w:ascii="Arial" w:hAnsi="Arial" w:cs="Arial"/>
                <w:b w:val="0"/>
                <w:szCs w:val="24"/>
                <w:lang w:val="sr-Latn-ME"/>
              </w:rPr>
              <w:t>Posljedice postojećeg stanja manifestuju se kroz nedovoljnu efikasnost krivičnih sankcija, nemogućnost ostvarivanja adekvatne generalne i specijalne prevencije, rizik od nekonkurentnosti i nesigurnosti pravnog poretka te otežano ispunjavanje obaveza iz Poglavlja 27 – Životna sredina u procesu pristupanja Evropskoj uniji. Neusklađene i niske kazne stvaraju mogućnost da ekonomski snažna pravna lica lakše prihvate rizik izvršenja krivičnih djela, budući da kazneni okvir ne predstavlja stvarno odvraćajuću mjeru. Takođe, izostanak mjera zabrane pristupa javnim sredstvima umanjuje kapacitete države da sankcioniše pravna lica koja ozbiljno ugrožavaju životnu sredinu.</w:t>
            </w:r>
          </w:p>
          <w:p w:rsidR="00EC30A4" w:rsidRPr="00EC30A4" w:rsidRDefault="00EC30A4" w:rsidP="00EC30A4">
            <w:pPr>
              <w:rPr>
                <w:rFonts w:ascii="Arial" w:hAnsi="Arial" w:cs="Arial"/>
                <w:b w:val="0"/>
                <w:szCs w:val="24"/>
                <w:lang w:val="sr-Latn-ME"/>
              </w:rPr>
            </w:pPr>
            <w:r w:rsidRPr="00EC30A4">
              <w:rPr>
                <w:rFonts w:ascii="Arial" w:hAnsi="Arial" w:cs="Arial"/>
                <w:b w:val="0"/>
                <w:szCs w:val="24"/>
                <w:lang w:val="sr-Latn-ME"/>
              </w:rPr>
              <w:t xml:space="preserve">Oštećeni subjekti su, prije svega, država i društvo u cjelini, kroz smanjen nivo zaštite životne sredine i nedovoljno efikasnu borbu protiv ekološkog kriminaliteta. Takođe, oštećena su </w:t>
            </w:r>
            <w:r w:rsidR="00727019">
              <w:rPr>
                <w:rFonts w:ascii="Arial" w:hAnsi="Arial" w:cs="Arial"/>
                <w:b w:val="0"/>
                <w:szCs w:val="24"/>
                <w:lang w:val="sr-Latn-ME"/>
              </w:rPr>
              <w:t>i</w:t>
            </w:r>
            <w:r w:rsidRPr="00EC30A4">
              <w:rPr>
                <w:rFonts w:ascii="Arial" w:hAnsi="Arial" w:cs="Arial"/>
                <w:b w:val="0"/>
                <w:szCs w:val="24"/>
                <w:lang w:val="sr-Latn-ME"/>
              </w:rPr>
              <w:t xml:space="preserve"> pravna lica koja posluju u skladu sa propisima, jer se narušava fer tržišna konkurencija u korist subjekata spremnih da kalkulišu s niskim iznosima kazni. Posljedice se indirektno reflektuju i na građane, koji trpe ekološke, ekonomske i zdravstvene štete uzrokovane nedovoljno efikasnim sankcionisanjem ekoloških krivičnih djela.</w:t>
            </w:r>
          </w:p>
          <w:p w:rsidR="00402587" w:rsidRPr="00FB413C" w:rsidRDefault="00727019" w:rsidP="00727019">
            <w:pPr>
              <w:rPr>
                <w:rFonts w:ascii="Arial" w:hAnsi="Arial" w:cs="Arial"/>
                <w:bCs/>
                <w:szCs w:val="24"/>
                <w:lang w:val="sr-Latn-ME"/>
              </w:rPr>
            </w:pPr>
            <w:r w:rsidRPr="00727019">
              <w:rPr>
                <w:rFonts w:ascii="Arial" w:hAnsi="Arial" w:cs="Arial"/>
                <w:b w:val="0"/>
                <w:szCs w:val="24"/>
                <w:lang w:val="sr-Latn-ME"/>
              </w:rPr>
              <w:t>Ukoliko bi se zadržalo postojeće stanje („status quo“), identifikovani problemi bi ostali neriješeni i imali tendenciju daljeg pogoršanja. Neusklađenost zakonodavstva sa pravnom tekovinom Evropske unije onemogućila bi Crnu Goru da ispuni obaveze u okviru procesa pristupanja, naročito u Poglavlju 27 – Životna sredina. Istovremeno, zadržavanje niskih i neadekvatnih kazni nastavilo bi da umanjuje odvraćajući efekat krivičnih sankcija, čime bi se povećao rizik od ponavljanja i intenziviranja ekoloških krivičnih djela.</w:t>
            </w:r>
          </w:p>
          <w:p w:rsidR="007D6D91" w:rsidRPr="004C23FF" w:rsidRDefault="00727019" w:rsidP="00727019">
            <w:pPr>
              <w:rPr>
                <w:rFonts w:ascii="Arial" w:hAnsi="Arial" w:cs="Arial"/>
                <w:szCs w:val="24"/>
                <w:lang w:val="sr-Latn-ME"/>
              </w:rPr>
            </w:pPr>
            <w:r w:rsidRPr="00727019">
              <w:rPr>
                <w:rFonts w:ascii="Arial" w:hAnsi="Arial" w:cs="Arial"/>
                <w:b w:val="0"/>
                <w:szCs w:val="24"/>
                <w:lang w:val="sr-Latn-ME"/>
              </w:rPr>
              <w:t xml:space="preserve">Pravna lica bi, zbog niskog kaznenog rizika, i dalje mogla da ocjenjuju kršenje propisa kao finansijski prihvatljivu opciju, što bi dodatno ugrozilo pravnu sigurnost, tržišnu konkurentnost i zaštitu javnog interesa. </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2. Ciljevi</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Koji ciljevi se postižu predloženim propisom?</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Navesti usklađenost ovih ciljeva sa postojećim strategijama ili programima Vlade, ako je primjenljivo.</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641201" w:rsidRPr="00FB413C" w:rsidRDefault="00727019" w:rsidP="00727019">
            <w:pPr>
              <w:rPr>
                <w:rFonts w:ascii="Arial" w:hAnsi="Arial" w:cs="Arial"/>
                <w:b w:val="0"/>
                <w:bCs/>
                <w:szCs w:val="24"/>
                <w:lang w:val="sr-Latn-ME"/>
              </w:rPr>
            </w:pPr>
            <w:r w:rsidRPr="00727019">
              <w:rPr>
                <w:rFonts w:ascii="Arial" w:hAnsi="Arial" w:cs="Arial"/>
                <w:b w:val="0"/>
                <w:bCs/>
                <w:szCs w:val="24"/>
                <w:lang w:val="sr-Latn-ME"/>
              </w:rPr>
              <w:lastRenderedPageBreak/>
              <w:t>Predloženim Nacrtom zakona o izmjenama i dopunama Zakona o odgovornosti pravnih lica za krivična djela, ostvaruju se sljedeći ciljevi:</w:t>
            </w:r>
          </w:p>
          <w:p w:rsidR="00402587" w:rsidRPr="00FB413C" w:rsidRDefault="00727019" w:rsidP="00727019">
            <w:pPr>
              <w:rPr>
                <w:rFonts w:ascii="Arial" w:hAnsi="Arial" w:cs="Arial"/>
                <w:szCs w:val="24"/>
                <w:lang w:val="sr-Latn-ME"/>
              </w:rPr>
            </w:pPr>
            <w:r w:rsidRPr="00727019">
              <w:rPr>
                <w:rFonts w:ascii="Arial" w:hAnsi="Arial" w:cs="Arial"/>
                <w:b w:val="0"/>
                <w:bCs/>
                <w:szCs w:val="24"/>
                <w:lang w:val="sr-Latn-ME"/>
              </w:rPr>
              <w:t>Usklađivanje nacionalnog zakonodavstva sa odredbama relevantne Direktive EU o odgovornosti pravnih lica za krivična djela protiv životne sredine, uključujući uspostavljanje minimalnih i maksimalnih granica novčanih kazni, kao i uvođenje novih sankcionih mjera, poput isključenja pravnih lica iz pristupa javnom finansiranju.</w:t>
            </w:r>
          </w:p>
          <w:p w:rsidR="00EB4D12" w:rsidRPr="00FB413C" w:rsidRDefault="00727019" w:rsidP="00727019">
            <w:pPr>
              <w:rPr>
                <w:rFonts w:ascii="Arial" w:hAnsi="Arial" w:cs="Arial"/>
                <w:szCs w:val="24"/>
                <w:lang w:val="sr-Latn-ME"/>
              </w:rPr>
            </w:pPr>
            <w:r w:rsidRPr="00727019">
              <w:rPr>
                <w:rFonts w:ascii="Arial" w:hAnsi="Arial" w:cs="Arial"/>
                <w:b w:val="0"/>
                <w:bCs/>
                <w:szCs w:val="24"/>
                <w:lang w:val="sr-Latn-ME"/>
              </w:rPr>
              <w:t>Jačanje preventivnog i represivnog efekta sankcija – povećanjem iznosa novčanih kazni i uvođenjem proporcionalnih pravnih posljedica, omogućava se efikasnije odvraćanje pravnih lica od počinjenja krivičnih djela, posebno onih koja ugrožavaju životnu sredinu.</w:t>
            </w:r>
          </w:p>
          <w:p w:rsidR="00EB4D12" w:rsidRPr="00FB413C" w:rsidRDefault="00727019" w:rsidP="00727019">
            <w:pPr>
              <w:rPr>
                <w:rFonts w:ascii="Arial" w:hAnsi="Arial" w:cs="Arial"/>
                <w:szCs w:val="24"/>
                <w:lang w:val="sr-Latn-ME"/>
              </w:rPr>
            </w:pPr>
            <w:r w:rsidRPr="00727019">
              <w:rPr>
                <w:rFonts w:ascii="Arial" w:hAnsi="Arial" w:cs="Arial"/>
                <w:b w:val="0"/>
                <w:bCs/>
                <w:szCs w:val="24"/>
                <w:lang w:val="sr-Latn-ME"/>
              </w:rPr>
              <w:t>Efikasnija zaštita životne sredine i javnog interesa – predložene izmjene osiguravaju da pravna lica koja svojim djelovanjem ozbiljno ugrožavaju životnu sredinu budu sankcionisana, čime se doprinosi smanjenju ekoloških rizika i jačanju povjerenja javnosti u institucionalni sistem.</w:t>
            </w:r>
          </w:p>
          <w:p w:rsidR="00EB4D12" w:rsidRPr="00FB413C" w:rsidRDefault="00727019" w:rsidP="00727019">
            <w:pPr>
              <w:rPr>
                <w:rFonts w:ascii="Arial" w:hAnsi="Arial" w:cs="Arial"/>
                <w:szCs w:val="24"/>
                <w:lang w:val="sr-Latn-ME"/>
              </w:rPr>
            </w:pPr>
            <w:r w:rsidRPr="00727019">
              <w:rPr>
                <w:rFonts w:ascii="Arial" w:hAnsi="Arial" w:cs="Arial"/>
                <w:b w:val="0"/>
                <w:bCs/>
                <w:szCs w:val="24"/>
                <w:lang w:val="sr-Latn-ME"/>
              </w:rPr>
              <w:t>Nacrt zakona prilagođava institut novčanih kazni i drugih mjera promijenjenim ekonomskim, društvenim i regulatornim okolnostima, osiguravajući proporcionalnost sankcija u skladu sa težinom krivičnih djela i ekonomskim mogućnostima pravnog lica.</w:t>
            </w:r>
          </w:p>
          <w:p w:rsidR="00EB4D12" w:rsidRPr="00FB413C" w:rsidRDefault="00727019" w:rsidP="00727019">
            <w:pPr>
              <w:rPr>
                <w:rFonts w:ascii="Arial" w:hAnsi="Arial" w:cs="Arial"/>
                <w:szCs w:val="24"/>
                <w:lang w:val="sr-Latn-ME"/>
              </w:rPr>
            </w:pPr>
            <w:r w:rsidRPr="00727019">
              <w:rPr>
                <w:rFonts w:ascii="Arial" w:hAnsi="Arial" w:cs="Arial"/>
                <w:b w:val="0"/>
                <w:bCs/>
                <w:szCs w:val="24"/>
                <w:lang w:val="sr-Latn-ME"/>
              </w:rPr>
              <w:t>Podrška strateškim ciljevima Vlade i evropskim integracijama – donošenje zakona doprinosi ispunjavanju obaveza Crne Gore u okviru Poglavlja 27 – Životna sredina, u procesu pristupanja Evropskoj uniji, kao i ostvarivanju strateških ciljeva Vlade u oblasti zaštite životne sredine, zakonitosti poslovanja i borbe protiv ekološkog kriminaliteta.</w:t>
            </w:r>
          </w:p>
          <w:p w:rsidR="007D6D91" w:rsidRPr="00727019" w:rsidRDefault="00727019" w:rsidP="00727019">
            <w:pPr>
              <w:rPr>
                <w:rFonts w:ascii="Arial" w:hAnsi="Arial" w:cs="Arial"/>
                <w:szCs w:val="24"/>
                <w:lang w:val="sr-Latn-ME"/>
              </w:rPr>
            </w:pPr>
            <w:r w:rsidRPr="00727019">
              <w:rPr>
                <w:rFonts w:ascii="Arial" w:hAnsi="Arial" w:cs="Arial"/>
                <w:b w:val="0"/>
                <w:bCs/>
                <w:lang w:val="sr-Latn-ME"/>
              </w:rPr>
              <w:t>Nacrt zakona o izmjenama i dopunama Zakona o odgovornosti pravnih lica za krivična djela</w:t>
            </w:r>
            <w:r w:rsidR="00880D3C">
              <w:rPr>
                <w:rFonts w:ascii="Arial" w:hAnsi="Arial" w:cs="Arial"/>
                <w:b w:val="0"/>
                <w:bCs/>
                <w:lang w:val="sr-Latn-ME"/>
              </w:rPr>
              <w:t xml:space="preserve"> nije</w:t>
            </w:r>
            <w:r w:rsidRPr="00727019">
              <w:rPr>
                <w:rFonts w:ascii="Arial" w:hAnsi="Arial" w:cs="Arial"/>
                <w:b w:val="0"/>
                <w:bCs/>
                <w:lang w:val="sr-Latn-ME"/>
              </w:rPr>
              <w:t xml:space="preserve"> </w:t>
            </w:r>
            <w:r w:rsidR="007D6D91" w:rsidRPr="00034D7A">
              <w:rPr>
                <w:rFonts w:ascii="Arial" w:hAnsi="Arial" w:cs="Arial"/>
                <w:b w:val="0"/>
                <w:bCs/>
                <w:lang w:val="sr-Latn-ME"/>
              </w:rPr>
              <w:t>predviđen Programom rada Vlade Crne Gore za 2025. godinu.</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3. Opcije</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su moguće opcije za ispunjavanje ciljeva i rješavanje problema? (uvijek treba razmatrati “status quo” opciju i preporučljivo je uključiti i neregulatornu opciju, osim ako postoji obaveza donošenja predloženog propisa).</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Obrazložiti preferiranu opciju?</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6D608B" w:rsidRDefault="006D608B" w:rsidP="00CD7092">
            <w:pPr>
              <w:rPr>
                <w:rFonts w:ascii="Arial" w:eastAsiaTheme="minorHAnsi" w:hAnsi="Arial" w:cs="Arial"/>
                <w:bCs/>
                <w:szCs w:val="24"/>
                <w:lang w:val="sr-Latn-ME" w:eastAsia="en-US"/>
              </w:rPr>
            </w:pPr>
            <w:r w:rsidRPr="006D608B">
              <w:rPr>
                <w:rFonts w:ascii="Arial" w:eastAsiaTheme="minorHAnsi" w:hAnsi="Arial" w:cs="Arial"/>
                <w:b w:val="0"/>
                <w:szCs w:val="24"/>
                <w:lang w:val="sr-Latn-ME" w:eastAsia="en-US"/>
              </w:rPr>
              <w:t xml:space="preserve">Nacrt zakona o izmjenama i dopunama Zakona o odgovornosti pravnih lica za krivična djela neophodan je zbog usklađivanja sa EU Direktivom o odgovornosti pravnih lica za krivična djela protiv životne sredine. Trenutni zakon ne omogućava izricanje kazni u rasponima predviđenim Direktivom, a novčane kazne nijesu mijenjane od 2007. godine. Predložene izmjene povećavaju novčane kazne, uvode nove mjere poput isključenja iz javnog finansiranja i usklađuju pravne posljedice s težinom krivičnih djela. Ovo jača preventivni i represivni efekat sankcija, efikasnije sankcioniše višestruka i teža krivična djela te unapređuje zaštitu životne sredine. </w:t>
            </w:r>
          </w:p>
          <w:p w:rsidR="007D6D91" w:rsidRPr="004C23FF" w:rsidRDefault="007D6D91" w:rsidP="00CD7092">
            <w:pPr>
              <w:rPr>
                <w:rFonts w:ascii="Arial" w:hAnsi="Arial" w:cs="Arial"/>
                <w:szCs w:val="24"/>
                <w:lang w:val="sr-Latn-ME"/>
              </w:rPr>
            </w:pPr>
            <w:r>
              <w:rPr>
                <w:rFonts w:ascii="Arial" w:hAnsi="Arial" w:cs="Arial"/>
                <w:b w:val="0"/>
                <w:szCs w:val="24"/>
                <w:lang w:val="sr-Latn-ME"/>
              </w:rPr>
              <w:t xml:space="preserve">Bez promjene </w:t>
            </w:r>
            <w:r w:rsidR="006D608B" w:rsidRPr="006D608B">
              <w:rPr>
                <w:rFonts w:ascii="Arial" w:hAnsi="Arial" w:cs="Arial"/>
                <w:b w:val="0"/>
                <w:szCs w:val="24"/>
                <w:lang w:val="sr-Latn-ME"/>
              </w:rPr>
              <w:t xml:space="preserve">Zakona o odgovornosti pravnih lica za krivična djela </w:t>
            </w:r>
            <w:r w:rsidRPr="00781812">
              <w:rPr>
                <w:rFonts w:ascii="Arial" w:hAnsi="Arial" w:cs="Arial"/>
                <w:b w:val="0"/>
                <w:bCs/>
                <w:szCs w:val="24"/>
                <w:lang w:val="sr-Latn-ME"/>
              </w:rPr>
              <w:t>(“status quo” opcija)</w:t>
            </w:r>
            <w:r w:rsidRPr="000B1139">
              <w:rPr>
                <w:rFonts w:ascii="Arial" w:hAnsi="Arial" w:cs="Arial"/>
                <w:bCs/>
                <w:szCs w:val="24"/>
                <w:lang w:val="sr-Latn-ME"/>
              </w:rPr>
              <w:t xml:space="preserve"> </w:t>
            </w:r>
            <w:r w:rsidR="006D608B" w:rsidRPr="006D608B">
              <w:rPr>
                <w:rFonts w:ascii="Arial" w:hAnsi="Arial" w:cs="Arial"/>
                <w:b w:val="0"/>
                <w:bCs/>
                <w:szCs w:val="24"/>
                <w:lang w:val="sr-Latn-ME"/>
              </w:rPr>
              <w:t xml:space="preserve">ne bi </w:t>
            </w:r>
            <w:r w:rsidR="00CD16F2">
              <w:rPr>
                <w:rFonts w:ascii="Arial" w:hAnsi="Arial" w:cs="Arial"/>
                <w:b w:val="0"/>
                <w:bCs/>
                <w:szCs w:val="24"/>
                <w:lang w:val="sr-Latn-ME"/>
              </w:rPr>
              <w:t xml:space="preserve">se </w:t>
            </w:r>
            <w:r w:rsidR="006D608B" w:rsidRPr="006D608B">
              <w:rPr>
                <w:rFonts w:ascii="Arial" w:hAnsi="Arial" w:cs="Arial"/>
                <w:b w:val="0"/>
                <w:bCs/>
                <w:szCs w:val="24"/>
                <w:lang w:val="sr-Latn-ME"/>
              </w:rPr>
              <w:t>osigura</w:t>
            </w:r>
            <w:r w:rsidR="00402587">
              <w:rPr>
                <w:rFonts w:ascii="Arial" w:hAnsi="Arial" w:cs="Arial"/>
                <w:b w:val="0"/>
                <w:bCs/>
                <w:szCs w:val="24"/>
                <w:lang w:val="sr-Latn-ME"/>
              </w:rPr>
              <w:t>la</w:t>
            </w:r>
            <w:r w:rsidR="006D608B" w:rsidRPr="006D608B">
              <w:rPr>
                <w:rFonts w:ascii="Arial" w:hAnsi="Arial" w:cs="Arial"/>
                <w:b w:val="0"/>
                <w:bCs/>
                <w:szCs w:val="24"/>
                <w:lang w:val="sr-Latn-ME"/>
              </w:rPr>
              <w:t xml:space="preserve"> usklađenost sa EU i slabije bi djelovao preventivno, dok neregulatorne mjere same ne mogu garantovati sankcionisanje težih djela. Regulatorna opcija je stoga preferirana jer direktno rješava postojeće probleme i harmonizuje zakon sa evropskim standardima.</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4. Analiza uticaja</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 koga će i kako će najvjerovatnije uticati rješenja u propisu - nabrojati pozitivne i negativne uticaje, direktne i indirektne.</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Koje troškove će primjena propisa izazvati građanima i privredi (naročito malim i srednjim preduzećima).</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lastRenderedPageBreak/>
              <w:t>Da li pozitivne posljedice donošenja propisa opravdavaju troškove koje će on stvoriti.</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se propisom podržava stvaranje novih privrednih subjekata na tržištu i tržišna konkurencija.</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Uključiti procjenu administrativnih opterećenja i biznis barijera.</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391A27" w:rsidRPr="00391A27" w:rsidRDefault="006F5159" w:rsidP="00391A27">
            <w:pPr>
              <w:rPr>
                <w:rFonts w:ascii="Arial" w:hAnsi="Arial" w:cs="Arial"/>
                <w:b w:val="0"/>
                <w:bCs/>
                <w:szCs w:val="24"/>
                <w:lang w:val="sr-Latn-ME"/>
              </w:rPr>
            </w:pPr>
            <w:r w:rsidRPr="006F5159">
              <w:rPr>
                <w:rFonts w:ascii="Arial" w:hAnsi="Arial" w:cs="Arial"/>
                <w:b w:val="0"/>
                <w:lang w:val="sr-Latn-ME"/>
              </w:rPr>
              <w:lastRenderedPageBreak/>
              <w:t>Nacrtom zakona izmjena</w:t>
            </w:r>
            <w:r w:rsidR="00CD16F2">
              <w:rPr>
                <w:rFonts w:ascii="Arial" w:hAnsi="Arial" w:cs="Arial"/>
                <w:b w:val="0"/>
                <w:lang w:val="sr-Latn-ME"/>
              </w:rPr>
              <w:t>ma</w:t>
            </w:r>
            <w:r w:rsidRPr="006F5159">
              <w:rPr>
                <w:rFonts w:ascii="Arial" w:hAnsi="Arial" w:cs="Arial"/>
                <w:b w:val="0"/>
                <w:lang w:val="sr-Latn-ME"/>
              </w:rPr>
              <w:t xml:space="preserve"> i dopuna</w:t>
            </w:r>
            <w:r w:rsidR="00CD16F2">
              <w:rPr>
                <w:rFonts w:ascii="Arial" w:hAnsi="Arial" w:cs="Arial"/>
                <w:b w:val="0"/>
                <w:lang w:val="sr-Latn-ME"/>
              </w:rPr>
              <w:t>ma</w:t>
            </w:r>
            <w:r w:rsidRPr="006F5159">
              <w:rPr>
                <w:rFonts w:ascii="Arial" w:hAnsi="Arial" w:cs="Arial"/>
                <w:b w:val="0"/>
                <w:lang w:val="sr-Latn-ME"/>
              </w:rPr>
              <w:t xml:space="preserve"> Zakona o odgovornosti pravnih lica za krivična djela radi </w:t>
            </w:r>
            <w:r w:rsidR="00CD16F2">
              <w:rPr>
                <w:rFonts w:ascii="Arial" w:hAnsi="Arial" w:cs="Arial"/>
                <w:b w:val="0"/>
                <w:lang w:val="sr-Latn-ME"/>
              </w:rPr>
              <w:t xml:space="preserve">vrši se </w:t>
            </w:r>
            <w:r w:rsidRPr="006F5159">
              <w:rPr>
                <w:rFonts w:ascii="Arial" w:hAnsi="Arial" w:cs="Arial"/>
                <w:b w:val="0"/>
                <w:lang w:val="sr-Latn-ME"/>
              </w:rPr>
              <w:t>usklađivanj</w:t>
            </w:r>
            <w:r w:rsidR="00CD16F2">
              <w:rPr>
                <w:rFonts w:ascii="Arial" w:hAnsi="Arial" w:cs="Arial"/>
                <w:b w:val="0"/>
                <w:lang w:val="sr-Latn-ME"/>
              </w:rPr>
              <w:t>e</w:t>
            </w:r>
            <w:r w:rsidRPr="006F5159">
              <w:rPr>
                <w:rFonts w:ascii="Arial" w:hAnsi="Arial" w:cs="Arial"/>
                <w:b w:val="0"/>
                <w:lang w:val="sr-Latn-ME"/>
              </w:rPr>
              <w:t xml:space="preserve"> sa EU Direktivom o odgovornosti pravnih lica za krivična </w:t>
            </w:r>
            <w:r w:rsidRPr="00391A27">
              <w:rPr>
                <w:rFonts w:ascii="Arial" w:hAnsi="Arial" w:cs="Arial"/>
                <w:b w:val="0"/>
                <w:bCs/>
                <w:szCs w:val="24"/>
                <w:lang w:val="sr-Latn-ME"/>
              </w:rPr>
              <w:t>djela protiv životne sredine. Predložene izmjene uključuju povećanje novčanih kazni, uvođenje novih sankcija (isključenje iz javnog finansiranja) i prilagođavanje uslova za sudsku rehabilitaciju, kako bi sankcije bile proporcionalne težini djela i ekonomskoj sposobnosti pravnih lica.</w:t>
            </w:r>
          </w:p>
          <w:p w:rsidR="00391A27" w:rsidRPr="00391A27" w:rsidRDefault="00391A27" w:rsidP="00391A27">
            <w:pPr>
              <w:rPr>
                <w:rFonts w:ascii="Arial" w:hAnsi="Arial" w:cs="Arial"/>
                <w:b w:val="0"/>
                <w:bCs/>
                <w:szCs w:val="24"/>
                <w:lang w:val="sr-Latn-ME"/>
              </w:rPr>
            </w:pPr>
            <w:r w:rsidRPr="00391A27">
              <w:rPr>
                <w:rFonts w:ascii="Arial" w:hAnsi="Arial" w:cs="Arial"/>
                <w:b w:val="0"/>
                <w:bCs/>
                <w:szCs w:val="24"/>
                <w:lang w:val="sr-Latn-ME"/>
              </w:rPr>
              <w:t xml:space="preserve">Direktni efekti predloženih izmjena i dopuna će imati uticaj </w:t>
            </w:r>
            <w:r w:rsidRPr="00391A27">
              <w:rPr>
                <w:rFonts w:ascii="Arial" w:hAnsi="Arial" w:cs="Arial"/>
                <w:b w:val="0"/>
                <w:bCs/>
                <w:szCs w:val="24"/>
                <w:lang w:val="sr-Latn-ME"/>
              </w:rPr>
              <w:t>p</w:t>
            </w:r>
            <w:r w:rsidR="00C26B98" w:rsidRPr="00391A27">
              <w:rPr>
                <w:rFonts w:ascii="Arial" w:hAnsi="Arial" w:cs="Arial"/>
                <w:b w:val="0"/>
                <w:bCs/>
                <w:szCs w:val="24"/>
                <w:lang w:val="sr-Latn-ME"/>
              </w:rPr>
              <w:t>ozitivni uticaji</w:t>
            </w:r>
            <w:r w:rsidRPr="00391A27">
              <w:rPr>
                <w:rFonts w:ascii="Arial" w:hAnsi="Arial" w:cs="Arial"/>
                <w:b w:val="0"/>
                <w:bCs/>
                <w:szCs w:val="24"/>
                <w:lang w:val="sr-Latn-ME"/>
              </w:rPr>
              <w:t xml:space="preserve"> na način da se </w:t>
            </w:r>
            <w:r w:rsidR="00C26B98" w:rsidRPr="00391A27">
              <w:rPr>
                <w:rFonts w:ascii="Arial" w:hAnsi="Arial" w:cs="Arial"/>
                <w:b w:val="0"/>
                <w:bCs/>
                <w:szCs w:val="24"/>
                <w:lang w:val="sr-Latn-ME"/>
              </w:rPr>
              <w:t xml:space="preserve"> jačaju preventivne i represivne funkcije kazni, poboljšava zaštita životne sredine, pravna sigurnost se povećava, smanjuju se zloupotrebe u poslovanju, a sankcije postaju jasnije i proporcionalnije.</w:t>
            </w:r>
          </w:p>
          <w:p w:rsidR="00C26B98" w:rsidRPr="00391A27" w:rsidRDefault="007D6D91" w:rsidP="00C26B98">
            <w:pPr>
              <w:rPr>
                <w:rFonts w:ascii="Arial" w:hAnsi="Arial" w:cs="Arial"/>
                <w:b w:val="0"/>
                <w:bCs/>
                <w:szCs w:val="24"/>
                <w:lang w:val="sr-Latn-ME"/>
              </w:rPr>
            </w:pPr>
            <w:r w:rsidRPr="00391A27">
              <w:rPr>
                <w:rFonts w:ascii="Arial" w:hAnsi="Arial" w:cs="Arial"/>
                <w:b w:val="0"/>
                <w:bCs/>
                <w:szCs w:val="24"/>
                <w:lang w:val="sr-Latn-ME"/>
              </w:rPr>
              <w:t>Donošenjem Nacrta zakona neće se stvoriti troškovi građanima i privredi.</w:t>
            </w:r>
          </w:p>
          <w:p w:rsidR="007D6D91" w:rsidRPr="00391A27" w:rsidRDefault="007D6D91" w:rsidP="00CD7092">
            <w:pPr>
              <w:rPr>
                <w:rFonts w:ascii="Arial" w:hAnsi="Arial" w:cs="Arial"/>
                <w:b w:val="0"/>
                <w:bCs/>
                <w:szCs w:val="24"/>
                <w:lang w:val="sr-Latn-ME"/>
              </w:rPr>
            </w:pPr>
            <w:r w:rsidRPr="00391A27">
              <w:rPr>
                <w:rFonts w:ascii="Arial" w:hAnsi="Arial" w:cs="Arial"/>
                <w:b w:val="0"/>
                <w:bCs/>
                <w:szCs w:val="24"/>
                <w:lang w:val="sr-Latn-ME"/>
              </w:rPr>
              <w:t>Donošenjem Nacrta zakona neće se stvoriti administrativna opterećenja i biznis barijere.</w:t>
            </w:r>
          </w:p>
          <w:p w:rsidR="007D6D91" w:rsidRPr="004C23FF" w:rsidRDefault="007D6D91" w:rsidP="00CD7092">
            <w:pPr>
              <w:rPr>
                <w:rFonts w:ascii="Arial" w:eastAsiaTheme="minorHAnsi" w:hAnsi="Arial" w:cs="Arial"/>
                <w:bCs/>
                <w:szCs w:val="24"/>
                <w:lang w:val="sr-Latn-ME" w:eastAsia="en-US"/>
              </w:rPr>
            </w:pPr>
            <w:r w:rsidRPr="00391A27">
              <w:rPr>
                <w:rFonts w:ascii="Arial" w:hAnsi="Arial" w:cs="Arial"/>
                <w:b w:val="0"/>
                <w:bCs/>
                <w:szCs w:val="24"/>
                <w:lang w:val="sr-Latn-ME"/>
              </w:rPr>
              <w:t>Donošenjem Nacrta zakona neće se stvoriti opterećenja novih privrednih subjekata na tržištu i tržišna konkurencija.</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color w:val="000000" w:themeColor="text1"/>
                <w:szCs w:val="24"/>
                <w:lang w:val="sr-Latn-RS"/>
              </w:rPr>
            </w:pPr>
            <w:r w:rsidRPr="00D816B2">
              <w:rPr>
                <w:rFonts w:ascii="Arial" w:hAnsi="Arial" w:cs="Arial"/>
                <w:color w:val="000000" w:themeColor="text1"/>
                <w:szCs w:val="24"/>
                <w:lang w:val="sr-Latn-RS"/>
              </w:rPr>
              <w:t>5. Procjena fiskalnog uticaja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Da li je potrebno obezbjeđenje finansijskih sredstava iz budžeta Crne Gore za implementaciju propisa i u kom iznosu?</w:t>
            </w:r>
          </w:p>
          <w:p w:rsidR="007D6D91" w:rsidRPr="00D816B2" w:rsidRDefault="007D6D91" w:rsidP="00CD709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je obezbjeđenje finansijskih sredstava jednokratno, ili tokom određenog vremenskog perioda?  Obrazložiti.</w:t>
            </w:r>
          </w:p>
          <w:p w:rsidR="007D6D91" w:rsidRPr="00D816B2" w:rsidRDefault="007D6D91" w:rsidP="00CD709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implementacijom propisa proizilaze međunarodne finansijske obaveze? Obrazložiti.</w:t>
            </w:r>
          </w:p>
          <w:p w:rsidR="007D6D91" w:rsidRPr="00D816B2" w:rsidRDefault="007D6D91" w:rsidP="00CD709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su neophodna finansijska sredstva obezbijeđena u budžetu za tekuću fiskalnu godinu, odnosno da li su planirana u budžetu za narednu fiskanu godinu?</w:t>
            </w:r>
          </w:p>
          <w:p w:rsidR="007D6D91" w:rsidRPr="00D816B2" w:rsidRDefault="007D6D91" w:rsidP="00CD709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je usvajanjem propisa predviđeno donošenje podzakonskih akata iz kojih će proisteći finansijske obaveze?</w:t>
            </w:r>
          </w:p>
          <w:p w:rsidR="007D6D91" w:rsidRPr="00D816B2" w:rsidRDefault="007D6D91" w:rsidP="00CD7092">
            <w:pPr>
              <w:pStyle w:val="ListParagraph"/>
              <w:numPr>
                <w:ilvl w:val="0"/>
                <w:numId w:val="1"/>
              </w:numPr>
              <w:ind w:left="142"/>
              <w:rPr>
                <w:rFonts w:ascii="Arial" w:hAnsi="Arial" w:cs="Arial"/>
                <w:color w:val="000000" w:themeColor="text1"/>
                <w:szCs w:val="24"/>
                <w:lang w:val="sr-Latn-RS"/>
              </w:rPr>
            </w:pPr>
            <w:r w:rsidRPr="00D816B2">
              <w:rPr>
                <w:rFonts w:ascii="Arial" w:hAnsi="Arial" w:cs="Arial"/>
                <w:color w:val="000000" w:themeColor="text1"/>
                <w:szCs w:val="24"/>
                <w:lang w:val="sr-Latn-RS"/>
              </w:rPr>
              <w:t>Da li će se implementacijom propisa ostvariti prihod za budžet Crne Gore?</w:t>
            </w:r>
          </w:p>
          <w:p w:rsidR="007D6D91" w:rsidRPr="00D816B2" w:rsidRDefault="007D6D91" w:rsidP="00CD7092">
            <w:pPr>
              <w:pStyle w:val="ListParagraph"/>
              <w:numPr>
                <w:ilvl w:val="0"/>
                <w:numId w:val="1"/>
              </w:numPr>
              <w:ind w:left="142"/>
              <w:rPr>
                <w:rFonts w:ascii="Arial" w:hAnsi="Arial" w:cs="Arial"/>
                <w:color w:val="000000" w:themeColor="text1"/>
                <w:szCs w:val="24"/>
                <w:lang w:val="sr-Latn-RS"/>
              </w:rPr>
            </w:pPr>
            <w:r>
              <w:rPr>
                <w:rFonts w:ascii="Arial" w:hAnsi="Arial" w:cs="Arial"/>
                <w:color w:val="000000" w:themeColor="text1"/>
                <w:szCs w:val="24"/>
                <w:lang w:val="sr-Latn-RS"/>
              </w:rPr>
              <w:t>O</w:t>
            </w:r>
            <w:r w:rsidRPr="00D816B2">
              <w:rPr>
                <w:rFonts w:ascii="Arial" w:hAnsi="Arial" w:cs="Arial"/>
                <w:color w:val="000000" w:themeColor="text1"/>
                <w:szCs w:val="24"/>
                <w:lang w:val="sr-Latn-RS"/>
              </w:rPr>
              <w:t>brazložiti metodologiju koja je korišćenja prilikom obračuna finansijskih izdataka/prihoda.</w:t>
            </w:r>
          </w:p>
          <w:p w:rsidR="007D6D91" w:rsidRPr="00D816B2" w:rsidRDefault="007D6D91" w:rsidP="00CD709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postojali problemi u preciznom obračunu finansijskih izdataka/prihoda? Obrazložiti.</w:t>
            </w:r>
          </w:p>
          <w:p w:rsidR="007D6D91" w:rsidRPr="00D816B2" w:rsidRDefault="007D6D91" w:rsidP="00CD709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postojale sugestije Ministarstva finansija na</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/predlog propisa?</w:t>
            </w:r>
          </w:p>
          <w:p w:rsidR="007D6D91" w:rsidRPr="00D816B2" w:rsidRDefault="007D6D91" w:rsidP="00CD7092">
            <w:pPr>
              <w:pStyle w:val="ListParagraph"/>
              <w:numPr>
                <w:ilvl w:val="0"/>
                <w:numId w:val="1"/>
              </w:numPr>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Da li su dobijene primjedbe uključene u tekst propisa? Obrazložiti.</w:t>
            </w:r>
          </w:p>
        </w:tc>
      </w:tr>
      <w:tr w:rsidR="007D6D91" w:rsidRPr="00D816B2" w:rsidTr="00B814BE">
        <w:trPr>
          <w:cnfStyle w:val="000000010000" w:firstRow="0" w:lastRow="0" w:firstColumn="0" w:lastColumn="0" w:oddVBand="0" w:evenVBand="0" w:oddHBand="0" w:evenHBand="1" w:firstRowFirstColumn="0" w:firstRowLastColumn="0" w:lastRowFirstColumn="0" w:lastRowLastColumn="0"/>
          <w:trHeight w:val="4807"/>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4C23FF" w:rsidRDefault="007D6D91" w:rsidP="00CD7092">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lastRenderedPageBreak/>
              <w:t xml:space="preserve">Za implementaciju ovog zakona iz </w:t>
            </w:r>
            <w:r>
              <w:rPr>
                <w:rFonts w:ascii="Arial" w:eastAsiaTheme="minorHAnsi" w:hAnsi="Arial" w:cs="Arial"/>
                <w:b w:val="0"/>
                <w:szCs w:val="24"/>
                <w:lang w:val="sr-Latn-ME" w:eastAsia="en-US"/>
              </w:rPr>
              <w:t>b</w:t>
            </w:r>
            <w:r w:rsidRPr="00451B59">
              <w:rPr>
                <w:rFonts w:ascii="Arial" w:eastAsiaTheme="minorHAnsi" w:hAnsi="Arial" w:cs="Arial"/>
                <w:b w:val="0"/>
                <w:szCs w:val="24"/>
                <w:lang w:val="sr-Latn-ME" w:eastAsia="en-US"/>
              </w:rPr>
              <w:t xml:space="preserve">udžeta </w:t>
            </w:r>
            <w:r>
              <w:rPr>
                <w:rFonts w:ascii="Arial" w:eastAsiaTheme="minorHAnsi" w:hAnsi="Arial" w:cs="Arial"/>
                <w:b w:val="0"/>
                <w:szCs w:val="24"/>
                <w:lang w:val="sr-Latn-ME" w:eastAsia="en-US"/>
              </w:rPr>
              <w:t xml:space="preserve"> Crne Gore </w:t>
            </w:r>
            <w:r w:rsidRPr="00451B59">
              <w:rPr>
                <w:rFonts w:ascii="Arial" w:eastAsiaTheme="minorHAnsi" w:hAnsi="Arial" w:cs="Arial"/>
                <w:b w:val="0"/>
                <w:szCs w:val="24"/>
                <w:lang w:val="sr-Latn-ME" w:eastAsia="en-US"/>
              </w:rPr>
              <w:t xml:space="preserve">nije potrebno obezbjeđivati dodatna sredstva. </w:t>
            </w:r>
          </w:p>
          <w:p w:rsidR="007D6D91" w:rsidRPr="00451B59" w:rsidRDefault="007D6D91" w:rsidP="00CD709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w:t>
            </w:r>
            <w:r>
              <w:rPr>
                <w:rFonts w:ascii="Arial" w:eastAsiaTheme="minorHAnsi" w:hAnsi="Arial" w:cs="Arial"/>
                <w:b w:val="0"/>
                <w:szCs w:val="24"/>
                <w:lang w:val="sr-Latn-ME" w:eastAsia="en-US"/>
              </w:rPr>
              <w:t xml:space="preserve"> </w:t>
            </w:r>
            <w:r w:rsidRPr="00451B59">
              <w:rPr>
                <w:rFonts w:ascii="Arial" w:eastAsiaTheme="minorHAnsi" w:hAnsi="Arial" w:cs="Arial"/>
                <w:b w:val="0"/>
                <w:szCs w:val="24"/>
                <w:lang w:val="sr-Latn-ME" w:eastAsia="en-US"/>
              </w:rPr>
              <w:t>implementaciju ovog zakona nije potrebno obezbjeđivati finansijska sredstava jednokratno, ili tokom određenog vremenskog perioda.</w:t>
            </w:r>
          </w:p>
          <w:p w:rsidR="007D6D91" w:rsidRPr="00451B59" w:rsidRDefault="007D6D91" w:rsidP="00CD709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ne proizilaze međunarodne finansijske obaveze.</w:t>
            </w:r>
          </w:p>
          <w:p w:rsidR="007D6D91" w:rsidRPr="00451B59" w:rsidRDefault="007D6D91" w:rsidP="00CD709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Za implementaciju ovog zakona nijesu neophodna finansijska sredstva obezbijeđena u budžetu za tekuću fiskalnu godinu, odnosno za narednu fiskanu godinu.</w:t>
            </w:r>
          </w:p>
          <w:p w:rsidR="007D6D91" w:rsidRPr="00451B59" w:rsidRDefault="007D6D91" w:rsidP="00CD709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Nije predviđeno donošenje podzakonskih akata iz kojih će proisteći finansijske obaveze.</w:t>
            </w:r>
          </w:p>
          <w:p w:rsidR="007D6D91" w:rsidRPr="00451B59" w:rsidRDefault="007D6D91" w:rsidP="00CD7092">
            <w:pPr>
              <w:rPr>
                <w:rFonts w:ascii="Arial" w:eastAsiaTheme="minorHAnsi" w:hAnsi="Arial" w:cs="Arial"/>
                <w:b w:val="0"/>
                <w:szCs w:val="24"/>
                <w:lang w:val="sr-Latn-ME" w:eastAsia="en-US"/>
              </w:rPr>
            </w:pPr>
            <w:r w:rsidRPr="00451B59">
              <w:rPr>
                <w:rFonts w:ascii="Arial" w:eastAsiaTheme="minorHAnsi" w:hAnsi="Arial" w:cs="Arial"/>
                <w:b w:val="0"/>
                <w:szCs w:val="24"/>
                <w:lang w:val="sr-Latn-ME" w:eastAsia="en-US"/>
              </w:rPr>
              <w:t>Implementacijom ovog zakona neće se ostvariti prihod za budžet Crne Gore.</w:t>
            </w:r>
          </w:p>
          <w:p w:rsidR="007D6D91" w:rsidRPr="00DD3BA5" w:rsidRDefault="007D6D91" w:rsidP="00CD7092">
            <w:pPr>
              <w:rPr>
                <w:rFonts w:ascii="Arial" w:eastAsiaTheme="minorHAnsi" w:hAnsi="Arial" w:cs="Arial"/>
                <w:bCs/>
                <w:szCs w:val="24"/>
                <w:lang w:val="sr-Latn-ME" w:eastAsia="en-US"/>
              </w:rPr>
            </w:pPr>
            <w:r w:rsidRPr="00451B59">
              <w:rPr>
                <w:rFonts w:ascii="Arial" w:eastAsiaTheme="minorHAnsi" w:hAnsi="Arial" w:cs="Arial"/>
                <w:b w:val="0"/>
                <w:szCs w:val="24"/>
                <w:lang w:val="sr-Latn-ME" w:eastAsia="en-US"/>
              </w:rPr>
              <w:t>Kada je u p</w:t>
            </w:r>
            <w:r>
              <w:rPr>
                <w:rFonts w:ascii="Arial" w:eastAsiaTheme="minorHAnsi" w:hAnsi="Arial" w:cs="Arial"/>
                <w:b w:val="0"/>
                <w:szCs w:val="24"/>
                <w:lang w:val="sr-Latn-ME" w:eastAsia="en-US"/>
              </w:rPr>
              <w:t>i</w:t>
            </w:r>
            <w:r w:rsidRPr="00451B59">
              <w:rPr>
                <w:rFonts w:ascii="Arial" w:eastAsiaTheme="minorHAnsi" w:hAnsi="Arial" w:cs="Arial"/>
                <w:b w:val="0"/>
                <w:szCs w:val="24"/>
                <w:lang w:val="sr-Latn-ME" w:eastAsia="en-US"/>
              </w:rPr>
              <w:t>tanju metodologija obračuna finansijskih izdataka/prihoda, radi se o krivično materijalnom pravu koje proglašava određena ljudska ponašanja krivičnim djelima istovremeno predviđajući za njih kaznu, odnosno neku drugu krivičnu sankciju. Njegov cilj jeste da se d</w:t>
            </w:r>
            <w:r>
              <w:rPr>
                <w:rFonts w:ascii="Arial" w:eastAsiaTheme="minorHAnsi" w:hAnsi="Arial" w:cs="Arial"/>
                <w:b w:val="0"/>
                <w:szCs w:val="24"/>
                <w:lang w:val="sr-Latn-ME" w:eastAsia="en-US"/>
              </w:rPr>
              <w:t>j</w:t>
            </w:r>
            <w:r w:rsidRPr="00451B59">
              <w:rPr>
                <w:rFonts w:ascii="Arial" w:eastAsiaTheme="minorHAnsi" w:hAnsi="Arial" w:cs="Arial"/>
                <w:b w:val="0"/>
                <w:szCs w:val="24"/>
                <w:lang w:val="sr-Latn-ME" w:eastAsia="en-US"/>
              </w:rPr>
              <w:t>eluje na ponašanje čovjeka. Društvo putem krivičnog prava izražava svoje očekivanje da će se njegovi članovi uzdržati od vršenja ponašanja koja su proglašena krivičnim djelima.</w:t>
            </w:r>
          </w:p>
          <w:p w:rsidR="007D6D91" w:rsidRDefault="007D6D91" w:rsidP="00B814BE">
            <w:pPr>
              <w:ind w:left="-218"/>
              <w:rPr>
                <w:rFonts w:ascii="Arial" w:eastAsiaTheme="minorHAnsi" w:hAnsi="Arial" w:cs="Arial"/>
                <w:bCs/>
                <w:szCs w:val="24"/>
                <w:lang w:val="sr-Latn-ME" w:eastAsia="en-US"/>
              </w:rPr>
            </w:pPr>
            <w:r>
              <w:rPr>
                <w:rFonts w:ascii="Arial" w:eastAsiaTheme="minorHAnsi" w:hAnsi="Arial" w:cs="Arial"/>
                <w:b w:val="0"/>
                <w:szCs w:val="24"/>
                <w:lang w:val="sr-Latn-ME" w:eastAsia="en-US"/>
              </w:rPr>
              <w:t xml:space="preserve">   N</w:t>
            </w:r>
            <w:r w:rsidRPr="00451B59">
              <w:rPr>
                <w:rFonts w:ascii="Arial" w:eastAsiaTheme="minorHAnsi" w:hAnsi="Arial" w:cs="Arial"/>
                <w:b w:val="0"/>
                <w:szCs w:val="24"/>
                <w:lang w:val="sr-Latn-ME" w:eastAsia="en-US"/>
              </w:rPr>
              <w:t>i</w:t>
            </w:r>
            <w:r>
              <w:rPr>
                <w:rFonts w:ascii="Arial" w:eastAsiaTheme="minorHAnsi" w:hAnsi="Arial" w:cs="Arial"/>
                <w:b w:val="0"/>
                <w:szCs w:val="24"/>
                <w:lang w:val="sr-Latn-ME" w:eastAsia="en-US"/>
              </w:rPr>
              <w:t>je</w:t>
            </w:r>
            <w:r w:rsidRPr="00451B59">
              <w:rPr>
                <w:rFonts w:ascii="Arial" w:eastAsiaTheme="minorHAnsi" w:hAnsi="Arial" w:cs="Arial"/>
                <w:b w:val="0"/>
                <w:szCs w:val="24"/>
                <w:lang w:val="sr-Latn-ME" w:eastAsia="en-US"/>
              </w:rPr>
              <w:t>su postojali problemi u preciznom obračunu finansijskih izdataka/prihoda</w:t>
            </w:r>
            <w:r w:rsidR="00B814BE">
              <w:rPr>
                <w:rFonts w:ascii="Arial" w:eastAsiaTheme="minorHAnsi" w:hAnsi="Arial" w:cs="Arial"/>
                <w:b w:val="0"/>
                <w:szCs w:val="24"/>
                <w:lang w:val="sr-Latn-ME" w:eastAsia="en-US"/>
              </w:rPr>
              <w:t>.</w:t>
            </w:r>
          </w:p>
          <w:p w:rsidR="007D6D91" w:rsidRPr="00B26BB5" w:rsidRDefault="007D6D91" w:rsidP="00CD7092">
            <w:pPr>
              <w:spacing w:after="240"/>
              <w:ind w:left="-5"/>
              <w:rPr>
                <w:rFonts w:ascii="Arial" w:eastAsiaTheme="minorHAnsi" w:hAnsi="Arial" w:cs="Arial"/>
                <w:b w:val="0"/>
                <w:szCs w:val="24"/>
                <w:lang w:val="sr-Latn-ME" w:eastAsia="en-US"/>
              </w:rPr>
            </w:pPr>
            <w:r w:rsidRPr="00B26BB5">
              <w:rPr>
                <w:rFonts w:ascii="Arial" w:eastAsiaTheme="minorHAnsi" w:hAnsi="Arial" w:cs="Arial"/>
                <w:b w:val="0"/>
                <w:szCs w:val="24"/>
                <w:lang w:val="sr-Latn-ME" w:eastAsia="en-US"/>
              </w:rPr>
              <w:t xml:space="preserve">Ministarstvo finansija </w:t>
            </w:r>
            <w:r>
              <w:rPr>
                <w:rFonts w:ascii="Arial" w:eastAsiaTheme="minorHAnsi" w:hAnsi="Arial" w:cs="Arial"/>
                <w:b w:val="0"/>
                <w:szCs w:val="24"/>
                <w:lang w:val="sr-Latn-ME" w:eastAsia="en-US"/>
              </w:rPr>
              <w:t>nije dostavilo sugestije u odnosu na ovaj Nacrt zakona.</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 xml:space="preserve">6. </w:t>
            </w:r>
            <w:r w:rsidRPr="00DD3BA5">
              <w:rPr>
                <w:rFonts w:ascii="Arial" w:hAnsi="Arial" w:cs="Arial"/>
                <w:color w:val="000000" w:themeColor="text1"/>
                <w:szCs w:val="24"/>
                <w:lang w:val="sr-Latn-RS"/>
              </w:rPr>
              <w:t>K</w:t>
            </w:r>
            <w:r w:rsidRPr="00D816B2">
              <w:rPr>
                <w:rFonts w:ascii="Arial" w:hAnsi="Arial" w:cs="Arial"/>
                <w:color w:val="000000" w:themeColor="text1"/>
                <w:szCs w:val="24"/>
                <w:lang w:val="sr-Latn-RS"/>
              </w:rPr>
              <w:t>onsultacije zainteresovanih strana</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da li je korišćena eksterna ekspertska podrška i ako da, kako.</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color w:val="000000" w:themeColor="text1"/>
                <w:szCs w:val="24"/>
                <w:lang w:val="sr-Latn-RS"/>
              </w:rPr>
            </w:pPr>
            <w:r w:rsidRPr="00D816B2">
              <w:rPr>
                <w:rFonts w:ascii="Arial" w:hAnsi="Arial" w:cs="Arial"/>
                <w:color w:val="000000" w:themeColor="text1"/>
                <w:szCs w:val="24"/>
                <w:lang w:val="sr-Latn-RS"/>
              </w:rPr>
              <w:t>Naznačiti koje su grupe zainteresovanih strana konsultovane, u kojoj fazi RIA procesa i kako (javne ili ciljane konsultacije).</w:t>
            </w:r>
          </w:p>
          <w:p w:rsidR="007D6D91" w:rsidRPr="00D816B2" w:rsidRDefault="007D6D91" w:rsidP="00CD7092">
            <w:pPr>
              <w:pStyle w:val="ListParagraph"/>
              <w:numPr>
                <w:ilvl w:val="0"/>
                <w:numId w:val="1"/>
              </w:numPr>
              <w:autoSpaceDE w:val="0"/>
              <w:autoSpaceDN w:val="0"/>
              <w:adjustRightInd w:val="0"/>
              <w:ind w:left="142"/>
              <w:contextualSpacing/>
              <w:rPr>
                <w:rFonts w:ascii="Arial" w:hAnsi="Arial" w:cs="Arial"/>
                <w:b w:val="0"/>
                <w:color w:val="000000" w:themeColor="text1"/>
                <w:szCs w:val="24"/>
                <w:lang w:val="sr-Latn-RS"/>
              </w:rPr>
            </w:pPr>
            <w:r w:rsidRPr="00D816B2">
              <w:rPr>
                <w:rFonts w:ascii="Arial" w:hAnsi="Arial" w:cs="Arial"/>
                <w:color w:val="000000" w:themeColor="text1"/>
                <w:szCs w:val="24"/>
                <w:lang w:val="sr-Latn-RS"/>
              </w:rPr>
              <w:t>Naznačiti glavne rezultate konsultacija, i koji su predlozi i sugestije zainteresovanih strana prihvaćeni odnosno nijesu prihvaćeni. Obrazložiti.</w:t>
            </w: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22B1" w:rsidRDefault="007D6D91" w:rsidP="00CD7092">
            <w:pPr>
              <w:rPr>
                <w:rFonts w:ascii="Arial" w:eastAsiaTheme="minorHAnsi" w:hAnsi="Arial" w:cs="Arial"/>
                <w:bCs/>
                <w:szCs w:val="24"/>
                <w:lang w:val="sr-Latn-ME" w:eastAsia="en-US"/>
              </w:rPr>
            </w:pPr>
            <w:r w:rsidRPr="00CC4584">
              <w:rPr>
                <w:rFonts w:ascii="Arial" w:eastAsiaTheme="minorHAnsi" w:hAnsi="Arial" w:cs="Arial"/>
                <w:b w:val="0"/>
                <w:szCs w:val="24"/>
                <w:lang w:val="sr-Latn-ME" w:eastAsia="en-US"/>
              </w:rPr>
              <w:t xml:space="preserve">U izradi propisa </w:t>
            </w:r>
            <w:r>
              <w:rPr>
                <w:rFonts w:ascii="Arial" w:eastAsiaTheme="minorHAnsi" w:hAnsi="Arial" w:cs="Arial"/>
                <w:b w:val="0"/>
                <w:szCs w:val="24"/>
                <w:lang w:val="sr-Latn-ME" w:eastAsia="en-US"/>
              </w:rPr>
              <w:t>e</w:t>
            </w:r>
            <w:r w:rsidRPr="00E8191D">
              <w:rPr>
                <w:rFonts w:ascii="Arial" w:eastAsiaTheme="minorHAnsi" w:hAnsi="Arial" w:cs="Arial"/>
                <w:b w:val="0"/>
                <w:szCs w:val="24"/>
                <w:lang w:val="sr-Latn-ME" w:eastAsia="en-US"/>
              </w:rPr>
              <w:t>kspertsku pomoć pruži</w:t>
            </w:r>
            <w:r>
              <w:rPr>
                <w:rFonts w:ascii="Arial" w:eastAsiaTheme="minorHAnsi" w:hAnsi="Arial" w:cs="Arial"/>
                <w:b w:val="0"/>
                <w:szCs w:val="24"/>
                <w:lang w:val="sr-Latn-ME" w:eastAsia="en-US"/>
              </w:rPr>
              <w:t xml:space="preserve">o je </w:t>
            </w:r>
            <w:r w:rsidRPr="00E8191D">
              <w:rPr>
                <w:rFonts w:ascii="Arial" w:eastAsiaTheme="minorHAnsi" w:hAnsi="Arial" w:cs="Arial"/>
                <w:b w:val="0"/>
                <w:szCs w:val="24"/>
                <w:lang w:val="sr-Latn-ME" w:eastAsia="en-US"/>
              </w:rPr>
              <w:t xml:space="preserve">međunarodni eksperti, koji </w:t>
            </w:r>
            <w:r>
              <w:rPr>
                <w:rFonts w:ascii="Arial" w:eastAsiaTheme="minorHAnsi" w:hAnsi="Arial" w:cs="Arial"/>
                <w:b w:val="0"/>
                <w:szCs w:val="24"/>
                <w:lang w:val="sr-Latn-ME" w:eastAsia="en-US"/>
              </w:rPr>
              <w:t>je</w:t>
            </w:r>
            <w:r w:rsidRPr="00E8191D">
              <w:rPr>
                <w:rFonts w:ascii="Arial" w:eastAsiaTheme="minorHAnsi" w:hAnsi="Arial" w:cs="Arial"/>
                <w:b w:val="0"/>
                <w:szCs w:val="24"/>
                <w:lang w:val="sr-Latn-ME" w:eastAsia="en-US"/>
              </w:rPr>
              <w:t xml:space="preserve"> angažovan u okviru </w:t>
            </w:r>
            <w:r>
              <w:rPr>
                <w:rFonts w:ascii="Arial" w:eastAsiaTheme="minorHAnsi" w:hAnsi="Arial" w:cs="Arial"/>
                <w:b w:val="0"/>
                <w:szCs w:val="24"/>
                <w:lang w:val="sr-Latn-ME" w:eastAsia="en-US"/>
              </w:rPr>
              <w:t>projekta</w:t>
            </w:r>
            <w:r>
              <w:rPr>
                <w:rFonts w:ascii="Arial" w:eastAsiaTheme="minorHAnsi" w:hAnsi="Arial" w:cs="Arial"/>
                <w:bCs/>
                <w:szCs w:val="24"/>
                <w:lang w:val="sr-Latn-ME" w:eastAsia="en-US"/>
              </w:rPr>
              <w:t xml:space="preserve"> </w:t>
            </w:r>
            <w:r w:rsidRPr="002C5785">
              <w:rPr>
                <w:rFonts w:ascii="Arial" w:eastAsiaTheme="minorHAnsi" w:hAnsi="Arial" w:cs="Arial"/>
                <w:b w:val="0"/>
                <w:bCs/>
                <w:szCs w:val="24"/>
                <w:lang w:val="sr-Latn-ME" w:eastAsia="en-US"/>
              </w:rPr>
              <w:t>„</w:t>
            </w:r>
            <w:r w:rsidRPr="00831A95">
              <w:rPr>
                <w:rFonts w:ascii="Arial" w:eastAsiaTheme="minorHAnsi" w:hAnsi="Arial" w:cs="Arial"/>
                <w:b w:val="0"/>
                <w:szCs w:val="24"/>
                <w:lang w:val="sr-Latn-ME" w:eastAsia="en-US"/>
              </w:rPr>
              <w:t>Policy and Legal Advice Centre (PLAC) for Montenegro</w:t>
            </w:r>
            <w:r>
              <w:rPr>
                <w:rFonts w:ascii="Arial" w:eastAsiaTheme="minorHAnsi" w:hAnsi="Arial" w:cs="Arial"/>
                <w:b w:val="0"/>
                <w:szCs w:val="24"/>
                <w:lang w:val="sr-Latn-ME" w:eastAsia="en-US"/>
              </w:rPr>
              <w:t>“.</w:t>
            </w:r>
          </w:p>
        </w:tc>
      </w:tr>
      <w:tr w:rsidR="007D6D91" w:rsidRPr="00D816B2" w:rsidTr="00CD70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Pr="00D816B2" w:rsidRDefault="007D6D91" w:rsidP="00CD7092">
            <w:pPr>
              <w:autoSpaceDE w:val="0"/>
              <w:autoSpaceDN w:val="0"/>
              <w:adjustRightInd w:val="0"/>
              <w:ind w:left="142"/>
              <w:rPr>
                <w:rFonts w:ascii="Arial" w:hAnsi="Arial" w:cs="Arial"/>
                <w:b w:val="0"/>
                <w:color w:val="000000" w:themeColor="text1"/>
                <w:szCs w:val="24"/>
                <w:lang w:val="sr-Latn-RS"/>
              </w:rPr>
            </w:pPr>
            <w:r w:rsidRPr="00D816B2">
              <w:rPr>
                <w:rFonts w:ascii="Arial" w:hAnsi="Arial" w:cs="Arial"/>
                <w:color w:val="000000" w:themeColor="text1"/>
                <w:szCs w:val="24"/>
                <w:lang w:val="sr-Latn-RS"/>
              </w:rPr>
              <w:t>7. Monitoring i evaluacija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 xml:space="preserve">Koje su potencijalne prepreke za implementaciju propisa? </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Koje će mjere biti preduzete tokom primjene propisa da bi se ispunili ciljevi?</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color w:val="000000" w:themeColor="text1"/>
                <w:szCs w:val="24"/>
                <w:lang w:val="sr-Latn-RS"/>
              </w:rPr>
            </w:pPr>
            <w:r w:rsidRPr="00D816B2">
              <w:rPr>
                <w:rFonts w:ascii="Arial" w:hAnsi="Arial" w:cs="Arial"/>
                <w:color w:val="000000" w:themeColor="text1"/>
                <w:szCs w:val="24"/>
                <w:lang w:val="sr-Latn-RS"/>
              </w:rPr>
              <w:t>Koji su glavni indikatori prema kojima će se mjeriti ispunjenje ciljeva?</w:t>
            </w:r>
          </w:p>
          <w:p w:rsidR="007D6D91" w:rsidRPr="00D816B2" w:rsidRDefault="007D6D91" w:rsidP="00CD7092">
            <w:pPr>
              <w:pStyle w:val="ListParagraph"/>
              <w:numPr>
                <w:ilvl w:val="0"/>
                <w:numId w:val="1"/>
              </w:numPr>
              <w:autoSpaceDE w:val="0"/>
              <w:autoSpaceDN w:val="0"/>
              <w:adjustRightInd w:val="0"/>
              <w:ind w:left="142"/>
              <w:contextualSpacing/>
              <w:jc w:val="left"/>
              <w:rPr>
                <w:rFonts w:ascii="Arial" w:hAnsi="Arial" w:cs="Arial"/>
                <w:b w:val="0"/>
                <w:color w:val="000000" w:themeColor="text1"/>
                <w:szCs w:val="24"/>
                <w:lang w:val="sr-Latn-RS"/>
              </w:rPr>
            </w:pPr>
            <w:r w:rsidRPr="00D816B2">
              <w:rPr>
                <w:rFonts w:ascii="Arial" w:hAnsi="Arial" w:cs="Arial"/>
                <w:color w:val="000000" w:themeColor="text1"/>
                <w:szCs w:val="24"/>
                <w:lang w:val="sr-Latn-RS"/>
              </w:rPr>
              <w:t>Ko će biti zadužen za sprovođenje monitoringa i evaluacije primjene propisa?</w:t>
            </w:r>
          </w:p>
          <w:p w:rsidR="007D6D91" w:rsidRPr="00D816B2" w:rsidRDefault="007D6D91" w:rsidP="00CD7092">
            <w:pPr>
              <w:pStyle w:val="ListParagraph"/>
              <w:autoSpaceDE w:val="0"/>
              <w:autoSpaceDN w:val="0"/>
              <w:adjustRightInd w:val="0"/>
              <w:ind w:left="142"/>
              <w:contextualSpacing/>
              <w:jc w:val="left"/>
              <w:rPr>
                <w:rFonts w:ascii="Arial" w:hAnsi="Arial" w:cs="Arial"/>
                <w:b w:val="0"/>
                <w:color w:val="000000" w:themeColor="text1"/>
                <w:szCs w:val="24"/>
                <w:lang w:val="sr-Latn-RS"/>
              </w:rPr>
            </w:pPr>
          </w:p>
        </w:tc>
      </w:tr>
      <w:tr w:rsidR="007D6D91" w:rsidRPr="00D816B2" w:rsidTr="00CD70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9" w:type="dxa"/>
            <w:gridSpan w:val="2"/>
          </w:tcPr>
          <w:p w:rsidR="007D6D91" w:rsidRDefault="007D6D91" w:rsidP="00CD7092">
            <w:pPr>
              <w:rPr>
                <w:rFonts w:ascii="Arial" w:eastAsiaTheme="minorHAnsi" w:hAnsi="Arial" w:cs="Arial"/>
                <w:bCs/>
                <w:szCs w:val="24"/>
                <w:lang w:val="sr-Latn-ME" w:eastAsia="en-US"/>
              </w:rPr>
            </w:pPr>
            <w:bookmarkStart w:id="0" w:name="_GoBack"/>
            <w:bookmarkEnd w:id="0"/>
            <w:r w:rsidRPr="00CC4584">
              <w:rPr>
                <w:rFonts w:ascii="Arial" w:eastAsiaTheme="minorHAnsi" w:hAnsi="Arial" w:cs="Arial"/>
                <w:b w:val="0"/>
                <w:szCs w:val="24"/>
                <w:lang w:val="sr-Latn-ME" w:eastAsia="en-US"/>
              </w:rPr>
              <w:t xml:space="preserve">Nema potencijalnih prepreka za sprovođenja ovog zakona. </w:t>
            </w:r>
          </w:p>
          <w:p w:rsidR="007D6D91" w:rsidRPr="00CC4584" w:rsidRDefault="007D6D91" w:rsidP="00CD7092">
            <w:pPr>
              <w:rPr>
                <w:rFonts w:ascii="Arial" w:eastAsiaTheme="minorHAnsi" w:hAnsi="Arial" w:cs="Arial"/>
                <w:b w:val="0"/>
                <w:szCs w:val="24"/>
                <w:lang w:val="sr-Latn-ME" w:eastAsia="en-US"/>
              </w:rPr>
            </w:pPr>
            <w:r>
              <w:rPr>
                <w:rFonts w:ascii="Arial" w:eastAsiaTheme="minorHAnsi" w:hAnsi="Arial" w:cs="Arial"/>
                <w:b w:val="0"/>
                <w:szCs w:val="24"/>
                <w:lang w:val="sr-Latn-ME" w:eastAsia="en-US"/>
              </w:rPr>
              <w:t>Mjere koje će biti preduzete tokom prmjene propisa da bi se ispunili ciljevi su prije svega promocija novih rješenja iz zakonskog teksta kao važnog preventivnog mehanizma. Za nepridržavanje odredbi zakona predviđene su novčane kazne i kazne zatvora.</w:t>
            </w:r>
          </w:p>
          <w:p w:rsidR="007D6D91" w:rsidRPr="00DD3BA5" w:rsidRDefault="007D6D91" w:rsidP="00CD7092">
            <w:pPr>
              <w:rPr>
                <w:rFonts w:ascii="Arial" w:eastAsiaTheme="minorHAnsi" w:hAnsi="Arial" w:cs="Arial"/>
                <w:b w:val="0"/>
                <w:szCs w:val="24"/>
                <w:lang w:val="sr-Latn-ME" w:eastAsia="en-US"/>
              </w:rPr>
            </w:pPr>
            <w:r w:rsidRPr="00DD3BA5">
              <w:rPr>
                <w:rFonts w:ascii="Arial" w:eastAsiaTheme="minorHAnsi" w:hAnsi="Arial" w:cs="Arial"/>
                <w:b w:val="0"/>
                <w:szCs w:val="24"/>
                <w:lang w:val="sr-Latn-ME" w:eastAsia="en-US"/>
              </w:rPr>
              <w:t>Glavni indikatori prema kojima će se mjeriti ispunjenje ciljeva jeste broj izrečenih kazni.</w:t>
            </w:r>
          </w:p>
          <w:p w:rsidR="007D6D91" w:rsidRPr="00B20234" w:rsidRDefault="007D6D91" w:rsidP="00CD7092">
            <w:pPr>
              <w:rPr>
                <w:rFonts w:ascii="Arial" w:eastAsiaTheme="minorHAnsi" w:hAnsi="Arial" w:cs="Arial"/>
                <w:bCs/>
                <w:color w:val="000000" w:themeColor="text1"/>
                <w:szCs w:val="24"/>
                <w:lang w:val="sr-Latn-ME" w:eastAsia="en-US"/>
              </w:rPr>
            </w:pPr>
            <w:r w:rsidRPr="00DD3BA5">
              <w:rPr>
                <w:rFonts w:ascii="Arial" w:eastAsiaTheme="minorHAnsi" w:hAnsi="Arial" w:cs="Arial"/>
                <w:b w:val="0"/>
                <w:szCs w:val="24"/>
                <w:lang w:val="sr-Latn-ME" w:eastAsia="en-US"/>
              </w:rPr>
              <w:t>Za monitoring propisa je nadležno Ministarstvo pravde</w:t>
            </w:r>
            <w:r>
              <w:rPr>
                <w:rFonts w:ascii="Arial" w:eastAsiaTheme="minorHAnsi" w:hAnsi="Arial" w:cs="Arial"/>
                <w:b w:val="0"/>
                <w:color w:val="000000" w:themeColor="text1"/>
                <w:szCs w:val="24"/>
                <w:lang w:val="sr-Latn-ME" w:eastAsia="en-US"/>
              </w:rPr>
              <w:t>.</w:t>
            </w:r>
          </w:p>
        </w:tc>
      </w:tr>
    </w:tbl>
    <w:p w:rsidR="007D6D91" w:rsidRPr="00D816B2" w:rsidRDefault="007D6D91" w:rsidP="007D6D91">
      <w:pPr>
        <w:autoSpaceDE w:val="0"/>
        <w:autoSpaceDN w:val="0"/>
        <w:adjustRightInd w:val="0"/>
        <w:ind w:left="142"/>
        <w:rPr>
          <w:rFonts w:ascii="Arial" w:hAnsi="Arial" w:cs="Arial"/>
          <w:b/>
          <w:bCs w:val="0"/>
          <w:color w:val="000000" w:themeColor="text1"/>
          <w:szCs w:val="24"/>
          <w:lang w:val="sr-Latn-RS"/>
        </w:rPr>
      </w:pPr>
    </w:p>
    <w:p w:rsidR="007D6D91" w:rsidRPr="00D816B2" w:rsidRDefault="007D6D91" w:rsidP="007D6D91">
      <w:pPr>
        <w:ind w:left="142"/>
        <w:rPr>
          <w:rFonts w:ascii="Arial" w:hAnsi="Arial" w:cs="Arial"/>
          <w:b/>
          <w:color w:val="000000" w:themeColor="text1"/>
          <w:szCs w:val="24"/>
          <w:lang w:val="sr-Latn-RS"/>
        </w:rPr>
      </w:pPr>
    </w:p>
    <w:p w:rsidR="007D6D91" w:rsidRDefault="007D6D91" w:rsidP="007D6D91">
      <w:pPr>
        <w:tabs>
          <w:tab w:val="left" w:pos="600"/>
          <w:tab w:val="right" w:pos="9360"/>
        </w:tabs>
        <w:ind w:left="142"/>
        <w:jc w:val="left"/>
        <w:rPr>
          <w:rFonts w:ascii="Arial" w:hAnsi="Arial" w:cs="Arial"/>
          <w:color w:val="000000" w:themeColor="text1"/>
          <w:szCs w:val="24"/>
          <w:lang w:val="sr-Latn-RS"/>
        </w:rPr>
      </w:pPr>
      <w:r w:rsidRPr="00D816B2">
        <w:rPr>
          <w:rFonts w:ascii="Arial" w:hAnsi="Arial" w:cs="Arial"/>
          <w:b/>
          <w:color w:val="000000" w:themeColor="text1"/>
          <w:szCs w:val="24"/>
          <w:lang w:val="sr-Latn-RS"/>
        </w:rPr>
        <w:tab/>
      </w:r>
      <w:r w:rsidRPr="00D816B2">
        <w:rPr>
          <w:rFonts w:ascii="Arial" w:hAnsi="Arial" w:cs="Arial"/>
          <w:color w:val="000000" w:themeColor="text1"/>
          <w:szCs w:val="24"/>
          <w:lang w:val="sr-Latn-RS"/>
        </w:rPr>
        <w:t xml:space="preserve">Podgorica, </w:t>
      </w:r>
      <w:r w:rsidR="00391A27">
        <w:rPr>
          <w:rFonts w:ascii="Arial" w:hAnsi="Arial" w:cs="Arial"/>
          <w:color w:val="000000" w:themeColor="text1"/>
          <w:szCs w:val="24"/>
          <w:lang w:val="sr-Latn-RS"/>
        </w:rPr>
        <w:t>8</w:t>
      </w:r>
      <w:r>
        <w:rPr>
          <w:rFonts w:ascii="Arial" w:hAnsi="Arial" w:cs="Arial"/>
          <w:color w:val="000000" w:themeColor="text1"/>
          <w:szCs w:val="24"/>
          <w:lang w:val="sr-Latn-RS"/>
        </w:rPr>
        <w:t xml:space="preserve">. </w:t>
      </w:r>
      <w:r w:rsidR="00391A27">
        <w:rPr>
          <w:rFonts w:ascii="Arial" w:hAnsi="Arial" w:cs="Arial"/>
          <w:color w:val="000000" w:themeColor="text1"/>
          <w:szCs w:val="24"/>
          <w:lang w:val="sr-Latn-RS"/>
        </w:rPr>
        <w:t>decembra</w:t>
      </w:r>
      <w:r>
        <w:rPr>
          <w:rFonts w:ascii="Arial" w:hAnsi="Arial" w:cs="Arial"/>
          <w:color w:val="000000" w:themeColor="text1"/>
          <w:szCs w:val="24"/>
          <w:lang w:val="sr-Latn-RS"/>
        </w:rPr>
        <w:t xml:space="preserve"> </w:t>
      </w:r>
      <w:r w:rsidRPr="00D816B2">
        <w:rPr>
          <w:rFonts w:ascii="Arial" w:hAnsi="Arial" w:cs="Arial"/>
          <w:color w:val="000000" w:themeColor="text1"/>
          <w:szCs w:val="24"/>
          <w:lang w:val="sr-Latn-RS"/>
        </w:rPr>
        <w:t>202</w:t>
      </w:r>
      <w:r>
        <w:rPr>
          <w:rFonts w:ascii="Arial" w:hAnsi="Arial" w:cs="Arial"/>
          <w:color w:val="000000" w:themeColor="text1"/>
          <w:szCs w:val="24"/>
          <w:lang w:val="sr-Latn-RS"/>
        </w:rPr>
        <w:t>5</w:t>
      </w:r>
      <w:r w:rsidRPr="00D816B2">
        <w:rPr>
          <w:rFonts w:ascii="Arial" w:hAnsi="Arial" w:cs="Arial"/>
          <w:color w:val="000000" w:themeColor="text1"/>
          <w:szCs w:val="24"/>
          <w:lang w:val="sr-Latn-RS"/>
        </w:rPr>
        <w:t>. godine</w:t>
      </w:r>
    </w:p>
    <w:p w:rsidR="007D6D91" w:rsidRPr="00DE52A1" w:rsidRDefault="007D6D91" w:rsidP="007D6D91">
      <w:pPr>
        <w:tabs>
          <w:tab w:val="left" w:pos="600"/>
          <w:tab w:val="right" w:pos="9360"/>
        </w:tabs>
        <w:ind w:left="142"/>
        <w:jc w:val="left"/>
        <w:rPr>
          <w:rFonts w:ascii="Arial" w:hAnsi="Arial" w:cs="Arial"/>
          <w:color w:val="000000" w:themeColor="text1"/>
          <w:szCs w:val="24"/>
          <w:lang w:val="sr-Latn-RS"/>
        </w:rPr>
      </w:pPr>
    </w:p>
    <w:p w:rsidR="007D6D91" w:rsidRPr="004A2F96" w:rsidRDefault="007D6D91" w:rsidP="007D6D91">
      <w:pPr>
        <w:tabs>
          <w:tab w:val="left" w:pos="600"/>
          <w:tab w:val="right" w:pos="9360"/>
        </w:tabs>
        <w:ind w:left="142"/>
        <w:jc w:val="left"/>
        <w:rPr>
          <w:rFonts w:ascii="Arial" w:hAnsi="Arial" w:cs="Arial"/>
          <w:color w:val="000000" w:themeColor="text1"/>
          <w:szCs w:val="24"/>
          <w:lang w:val="sr-Latn-RS"/>
        </w:rPr>
      </w:pPr>
    </w:p>
    <w:p w:rsidR="007D6D91" w:rsidRPr="004A2F96" w:rsidRDefault="007D6D91" w:rsidP="007D6D91">
      <w:pPr>
        <w:tabs>
          <w:tab w:val="left" w:pos="600"/>
          <w:tab w:val="right" w:pos="9360"/>
        </w:tabs>
        <w:ind w:left="142"/>
        <w:jc w:val="right"/>
        <w:rPr>
          <w:rFonts w:ascii="Arial" w:hAnsi="Arial" w:cs="Arial"/>
          <w:color w:val="000000" w:themeColor="text1"/>
          <w:szCs w:val="24"/>
          <w:lang w:val="sr-Latn-RS"/>
        </w:rPr>
      </w:pPr>
      <w:r w:rsidRPr="004A2F96">
        <w:rPr>
          <w:rFonts w:ascii="Arial" w:hAnsi="Arial" w:cs="Arial"/>
          <w:color w:val="000000" w:themeColor="text1"/>
          <w:szCs w:val="24"/>
          <w:lang w:val="sr-Latn-RS"/>
        </w:rPr>
        <w:t xml:space="preserve">     M I N I S T A R      </w:t>
      </w:r>
    </w:p>
    <w:p w:rsidR="007D6D91" w:rsidRPr="00E11318" w:rsidRDefault="007D6D91" w:rsidP="007D6D91">
      <w:pPr>
        <w:tabs>
          <w:tab w:val="left" w:pos="600"/>
          <w:tab w:val="right" w:pos="9360"/>
        </w:tabs>
        <w:ind w:left="142"/>
        <w:jc w:val="right"/>
        <w:rPr>
          <w:rFonts w:ascii="Arial" w:hAnsi="Arial" w:cs="Arial"/>
          <w:szCs w:val="24"/>
          <w:lang w:val="sr-Latn-RS"/>
        </w:rPr>
      </w:pPr>
      <w:r w:rsidRPr="00D816B2">
        <w:rPr>
          <w:rFonts w:ascii="Arial" w:hAnsi="Arial" w:cs="Arial"/>
          <w:b/>
          <w:color w:val="000000" w:themeColor="text1"/>
          <w:szCs w:val="24"/>
          <w:lang w:val="sr-Latn-RS"/>
        </w:rPr>
        <w:t xml:space="preserve"> </w:t>
      </w:r>
      <w:r>
        <w:rPr>
          <w:rFonts w:ascii="Arial" w:hAnsi="Arial" w:cs="Arial"/>
          <w:b/>
          <w:color w:val="000000" w:themeColor="text1"/>
          <w:szCs w:val="24"/>
          <w:lang w:val="sr-Latn-RS"/>
        </w:rPr>
        <w:t>mr Bojan Božović</w:t>
      </w:r>
    </w:p>
    <w:p w:rsidR="007D6D91" w:rsidRDefault="007D6D91" w:rsidP="007D6D91"/>
    <w:p w:rsidR="00B73EDA" w:rsidRDefault="00B73EDA"/>
    <w:sectPr w:rsidR="00B73EDA"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54E"/>
    <w:multiLevelType w:val="multilevel"/>
    <w:tmpl w:val="E95E3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41287"/>
    <w:multiLevelType w:val="multilevel"/>
    <w:tmpl w:val="0F4C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91"/>
    <w:rsid w:val="00046FC4"/>
    <w:rsid w:val="000E0440"/>
    <w:rsid w:val="00163D9E"/>
    <w:rsid w:val="001A33C5"/>
    <w:rsid w:val="00245ECC"/>
    <w:rsid w:val="00366098"/>
    <w:rsid w:val="00391A27"/>
    <w:rsid w:val="00402587"/>
    <w:rsid w:val="005351A9"/>
    <w:rsid w:val="00641201"/>
    <w:rsid w:val="006D608B"/>
    <w:rsid w:val="006F5159"/>
    <w:rsid w:val="00727019"/>
    <w:rsid w:val="007D6D91"/>
    <w:rsid w:val="00880D3C"/>
    <w:rsid w:val="00B73EDA"/>
    <w:rsid w:val="00B814BE"/>
    <w:rsid w:val="00C26B98"/>
    <w:rsid w:val="00CD16F2"/>
    <w:rsid w:val="00EB4D12"/>
    <w:rsid w:val="00EC30A4"/>
    <w:rsid w:val="00FB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8DCB"/>
  <w15:chartTrackingRefBased/>
  <w15:docId w15:val="{2BD89414-AB97-44AA-8E78-A2F69982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7D6D91"/>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D91"/>
    <w:pPr>
      <w:ind w:left="720"/>
    </w:pPr>
  </w:style>
  <w:style w:type="table" w:styleId="LightGrid-Accent5">
    <w:name w:val="Light Grid Accent 5"/>
    <w:basedOn w:val="TableNormal"/>
    <w:uiPriority w:val="62"/>
    <w:rsid w:val="007D6D9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NormalWeb">
    <w:name w:val="Normal (Web)"/>
    <w:basedOn w:val="Normal"/>
    <w:uiPriority w:val="99"/>
    <w:unhideWhenUsed/>
    <w:rsid w:val="006F5159"/>
    <w:pPr>
      <w:spacing w:before="100" w:beforeAutospacing="1" w:after="100" w:afterAutospacing="1"/>
      <w:jc w:val="left"/>
    </w:pPr>
    <w:rPr>
      <w:rFonts w:ascii="Times New Roman" w:hAnsi="Times New Roman"/>
      <w:bCs w:val="0"/>
      <w:szCs w:val="24"/>
      <w:lang w:val="en-US" w:eastAsia="en-US"/>
    </w:rPr>
  </w:style>
  <w:style w:type="character" w:styleId="Strong">
    <w:name w:val="Strong"/>
    <w:basedOn w:val="DefaultParagraphFont"/>
    <w:uiPriority w:val="22"/>
    <w:qFormat/>
    <w:rsid w:val="006F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Cubranovic</dc:creator>
  <cp:keywords/>
  <dc:description/>
  <cp:lastModifiedBy>Ana Cubranovic</cp:lastModifiedBy>
  <cp:revision>15</cp:revision>
  <dcterms:created xsi:type="dcterms:W3CDTF">2025-12-08T11:05:00Z</dcterms:created>
  <dcterms:modified xsi:type="dcterms:W3CDTF">2025-12-08T12:12:00Z</dcterms:modified>
</cp:coreProperties>
</file>