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3CB" w:rsidRPr="00911CC8" w:rsidRDefault="002503CB" w:rsidP="002503CB">
      <w:pPr>
        <w:spacing w:after="0"/>
        <w:jc w:val="both"/>
        <w:rPr>
          <w:rFonts w:ascii="Arial" w:hAnsi="Arial" w:cs="Arial"/>
        </w:rPr>
      </w:pPr>
      <w:r w:rsidRPr="00911CC8">
        <w:rPr>
          <w:rFonts w:ascii="Arial" w:hAnsi="Arial" w:cs="Arial"/>
        </w:rPr>
        <w:t>Podgorica, ----------</w:t>
      </w:r>
    </w:p>
    <w:p w:rsidR="002503CB" w:rsidRPr="00911CC8" w:rsidRDefault="002503CB" w:rsidP="002503CB">
      <w:pPr>
        <w:spacing w:after="0"/>
        <w:jc w:val="both"/>
        <w:rPr>
          <w:rFonts w:ascii="Arial" w:hAnsi="Arial" w:cs="Arial"/>
        </w:rPr>
      </w:pPr>
      <w:r w:rsidRPr="00911CC8">
        <w:rPr>
          <w:rFonts w:ascii="Arial" w:hAnsi="Arial" w:cs="Arial"/>
        </w:rPr>
        <w:t>Broj: ------------</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Na osnovu člana 21 Zakona o koncesijama („Službeni list Crne Gore, broj 08/09), Ministarstvo ekonomije objavljuje </w:t>
      </w:r>
    </w:p>
    <w:p w:rsidR="002503CB" w:rsidRPr="00911CC8" w:rsidRDefault="002503CB" w:rsidP="002503CB">
      <w:pPr>
        <w:spacing w:after="0"/>
        <w:jc w:val="both"/>
        <w:rPr>
          <w:rFonts w:ascii="Arial" w:hAnsi="Arial" w:cs="Arial"/>
        </w:rPr>
      </w:pPr>
    </w:p>
    <w:p w:rsidR="002503CB" w:rsidRPr="00911CC8" w:rsidRDefault="002503CB" w:rsidP="002503CB">
      <w:pPr>
        <w:spacing w:after="0"/>
        <w:jc w:val="center"/>
        <w:rPr>
          <w:rFonts w:ascii="Arial" w:hAnsi="Arial" w:cs="Arial"/>
          <w:b/>
        </w:rPr>
      </w:pPr>
      <w:r w:rsidRPr="00911CC8">
        <w:rPr>
          <w:rFonts w:ascii="Arial" w:hAnsi="Arial" w:cs="Arial"/>
          <w:b/>
        </w:rPr>
        <w:t>JAVNI OGLAS</w:t>
      </w:r>
    </w:p>
    <w:p w:rsidR="002503CB" w:rsidRPr="00911CC8" w:rsidRDefault="002503CB" w:rsidP="002503CB">
      <w:pPr>
        <w:spacing w:after="0"/>
        <w:jc w:val="center"/>
        <w:rPr>
          <w:rFonts w:ascii="Arial" w:hAnsi="Arial" w:cs="Arial"/>
          <w:b/>
        </w:rPr>
      </w:pPr>
      <w:r w:rsidRPr="00911CC8">
        <w:rPr>
          <w:rFonts w:ascii="Arial" w:hAnsi="Arial" w:cs="Arial"/>
          <w:b/>
        </w:rPr>
        <w:t xml:space="preserve">ZA DOSTAVLJANJE PONUDA ZA DODJELU UGOVORA O KONCESIJI ZA DETALJNA GEOLOŠKA ISTRAŽIVANJA I EKSPLOATACIJU  </w:t>
      </w:r>
      <w:r>
        <w:rPr>
          <w:rFonts w:ascii="Arial" w:hAnsi="Arial" w:cs="Arial"/>
          <w:b/>
        </w:rPr>
        <w:t>MINERALNE SIROVINE TEHNIČKO-GRAĐEVINSKOG KAMENA NA LEŽIŠTU „KRŠ“ – KALUĐERSKI LAZ, OPŠTINA ROŽAJE</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p>
    <w:p w:rsidR="002503CB" w:rsidRPr="00911CC8" w:rsidRDefault="002503CB" w:rsidP="002503CB">
      <w:pPr>
        <w:numPr>
          <w:ilvl w:val="0"/>
          <w:numId w:val="3"/>
        </w:numPr>
        <w:spacing w:after="0"/>
        <w:ind w:left="0" w:firstLine="0"/>
        <w:jc w:val="both"/>
        <w:rPr>
          <w:rFonts w:ascii="Arial" w:hAnsi="Arial" w:cs="Arial"/>
          <w:b/>
        </w:rPr>
      </w:pPr>
      <w:r w:rsidRPr="00911CC8">
        <w:rPr>
          <w:rFonts w:ascii="Arial" w:hAnsi="Arial" w:cs="Arial"/>
          <w:b/>
        </w:rPr>
        <w:t>Uvod</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Ministarstvo ekonomije Vlade Crne Gore (u daljem tekstu: Ministarstvo) poziva zainteresovana lica da se prijave na Javni oglas za dostavljanje ponuda za dodjelu Ugovora o koncesiji za detaljna geološka istraivanja i </w:t>
      </w:r>
      <w:r>
        <w:rPr>
          <w:rFonts w:ascii="Arial" w:hAnsi="Arial" w:cs="Arial"/>
        </w:rPr>
        <w:t>eksploataciju mineralne sirovine tehničko-građevinskog kamena na ležištu „Krš“ – Kaluđerski laz, opština Rožaje</w:t>
      </w:r>
      <w:r w:rsidRPr="00911CC8">
        <w:rPr>
          <w:rFonts w:ascii="Arial" w:hAnsi="Arial" w:cs="Arial"/>
        </w:rPr>
        <w:t xml:space="preserve"> (u daljem tekstu: Javni oglas). Davanje koncesija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b/>
        </w:rPr>
      </w:pPr>
      <w:r w:rsidRPr="00911CC8">
        <w:rPr>
          <w:rFonts w:ascii="Arial" w:hAnsi="Arial" w:cs="Arial"/>
          <w:b/>
        </w:rPr>
        <w:t xml:space="preserve">     2.   Predmet koncesije i opis lokacije</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Predmet koncesije su detaljna geološka istraživanja i eksploatacija </w:t>
      </w:r>
      <w:r>
        <w:rPr>
          <w:rFonts w:ascii="Arial" w:hAnsi="Arial" w:cs="Arial"/>
        </w:rPr>
        <w:t>tehničko-građevinskog kamena na ležištu „Krš“ – Kaluđerski laz, opština Rožaje.</w:t>
      </w:r>
    </w:p>
    <w:p w:rsidR="002503CB" w:rsidRDefault="002503CB" w:rsidP="002503CB">
      <w:pPr>
        <w:spacing w:after="0"/>
        <w:jc w:val="both"/>
        <w:rPr>
          <w:rFonts w:ascii="Arial" w:hAnsi="Arial" w:cs="Arial"/>
        </w:rPr>
      </w:pPr>
    </w:p>
    <w:p w:rsidR="002503CB" w:rsidRDefault="002503CB" w:rsidP="002503CB">
      <w:pPr>
        <w:spacing w:after="0"/>
        <w:ind w:right="144"/>
        <w:rPr>
          <w:rFonts w:ascii="Arial" w:hAnsi="Arial" w:cs="Arial"/>
        </w:rPr>
      </w:pPr>
      <w:proofErr w:type="spellStart"/>
      <w:r w:rsidRPr="002503CB">
        <w:rPr>
          <w:rFonts w:ascii="Arial" w:hAnsi="Arial" w:cs="Arial"/>
        </w:rPr>
        <w:t>Koordinate</w:t>
      </w:r>
      <w:proofErr w:type="spellEnd"/>
      <w:r w:rsidRPr="002503CB">
        <w:rPr>
          <w:rFonts w:ascii="Arial" w:hAnsi="Arial" w:cs="Arial"/>
        </w:rPr>
        <w:t xml:space="preserve"> </w:t>
      </w:r>
      <w:proofErr w:type="spellStart"/>
      <w:r w:rsidRPr="002503CB">
        <w:rPr>
          <w:rFonts w:ascii="Arial" w:hAnsi="Arial" w:cs="Arial"/>
        </w:rPr>
        <w:t>graničnih</w:t>
      </w:r>
      <w:proofErr w:type="spellEnd"/>
      <w:r w:rsidRPr="002503CB">
        <w:rPr>
          <w:rFonts w:ascii="Arial" w:hAnsi="Arial" w:cs="Arial"/>
        </w:rPr>
        <w:t xml:space="preserve"> </w:t>
      </w:r>
      <w:proofErr w:type="spellStart"/>
      <w:r w:rsidRPr="002503CB">
        <w:rPr>
          <w:rFonts w:ascii="Arial" w:hAnsi="Arial" w:cs="Arial"/>
        </w:rPr>
        <w:t>tačaka</w:t>
      </w:r>
      <w:proofErr w:type="spellEnd"/>
      <w:r w:rsidRPr="002503CB">
        <w:rPr>
          <w:rFonts w:ascii="Arial" w:hAnsi="Arial" w:cs="Arial"/>
        </w:rPr>
        <w:t xml:space="preserve"> </w:t>
      </w:r>
      <w:proofErr w:type="spellStart"/>
      <w:r w:rsidRPr="002503CB">
        <w:rPr>
          <w:rFonts w:ascii="Arial" w:hAnsi="Arial" w:cs="Arial"/>
        </w:rPr>
        <w:t>i</w:t>
      </w:r>
      <w:proofErr w:type="spellEnd"/>
      <w:r w:rsidRPr="002503CB">
        <w:rPr>
          <w:rFonts w:ascii="Arial" w:hAnsi="Arial" w:cs="Arial"/>
        </w:rPr>
        <w:t xml:space="preserve"> površina istražno-eksploatacionog </w:t>
      </w:r>
      <w:proofErr w:type="spellStart"/>
      <w:r w:rsidRPr="002503CB">
        <w:rPr>
          <w:rFonts w:ascii="Arial" w:hAnsi="Arial" w:cs="Arial"/>
        </w:rPr>
        <w:t>prostora</w:t>
      </w:r>
      <w:proofErr w:type="spellEnd"/>
      <w:r w:rsidRPr="002503CB">
        <w:rPr>
          <w:rFonts w:ascii="Arial" w:hAnsi="Arial" w:cs="Arial"/>
        </w:rPr>
        <w:t xml:space="preserve"> „</w:t>
      </w:r>
      <w:proofErr w:type="spellStart"/>
      <w:r w:rsidRPr="002503CB">
        <w:rPr>
          <w:rFonts w:ascii="Arial" w:hAnsi="Arial" w:cs="Arial"/>
        </w:rPr>
        <w:t>Krš</w:t>
      </w:r>
      <w:proofErr w:type="spellEnd"/>
      <w:proofErr w:type="gramStart"/>
      <w:r w:rsidRPr="002503CB">
        <w:rPr>
          <w:rFonts w:ascii="Arial" w:hAnsi="Arial" w:cs="Arial"/>
        </w:rPr>
        <w:t>“ –</w:t>
      </w:r>
      <w:proofErr w:type="gramEnd"/>
      <w:r w:rsidRPr="002503CB">
        <w:rPr>
          <w:rFonts w:ascii="Arial" w:hAnsi="Arial" w:cs="Arial"/>
        </w:rPr>
        <w:t xml:space="preserve"> </w:t>
      </w:r>
      <w:proofErr w:type="spellStart"/>
      <w:r w:rsidRPr="002503CB">
        <w:rPr>
          <w:rFonts w:ascii="Arial" w:hAnsi="Arial" w:cs="Arial"/>
        </w:rPr>
        <w:t>Kaluđerski</w:t>
      </w:r>
      <w:proofErr w:type="spellEnd"/>
      <w:r w:rsidRPr="002503CB">
        <w:rPr>
          <w:rFonts w:ascii="Arial" w:hAnsi="Arial" w:cs="Arial"/>
        </w:rPr>
        <w:t xml:space="preserve"> </w:t>
      </w:r>
      <w:proofErr w:type="spellStart"/>
      <w:r w:rsidRPr="002503CB">
        <w:rPr>
          <w:rFonts w:ascii="Arial" w:hAnsi="Arial" w:cs="Arial"/>
        </w:rPr>
        <w:t>laz</w:t>
      </w:r>
      <w:proofErr w:type="spellEnd"/>
      <w:r w:rsidRPr="002503CB">
        <w:rPr>
          <w:rFonts w:ascii="Arial" w:hAnsi="Arial" w:cs="Arial"/>
        </w:rPr>
        <w:t xml:space="preserve">, </w:t>
      </w:r>
      <w:proofErr w:type="spellStart"/>
      <w:r w:rsidRPr="002503CB">
        <w:rPr>
          <w:rFonts w:ascii="Arial" w:hAnsi="Arial" w:cs="Arial"/>
        </w:rPr>
        <w:t>dati</w:t>
      </w:r>
      <w:proofErr w:type="spellEnd"/>
      <w:r w:rsidRPr="002503CB">
        <w:rPr>
          <w:rFonts w:ascii="Arial" w:hAnsi="Arial" w:cs="Arial"/>
        </w:rPr>
        <w:t xml:space="preserve"> </w:t>
      </w:r>
      <w:proofErr w:type="spellStart"/>
      <w:r w:rsidRPr="002503CB">
        <w:rPr>
          <w:rFonts w:ascii="Arial" w:hAnsi="Arial" w:cs="Arial"/>
        </w:rPr>
        <w:t>su</w:t>
      </w:r>
      <w:proofErr w:type="spellEnd"/>
      <w:r w:rsidRPr="002503CB">
        <w:rPr>
          <w:rFonts w:ascii="Arial" w:hAnsi="Arial" w:cs="Arial"/>
        </w:rPr>
        <w:t xml:space="preserve"> u </w:t>
      </w:r>
      <w:proofErr w:type="spellStart"/>
      <w:r w:rsidRPr="002503CB">
        <w:rPr>
          <w:rFonts w:ascii="Arial" w:hAnsi="Arial" w:cs="Arial"/>
        </w:rPr>
        <w:t>sljedećoj</w:t>
      </w:r>
      <w:proofErr w:type="spellEnd"/>
      <w:r w:rsidRPr="002503CB">
        <w:rPr>
          <w:rFonts w:ascii="Arial" w:hAnsi="Arial" w:cs="Arial"/>
        </w:rPr>
        <w:t xml:space="preserve"> </w:t>
      </w:r>
      <w:proofErr w:type="spellStart"/>
      <w:r w:rsidRPr="002503CB">
        <w:rPr>
          <w:rFonts w:ascii="Arial" w:hAnsi="Arial" w:cs="Arial"/>
        </w:rPr>
        <w:t>tabeli</w:t>
      </w:r>
      <w:proofErr w:type="spellEnd"/>
      <w:r w:rsidRPr="002503CB">
        <w:rPr>
          <w:rFonts w:ascii="Arial" w:hAnsi="Arial" w:cs="Arial"/>
        </w:rPr>
        <w:t>:</w:t>
      </w: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P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tbl>
      <w:tblPr>
        <w:tblW w:w="6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636"/>
        <w:gridCol w:w="1624"/>
        <w:gridCol w:w="1921"/>
      </w:tblGrid>
      <w:tr w:rsidR="002503CB" w:rsidRPr="00714FCC" w:rsidTr="008C347B">
        <w:trPr>
          <w:trHeight w:val="244"/>
          <w:jc w:val="center"/>
        </w:trPr>
        <w:tc>
          <w:tcPr>
            <w:tcW w:w="1384" w:type="dxa"/>
            <w:vMerge w:val="restart"/>
            <w:tcBorders>
              <w:top w:val="single" w:sz="12" w:space="0" w:color="auto"/>
              <w:left w:val="single" w:sz="12" w:space="0" w:color="auto"/>
            </w:tcBorders>
            <w:shd w:val="clear" w:color="auto" w:fill="FFFFFF"/>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lastRenderedPageBreak/>
              <w:t>Tačka</w:t>
            </w:r>
          </w:p>
        </w:tc>
        <w:tc>
          <w:tcPr>
            <w:tcW w:w="3260" w:type="dxa"/>
            <w:gridSpan w:val="2"/>
            <w:tcBorders>
              <w:top w:val="single" w:sz="12" w:space="0" w:color="auto"/>
              <w:bottom w:val="single" w:sz="4" w:space="0" w:color="auto"/>
            </w:tcBorders>
            <w:shd w:val="clear" w:color="auto" w:fill="FFFFFF"/>
          </w:tcPr>
          <w:p w:rsidR="002503CB" w:rsidRPr="00714FCC" w:rsidRDefault="002503CB" w:rsidP="008C347B">
            <w:pPr>
              <w:spacing w:after="0"/>
              <w:jc w:val="center"/>
              <w:rPr>
                <w:rFonts w:ascii="Arial" w:hAnsi="Arial" w:cs="Arial"/>
                <w:b/>
              </w:rPr>
            </w:pPr>
            <w:proofErr w:type="spellStart"/>
            <w:r w:rsidRPr="00714FCC">
              <w:rPr>
                <w:rFonts w:ascii="Arial" w:hAnsi="Arial" w:cs="Arial"/>
                <w:b/>
              </w:rPr>
              <w:t>Koordinate</w:t>
            </w:r>
            <w:proofErr w:type="spellEnd"/>
          </w:p>
        </w:tc>
        <w:tc>
          <w:tcPr>
            <w:tcW w:w="1921" w:type="dxa"/>
            <w:vMerge w:val="restart"/>
            <w:tcBorders>
              <w:top w:val="single" w:sz="12" w:space="0" w:color="auto"/>
              <w:right w:val="single" w:sz="12" w:space="0" w:color="auto"/>
            </w:tcBorders>
            <w:shd w:val="clear" w:color="auto" w:fill="FFFFFF"/>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Površina (ha)</w:t>
            </w:r>
          </w:p>
        </w:tc>
      </w:tr>
      <w:tr w:rsidR="002503CB" w:rsidRPr="00714FCC" w:rsidTr="008C347B">
        <w:trPr>
          <w:trHeight w:val="272"/>
          <w:jc w:val="center"/>
        </w:trPr>
        <w:tc>
          <w:tcPr>
            <w:tcW w:w="1384" w:type="dxa"/>
            <w:vMerge/>
            <w:tcBorders>
              <w:left w:val="single" w:sz="12" w:space="0" w:color="auto"/>
              <w:bottom w:val="single" w:sz="12" w:space="0" w:color="auto"/>
            </w:tcBorders>
            <w:shd w:val="clear" w:color="auto" w:fill="FFFFFF"/>
          </w:tcPr>
          <w:p w:rsidR="002503CB" w:rsidRPr="00714FCC" w:rsidRDefault="002503CB" w:rsidP="008C347B">
            <w:pPr>
              <w:spacing w:after="0"/>
              <w:jc w:val="both"/>
              <w:rPr>
                <w:rFonts w:ascii="Arial" w:hAnsi="Arial" w:cs="Arial"/>
                <w:b/>
                <w:lang w:val="sr-Cyrl-CS"/>
              </w:rPr>
            </w:pPr>
          </w:p>
        </w:tc>
        <w:tc>
          <w:tcPr>
            <w:tcW w:w="1636" w:type="dxa"/>
            <w:tcBorders>
              <w:top w:val="single" w:sz="4" w:space="0" w:color="auto"/>
              <w:bottom w:val="single" w:sz="12" w:space="0" w:color="auto"/>
            </w:tcBorders>
            <w:shd w:val="clear" w:color="auto" w:fill="FFFFFF"/>
          </w:tcPr>
          <w:p w:rsidR="002503CB" w:rsidRPr="00714FCC" w:rsidRDefault="002503CB" w:rsidP="008C347B">
            <w:pPr>
              <w:spacing w:after="0"/>
              <w:jc w:val="both"/>
              <w:rPr>
                <w:rFonts w:ascii="Arial" w:hAnsi="Arial" w:cs="Arial"/>
                <w:b/>
              </w:rPr>
            </w:pPr>
          </w:p>
        </w:tc>
        <w:tc>
          <w:tcPr>
            <w:tcW w:w="1624" w:type="dxa"/>
            <w:tcBorders>
              <w:top w:val="single" w:sz="4" w:space="0" w:color="auto"/>
              <w:bottom w:val="single" w:sz="12" w:space="0" w:color="auto"/>
            </w:tcBorders>
            <w:shd w:val="clear" w:color="auto" w:fill="FFFFFF"/>
          </w:tcPr>
          <w:p w:rsidR="002503CB" w:rsidRPr="00714FCC" w:rsidRDefault="002503CB" w:rsidP="008C347B">
            <w:pPr>
              <w:spacing w:after="0"/>
              <w:jc w:val="both"/>
              <w:rPr>
                <w:rFonts w:ascii="Arial" w:hAnsi="Arial" w:cs="Arial"/>
                <w:b/>
              </w:rPr>
            </w:pPr>
          </w:p>
        </w:tc>
        <w:tc>
          <w:tcPr>
            <w:tcW w:w="1921" w:type="dxa"/>
            <w:vMerge/>
            <w:tcBorders>
              <w:bottom w:val="single" w:sz="12" w:space="0" w:color="auto"/>
              <w:right w:val="single" w:sz="12" w:space="0" w:color="auto"/>
            </w:tcBorders>
            <w:shd w:val="clear" w:color="auto" w:fill="FFFFFF"/>
          </w:tcPr>
          <w:p w:rsidR="002503CB" w:rsidRPr="00714FCC" w:rsidRDefault="002503CB" w:rsidP="008C347B">
            <w:pPr>
              <w:spacing w:after="0"/>
              <w:jc w:val="both"/>
              <w:rPr>
                <w:rFonts w:ascii="Arial" w:hAnsi="Arial" w:cs="Arial"/>
                <w:b/>
                <w:lang w:val="sr-Cyrl-CS"/>
              </w:rPr>
            </w:pPr>
          </w:p>
        </w:tc>
      </w:tr>
      <w:tr w:rsidR="002503CB" w:rsidRPr="00714FCC" w:rsidTr="008C347B">
        <w:trPr>
          <w:jc w:val="center"/>
        </w:trPr>
        <w:tc>
          <w:tcPr>
            <w:tcW w:w="1384" w:type="dxa"/>
            <w:tcBorders>
              <w:top w:val="single" w:sz="12" w:space="0" w:color="auto"/>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A</w:t>
            </w:r>
          </w:p>
        </w:tc>
        <w:tc>
          <w:tcPr>
            <w:tcW w:w="1636" w:type="dxa"/>
            <w:tcBorders>
              <w:top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4 739 420,00</w:t>
            </w:r>
          </w:p>
        </w:tc>
        <w:tc>
          <w:tcPr>
            <w:tcW w:w="1624" w:type="dxa"/>
            <w:tcBorders>
              <w:top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7 434 004,40</w:t>
            </w:r>
          </w:p>
        </w:tc>
        <w:tc>
          <w:tcPr>
            <w:tcW w:w="1921" w:type="dxa"/>
            <w:vMerge w:val="restart"/>
            <w:tcBorders>
              <w:top w:val="single" w:sz="12" w:space="0" w:color="auto"/>
              <w:right w:val="single" w:sz="12" w:space="0" w:color="auto"/>
            </w:tcBorders>
            <w:shd w:val="clear" w:color="auto" w:fill="auto"/>
          </w:tcPr>
          <w:p w:rsidR="002503CB" w:rsidRPr="00714FCC" w:rsidRDefault="002503CB" w:rsidP="008C347B">
            <w:pPr>
              <w:spacing w:after="0"/>
              <w:jc w:val="both"/>
              <w:rPr>
                <w:rFonts w:ascii="Arial" w:hAnsi="Arial" w:cs="Arial"/>
              </w:rPr>
            </w:pPr>
          </w:p>
          <w:p w:rsidR="002503CB" w:rsidRPr="00714FCC" w:rsidRDefault="002503CB" w:rsidP="008C347B">
            <w:pPr>
              <w:spacing w:after="0"/>
              <w:jc w:val="both"/>
              <w:rPr>
                <w:rFonts w:ascii="Arial" w:hAnsi="Arial" w:cs="Arial"/>
              </w:rPr>
            </w:pPr>
          </w:p>
          <w:p w:rsidR="002503CB" w:rsidRPr="00714FCC" w:rsidRDefault="002503CB" w:rsidP="008C347B">
            <w:pPr>
              <w:spacing w:after="0"/>
              <w:jc w:val="both"/>
              <w:rPr>
                <w:rFonts w:ascii="Arial" w:hAnsi="Arial" w:cs="Arial"/>
              </w:rPr>
            </w:pPr>
          </w:p>
          <w:p w:rsidR="002503CB" w:rsidRPr="00714FCC" w:rsidRDefault="002503CB" w:rsidP="008C347B">
            <w:pPr>
              <w:spacing w:after="0"/>
              <w:jc w:val="center"/>
              <w:rPr>
                <w:rFonts w:ascii="Arial" w:hAnsi="Arial" w:cs="Arial"/>
              </w:rPr>
            </w:pPr>
            <w:r w:rsidRPr="00714FCC">
              <w:rPr>
                <w:rFonts w:ascii="Arial" w:hAnsi="Arial" w:cs="Arial"/>
              </w:rPr>
              <w:t>11,</w:t>
            </w:r>
            <w:r>
              <w:rPr>
                <w:rFonts w:ascii="Arial" w:hAnsi="Arial" w:cs="Arial"/>
              </w:rPr>
              <w:t>1</w:t>
            </w:r>
            <w:r w:rsidRPr="00714FCC">
              <w:rPr>
                <w:rFonts w:ascii="Arial" w:hAnsi="Arial" w:cs="Arial"/>
              </w:rPr>
              <w:t>6</w:t>
            </w: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B</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4 739 420,00</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7 434 370,00</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C</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4 739 200,00</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7 434 550,00</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D</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4 739 014,32</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7 434 280,77</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E</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4 739 181,76</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7 434 197,81</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rPr>
            </w:pPr>
            <w:r w:rsidRPr="00714FCC">
              <w:rPr>
                <w:rFonts w:ascii="Arial" w:hAnsi="Arial" w:cs="Arial"/>
                <w:b/>
              </w:rPr>
              <w:t>F</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4 739 284,15</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7 434 133,33</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bottom w:val="single" w:sz="12" w:space="0" w:color="auto"/>
            </w:tcBorders>
          </w:tcPr>
          <w:p w:rsidR="002503CB" w:rsidRPr="00714FCC" w:rsidRDefault="002503CB" w:rsidP="008C347B">
            <w:pPr>
              <w:spacing w:after="0"/>
              <w:jc w:val="center"/>
              <w:rPr>
                <w:rFonts w:ascii="Arial" w:hAnsi="Arial" w:cs="Arial"/>
                <w:b/>
              </w:rPr>
            </w:pPr>
            <w:r w:rsidRPr="00714FCC">
              <w:rPr>
                <w:rFonts w:ascii="Arial" w:hAnsi="Arial" w:cs="Arial"/>
                <w:b/>
              </w:rPr>
              <w:t>G</w:t>
            </w:r>
          </w:p>
        </w:tc>
        <w:tc>
          <w:tcPr>
            <w:tcW w:w="1636" w:type="dxa"/>
            <w:tcBorders>
              <w:bottom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4 739 351,92</w:t>
            </w:r>
          </w:p>
        </w:tc>
        <w:tc>
          <w:tcPr>
            <w:tcW w:w="1624" w:type="dxa"/>
            <w:tcBorders>
              <w:bottom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7 434 073,32</w:t>
            </w:r>
          </w:p>
        </w:tc>
        <w:tc>
          <w:tcPr>
            <w:tcW w:w="1921" w:type="dxa"/>
            <w:vMerge/>
            <w:tcBorders>
              <w:bottom w:val="single" w:sz="12" w:space="0" w:color="auto"/>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bl>
    <w:p w:rsidR="002503CB" w:rsidRPr="00AA49F6" w:rsidRDefault="002503CB" w:rsidP="002503CB">
      <w:pPr>
        <w:spacing w:after="0"/>
        <w:ind w:right="144"/>
        <w:rPr>
          <w:rFonts w:ascii="Arial" w:hAnsi="Arial" w:cs="Arial"/>
        </w:rPr>
      </w:pPr>
    </w:p>
    <w:p w:rsidR="002503CB" w:rsidRPr="00911CC8" w:rsidRDefault="002503CB" w:rsidP="002503CB">
      <w:pPr>
        <w:spacing w:after="0"/>
        <w:jc w:val="both"/>
        <w:rPr>
          <w:rFonts w:ascii="Arial" w:hAnsi="Arial" w:cs="Arial"/>
        </w:rPr>
      </w:pPr>
    </w:p>
    <w:p w:rsidR="002503CB" w:rsidRPr="00911CC8" w:rsidRDefault="002503CB" w:rsidP="002503CB">
      <w:pPr>
        <w:pStyle w:val="Heading1"/>
        <w:numPr>
          <w:ilvl w:val="0"/>
          <w:numId w:val="0"/>
        </w:numPr>
        <w:spacing w:before="0" w:after="120"/>
        <w:jc w:val="both"/>
        <w:rPr>
          <w:rFonts w:ascii="Arial" w:hAnsi="Arial" w:cs="Arial"/>
          <w:color w:val="auto"/>
          <w:sz w:val="22"/>
          <w:szCs w:val="22"/>
        </w:rPr>
      </w:pPr>
      <w:bookmarkStart w:id="0" w:name="_Toc215215737"/>
      <w:bookmarkStart w:id="1" w:name="_Toc218963412"/>
      <w:r w:rsidRPr="00911CC8">
        <w:rPr>
          <w:rFonts w:ascii="Arial" w:hAnsi="Arial" w:cs="Arial"/>
          <w:color w:val="auto"/>
          <w:sz w:val="22"/>
          <w:szCs w:val="22"/>
        </w:rPr>
        <w:t>3.      Osnovni elementi Koncesionog akta</w:t>
      </w:r>
    </w:p>
    <w:p w:rsidR="002503CB" w:rsidRDefault="002503CB" w:rsidP="002503CB">
      <w:pPr>
        <w:spacing w:after="120"/>
        <w:jc w:val="both"/>
        <w:rPr>
          <w:rFonts w:ascii="Arial" w:hAnsi="Arial" w:cs="Arial"/>
        </w:rPr>
      </w:pPr>
      <w:r w:rsidRPr="00911CC8">
        <w:rPr>
          <w:rFonts w:ascii="Arial" w:hAnsi="Arial" w:cs="Arial"/>
        </w:rPr>
        <w:t xml:space="preserve">Koncesioni akt o </w:t>
      </w:r>
      <w:r>
        <w:rPr>
          <w:rFonts w:ascii="Arial" w:hAnsi="Arial" w:cs="Arial"/>
        </w:rPr>
        <w:t>mineralnoj sirovini tehničko-građevinskog kamena na ležištu „Krš“ – Kaluđerski laz, opština Rožaje</w:t>
      </w:r>
      <w:r w:rsidRPr="00911CC8">
        <w:rPr>
          <w:rFonts w:ascii="Arial" w:hAnsi="Arial" w:cs="Arial"/>
        </w:rPr>
        <w:t xml:space="preserve"> (u daljem tekstu: Koncesioni akt) je osnovni dokument, na osnovu kojeg se pokreće postupak dodjele koncesije, a koji je Vlada Crne Gore usvojila na sjednici od _________201</w:t>
      </w:r>
      <w:r>
        <w:rPr>
          <w:rFonts w:ascii="Arial" w:hAnsi="Arial" w:cs="Arial"/>
        </w:rPr>
        <w:t>_</w:t>
      </w:r>
      <w:r w:rsidRPr="00911CC8">
        <w:rPr>
          <w:rFonts w:ascii="Arial" w:hAnsi="Arial" w:cs="Arial"/>
        </w:rPr>
        <w:t xml:space="preserve">.  godine. Koncesioni akt definiše, odnosno sadrži: predmet koncesije, tehnički izvještaj o ležištima  „Blok br. 4“, rok trajanja koncesije, osnovne parametre za ocjenu opravdanosti investicije, mjere za </w:t>
      </w:r>
      <w:proofErr w:type="spellStart"/>
      <w:r w:rsidRPr="00911CC8">
        <w:rPr>
          <w:rFonts w:ascii="Arial" w:hAnsi="Arial" w:cs="Arial"/>
        </w:rPr>
        <w:t>zaštitu</w:t>
      </w:r>
      <w:proofErr w:type="spellEnd"/>
      <w:r w:rsidRPr="00911CC8">
        <w:rPr>
          <w:rFonts w:ascii="Arial" w:hAnsi="Arial" w:cs="Arial"/>
        </w:rPr>
        <w:t xml:space="preserve"> </w:t>
      </w:r>
      <w:proofErr w:type="spellStart"/>
      <w:r w:rsidRPr="00911CC8">
        <w:rPr>
          <w:rFonts w:ascii="Arial" w:hAnsi="Arial" w:cs="Arial"/>
        </w:rPr>
        <w:t>životne</w:t>
      </w:r>
      <w:proofErr w:type="spellEnd"/>
      <w:r w:rsidRPr="00911CC8">
        <w:rPr>
          <w:rFonts w:ascii="Arial" w:hAnsi="Arial" w:cs="Arial"/>
        </w:rPr>
        <w:t xml:space="preserve"> </w:t>
      </w:r>
      <w:proofErr w:type="spellStart"/>
      <w:r w:rsidRPr="00911CC8">
        <w:rPr>
          <w:rFonts w:ascii="Arial" w:hAnsi="Arial" w:cs="Arial"/>
        </w:rPr>
        <w:t>sredine</w:t>
      </w:r>
      <w:proofErr w:type="spellEnd"/>
      <w:r w:rsidRPr="00911CC8">
        <w:rPr>
          <w:rFonts w:ascii="Arial" w:hAnsi="Arial" w:cs="Arial"/>
        </w:rPr>
        <w:t xml:space="preserve">, </w:t>
      </w:r>
      <w:proofErr w:type="spellStart"/>
      <w:r w:rsidRPr="00911CC8">
        <w:rPr>
          <w:rFonts w:ascii="Arial" w:hAnsi="Arial" w:cs="Arial"/>
        </w:rPr>
        <w:t>opis</w:t>
      </w:r>
      <w:proofErr w:type="spellEnd"/>
      <w:r w:rsidRPr="00911CC8">
        <w:rPr>
          <w:rFonts w:ascii="Arial" w:hAnsi="Arial" w:cs="Arial"/>
        </w:rPr>
        <w:t xml:space="preserve"> </w:t>
      </w:r>
      <w:proofErr w:type="spellStart"/>
      <w:r w:rsidRPr="00911CC8">
        <w:rPr>
          <w:rFonts w:ascii="Arial" w:hAnsi="Arial" w:cs="Arial"/>
        </w:rPr>
        <w:t>postupka</w:t>
      </w:r>
      <w:proofErr w:type="spellEnd"/>
      <w:r w:rsidRPr="00911CC8">
        <w:rPr>
          <w:rFonts w:ascii="Arial" w:hAnsi="Arial" w:cs="Arial"/>
        </w:rPr>
        <w:t xml:space="preserve"> </w:t>
      </w:r>
      <w:proofErr w:type="spellStart"/>
      <w:r w:rsidRPr="00911CC8">
        <w:rPr>
          <w:rFonts w:ascii="Arial" w:hAnsi="Arial" w:cs="Arial"/>
        </w:rPr>
        <w:t>rekultivacije</w:t>
      </w:r>
      <w:proofErr w:type="spellEnd"/>
      <w:r w:rsidRPr="00911CC8">
        <w:rPr>
          <w:rFonts w:ascii="Arial" w:hAnsi="Arial" w:cs="Arial"/>
        </w:rPr>
        <w:t xml:space="preserve">, </w:t>
      </w:r>
      <w:proofErr w:type="spellStart"/>
      <w:r w:rsidRPr="00911CC8">
        <w:rPr>
          <w:rFonts w:ascii="Arial" w:hAnsi="Arial" w:cs="Arial"/>
        </w:rPr>
        <w:t>unapr</w:t>
      </w:r>
      <w:r w:rsidR="00C16F83">
        <w:rPr>
          <w:rFonts w:ascii="Arial" w:hAnsi="Arial" w:cs="Arial"/>
        </w:rPr>
        <w:t>j</w:t>
      </w:r>
      <w:r w:rsidRPr="00911CC8">
        <w:rPr>
          <w:rFonts w:ascii="Arial" w:hAnsi="Arial" w:cs="Arial"/>
        </w:rPr>
        <w:t>eđenje</w:t>
      </w:r>
      <w:proofErr w:type="spellEnd"/>
      <w:r w:rsidRPr="00911CC8">
        <w:rPr>
          <w:rFonts w:ascii="Arial" w:hAnsi="Arial" w:cs="Arial"/>
        </w:rPr>
        <w:t xml:space="preserve"> </w:t>
      </w:r>
      <w:proofErr w:type="spellStart"/>
      <w:r w:rsidRPr="00911CC8">
        <w:rPr>
          <w:rFonts w:ascii="Arial" w:hAnsi="Arial" w:cs="Arial"/>
        </w:rPr>
        <w:t>eneregetske</w:t>
      </w:r>
      <w:proofErr w:type="spellEnd"/>
      <w:r w:rsidRPr="00911CC8">
        <w:rPr>
          <w:rFonts w:ascii="Arial" w:hAnsi="Arial" w:cs="Arial"/>
        </w:rPr>
        <w:t xml:space="preserve"> </w:t>
      </w:r>
      <w:proofErr w:type="spellStart"/>
      <w:r w:rsidRPr="00911CC8">
        <w:rPr>
          <w:rFonts w:ascii="Arial" w:hAnsi="Arial" w:cs="Arial"/>
        </w:rPr>
        <w:t>efikasnosti</w:t>
      </w:r>
      <w:proofErr w:type="spellEnd"/>
      <w:r w:rsidRPr="00911CC8">
        <w:rPr>
          <w:rFonts w:ascii="Arial" w:hAnsi="Arial" w:cs="Arial"/>
        </w:rPr>
        <w:t xml:space="preserve">, </w:t>
      </w:r>
      <w:proofErr w:type="spellStart"/>
      <w:r w:rsidRPr="00911CC8">
        <w:rPr>
          <w:rFonts w:ascii="Arial" w:hAnsi="Arial" w:cs="Arial"/>
        </w:rPr>
        <w:t>minimalni</w:t>
      </w:r>
      <w:proofErr w:type="spellEnd"/>
      <w:r w:rsidRPr="00911CC8">
        <w:rPr>
          <w:rFonts w:ascii="Arial" w:hAnsi="Arial" w:cs="Arial"/>
        </w:rPr>
        <w:t xml:space="preserve"> </w:t>
      </w:r>
      <w:proofErr w:type="spellStart"/>
      <w:r w:rsidRPr="00911CC8">
        <w:rPr>
          <w:rFonts w:ascii="Arial" w:hAnsi="Arial" w:cs="Arial"/>
        </w:rPr>
        <w:t>početni</w:t>
      </w:r>
      <w:proofErr w:type="spellEnd"/>
      <w:r w:rsidRPr="00911CC8">
        <w:rPr>
          <w:rFonts w:ascii="Arial" w:hAnsi="Arial" w:cs="Arial"/>
        </w:rPr>
        <w:t xml:space="preserve"> iznos koncesione naknade, kriterijume za izbor najpovoljnije ponude, spisak potrebne tehničke dokumentacije sa uslovima za njenu izradu, osnovne elemente tenderske dokumentacije i spisak propisa koji su primenjuju u postupku davanja koncesije i vršenja koncesione djelatnosti.</w:t>
      </w:r>
    </w:p>
    <w:p w:rsidR="002503CB" w:rsidRPr="00911CC8" w:rsidRDefault="002503CB" w:rsidP="002503CB">
      <w:pPr>
        <w:spacing w:after="120"/>
        <w:jc w:val="both"/>
        <w:rPr>
          <w:rFonts w:ascii="Arial" w:hAnsi="Arial" w:cs="Arial"/>
        </w:rPr>
      </w:pPr>
    </w:p>
    <w:p w:rsidR="002503CB" w:rsidRPr="00911CC8" w:rsidRDefault="002503CB" w:rsidP="002503CB">
      <w:pPr>
        <w:pStyle w:val="Heading3"/>
        <w:numPr>
          <w:ilvl w:val="0"/>
          <w:numId w:val="0"/>
        </w:numPr>
        <w:spacing w:before="0" w:after="120"/>
        <w:jc w:val="both"/>
        <w:rPr>
          <w:rFonts w:ascii="Arial" w:hAnsi="Arial" w:cs="Arial"/>
          <w:sz w:val="22"/>
          <w:szCs w:val="22"/>
        </w:rPr>
      </w:pPr>
      <w:r w:rsidRPr="00911CC8">
        <w:rPr>
          <w:rFonts w:ascii="Arial" w:hAnsi="Arial" w:cs="Arial"/>
          <w:sz w:val="22"/>
          <w:szCs w:val="22"/>
        </w:rPr>
        <w:t>4.       Pravila i kriterijumi za učešće na Javnom oglasu</w:t>
      </w:r>
    </w:p>
    <w:p w:rsidR="002503CB" w:rsidRPr="00911CC8" w:rsidRDefault="002503CB" w:rsidP="002503CB">
      <w:pPr>
        <w:spacing w:after="120"/>
        <w:jc w:val="both"/>
        <w:rPr>
          <w:rFonts w:ascii="Arial" w:hAnsi="Arial" w:cs="Arial"/>
        </w:rPr>
      </w:pPr>
      <w:r w:rsidRPr="00911CC8">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rsidR="002503CB" w:rsidRPr="00911CC8" w:rsidRDefault="002503CB" w:rsidP="002503CB">
      <w:pPr>
        <w:spacing w:after="120"/>
        <w:jc w:val="both"/>
        <w:rPr>
          <w:rFonts w:ascii="Arial" w:hAnsi="Arial" w:cs="Arial"/>
        </w:rPr>
      </w:pPr>
      <w:r w:rsidRPr="00911CC8">
        <w:rPr>
          <w:rFonts w:ascii="Arial" w:hAnsi="Arial" w:cs="Arial"/>
        </w:rPr>
        <w:t>Pravo učešća na javnom nadmetanju za dodjelu Ugovora o koncesiji za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rsidR="002503CB" w:rsidRPr="00911CC8" w:rsidRDefault="002503CB" w:rsidP="002503CB">
      <w:pPr>
        <w:spacing w:after="120"/>
        <w:jc w:val="both"/>
        <w:rPr>
          <w:rFonts w:ascii="Arial" w:hAnsi="Arial" w:cs="Arial"/>
        </w:rPr>
      </w:pPr>
      <w:r w:rsidRPr="00911CC8">
        <w:rPr>
          <w:rFonts w:ascii="Arial" w:hAnsi="Arial" w:cs="Arial"/>
        </w:rPr>
        <w:t>Shodno članu 23 Zakona o koncesijama nepodobni da učestvuju na javnom nadmetanju za dodjelu ugovora o koncesiji su:</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preduzetnici i fizička lica koja su pravosnažnom presudom osuđena za krivično djelo izvršeno u vršenju profesionalne djelatnosti;</w:t>
      </w:r>
    </w:p>
    <w:p w:rsidR="002503CB" w:rsidRPr="002503CB" w:rsidRDefault="002503CB" w:rsidP="002503CB">
      <w:pPr>
        <w:pStyle w:val="ListParagraph"/>
        <w:numPr>
          <w:ilvl w:val="0"/>
          <w:numId w:val="5"/>
        </w:numPr>
        <w:rPr>
          <w:rFonts w:ascii="Arial" w:hAnsi="Arial" w:cs="Arial"/>
          <w:sz w:val="22"/>
        </w:rPr>
      </w:pPr>
      <w:r w:rsidRPr="002503CB">
        <w:rPr>
          <w:rFonts w:ascii="Arial" w:hAnsi="Arial" w:cs="Arial"/>
          <w:sz w:val="22"/>
        </w:rPr>
        <w:t>privredna društva, druga pravna lica, preduzetnici i fizička lica koja imaju neizmirene poreske obaveze I obaveze po osnovu kazni izrečenih u krivičnom ili prekršajnom postupku, u periodu od najmanje tri godine prije objavljivanja javnog oglasa.</w:t>
      </w:r>
    </w:p>
    <w:p w:rsidR="002503CB" w:rsidRPr="00911CC8" w:rsidRDefault="002503CB" w:rsidP="002503CB">
      <w:pPr>
        <w:spacing w:after="120"/>
        <w:jc w:val="both"/>
        <w:rPr>
          <w:rFonts w:ascii="Arial" w:hAnsi="Arial" w:cs="Arial"/>
          <w:b/>
        </w:rPr>
      </w:pPr>
      <w:r w:rsidRPr="00911CC8">
        <w:rPr>
          <w:rFonts w:ascii="Arial" w:hAnsi="Arial" w:cs="Arial"/>
          <w:b/>
        </w:rPr>
        <w:t>5.      Kriterijumi za izbor najpovoljnije ponude</w:t>
      </w:r>
    </w:p>
    <w:p w:rsidR="002503CB" w:rsidRDefault="002503CB" w:rsidP="002503CB">
      <w:pPr>
        <w:spacing w:after="120"/>
        <w:jc w:val="both"/>
        <w:rPr>
          <w:rFonts w:ascii="Arial" w:hAnsi="Arial" w:cs="Arial"/>
        </w:rPr>
      </w:pPr>
      <w:r w:rsidRPr="00911CC8">
        <w:rPr>
          <w:rFonts w:ascii="Arial" w:hAnsi="Arial" w:cs="Arial"/>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90"/>
        <w:gridCol w:w="1638"/>
      </w:tblGrid>
      <w:tr w:rsidR="002503CB" w:rsidRPr="00714FCC" w:rsidTr="008C347B">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bookmarkStart w:id="2" w:name="_Toc390549916"/>
            <w:bookmarkStart w:id="3" w:name="_Toc402262962"/>
            <w:r w:rsidRPr="00714FCC">
              <w:rPr>
                <w:rFonts w:ascii="Arial" w:hAnsi="Arial" w:cs="Arial"/>
                <w:b/>
                <w:lang w:val="sr-Latn-CS"/>
              </w:rPr>
              <w:lastRenderedPageBreak/>
              <w:t>R.B.</w:t>
            </w:r>
          </w:p>
        </w:tc>
        <w:tc>
          <w:tcPr>
            <w:tcW w:w="7290"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Broj bodova</w:t>
            </w:r>
          </w:p>
        </w:tc>
      </w:tr>
      <w:tr w:rsidR="002503CB" w:rsidRPr="00714FCC" w:rsidTr="008C347B">
        <w:tc>
          <w:tcPr>
            <w:tcW w:w="648" w:type="dxa"/>
            <w:tcBorders>
              <w:top w:val="single" w:sz="12" w:space="0" w:color="auto"/>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1</w:t>
            </w:r>
          </w:p>
        </w:tc>
        <w:tc>
          <w:tcPr>
            <w:tcW w:w="7290" w:type="dxa"/>
            <w:tcBorders>
              <w:top w:val="single" w:sz="12" w:space="0" w:color="auto"/>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40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2</w:t>
            </w:r>
          </w:p>
        </w:tc>
        <w:tc>
          <w:tcPr>
            <w:tcW w:w="7290" w:type="dxa"/>
            <w:tcBorders>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Ponuđeni obim godišnje rudarske proizvodnje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20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3</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Reference ponuđača</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20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4</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Finansijski aspekt-prosječni bruto prihod u posljednje tri godine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5</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5</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Finansijski aspekt-prosječni profit u posljednje tri godine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5</w:t>
            </w:r>
          </w:p>
        </w:tc>
      </w:tr>
      <w:tr w:rsidR="002503CB" w:rsidRPr="00714FCC" w:rsidTr="008C347B">
        <w:tc>
          <w:tcPr>
            <w:tcW w:w="648"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6</w:t>
            </w:r>
          </w:p>
        </w:tc>
        <w:tc>
          <w:tcPr>
            <w:tcW w:w="7290"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Kvalitet poslovnog plana i efekti na zapošljavanje i ekononomski razvoj</w:t>
            </w:r>
          </w:p>
        </w:tc>
        <w:tc>
          <w:tcPr>
            <w:tcW w:w="1638"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10</w:t>
            </w:r>
          </w:p>
        </w:tc>
      </w:tr>
      <w:bookmarkEnd w:id="2"/>
      <w:bookmarkEnd w:id="3"/>
    </w:tbl>
    <w:p w:rsidR="002503CB" w:rsidRPr="00911CC8" w:rsidRDefault="002503CB" w:rsidP="002503CB">
      <w:pPr>
        <w:spacing w:after="120"/>
        <w:jc w:val="both"/>
        <w:rPr>
          <w:rFonts w:ascii="Arial" w:hAnsi="Arial" w:cs="Arial"/>
        </w:rPr>
      </w:pPr>
    </w:p>
    <w:bookmarkEnd w:id="0"/>
    <w:bookmarkEnd w:id="1"/>
    <w:p w:rsidR="002503CB" w:rsidRPr="00911CC8" w:rsidRDefault="002503CB" w:rsidP="002503CB">
      <w:pPr>
        <w:spacing w:after="120"/>
        <w:jc w:val="both"/>
        <w:rPr>
          <w:rFonts w:ascii="Arial" w:hAnsi="Arial" w:cs="Arial"/>
          <w:b/>
        </w:rPr>
      </w:pPr>
      <w:r w:rsidRPr="00911CC8">
        <w:rPr>
          <w:rFonts w:ascii="Arial" w:hAnsi="Arial" w:cs="Arial"/>
          <w:b/>
        </w:rPr>
        <w:t>6.       Tenderska dokumentacija</w:t>
      </w:r>
    </w:p>
    <w:p w:rsidR="002503CB" w:rsidRDefault="002503CB" w:rsidP="002503CB">
      <w:pPr>
        <w:spacing w:after="0"/>
        <w:jc w:val="both"/>
        <w:rPr>
          <w:rFonts w:ascii="Arial" w:hAnsi="Arial" w:cs="Arial"/>
        </w:rPr>
      </w:pPr>
      <w:r w:rsidRPr="00911CC8">
        <w:rPr>
          <w:rFonts w:ascii="Arial" w:hAnsi="Arial" w:cs="Arial"/>
        </w:rPr>
        <w:t>Tendersku dokumentaciju čine Javni oglas, Koncesioni akt, Uputstvo za podnošenje ponuda, Nacrt ugovora o koncesiji, sa svim pripadajućim prilozima i obrascima.</w:t>
      </w:r>
    </w:p>
    <w:p w:rsidR="002503CB" w:rsidRPr="00911CC8" w:rsidRDefault="002503CB" w:rsidP="002503CB">
      <w:pPr>
        <w:spacing w:after="0"/>
        <w:jc w:val="both"/>
        <w:rPr>
          <w:rFonts w:ascii="Arial" w:hAnsi="Arial" w:cs="Arial"/>
        </w:rPr>
      </w:pPr>
    </w:p>
    <w:p w:rsidR="002503CB" w:rsidRPr="00911CC8" w:rsidRDefault="002503CB" w:rsidP="002503CB">
      <w:pPr>
        <w:spacing w:after="120"/>
        <w:jc w:val="both"/>
        <w:rPr>
          <w:rFonts w:ascii="Arial" w:hAnsi="Arial" w:cs="Arial"/>
        </w:rPr>
      </w:pPr>
      <w:r w:rsidRPr="00911CC8">
        <w:rPr>
          <w:rFonts w:ascii="Arial" w:hAnsi="Arial" w:cs="Arial"/>
        </w:rPr>
        <w:t xml:space="preserve">Tenderska dokumentacija je javno dostupna na internet stranici Ministarstva ekonomije </w:t>
      </w:r>
      <w:hyperlink r:id="rId7" w:history="1">
        <w:r w:rsidRPr="00911CC8">
          <w:rPr>
            <w:rStyle w:val="Hyperlink"/>
            <w:rFonts w:ascii="Arial" w:hAnsi="Arial" w:cs="Arial"/>
          </w:rPr>
          <w:t>www.mek.gov.me</w:t>
        </w:r>
      </w:hyperlink>
      <w:r w:rsidRPr="00911CC8">
        <w:rPr>
          <w:rFonts w:ascii="Arial" w:hAnsi="Arial" w:cs="Arial"/>
        </w:rPr>
        <w:t xml:space="preserve"> </w:t>
      </w:r>
    </w:p>
    <w:p w:rsidR="002503CB" w:rsidRPr="00911CC8" w:rsidRDefault="002503CB" w:rsidP="002503CB">
      <w:pPr>
        <w:spacing w:after="120"/>
        <w:jc w:val="both"/>
        <w:rPr>
          <w:rFonts w:ascii="Arial" w:hAnsi="Arial" w:cs="Arial"/>
        </w:rPr>
      </w:pPr>
      <w:r w:rsidRPr="00911CC8">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rsidR="002503CB" w:rsidRPr="00911CC8" w:rsidRDefault="002503CB" w:rsidP="002503CB">
      <w:pPr>
        <w:spacing w:after="120"/>
        <w:jc w:val="both"/>
        <w:rPr>
          <w:rFonts w:ascii="Arial" w:hAnsi="Arial" w:cs="Arial"/>
          <w:b/>
        </w:rPr>
      </w:pPr>
      <w:r w:rsidRPr="00911CC8">
        <w:rPr>
          <w:rFonts w:ascii="Arial" w:hAnsi="Arial" w:cs="Arial"/>
          <w:b/>
        </w:rPr>
        <w:t>7.       Bankarska garancije ponude</w:t>
      </w:r>
    </w:p>
    <w:p w:rsidR="002503CB" w:rsidRPr="00911CC8" w:rsidRDefault="002503CB" w:rsidP="002503CB">
      <w:pPr>
        <w:spacing w:after="0"/>
        <w:jc w:val="both"/>
        <w:rPr>
          <w:rFonts w:ascii="Arial" w:hAnsi="Arial" w:cs="Arial"/>
        </w:rPr>
      </w:pPr>
      <w:r w:rsidRPr="00911CC8">
        <w:rPr>
          <w:rFonts w:ascii="Arial" w:hAnsi="Arial" w:cs="Arial"/>
        </w:rPr>
        <w:t xml:space="preserve">Kao dokaz objezbjeđenja ponude prilaže se bankarska garancija ponude na iznos od 5.000,00 € (slovima: </w:t>
      </w:r>
      <w:r>
        <w:rPr>
          <w:rFonts w:ascii="Arial" w:hAnsi="Arial" w:cs="Arial"/>
        </w:rPr>
        <w:t>pet hiljada</w:t>
      </w:r>
      <w:r w:rsidRPr="00911CC8">
        <w:rPr>
          <w:rFonts w:ascii="Arial" w:hAnsi="Arial" w:cs="Arial"/>
        </w:rPr>
        <w:t xml:space="preserve"> eura), plativa na prvi poziv, bez prava prigovora, u formi datoj u Uputstvu.</w:t>
      </w:r>
    </w:p>
    <w:p w:rsidR="002503CB" w:rsidRPr="00911CC8" w:rsidRDefault="002503CB" w:rsidP="002503CB">
      <w:pPr>
        <w:spacing w:after="120"/>
        <w:jc w:val="both"/>
        <w:rPr>
          <w:rFonts w:ascii="Arial" w:hAnsi="Arial" w:cs="Arial"/>
        </w:rPr>
      </w:pPr>
      <w:r w:rsidRPr="00911CC8">
        <w:rPr>
          <w:rFonts w:ascii="Arial" w:hAnsi="Arial" w:cs="Arial"/>
        </w:rPr>
        <w:t>Bankarska garancija ponude mora imati rok važenja najmanje 4 mjeseca od datuma zatvaranja roka za podnošenje ponuda.</w:t>
      </w:r>
    </w:p>
    <w:p w:rsidR="002503CB" w:rsidRPr="00911CC8" w:rsidRDefault="002503CB" w:rsidP="002503CB">
      <w:pPr>
        <w:spacing w:after="120"/>
        <w:jc w:val="both"/>
        <w:rPr>
          <w:rFonts w:ascii="Arial" w:hAnsi="Arial" w:cs="Arial"/>
          <w:b/>
        </w:rPr>
      </w:pPr>
      <w:r w:rsidRPr="00911CC8">
        <w:rPr>
          <w:rFonts w:ascii="Arial" w:hAnsi="Arial" w:cs="Arial"/>
          <w:b/>
        </w:rPr>
        <w:t xml:space="preserve">8.      Rok za podnošenje ponuda,povlačenje ponuda i javno otvaranje </w:t>
      </w:r>
    </w:p>
    <w:p w:rsidR="002503CB" w:rsidRDefault="002503CB" w:rsidP="002503CB">
      <w:pPr>
        <w:spacing w:after="0"/>
        <w:jc w:val="both"/>
        <w:rPr>
          <w:rFonts w:ascii="Arial" w:hAnsi="Arial" w:cs="Arial"/>
        </w:rPr>
      </w:pPr>
      <w:r w:rsidRPr="00911CC8">
        <w:rPr>
          <w:rFonts w:ascii="Arial" w:hAnsi="Arial" w:cs="Arial"/>
        </w:rPr>
        <w:t xml:space="preserve">Rok za podnošenje ponuda po Javnom oglasu je  </w:t>
      </w:r>
      <w:r>
        <w:rPr>
          <w:rFonts w:ascii="Arial" w:hAnsi="Arial" w:cs="Arial"/>
        </w:rPr>
        <w:t>______ dana od dana objavljivanja u „Službenom listu Crne Gore“, do ____ časova, po lokalnom vremenu.</w:t>
      </w:r>
    </w:p>
    <w:p w:rsidR="002503CB" w:rsidRPr="00911CC8" w:rsidRDefault="002503CB" w:rsidP="002503CB">
      <w:pPr>
        <w:spacing w:after="0"/>
        <w:jc w:val="both"/>
        <w:rPr>
          <w:rFonts w:ascii="Arial" w:hAnsi="Arial" w:cs="Arial"/>
        </w:rPr>
      </w:pPr>
    </w:p>
    <w:p w:rsidR="002503CB" w:rsidRPr="00911CC8" w:rsidRDefault="002503CB" w:rsidP="002503CB">
      <w:pPr>
        <w:spacing w:after="0"/>
        <w:jc w:val="both"/>
        <w:rPr>
          <w:rFonts w:ascii="Arial" w:hAnsi="Arial" w:cs="Arial"/>
        </w:rPr>
      </w:pPr>
      <w:r w:rsidRPr="00911CC8">
        <w:rPr>
          <w:rFonts w:ascii="Arial" w:hAnsi="Arial" w:cs="Arial"/>
        </w:rPr>
        <w:t>Ponude moraju biti poslate preporučenom poštom ili lično dostavljene na sljedeću adresu:</w:t>
      </w:r>
    </w:p>
    <w:p w:rsidR="002503CB" w:rsidRPr="00911CC8" w:rsidRDefault="002503CB" w:rsidP="002503CB">
      <w:pPr>
        <w:spacing w:after="0"/>
        <w:jc w:val="both"/>
        <w:rPr>
          <w:rFonts w:ascii="Arial" w:hAnsi="Arial" w:cs="Arial"/>
        </w:rPr>
      </w:pPr>
      <w:r w:rsidRPr="00911CC8">
        <w:rPr>
          <w:rFonts w:ascii="Arial" w:hAnsi="Arial" w:cs="Arial"/>
        </w:rPr>
        <w:t>Ministarstvo ekonomije</w:t>
      </w:r>
    </w:p>
    <w:p w:rsidR="002503CB" w:rsidRPr="00911CC8" w:rsidRDefault="002503CB" w:rsidP="002503CB">
      <w:pPr>
        <w:spacing w:after="0"/>
        <w:jc w:val="both"/>
        <w:rPr>
          <w:rFonts w:ascii="Arial" w:hAnsi="Arial" w:cs="Arial"/>
        </w:rPr>
      </w:pPr>
      <w:r w:rsidRPr="00911CC8">
        <w:rPr>
          <w:rFonts w:ascii="Arial" w:hAnsi="Arial" w:cs="Arial"/>
        </w:rPr>
        <w:t>Rimski trg 46</w:t>
      </w:r>
    </w:p>
    <w:p w:rsidR="002503CB" w:rsidRPr="00911CC8" w:rsidRDefault="002503CB" w:rsidP="002503CB">
      <w:pPr>
        <w:spacing w:after="0"/>
        <w:jc w:val="both"/>
        <w:rPr>
          <w:rFonts w:ascii="Arial" w:hAnsi="Arial" w:cs="Arial"/>
        </w:rPr>
      </w:pPr>
      <w:r w:rsidRPr="00911CC8">
        <w:rPr>
          <w:rFonts w:ascii="Arial" w:hAnsi="Arial" w:cs="Arial"/>
        </w:rPr>
        <w:t>81 000 Podgorica</w:t>
      </w:r>
    </w:p>
    <w:p w:rsidR="002503CB" w:rsidRPr="00911CC8" w:rsidRDefault="002503CB" w:rsidP="002503CB">
      <w:pPr>
        <w:spacing w:after="0"/>
        <w:jc w:val="both"/>
        <w:rPr>
          <w:rFonts w:ascii="Arial" w:hAnsi="Arial" w:cs="Arial"/>
        </w:rPr>
      </w:pPr>
      <w:r w:rsidRPr="00911CC8">
        <w:rPr>
          <w:rFonts w:ascii="Arial" w:hAnsi="Arial" w:cs="Arial"/>
        </w:rPr>
        <w:t>Crna Gora</w:t>
      </w:r>
    </w:p>
    <w:p w:rsidR="002503CB" w:rsidRPr="00911CC8" w:rsidRDefault="002503CB" w:rsidP="002503CB">
      <w:pPr>
        <w:spacing w:after="0"/>
        <w:jc w:val="both"/>
        <w:rPr>
          <w:rFonts w:ascii="Arial" w:hAnsi="Arial" w:cs="Arial"/>
        </w:rPr>
      </w:pPr>
    </w:p>
    <w:p w:rsidR="002503CB" w:rsidRPr="00911CC8" w:rsidRDefault="002503CB" w:rsidP="002503CB">
      <w:pPr>
        <w:spacing w:after="120"/>
        <w:jc w:val="both"/>
        <w:rPr>
          <w:rFonts w:ascii="Arial" w:hAnsi="Arial" w:cs="Arial"/>
        </w:rPr>
      </w:pPr>
      <w:r w:rsidRPr="00911CC8">
        <w:rPr>
          <w:rFonts w:ascii="Arial" w:hAnsi="Arial" w:cs="Arial"/>
        </w:rPr>
        <w:t>Predajom ponude se podrazumijeva fizički prijem iste od strane arhive Ministarstva. Bilo koja ponuda dostavljena drugim sredstvima (kao što su e-mail, faks, itd), koja su drugačija od onih prethodno opisanih neće biti razmatrana.</w:t>
      </w:r>
    </w:p>
    <w:p w:rsidR="002503CB" w:rsidRDefault="002503CB" w:rsidP="002503CB">
      <w:pPr>
        <w:spacing w:after="0"/>
        <w:jc w:val="both"/>
        <w:rPr>
          <w:rFonts w:ascii="Arial" w:hAnsi="Arial" w:cs="Arial"/>
        </w:rPr>
      </w:pPr>
      <w:r w:rsidRPr="00911CC8">
        <w:rPr>
          <w:rFonts w:ascii="Arial" w:hAnsi="Arial" w:cs="Arial"/>
        </w:rPr>
        <w:t>Za svaku ponudu će se izdati potvrda na kojoj je označen datum i vrijeme podnošenja svake ponude.</w:t>
      </w:r>
    </w:p>
    <w:p w:rsidR="002503CB" w:rsidRDefault="002503CB" w:rsidP="002503CB">
      <w:pPr>
        <w:spacing w:after="120"/>
        <w:jc w:val="both"/>
        <w:rPr>
          <w:rFonts w:ascii="Arial" w:hAnsi="Arial" w:cs="Arial"/>
        </w:rPr>
      </w:pPr>
    </w:p>
    <w:p w:rsidR="002503CB" w:rsidRPr="00911CC8" w:rsidRDefault="002503CB" w:rsidP="002503CB">
      <w:pPr>
        <w:spacing w:after="120"/>
        <w:jc w:val="both"/>
        <w:rPr>
          <w:rFonts w:ascii="Arial" w:hAnsi="Arial" w:cs="Arial"/>
        </w:rPr>
      </w:pPr>
      <w:r w:rsidRPr="00911CC8">
        <w:rPr>
          <w:rFonts w:ascii="Arial" w:hAnsi="Arial" w:cs="Arial"/>
        </w:rPr>
        <w:t xml:space="preserve">Javno otvaranje ponuda će biti izvršeno u prisustvu ovlašćenih predstavnika ponuđača </w:t>
      </w:r>
      <w:r>
        <w:rPr>
          <w:rFonts w:ascii="Arial" w:hAnsi="Arial" w:cs="Arial"/>
        </w:rPr>
        <w:t xml:space="preserve">__________ </w:t>
      </w:r>
      <w:r w:rsidRPr="00911CC8">
        <w:rPr>
          <w:rFonts w:ascii="Arial" w:hAnsi="Arial" w:cs="Arial"/>
        </w:rPr>
        <w:t xml:space="preserve">dana </w:t>
      </w:r>
      <w:r>
        <w:rPr>
          <w:rFonts w:ascii="Arial" w:hAnsi="Arial" w:cs="Arial"/>
        </w:rPr>
        <w:t>od dana objavljivanja u „Službenom listu Crne Gore“,</w:t>
      </w:r>
      <w:r w:rsidRPr="00911CC8">
        <w:rPr>
          <w:rFonts w:ascii="Arial" w:hAnsi="Arial" w:cs="Arial"/>
        </w:rPr>
        <w:t xml:space="preserve"> u </w:t>
      </w:r>
      <w:r>
        <w:rPr>
          <w:rFonts w:ascii="Arial" w:hAnsi="Arial" w:cs="Arial"/>
        </w:rPr>
        <w:t xml:space="preserve">_______ </w:t>
      </w:r>
      <w:r w:rsidRPr="00911CC8">
        <w:rPr>
          <w:rFonts w:ascii="Arial" w:hAnsi="Arial" w:cs="Arial"/>
        </w:rPr>
        <w:t xml:space="preserve">časova, </w:t>
      </w:r>
      <w:r>
        <w:rPr>
          <w:rFonts w:ascii="Arial" w:hAnsi="Arial" w:cs="Arial"/>
        </w:rPr>
        <w:t xml:space="preserve">po lokalnom vremenu, </w:t>
      </w:r>
      <w:r w:rsidRPr="00911CC8">
        <w:rPr>
          <w:rFonts w:ascii="Arial" w:hAnsi="Arial" w:cs="Arial"/>
        </w:rPr>
        <w:t>u prostorijama Ministarstva. Ovlašćeni predstavnici ponuđača koji prisustvuju javnom otvaranju ponuda su dužni da prezentuju ovlašćenje za prisustvovanje otvaranju ponuda, kao i lični dokument za identifikaciju.</w:t>
      </w:r>
    </w:p>
    <w:p w:rsidR="002503CB" w:rsidRPr="00911CC8" w:rsidRDefault="002503CB" w:rsidP="002503CB">
      <w:pPr>
        <w:spacing w:after="120"/>
        <w:jc w:val="both"/>
        <w:rPr>
          <w:rFonts w:ascii="Arial" w:hAnsi="Arial" w:cs="Arial"/>
        </w:rPr>
      </w:pPr>
      <w:r w:rsidRPr="00911CC8">
        <w:rPr>
          <w:rFonts w:ascii="Arial" w:hAnsi="Arial" w:cs="Arial"/>
        </w:rPr>
        <w:lastRenderedPageBreak/>
        <w:t>Sve ponude moraju da imaju važenje najmanje 6 mjeseci od datuma zatvaranja roka za podnošenje ponuda.</w:t>
      </w:r>
    </w:p>
    <w:p w:rsidR="002503CB" w:rsidRPr="00911CC8" w:rsidRDefault="002503CB" w:rsidP="002503CB">
      <w:pPr>
        <w:spacing w:after="120"/>
        <w:jc w:val="both"/>
        <w:rPr>
          <w:rFonts w:ascii="Arial" w:hAnsi="Arial" w:cs="Arial"/>
        </w:rPr>
      </w:pPr>
      <w:r w:rsidRPr="00911CC8">
        <w:rPr>
          <w:rFonts w:ascii="Arial" w:hAnsi="Arial" w:cs="Arial"/>
        </w:rPr>
        <w:t>Podnešene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2503CB" w:rsidRPr="00911CC8" w:rsidRDefault="002503CB" w:rsidP="002503CB">
      <w:pPr>
        <w:pStyle w:val="Heading1"/>
        <w:numPr>
          <w:ilvl w:val="0"/>
          <w:numId w:val="0"/>
        </w:numPr>
        <w:spacing w:before="0" w:after="120"/>
        <w:jc w:val="both"/>
        <w:rPr>
          <w:rFonts w:ascii="Arial" w:hAnsi="Arial" w:cs="Arial"/>
          <w:color w:val="auto"/>
          <w:sz w:val="22"/>
          <w:szCs w:val="22"/>
        </w:rPr>
      </w:pPr>
      <w:r w:rsidRPr="00911CC8">
        <w:rPr>
          <w:rFonts w:ascii="Arial" w:hAnsi="Arial" w:cs="Arial"/>
          <w:color w:val="auto"/>
          <w:sz w:val="22"/>
          <w:szCs w:val="22"/>
        </w:rPr>
        <w:t>9.     Komunikacija</w:t>
      </w:r>
    </w:p>
    <w:p w:rsidR="002503CB" w:rsidRPr="00911CC8" w:rsidRDefault="002503CB" w:rsidP="002503CB">
      <w:pPr>
        <w:spacing w:after="120"/>
        <w:jc w:val="both"/>
        <w:rPr>
          <w:rFonts w:ascii="Arial" w:hAnsi="Arial" w:cs="Arial"/>
        </w:rPr>
      </w:pPr>
      <w:r w:rsidRPr="00911CC8">
        <w:rPr>
          <w:rFonts w:ascii="Arial" w:hAnsi="Arial" w:cs="Arial"/>
        </w:rPr>
        <w:t xml:space="preserve">Pitanja koja se odnose na tendersku dokumentaciju, zahtjeve za dobijanje dokumenata, plaćanje naknada i druge upite utreba uputiti Ministarstvu na sljedeću adresu: </w:t>
      </w:r>
    </w:p>
    <w:p w:rsidR="002503CB" w:rsidRPr="00911CC8" w:rsidRDefault="002503CB" w:rsidP="002503CB">
      <w:pPr>
        <w:spacing w:after="0"/>
        <w:jc w:val="both"/>
        <w:rPr>
          <w:rFonts w:ascii="Arial" w:hAnsi="Arial" w:cs="Arial"/>
        </w:rPr>
      </w:pPr>
      <w:r w:rsidRPr="00911CC8">
        <w:rPr>
          <w:rFonts w:ascii="Arial" w:hAnsi="Arial" w:cs="Arial"/>
        </w:rPr>
        <w:t xml:space="preserve">Ministarstvo ekonomije </w:t>
      </w:r>
    </w:p>
    <w:p w:rsidR="002503CB" w:rsidRPr="00911CC8" w:rsidRDefault="002503CB" w:rsidP="002503CB">
      <w:pPr>
        <w:spacing w:after="0"/>
        <w:jc w:val="both"/>
        <w:rPr>
          <w:rFonts w:ascii="Arial" w:hAnsi="Arial" w:cs="Arial"/>
        </w:rPr>
      </w:pPr>
      <w:r w:rsidRPr="00911CC8">
        <w:rPr>
          <w:rFonts w:ascii="Arial" w:hAnsi="Arial" w:cs="Arial"/>
        </w:rPr>
        <w:t>Rimski trg 46</w:t>
      </w:r>
    </w:p>
    <w:p w:rsidR="002503CB" w:rsidRPr="00911CC8" w:rsidRDefault="002503CB" w:rsidP="002503CB">
      <w:pPr>
        <w:spacing w:after="0"/>
        <w:jc w:val="both"/>
        <w:rPr>
          <w:rFonts w:ascii="Arial" w:hAnsi="Arial" w:cs="Arial"/>
        </w:rPr>
      </w:pPr>
      <w:r w:rsidRPr="00911CC8">
        <w:rPr>
          <w:rFonts w:ascii="Arial" w:hAnsi="Arial" w:cs="Arial"/>
        </w:rPr>
        <w:t>81000 Podgorica</w:t>
      </w:r>
    </w:p>
    <w:p w:rsidR="002503CB" w:rsidRPr="00911CC8" w:rsidRDefault="002503CB" w:rsidP="002503CB">
      <w:pPr>
        <w:spacing w:after="0"/>
        <w:jc w:val="both"/>
        <w:rPr>
          <w:rFonts w:ascii="Arial" w:hAnsi="Arial" w:cs="Arial"/>
        </w:rPr>
      </w:pPr>
      <w:r w:rsidRPr="00911CC8">
        <w:rPr>
          <w:rFonts w:ascii="Arial" w:hAnsi="Arial" w:cs="Arial"/>
        </w:rPr>
        <w:t>Crna Gora</w:t>
      </w:r>
    </w:p>
    <w:p w:rsidR="002503CB" w:rsidRPr="00911CC8" w:rsidRDefault="002503CB" w:rsidP="002503CB">
      <w:pPr>
        <w:spacing w:after="0"/>
        <w:jc w:val="both"/>
        <w:rPr>
          <w:rFonts w:ascii="Arial" w:hAnsi="Arial" w:cs="Arial"/>
        </w:rPr>
      </w:pPr>
      <w:r w:rsidRPr="00911CC8">
        <w:rPr>
          <w:rFonts w:ascii="Arial" w:hAnsi="Arial" w:cs="Arial"/>
        </w:rPr>
        <w:t xml:space="preserve">TEL: +382 20 482 xx; </w:t>
      </w:r>
    </w:p>
    <w:p w:rsidR="002503CB" w:rsidRPr="00911CC8" w:rsidRDefault="002503CB" w:rsidP="002503CB">
      <w:pPr>
        <w:spacing w:after="0"/>
        <w:jc w:val="both"/>
        <w:rPr>
          <w:rFonts w:ascii="Arial" w:hAnsi="Arial" w:cs="Arial"/>
        </w:rPr>
      </w:pPr>
      <w:r w:rsidRPr="00911CC8">
        <w:rPr>
          <w:rFonts w:ascii="Arial" w:hAnsi="Arial" w:cs="Arial"/>
        </w:rPr>
        <w:t xml:space="preserve">FAX: +382 20 482 300; </w:t>
      </w:r>
    </w:p>
    <w:p w:rsidR="002503CB" w:rsidRPr="00911CC8" w:rsidRDefault="002503CB" w:rsidP="002503CB">
      <w:pPr>
        <w:spacing w:after="0"/>
        <w:jc w:val="both"/>
        <w:rPr>
          <w:rFonts w:ascii="Arial" w:hAnsi="Arial" w:cs="Arial"/>
        </w:rPr>
      </w:pPr>
      <w:r w:rsidRPr="00911CC8">
        <w:rPr>
          <w:rFonts w:ascii="Arial" w:hAnsi="Arial" w:cs="Arial"/>
        </w:rPr>
        <w:t xml:space="preserve">Kontakt </w:t>
      </w:r>
      <w:r>
        <w:rPr>
          <w:rFonts w:ascii="Arial" w:hAnsi="Arial" w:cs="Arial"/>
        </w:rPr>
        <w:t>lice: V</w:t>
      </w:r>
      <w:r w:rsidRPr="00911CC8">
        <w:rPr>
          <w:rFonts w:ascii="Arial" w:hAnsi="Arial" w:cs="Arial"/>
        </w:rPr>
        <w:t>esna Vujačić</w:t>
      </w:r>
    </w:p>
    <w:p w:rsidR="002503CB" w:rsidRPr="00911CC8" w:rsidRDefault="002503CB" w:rsidP="002503CB">
      <w:pPr>
        <w:spacing w:after="0"/>
        <w:jc w:val="both"/>
        <w:rPr>
          <w:rFonts w:ascii="Arial" w:hAnsi="Arial" w:cs="Arial"/>
          <w:i/>
        </w:rPr>
      </w:pPr>
      <w:r w:rsidRPr="00911CC8">
        <w:rPr>
          <w:rFonts w:ascii="Arial" w:hAnsi="Arial" w:cs="Arial"/>
        </w:rPr>
        <w:t>E-mail: vesna.vujacic@mek.gov.me</w:t>
      </w:r>
    </w:p>
    <w:p w:rsidR="002503CB" w:rsidRPr="00911CC8" w:rsidRDefault="002503CB" w:rsidP="002503CB">
      <w:pPr>
        <w:spacing w:after="120"/>
        <w:jc w:val="both"/>
        <w:rPr>
          <w:rFonts w:ascii="Arial" w:hAnsi="Arial" w:cs="Arial"/>
        </w:rPr>
      </w:pPr>
      <w:r w:rsidRPr="00911CC8">
        <w:rPr>
          <w:rFonts w:ascii="Arial" w:hAnsi="Arial" w:cs="Arial"/>
        </w:rPr>
        <w:t>Radno vrijeme: 10:00-15:00 UTC+01</w:t>
      </w:r>
    </w:p>
    <w:p w:rsidR="002503CB" w:rsidRPr="00911CC8" w:rsidRDefault="002503CB" w:rsidP="002503CB">
      <w:pPr>
        <w:spacing w:after="0"/>
        <w:jc w:val="both"/>
        <w:rPr>
          <w:rFonts w:ascii="Arial" w:hAnsi="Arial" w:cs="Arial"/>
        </w:rPr>
      </w:pPr>
      <w:r w:rsidRPr="00911CC8">
        <w:rPr>
          <w:rFonts w:ascii="Arial" w:hAnsi="Arial" w:cs="Arial"/>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C21F03" w:rsidRDefault="00C21F03"/>
    <w:sectPr w:rsidR="00C21F03" w:rsidSect="00911CC8">
      <w:footerReference w:type="default" r:id="rId8"/>
      <w:headerReference w:type="first" r:id="rId9"/>
      <w:footerReference w:type="first" r:id="rId10"/>
      <w:pgSz w:w="12240" w:h="15840"/>
      <w:pgMar w:top="851" w:right="1021" w:bottom="851" w:left="102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709" w:rsidRDefault="00226709" w:rsidP="000855F0">
      <w:pPr>
        <w:spacing w:after="0" w:line="240" w:lineRule="auto"/>
      </w:pPr>
      <w:r>
        <w:separator/>
      </w:r>
    </w:p>
  </w:endnote>
  <w:endnote w:type="continuationSeparator" w:id="0">
    <w:p w:rsidR="00226709" w:rsidRDefault="00226709" w:rsidP="00085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43" w:rsidRPr="00942D43" w:rsidRDefault="00C654F5">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59642B">
      <w:rPr>
        <w:rFonts w:ascii="Cambria" w:hAnsi="Cambria"/>
        <w:noProof/>
        <w:sz w:val="24"/>
        <w:szCs w:val="24"/>
      </w:rPr>
      <w:t>4</w:t>
    </w:r>
    <w:r w:rsidRPr="00942D43">
      <w:rPr>
        <w:rFonts w:ascii="Cambria" w:hAnsi="Cambria"/>
        <w:sz w:val="24"/>
        <w:szCs w:val="24"/>
      </w:rPr>
      <w:fldChar w:fldCharType="end"/>
    </w:r>
  </w:p>
  <w:p w:rsidR="00942D43" w:rsidRDefault="002267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Pr="00F278C8" w:rsidRDefault="00C654F5" w:rsidP="00921670">
    <w:pPr>
      <w:pStyle w:val="Footer"/>
      <w:jc w:val="center"/>
      <w:rPr>
        <w:rFonts w:ascii="Monotype Corsiva" w:hAnsi="Monotype Corsiva" w:cs="Arial"/>
        <w:bCs/>
        <w:sz w:val="20"/>
        <w:szCs w:val="20"/>
        <w:lang w:val="sl-SI"/>
      </w:rPr>
    </w:pPr>
    <w:r w:rsidRPr="00C654F5">
      <w:rPr>
        <w:rFonts w:ascii="Monotype Corsiva" w:hAnsi="Monotype Corsiva" w:cs="Arial"/>
        <w:noProof/>
        <w:sz w:val="20"/>
        <w:szCs w:val="20"/>
      </w:rPr>
      <w:pict>
        <v:line id="_x0000_s1025" style="position:absolute;left:0;text-align:left;z-index:251660288" from="-1.9pt,-.1pt" to="455.6pt,-.1pt" strokeweight="1.5pt"/>
      </w:pict>
    </w:r>
    <w:r w:rsidR="002503CB" w:rsidRPr="00F278C8">
      <w:rPr>
        <w:rFonts w:ascii="Monotype Corsiva" w:hAnsi="Monotype Corsiva" w:cs="Arial"/>
        <w:sz w:val="20"/>
        <w:szCs w:val="20"/>
        <w:lang w:val="sl-SI"/>
      </w:rPr>
      <w:t>Rimski trg 46, 81000 Podgorica</w:t>
    </w:r>
    <w:r w:rsidR="002503CB" w:rsidRPr="00F278C8">
      <w:rPr>
        <w:rFonts w:ascii="Monotype Corsiva" w:hAnsi="Monotype Corsiva" w:cs="Arial"/>
        <w:bCs/>
        <w:sz w:val="20"/>
        <w:szCs w:val="20"/>
        <w:lang w:val="sl-SI"/>
      </w:rPr>
      <w:t xml:space="preserve"> </w:t>
    </w:r>
  </w:p>
  <w:p w:rsidR="00921670" w:rsidRPr="00F278C8" w:rsidRDefault="002503CB" w:rsidP="00921670">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21670" w:rsidRPr="005832BC" w:rsidRDefault="002503CB" w:rsidP="005832B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709" w:rsidRDefault="00226709" w:rsidP="000855F0">
      <w:pPr>
        <w:spacing w:after="0" w:line="240" w:lineRule="auto"/>
      </w:pPr>
      <w:r>
        <w:separator/>
      </w:r>
    </w:p>
  </w:footnote>
  <w:footnote w:type="continuationSeparator" w:id="0">
    <w:p w:rsidR="00226709" w:rsidRDefault="00226709" w:rsidP="00085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C654F5" w:rsidP="00921670">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9pt;height:140.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2503CB"/>
    <w:rsid w:val="000855F0"/>
    <w:rsid w:val="00226709"/>
    <w:rsid w:val="002503CB"/>
    <w:rsid w:val="0059642B"/>
    <w:rsid w:val="00C16F83"/>
    <w:rsid w:val="00C21F03"/>
    <w:rsid w:val="00C654F5"/>
    <w:rsid w:val="00D7646E"/>
    <w:rsid w:val="00ED0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k.gov.m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1187</Words>
  <Characters>6769</Characters>
  <Application>Microsoft Office Word</Application>
  <DocSecurity>0</DocSecurity>
  <Lines>56</Lines>
  <Paragraphs>15</Paragraphs>
  <ScaleCrop>false</ScaleCrop>
  <Company/>
  <LinksUpToDate>false</LinksUpToDate>
  <CharactersWithSpaces>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cp:revision>
  <cp:lastPrinted>2018-09-21T11:41:00Z</cp:lastPrinted>
  <dcterms:created xsi:type="dcterms:W3CDTF">2018-09-14T11:10:00Z</dcterms:created>
  <dcterms:modified xsi:type="dcterms:W3CDTF">2018-09-21T11:42:00Z</dcterms:modified>
</cp:coreProperties>
</file>