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9C36" w14:textId="0AAB0347" w:rsidR="00592709" w:rsidRPr="00B53524" w:rsidRDefault="00592709" w:rsidP="00592709">
      <w:pPr>
        <w:spacing w:before="150" w:after="450" w:line="240" w:lineRule="auto"/>
        <w:outlineLvl w:val="0"/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</w:pPr>
      <w:bookmarkStart w:id="0" w:name="_GoBack"/>
      <w:bookmarkEnd w:id="0"/>
      <w:r w:rsidRPr="00B53524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New vacancy in the EU-funded Twinning project number </w:t>
      </w:r>
      <w:r w:rsidR="00714057" w:rsidRPr="00714057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MN 16 IPA HE 01 20</w:t>
      </w:r>
      <w:r w:rsidR="002C4D05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: Resident Twinning Advise</w:t>
      </w:r>
      <w:r w:rsidRPr="00B53524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r (RTA) Assistant </w:t>
      </w:r>
    </w:p>
    <w:p w14:paraId="1C57B463" w14:textId="77777777" w:rsidR="00592709" w:rsidRPr="0064393D" w:rsidRDefault="00592709" w:rsidP="00592709">
      <w:pPr>
        <w:spacing w:line="240" w:lineRule="auto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64393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EU project positions</w:t>
      </w:r>
    </w:p>
    <w:p w14:paraId="6BAFFBAD" w14:textId="4B2D7CA8" w:rsidR="00592709" w:rsidRPr="00592709" w:rsidRDefault="00592709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 xml:space="preserve">The European Union Twinning project </w:t>
      </w:r>
      <w:r w:rsidR="0012510E" w:rsidRPr="001434F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“</w:t>
      </w:r>
      <w:r w:rsidR="00714057" w:rsidRPr="00714057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Support to the Agency for Medicines and Medical Devices of Montenegro (CALIMS)”</w:t>
      </w:r>
      <w:r w:rsidR="0012510E" w:rsidRPr="001C212F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is seeking to recruit Resident Twinning Advisor (RTA) Assistant </w:t>
      </w:r>
      <w:r w:rsidRPr="00CB3438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for the period</w:t>
      </w:r>
      <w:r w:rsidR="0012510E" w:rsidRPr="00CB3438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="0012510E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from</w:t>
      </w:r>
      <w:r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="00714057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1 February 2021</w:t>
      </w:r>
      <w:r w:rsidR="0012510E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to</w:t>
      </w:r>
      <w:r w:rsidR="00E44955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="00714057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28 July </w:t>
      </w:r>
      <w:r w:rsidR="0012510E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2022.</w:t>
      </w: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</w:p>
    <w:p w14:paraId="59570126" w14:textId="77777777" w:rsidR="00592709" w:rsidRP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 </w:t>
      </w:r>
    </w:p>
    <w:p w14:paraId="54E3AD55" w14:textId="198A5156" w:rsidR="00E42FB9" w:rsidRDefault="00592709" w:rsidP="00E42FB9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64393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Work place is based in</w:t>
      </w:r>
      <w:r w:rsidR="00C72CE3" w:rsidRPr="0064393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the </w:t>
      </w:r>
      <w:r w:rsidR="00714057" w:rsidRPr="0071405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Institute for Medicines and Medical Devices</w:t>
      </w:r>
      <w:r w:rsidR="004A5CA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(CINMED</w:t>
      </w:r>
      <w:r w:rsidR="00FB30F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)</w:t>
      </w:r>
      <w:r w:rsidR="0071405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, </w:t>
      </w:r>
      <w:r w:rsidR="00714057" w:rsidRPr="00714057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>Bulevar Ivana Crnojevića, 64A</w:t>
      </w:r>
      <w:r w:rsidR="00714057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 xml:space="preserve">, </w:t>
      </w:r>
      <w:r w:rsidR="00714057" w:rsidRPr="00714057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>81000 Podgorica</w:t>
      </w:r>
      <w:r w:rsidR="00714057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 xml:space="preserve">, </w:t>
      </w:r>
      <w:r w:rsidR="00714057" w:rsidRPr="00714057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>Montenegro</w:t>
      </w:r>
      <w:r w:rsidR="008A447E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 xml:space="preserve"> </w:t>
      </w:r>
      <w:r w:rsidR="008A447E" w:rsidRPr="008A447E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ab/>
        <w:t>(previously: Agency for Medicines and Medical Devices of</w:t>
      </w:r>
      <w:r w:rsidR="008A447E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 xml:space="preserve"> Montenegro (CALIMS))</w:t>
      </w:r>
    </w:p>
    <w:p w14:paraId="3D7D7736" w14:textId="52B05C35" w:rsidR="00592709" w:rsidRPr="00C72CE3" w:rsidRDefault="00C72CE3" w:rsidP="00592709">
      <w:pPr>
        <w:spacing w:after="0" w:line="400" w:lineRule="atLeast"/>
        <w:rPr>
          <w:rFonts w:ascii="&amp;quot" w:eastAsia="Times New Roman" w:hAnsi="&amp;quot" w:cs="Times New Roman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Maximum g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ross salary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: </w:t>
      </w:r>
      <w:r w:rsidR="00963645">
        <w:rPr>
          <w:rFonts w:ascii="&amp;quot" w:eastAsia="Times New Roman" w:hAnsi="&amp;quot" w:cs="Times New Roman"/>
          <w:sz w:val="25"/>
          <w:szCs w:val="25"/>
          <w:lang w:val="en-GB" w:eastAsia="hr-HR"/>
        </w:rPr>
        <w:t>1.3</w:t>
      </w:r>
      <w:r w:rsidR="0012510E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00,00 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EUR </w:t>
      </w:r>
    </w:p>
    <w:p w14:paraId="11532A96" w14:textId="77777777" w:rsidR="00592709" w:rsidRP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Contract type: fixed term service contract. </w:t>
      </w:r>
    </w:p>
    <w:p w14:paraId="3E957969" w14:textId="77777777" w:rsid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The RTA Assistant will report directly</w:t>
      </w:r>
      <w:r w:rsidR="00C72CE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to the RTA</w:t>
      </w: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and will be supervised by the RTA.</w:t>
      </w:r>
    </w:p>
    <w:p w14:paraId="075F7E79" w14:textId="77777777" w:rsidR="00E42FB9" w:rsidRPr="00592709" w:rsidRDefault="00E42FB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7583ACD0" w14:textId="77777777" w:rsidR="00592709" w:rsidRP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1. RTA assistant </w:t>
      </w:r>
    </w:p>
    <w:p w14:paraId="5789A4FE" w14:textId="77777777" w:rsid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Tasks: </w:t>
      </w:r>
    </w:p>
    <w:p w14:paraId="568B80CF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day-to-day assistance to the RTA;</w:t>
      </w:r>
    </w:p>
    <w:p w14:paraId="40D96B8D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office management, execution of general administrative tasks necessary for the implementation of the project, project management and monitoring of the progress of project activities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6FFFDEB4" w14:textId="74F8CBDC" w:rsidR="0012510E" w:rsidRPr="002B107D" w:rsidRDefault="0012510E" w:rsidP="00FE080D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developing and maintaining close contacts and working relationships with beneficiar</w:t>
      </w:r>
      <w:r w:rsidR="00E3451A"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y institution, counterparts, </w:t>
      </w:r>
      <w:r w:rsidR="002B107D"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Directorate for Finance and Contracting of the EU Assistance Funds (CFCU) within </w:t>
      </w:r>
      <w:r w:rsidR="00C0237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Montenegrin </w:t>
      </w:r>
      <w:r w:rsidR="002B107D"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Ministry of Finance</w:t>
      </w:r>
      <w:r w:rsid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and other relevant beneficiary coun</w:t>
      </w:r>
      <w:r w:rsidR="009250C7"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try actors as well as Croatian </w:t>
      </w:r>
      <w:r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partner institutions;</w:t>
      </w:r>
    </w:p>
    <w:p w14:paraId="460FA177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organizing the exchange of information between project participants;</w:t>
      </w:r>
    </w:p>
    <w:p w14:paraId="60B238A8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organizing meetings</w:t>
      </w:r>
      <w:r w:rsidR="00C72CE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, seminars and workshops</w:t>
      </w: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in cooperation with the partners, including quarterly Steering Committee Meetings, preparing agenda for the meetings; </w:t>
      </w:r>
    </w:p>
    <w:p w14:paraId="30346A7C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writing and editing minutes of the meetings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65E5EEA3" w14:textId="1556466D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assistance in writing and editing rolling work plans, project reports and any other relevant project documents in English and </w:t>
      </w:r>
      <w:r w:rsidR="00B82F5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Montenegrin</w:t>
      </w: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 budget accounting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4100CA04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organizing visibility events, assistance in the preparation of the necessary documents (invitation, agenda) and promotional materials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5652DD62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acting as an interpreter for the purpose of the project (e.g. meetings, workshops, visibility events) and providing translation and interpretation services for the RTA and for short-term experts during their missions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4403E1F3" w14:textId="05BE1749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translating and editing of all documents relating to project activities (legislation, mission reports, correspondence, presentations by short-term experts, etc.) from English to </w:t>
      </w:r>
      <w:r w:rsidR="009035E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Montenegrin</w:t>
      </w:r>
      <w:r w:rsidR="009250C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and vice versa;</w:t>
      </w:r>
    </w:p>
    <w:p w14:paraId="64000FF3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processing of telephone correspondence and general correspondence;</w:t>
      </w:r>
    </w:p>
    <w:p w14:paraId="7170D3F6" w14:textId="458271EE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helping in organization of study v</w:t>
      </w:r>
      <w:r w:rsidR="009035E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isits to Croatia;</w:t>
      </w:r>
    </w:p>
    <w:p w14:paraId="108079C8" w14:textId="4F21126B" w:rsidR="0012510E" w:rsidRPr="000F4975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lastRenderedPageBreak/>
        <w:t>if determined necessary, accompanying, interpreting and assistance to the beneficiary country participant</w:t>
      </w:r>
      <w:r w:rsidR="009035E0"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 during study visit to Croatia;</w:t>
      </w:r>
    </w:p>
    <w:p w14:paraId="2BCCB969" w14:textId="77777777" w:rsidR="0012510E" w:rsidRPr="000F4975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assistance to the short-term experts during their missions, helping with all the office work, preparation of the project documentation (work orders/terms of reference)</w:t>
      </w:r>
      <w:r w:rsidR="003E5A42"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67F1BD1F" w14:textId="15E0F0F3" w:rsidR="00245F11" w:rsidRPr="000F4975" w:rsidRDefault="0012510E" w:rsidP="00F06183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0F4975">
        <w:rPr>
          <w:rFonts w:ascii="&amp;quot" w:eastAsia="Times New Roman" w:hAnsi="&amp;quot" w:cs="Times New Roman"/>
          <w:sz w:val="25"/>
          <w:szCs w:val="25"/>
          <w:lang w:val="en-GB" w:eastAsia="hr-HR"/>
        </w:rPr>
        <w:t>organization of trips</w:t>
      </w:r>
      <w:r w:rsidR="003E5A42"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3FF12F25" w14:textId="77777777" w:rsidR="00E42FB9" w:rsidRPr="00F06183" w:rsidRDefault="00E42FB9" w:rsidP="00E42FB9">
      <w:pPr>
        <w:pStyle w:val="ListParagraph"/>
        <w:spacing w:after="0" w:line="240" w:lineRule="auto"/>
        <w:ind w:left="426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</w:p>
    <w:p w14:paraId="22AA72F6" w14:textId="77777777" w:rsidR="00592709" w:rsidRPr="00E42FB9" w:rsidRDefault="00592709" w:rsidP="00E42FB9">
      <w:pPr>
        <w:spacing w:after="0" w:line="400" w:lineRule="atLeast"/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</w:pPr>
      <w:r w:rsidRPr="00E42FB9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Requirements for the RTA assistant: </w:t>
      </w:r>
    </w:p>
    <w:p w14:paraId="00091D04" w14:textId="77777777" w:rsidR="00592709" w:rsidRPr="00F530C1" w:rsidRDefault="003E5A42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University degree;</w:t>
      </w:r>
    </w:p>
    <w:p w14:paraId="78AAC72A" w14:textId="6E8FD53E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The RTA assistant may not have or recently (past six months) have had any contractual relation with the </w:t>
      </w:r>
      <w:r w:rsidR="006F196B" w:rsidRPr="006F196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Beneficiary Country public sector during at least the 6 months preceding their hiring </w:t>
      </w:r>
    </w:p>
    <w:p w14:paraId="4AA7969C" w14:textId="35315AB0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Excellent command of spoken and written English</w:t>
      </w:r>
      <w:r w:rsidR="001C212F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and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C0237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Montenegrin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language; </w:t>
      </w:r>
    </w:p>
    <w:p w14:paraId="1A49CBFF" w14:textId="77777777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Computer literacy (e.g. Word, Excel, PowerPoint, Internet); </w:t>
      </w:r>
    </w:p>
    <w:p w14:paraId="1C23A9A4" w14:textId="77777777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the RTA assistant must be able to work independently as well as</w:t>
      </w:r>
      <w:r w:rsidR="00DA6346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to be a team player, have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initiative and flexib</w:t>
      </w:r>
      <w:r w:rsidR="00DA6346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ility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; </w:t>
      </w:r>
    </w:p>
    <w:p w14:paraId="1F2FAE4E" w14:textId="77777777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Excellent organizational and communication skills;</w:t>
      </w:r>
    </w:p>
    <w:p w14:paraId="033EA2E2" w14:textId="77777777" w:rsidR="00592709" w:rsidRPr="00F530C1" w:rsidRDefault="0080405D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U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nderstanding of financial management; </w:t>
      </w:r>
    </w:p>
    <w:p w14:paraId="14FB6297" w14:textId="77777777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Excellent abilities in drafting documents. </w:t>
      </w:r>
    </w:p>
    <w:p w14:paraId="0B01EDF6" w14:textId="77777777" w:rsidR="00592709" w:rsidRP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The following skills will be considered as an asset for RTA assistant: </w:t>
      </w:r>
    </w:p>
    <w:p w14:paraId="6412BC33" w14:textId="77777777" w:rsidR="009F4CF2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Experience in EU funded projects, especially as RTA Assistant in a former Twinning project;</w:t>
      </w:r>
    </w:p>
    <w:p w14:paraId="3DCAD575" w14:textId="3E2BAC5E" w:rsidR="009F4CF2" w:rsidRDefault="00592709" w:rsidP="00C023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Knowledge of </w:t>
      </w:r>
      <w:r w:rsidR="00C0237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Montenegrin</w:t>
      </w:r>
      <w:r w:rsidR="00FD153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’s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9F4CF2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system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in the area of </w:t>
      </w:r>
      <w:r w:rsidR="009F4CF2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the </w:t>
      </w:r>
      <w:r w:rsidR="009F4CF2" w:rsidRPr="00067C3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project (the field of </w:t>
      </w:r>
      <w:r w:rsidR="007956B1" w:rsidRP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registration, marketing and consumption </w:t>
      </w:r>
      <w:r w:rsidR="007956B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of </w:t>
      </w:r>
      <w:r w:rsidR="00C0237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medicines and medical devices in Montenegro</w:t>
      </w:r>
      <w:r w:rsidR="009F4CF2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)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244C0E80" w14:textId="77777777" w:rsidR="0080405D" w:rsidRPr="00F06183" w:rsidRDefault="00592709" w:rsidP="00F061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Experience of working in an international environment</w:t>
      </w:r>
      <w:r w:rsidRPr="00592709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hr-HR"/>
        </w:rPr>
        <w:t>.</w:t>
      </w:r>
    </w:p>
    <w:p w14:paraId="14D4FD73" w14:textId="77777777" w:rsidR="00F06183" w:rsidRPr="00F06183" w:rsidRDefault="00F06183" w:rsidP="00F06183">
      <w:pPr>
        <w:pStyle w:val="ListParagraph"/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4A0BDA0D" w14:textId="279AACDF" w:rsidR="00592709" w:rsidRDefault="00592709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Interested candidates are requested to submit their </w:t>
      </w: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CV</w:t>
      </w:r>
      <w:r w:rsidR="00C72CE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and a </w:t>
      </w: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letter of application (</w:t>
      </w:r>
      <w:r w:rsidRPr="00F10F27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motivation) in English</w:t>
      </w:r>
      <w:r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via e-mail to the following address</w:t>
      </w:r>
      <w:r w:rsidR="00F87590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es</w:t>
      </w:r>
      <w:r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: RTA M</w:t>
      </w:r>
      <w:r w:rsidR="0080405D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s </w:t>
      </w:r>
      <w:r w:rsidR="002B107D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Lina Čačić</w:t>
      </w:r>
      <w:r w:rsidR="0080405D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hyperlink r:id="rId8" w:history="1"/>
      <w:r w:rsidR="002B107D" w:rsidRPr="00F10F27">
        <w:rPr>
          <w:rStyle w:val="Hyperlink"/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 lina.cacic@halmed.hr</w:t>
      </w:r>
      <w:r w:rsidR="00F87590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and </w:t>
      </w:r>
      <w:hyperlink r:id="rId9" w:history="1">
        <w:r w:rsidR="00F87590" w:rsidRPr="00F10F27">
          <w:rPr>
            <w:rStyle w:val="Hyperlink"/>
            <w:rFonts w:ascii="&amp;quot" w:eastAsia="Times New Roman" w:hAnsi="&amp;quot" w:cs="Times New Roman"/>
            <w:sz w:val="25"/>
            <w:szCs w:val="25"/>
            <w:lang w:val="en-GB" w:eastAsia="hr-HR"/>
          </w:rPr>
          <w:t>twinning@safu.hr</w:t>
        </w:r>
      </w:hyperlink>
      <w:r w:rsidR="00F87590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F10F27" w:rsidRPr="003F4423">
        <w:rPr>
          <w:rFonts w:ascii="&amp;quot" w:eastAsia="Times New Roman" w:hAnsi="&amp;quot" w:cs="Times New Roman"/>
          <w:b/>
          <w:iCs/>
          <w:color w:val="000000"/>
          <w:sz w:val="25"/>
          <w:szCs w:val="25"/>
          <w:lang w:val="en-GB" w:eastAsia="hr-HR"/>
        </w:rPr>
        <w:t xml:space="preserve">within </w:t>
      </w:r>
      <w:r w:rsidR="007D3088">
        <w:rPr>
          <w:rFonts w:ascii="&amp;quot" w:eastAsia="Times New Roman" w:hAnsi="&amp;quot" w:cs="Times New Roman"/>
          <w:b/>
          <w:iCs/>
          <w:color w:val="000000"/>
          <w:sz w:val="25"/>
          <w:szCs w:val="25"/>
          <w:lang w:val="en-GB" w:eastAsia="hr-HR"/>
        </w:rPr>
        <w:t>13</w:t>
      </w:r>
      <w:r w:rsidR="007D3088" w:rsidRPr="003F4423">
        <w:rPr>
          <w:rFonts w:ascii="&amp;quot" w:eastAsia="Times New Roman" w:hAnsi="&amp;quot" w:cs="Times New Roman"/>
          <w:b/>
          <w:iCs/>
          <w:color w:val="000000"/>
          <w:sz w:val="25"/>
          <w:szCs w:val="25"/>
          <w:lang w:val="en-GB" w:eastAsia="hr-HR"/>
        </w:rPr>
        <w:t xml:space="preserve"> </w:t>
      </w:r>
      <w:r w:rsidR="00F10F27" w:rsidRPr="003F4423">
        <w:rPr>
          <w:rFonts w:ascii="&amp;quot" w:eastAsia="Times New Roman" w:hAnsi="&amp;quot" w:cs="Times New Roman"/>
          <w:b/>
          <w:iCs/>
          <w:color w:val="000000"/>
          <w:sz w:val="25"/>
          <w:szCs w:val="25"/>
          <w:lang w:val="en-GB" w:eastAsia="hr-HR"/>
        </w:rPr>
        <w:t>days</w:t>
      </w:r>
      <w:r w:rsidR="00F10F27" w:rsidRPr="00F10F27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 xml:space="preserve"> from the</w:t>
      </w:r>
      <w:r w:rsidR="0033796F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 xml:space="preserve"> date of this </w:t>
      </w:r>
      <w:r w:rsidR="00F10F27" w:rsidRPr="00F10F27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announcement</w:t>
      </w:r>
      <w:r w:rsidR="007D3088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, i.e. 31 December 2020 at 23:59h local time</w:t>
      </w:r>
      <w:r w:rsidRPr="00F10F27">
        <w:rPr>
          <w:rFonts w:ascii="&amp;quot" w:eastAsia="Times New Roman" w:hAnsi="&amp;quot" w:cs="Times New Roman"/>
          <w:b/>
          <w:bCs/>
          <w:i/>
          <w:iCs/>
          <w:color w:val="000000"/>
          <w:sz w:val="25"/>
          <w:szCs w:val="25"/>
          <w:lang w:val="en-GB" w:eastAsia="hr-HR"/>
        </w:rPr>
        <w:t xml:space="preserve">. </w:t>
      </w:r>
      <w:r w:rsidRPr="00F10F27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>Only shortlisted</w:t>
      </w:r>
      <w:r w:rsidRPr="00673E8D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 candidates will be invited for an interview. </w:t>
      </w:r>
      <w:r w:rsidRPr="00673E8D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 xml:space="preserve">Interviews will be held </w:t>
      </w:r>
      <w:r w:rsidR="0080405D" w:rsidRPr="00673E8D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on line</w:t>
      </w:r>
      <w:r w:rsidR="005C4ECF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 xml:space="preserve"> (remotely)</w:t>
      </w:r>
      <w:r w:rsidR="00E80A86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.</w:t>
      </w:r>
      <w:r w:rsidR="00E44955">
        <w:rPr>
          <w:rFonts w:ascii="&amp;quot" w:eastAsia="Times New Roman" w:hAnsi="&amp;quot" w:cs="Times New Roman"/>
          <w:i/>
          <w:iCs/>
          <w:color w:val="000000"/>
          <w:sz w:val="25"/>
          <w:szCs w:val="25"/>
          <w:lang w:val="en-GB" w:eastAsia="hr-HR"/>
        </w:rPr>
        <w:t xml:space="preserve"> </w:t>
      </w: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For any further information please contact 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the abovementioned e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-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mail</w:t>
      </w:r>
      <w:r w:rsidR="00F8759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A970B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addresses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43B9042E" w14:textId="77777777" w:rsidR="00F06183" w:rsidRPr="00592709" w:rsidRDefault="00F06183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2BE24249" w14:textId="676630E8" w:rsidR="00592709" w:rsidRPr="003E5A42" w:rsidRDefault="00592709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The above-mentioned Twinning project is an EU funded joint project </w:t>
      </w:r>
      <w:r w:rsidR="0000684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implemented by</w:t>
      </w:r>
      <w:r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80405D" w:rsidRPr="00C72CE3">
        <w:rPr>
          <w:rFonts w:ascii="&amp;quot" w:eastAsia="Times New Roman" w:hAnsi="&amp;quot" w:cs="Times New Roman"/>
          <w:b/>
          <w:color w:val="000000"/>
          <w:sz w:val="25"/>
          <w:szCs w:val="25"/>
          <w:lang w:val="en-GB" w:eastAsia="hr-HR"/>
        </w:rPr>
        <w:t>Republic of Croatia</w:t>
      </w:r>
      <w:r w:rsidR="0080405D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represented by the</w:t>
      </w:r>
      <w:r w:rsid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121E1C" w:rsidRP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Agency for Medicinal Pr</w:t>
      </w:r>
      <w:r w:rsid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oducts and Medical Devices. </w:t>
      </w:r>
      <w:r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The project implementation will last </w:t>
      </w:r>
      <w:r w:rsid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18</w:t>
      </w:r>
      <w:r w:rsidR="0080405D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months. </w:t>
      </w:r>
    </w:p>
    <w:p w14:paraId="37B6339F" w14:textId="5CE4036C" w:rsidR="00F06183" w:rsidRPr="00121E1C" w:rsidRDefault="00592709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3E5A42">
        <w:rPr>
          <w:rFonts w:ascii="&amp;quot" w:eastAsia="Times New Roman" w:hAnsi="&amp;quot" w:cs="Times New Roman"/>
          <w:b/>
          <w:bCs/>
          <w:color w:val="333333"/>
          <w:sz w:val="25"/>
          <w:szCs w:val="25"/>
          <w:lang w:val="en-GB" w:eastAsia="hr-HR"/>
        </w:rPr>
        <w:t>The purpose of the project</w:t>
      </w:r>
      <w:r w:rsidRPr="003E5A42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 xml:space="preserve"> is </w:t>
      </w:r>
      <w:r w:rsidR="00121E1C" w:rsidRP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to enhance and consolidate the institutional and operational capacities of the Agency for Medicines and Medica</w:t>
      </w:r>
      <w:r w:rsidR="005E4C96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l Devices of Montenegro (CALIMS</w:t>
      </w:r>
      <w:r w:rsidR="00121E1C" w:rsidRP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) to perform its statutory duties and contribute to the health care system improvement and patients’ protection, by ensuring compliance with the EU standards, guidelines and good practices relevant to Chapter 1 of the Union acquis – ‘Free Movement of Goods’ concerning registration, marketing and consumption of medicines and medical devices.</w:t>
      </w:r>
    </w:p>
    <w:p w14:paraId="09C791D0" w14:textId="77777777" w:rsidR="00121E1C" w:rsidRPr="00121E1C" w:rsidRDefault="00121E1C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</w:p>
    <w:p w14:paraId="63E72AEF" w14:textId="354F97DA" w:rsidR="00592709" w:rsidRPr="003E5A42" w:rsidRDefault="00592709" w:rsidP="00F06183">
      <w:pPr>
        <w:spacing w:line="240" w:lineRule="auto"/>
        <w:jc w:val="both"/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</w:pPr>
      <w:r w:rsidRPr="003E5A4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The selected person will be a self-employed independent consultant under a Service Contract and will undertake full responsibility for the payment of all taxes and obligations deriving from the legislation in force in the </w:t>
      </w:r>
      <w:r w:rsidR="00FB30F8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Montenegro</w:t>
      </w:r>
      <w:r w:rsidRPr="003E5A4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, including for those related to medical and social insurance. The RTA Assistant will carry his/her duties and tasks on the base of contract concluded with the </w:t>
      </w:r>
      <w:r w:rsidR="00C72CE3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Croatian</w:t>
      </w:r>
      <w:r w:rsidR="008A793B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 Central Finance and Contracting Agency</w:t>
      </w:r>
      <w:r w:rsidRPr="003E5A4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.</w:t>
      </w:r>
    </w:p>
    <w:p w14:paraId="3666FA4D" w14:textId="77777777" w:rsidR="000F0667" w:rsidRPr="00592709" w:rsidRDefault="00E86916">
      <w:pPr>
        <w:rPr>
          <w:lang w:val="en-GB"/>
        </w:rPr>
      </w:pPr>
    </w:p>
    <w:sectPr w:rsidR="000F0667" w:rsidRPr="00592709" w:rsidSect="00B53524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F950" w16cex:dateUtc="2020-12-15T07:58:00Z"/>
  <w16cex:commentExtensible w16cex:durableId="2382F9E6" w16cex:dateUtc="2020-12-15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C6219E" w16cid:durableId="2382F950"/>
  <w16cid:commentId w16cid:paraId="5780E140" w16cid:durableId="23831502"/>
  <w16cid:commentId w16cid:paraId="6CD04C7B" w16cid:durableId="2382F9E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8A60" w14:textId="77777777" w:rsidR="00E86916" w:rsidRDefault="00E86916" w:rsidP="00121E1C">
      <w:pPr>
        <w:spacing w:after="0" w:line="240" w:lineRule="auto"/>
      </w:pPr>
      <w:r>
        <w:separator/>
      </w:r>
    </w:p>
  </w:endnote>
  <w:endnote w:type="continuationSeparator" w:id="0">
    <w:p w14:paraId="1E304E81" w14:textId="77777777" w:rsidR="00E86916" w:rsidRDefault="00E86916" w:rsidP="0012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CF297" w14:textId="77777777" w:rsidR="00E86916" w:rsidRDefault="00E86916" w:rsidP="00121E1C">
      <w:pPr>
        <w:spacing w:after="0" w:line="240" w:lineRule="auto"/>
      </w:pPr>
      <w:r>
        <w:separator/>
      </w:r>
    </w:p>
  </w:footnote>
  <w:footnote w:type="continuationSeparator" w:id="0">
    <w:p w14:paraId="1E024DAF" w14:textId="77777777" w:rsidR="00E86916" w:rsidRDefault="00E86916" w:rsidP="0012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114"/>
    <w:multiLevelType w:val="hybridMultilevel"/>
    <w:tmpl w:val="65CCDBC8"/>
    <w:lvl w:ilvl="0" w:tplc="3766AE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BB9"/>
    <w:multiLevelType w:val="multilevel"/>
    <w:tmpl w:val="384E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62C41"/>
    <w:multiLevelType w:val="hybridMultilevel"/>
    <w:tmpl w:val="FB0487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1112B"/>
    <w:multiLevelType w:val="multilevel"/>
    <w:tmpl w:val="8B9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B18DC"/>
    <w:multiLevelType w:val="multilevel"/>
    <w:tmpl w:val="C34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09"/>
    <w:rsid w:val="00000950"/>
    <w:rsid w:val="0000684C"/>
    <w:rsid w:val="00013E71"/>
    <w:rsid w:val="0005552A"/>
    <w:rsid w:val="00067C34"/>
    <w:rsid w:val="00080BD2"/>
    <w:rsid w:val="00094B47"/>
    <w:rsid w:val="000F4975"/>
    <w:rsid w:val="001067E2"/>
    <w:rsid w:val="00121E1C"/>
    <w:rsid w:val="0012510E"/>
    <w:rsid w:val="001434F2"/>
    <w:rsid w:val="00144F67"/>
    <w:rsid w:val="001C212F"/>
    <w:rsid w:val="00245F11"/>
    <w:rsid w:val="002B107D"/>
    <w:rsid w:val="002C4D05"/>
    <w:rsid w:val="0033796F"/>
    <w:rsid w:val="003415F6"/>
    <w:rsid w:val="003D21A3"/>
    <w:rsid w:val="003E5A42"/>
    <w:rsid w:val="003F4423"/>
    <w:rsid w:val="00420145"/>
    <w:rsid w:val="00430B46"/>
    <w:rsid w:val="004732C7"/>
    <w:rsid w:val="004A5CA4"/>
    <w:rsid w:val="004E4168"/>
    <w:rsid w:val="00527006"/>
    <w:rsid w:val="00592709"/>
    <w:rsid w:val="005C4ECF"/>
    <w:rsid w:val="005D6BBC"/>
    <w:rsid w:val="005E4C96"/>
    <w:rsid w:val="00621C25"/>
    <w:rsid w:val="00623ABE"/>
    <w:rsid w:val="0064393D"/>
    <w:rsid w:val="00673E8D"/>
    <w:rsid w:val="006740E0"/>
    <w:rsid w:val="00685717"/>
    <w:rsid w:val="00693B14"/>
    <w:rsid w:val="006C58CE"/>
    <w:rsid w:val="006E3B12"/>
    <w:rsid w:val="006F196B"/>
    <w:rsid w:val="00714057"/>
    <w:rsid w:val="00750ECA"/>
    <w:rsid w:val="007519D6"/>
    <w:rsid w:val="0077059D"/>
    <w:rsid w:val="007956B1"/>
    <w:rsid w:val="00795892"/>
    <w:rsid w:val="007C3E51"/>
    <w:rsid w:val="007D3088"/>
    <w:rsid w:val="00803EC9"/>
    <w:rsid w:val="0080405D"/>
    <w:rsid w:val="00810265"/>
    <w:rsid w:val="008361E8"/>
    <w:rsid w:val="00836A5A"/>
    <w:rsid w:val="00836F43"/>
    <w:rsid w:val="00852801"/>
    <w:rsid w:val="00853ED9"/>
    <w:rsid w:val="008A447E"/>
    <w:rsid w:val="008A793B"/>
    <w:rsid w:val="009035E0"/>
    <w:rsid w:val="00921EF1"/>
    <w:rsid w:val="009250C7"/>
    <w:rsid w:val="00931BD2"/>
    <w:rsid w:val="00963645"/>
    <w:rsid w:val="009A5DF5"/>
    <w:rsid w:val="009D17B5"/>
    <w:rsid w:val="009F3D47"/>
    <w:rsid w:val="009F4CF2"/>
    <w:rsid w:val="00A360E5"/>
    <w:rsid w:val="00A452BA"/>
    <w:rsid w:val="00A71217"/>
    <w:rsid w:val="00A76660"/>
    <w:rsid w:val="00A87BBC"/>
    <w:rsid w:val="00A970BD"/>
    <w:rsid w:val="00AC366D"/>
    <w:rsid w:val="00B11CC4"/>
    <w:rsid w:val="00B51D39"/>
    <w:rsid w:val="00B53524"/>
    <w:rsid w:val="00B82F53"/>
    <w:rsid w:val="00B9137A"/>
    <w:rsid w:val="00BC6CCE"/>
    <w:rsid w:val="00C02377"/>
    <w:rsid w:val="00C0466B"/>
    <w:rsid w:val="00C055C7"/>
    <w:rsid w:val="00C408FC"/>
    <w:rsid w:val="00C511FE"/>
    <w:rsid w:val="00C72CE3"/>
    <w:rsid w:val="00CB3438"/>
    <w:rsid w:val="00CB6E32"/>
    <w:rsid w:val="00CC020E"/>
    <w:rsid w:val="00CC19CC"/>
    <w:rsid w:val="00CF543F"/>
    <w:rsid w:val="00D2054E"/>
    <w:rsid w:val="00D54FE3"/>
    <w:rsid w:val="00DA6346"/>
    <w:rsid w:val="00DD065F"/>
    <w:rsid w:val="00DD6FC8"/>
    <w:rsid w:val="00E25D3A"/>
    <w:rsid w:val="00E3451A"/>
    <w:rsid w:val="00E42FB9"/>
    <w:rsid w:val="00E44955"/>
    <w:rsid w:val="00E61F5D"/>
    <w:rsid w:val="00E77E08"/>
    <w:rsid w:val="00E80A86"/>
    <w:rsid w:val="00E86916"/>
    <w:rsid w:val="00F06183"/>
    <w:rsid w:val="00F10F27"/>
    <w:rsid w:val="00F20E32"/>
    <w:rsid w:val="00F425EC"/>
    <w:rsid w:val="00F530C1"/>
    <w:rsid w:val="00F6062C"/>
    <w:rsid w:val="00F87590"/>
    <w:rsid w:val="00FB30F8"/>
    <w:rsid w:val="00FC76B8"/>
    <w:rsid w:val="00FD1538"/>
    <w:rsid w:val="00FD69D4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775C"/>
  <w15:docId w15:val="{5B4B075A-8D83-48DE-85E7-B7F8EEE6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2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70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eeas-node-type">
    <w:name w:val="eeas-node-type"/>
    <w:basedOn w:val="DefaultParagraphFont"/>
    <w:rsid w:val="00592709"/>
  </w:style>
  <w:style w:type="paragraph" w:customStyle="1" w:styleId="default">
    <w:name w:val="default"/>
    <w:basedOn w:val="Normal"/>
    <w:rsid w:val="0059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92709"/>
    <w:rPr>
      <w:b/>
      <w:bCs/>
    </w:rPr>
  </w:style>
  <w:style w:type="character" w:styleId="Hyperlink">
    <w:name w:val="Hyperlink"/>
    <w:basedOn w:val="DefaultParagraphFont"/>
    <w:uiPriority w:val="99"/>
    <w:unhideWhenUsed/>
    <w:rsid w:val="00592709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592709"/>
  </w:style>
  <w:style w:type="paragraph" w:styleId="NormalWeb">
    <w:name w:val="Normal (Web)"/>
    <w:basedOn w:val="Normal"/>
    <w:uiPriority w:val="99"/>
    <w:semiHidden/>
    <w:unhideWhenUsed/>
    <w:rsid w:val="0059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25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1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510E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36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0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343">
                          <w:marLeft w:val="0"/>
                          <w:marRight w:val="0"/>
                          <w:marTop w:val="22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76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2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325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0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00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76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winning@safu.hr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AF79-13C7-4803-B6BC-F1AB9175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CFCA</dc:creator>
  <cp:keywords/>
  <dc:description/>
  <cp:lastModifiedBy>Jelena Vujadinovic</cp:lastModifiedBy>
  <cp:revision>3</cp:revision>
  <cp:lastPrinted>2020-07-01T07:17:00Z</cp:lastPrinted>
  <dcterms:created xsi:type="dcterms:W3CDTF">2020-12-18T10:00:00Z</dcterms:created>
  <dcterms:modified xsi:type="dcterms:W3CDTF">2020-12-18T10:15:00Z</dcterms:modified>
</cp:coreProperties>
</file>