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B11571" w:rsidRDefault="00B11571" w:rsidP="00375D08">
      <w:pPr>
        <w:spacing w:before="0" w:after="0" w:line="240" w:lineRule="auto"/>
        <w:ind w:left="1134"/>
        <w:rPr>
          <w:rFonts w:asciiTheme="majorHAnsi" w:hAnsiTheme="majorHAnsi" w:cs="Times New Roman"/>
          <w:bCs/>
        </w:rPr>
      </w:pPr>
      <w:r w:rsidRPr="00B11571">
        <w:rPr>
          <w:rFonts w:asciiTheme="majorHAnsi" w:hAnsiTheme="majorHAnsi" w:cs="Times New Roman"/>
          <w:bCs/>
        </w:rPr>
        <w:t>Br</w:t>
      </w:r>
      <w:r w:rsidR="00384B0B">
        <w:rPr>
          <w:rFonts w:asciiTheme="majorHAnsi" w:hAnsiTheme="majorHAnsi" w:cs="Times New Roman"/>
          <w:bCs/>
        </w:rPr>
        <w:t>oj</w:t>
      </w:r>
      <w:r w:rsidRPr="00B11571">
        <w:rPr>
          <w:rFonts w:asciiTheme="majorHAnsi" w:hAnsiTheme="majorHAnsi" w:cs="Times New Roman"/>
          <w:bCs/>
        </w:rPr>
        <w:t xml:space="preserve">: </w:t>
      </w:r>
      <w:r w:rsidR="007010DC" w:rsidRPr="007010DC">
        <w:rPr>
          <w:rFonts w:asciiTheme="majorHAnsi" w:hAnsiTheme="majorHAnsi" w:cs="Times New Roman"/>
          <w:bCs/>
        </w:rPr>
        <w:t>04-335/25-571/9</w:t>
      </w:r>
      <w:r w:rsidRPr="00B11571">
        <w:rPr>
          <w:rFonts w:asciiTheme="majorHAnsi" w:hAnsiTheme="majorHAnsi" w:cs="Times New Roman"/>
          <w:bCs/>
        </w:rPr>
        <w:t xml:space="preserve">                                                           </w:t>
      </w:r>
      <w:r w:rsidRPr="00B11571">
        <w:rPr>
          <w:rFonts w:asciiTheme="majorHAnsi" w:hAnsiTheme="majorHAnsi" w:cs="Times New Roman"/>
          <w:bCs/>
        </w:rPr>
        <w:tab/>
      </w:r>
      <w:r w:rsidRPr="00B11571">
        <w:rPr>
          <w:rFonts w:asciiTheme="majorHAnsi" w:hAnsiTheme="majorHAnsi" w:cs="Times New Roman"/>
          <w:bCs/>
        </w:rPr>
        <w:tab/>
      </w:r>
      <w:r w:rsidRPr="00B11571">
        <w:rPr>
          <w:rFonts w:asciiTheme="majorHAnsi" w:hAnsiTheme="majorHAnsi" w:cs="Times New Roman"/>
          <w:bCs/>
        </w:rPr>
        <w:tab/>
      </w:r>
      <w:r w:rsidRPr="00B11571">
        <w:rPr>
          <w:rFonts w:asciiTheme="majorHAnsi" w:hAnsiTheme="majorHAnsi" w:cs="Times New Roman"/>
          <w:bCs/>
        </w:rPr>
        <w:tab/>
      </w:r>
      <w:r w:rsidRPr="00B11571">
        <w:rPr>
          <w:rFonts w:asciiTheme="majorHAnsi" w:hAnsiTheme="majorHAnsi" w:cs="Times New Roman"/>
          <w:bCs/>
        </w:rPr>
        <w:tab/>
      </w:r>
      <w:r w:rsidRPr="00B11571">
        <w:rPr>
          <w:rFonts w:asciiTheme="majorHAnsi" w:hAnsiTheme="majorHAnsi" w:cs="Times New Roman"/>
          <w:bCs/>
        </w:rPr>
        <w:tab/>
      </w:r>
      <w:r>
        <w:rPr>
          <w:rFonts w:asciiTheme="majorHAnsi" w:hAnsiTheme="majorHAnsi" w:cs="Times New Roman"/>
          <w:bCs/>
        </w:rPr>
        <w:t xml:space="preserve">            </w:t>
      </w:r>
      <w:r w:rsidRPr="00B11571">
        <w:rPr>
          <w:rFonts w:asciiTheme="majorHAnsi" w:hAnsiTheme="majorHAnsi" w:cs="Times New Roman"/>
          <w:bCs/>
        </w:rPr>
        <w:tab/>
        <w:t xml:space="preserve">            </w:t>
      </w:r>
      <w:r>
        <w:rPr>
          <w:rFonts w:asciiTheme="majorHAnsi" w:hAnsiTheme="majorHAnsi" w:cs="Times New Roman"/>
          <w:bCs/>
        </w:rPr>
        <w:t xml:space="preserve">   </w:t>
      </w:r>
      <w:r w:rsidR="007010DC">
        <w:rPr>
          <w:rFonts w:asciiTheme="majorHAnsi" w:hAnsiTheme="majorHAnsi" w:cs="Times New Roman"/>
          <w:bCs/>
        </w:rPr>
        <w:t xml:space="preserve">               </w:t>
      </w:r>
      <w:r>
        <w:rPr>
          <w:rFonts w:asciiTheme="majorHAnsi" w:hAnsiTheme="majorHAnsi" w:cs="Times New Roman"/>
          <w:bCs/>
        </w:rPr>
        <w:t xml:space="preserve">  </w:t>
      </w:r>
      <w:r w:rsidR="007010DC">
        <w:rPr>
          <w:rFonts w:asciiTheme="majorHAnsi" w:hAnsiTheme="majorHAnsi" w:cs="Times New Roman"/>
          <w:bCs/>
        </w:rPr>
        <w:t>1.4.2025</w:t>
      </w:r>
      <w:r w:rsidRPr="00B11571">
        <w:rPr>
          <w:rFonts w:asciiTheme="majorHAnsi" w:hAnsiTheme="majorHAnsi" w:cs="Times New Roman"/>
          <w:bCs/>
        </w:rPr>
        <w:t>. godine</w:t>
      </w: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>za utvrđivanje predloga prioritetn</w:t>
      </w:r>
      <w:r w:rsidR="001A2608">
        <w:rPr>
          <w:rFonts w:ascii="Arial" w:hAnsi="Arial" w:cs="Arial"/>
          <w:b/>
        </w:rPr>
        <w:t>e</w:t>
      </w:r>
      <w:r w:rsidRPr="00370754">
        <w:rPr>
          <w:rFonts w:ascii="Arial" w:hAnsi="Arial" w:cs="Arial"/>
          <w:b/>
        </w:rPr>
        <w:t xml:space="preserve"> oblasti </w:t>
      </w:r>
      <w:r w:rsidR="001A2608">
        <w:rPr>
          <w:rFonts w:ascii="Arial" w:hAnsi="Arial" w:cs="Arial"/>
          <w:b/>
        </w:rPr>
        <w:t>upravljanja otpadom</w:t>
      </w:r>
      <w:r w:rsidRPr="00370754">
        <w:rPr>
          <w:rFonts w:ascii="Arial" w:hAnsi="Arial" w:cs="Arial"/>
          <w:b/>
        </w:rPr>
        <w:t xml:space="preserve"> i potrebnih sredstava </w:t>
      </w:r>
      <w:r w:rsidRPr="00370754">
        <w:rPr>
          <w:rFonts w:ascii="Arial" w:hAnsi="Arial" w:cs="Arial"/>
          <w:b/>
        </w:rPr>
        <w:br/>
        <w:t>za finansiranje projekata i programa nevladinih organizaci</w:t>
      </w:r>
      <w:r w:rsidR="00A9072D">
        <w:rPr>
          <w:rFonts w:ascii="Arial" w:hAnsi="Arial" w:cs="Arial"/>
          <w:b/>
        </w:rPr>
        <w:t>ja</w:t>
      </w:r>
      <w:r w:rsidR="00A9072D">
        <w:rPr>
          <w:rFonts w:ascii="Arial" w:hAnsi="Arial" w:cs="Arial"/>
          <w:b/>
        </w:rPr>
        <w:br/>
        <w:t>iz Budžeta Crne Gore u 202</w:t>
      </w:r>
      <w:r w:rsidR="00513D34">
        <w:rPr>
          <w:rFonts w:ascii="Arial" w:hAnsi="Arial" w:cs="Arial"/>
          <w:b/>
        </w:rPr>
        <w:t>6</w:t>
      </w:r>
      <w:r w:rsidR="00A9072D">
        <w:rPr>
          <w:rFonts w:ascii="Arial" w:hAnsi="Arial" w:cs="Arial"/>
          <w:b/>
        </w:rPr>
        <w:t>.</w:t>
      </w:r>
      <w:r w:rsidRPr="00370754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107D7D" w:rsidRPr="00370754" w:rsidRDefault="00107D7D" w:rsidP="00370754">
      <w:pPr>
        <w:rPr>
          <w:rFonts w:ascii="Arial" w:hAnsi="Arial" w:cs="Arial"/>
        </w:rPr>
      </w:pPr>
    </w:p>
    <w:p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370754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:rsidR="00370754" w:rsidRPr="00370754" w:rsidRDefault="00A640F0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1.1.</w:t>
      </w:r>
      <w:r w:rsidR="00370754" w:rsidRPr="00370754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D1198E" w:rsidRPr="00370754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1198E" w:rsidRPr="00370754" w:rsidRDefault="00D1198E" w:rsidP="00D1198E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1198E" w:rsidRPr="00370754" w:rsidRDefault="00D1198E" w:rsidP="00D1198E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1198E" w:rsidRPr="00370754" w:rsidRDefault="00D1198E" w:rsidP="00D1198E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1198E" w:rsidRPr="00370754" w:rsidRDefault="00D1198E" w:rsidP="00D1198E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1198E" w:rsidRPr="00007107" w:rsidRDefault="00D1198E" w:rsidP="00D1198E">
            <w:pPr>
              <w:rPr>
                <w:rFonts w:ascii="Arial" w:hAnsi="Arial" w:cs="Arial"/>
                <w:b/>
                <w:sz w:val="22"/>
              </w:rPr>
            </w:pPr>
            <w:r w:rsidRPr="00007107">
              <w:rPr>
                <w:rFonts w:ascii="Arial" w:hAnsi="Arial" w:cs="Arial"/>
                <w:b/>
                <w:sz w:val="22"/>
              </w:rPr>
              <w:t>√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1198E" w:rsidRPr="00007107" w:rsidRDefault="00D1198E" w:rsidP="00D1198E">
            <w:pPr>
              <w:rPr>
                <w:rFonts w:ascii="Arial" w:hAnsi="Arial" w:cs="Arial"/>
                <w:sz w:val="22"/>
              </w:rPr>
            </w:pPr>
            <w:r w:rsidRPr="00007107">
              <w:rPr>
                <w:rFonts w:ascii="Arial" w:hAnsi="Arial" w:cs="Arial"/>
                <w:sz w:val="22"/>
              </w:rPr>
              <w:t>zaštita životne sredine /</w:t>
            </w:r>
            <w:r w:rsidR="00F56D36">
              <w:rPr>
                <w:rFonts w:ascii="Arial" w:hAnsi="Arial" w:cs="Arial"/>
                <w:sz w:val="22"/>
              </w:rPr>
              <w:t xml:space="preserve"> </w:t>
            </w:r>
            <w:r w:rsidRPr="00007107">
              <w:rPr>
                <w:rFonts w:ascii="Arial" w:hAnsi="Arial" w:cs="Arial"/>
                <w:b/>
                <w:sz w:val="22"/>
              </w:rPr>
              <w:t>upravljanje otpadom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Default="00370754" w:rsidP="00370754">
      <w:pPr>
        <w:pStyle w:val="ListParagraph"/>
        <w:rPr>
          <w:rFonts w:ascii="Arial" w:hAnsi="Arial" w:cs="Arial"/>
          <w:b/>
          <w:sz w:val="22"/>
          <w:szCs w:val="22"/>
          <w:lang w:val="sr-Latn-ME"/>
        </w:rPr>
      </w:pPr>
    </w:p>
    <w:p w:rsidR="0036216A" w:rsidRPr="006E29E6" w:rsidRDefault="0036216A" w:rsidP="00370754">
      <w:pPr>
        <w:pStyle w:val="ListParagraph"/>
        <w:rPr>
          <w:rFonts w:ascii="Arial" w:hAnsi="Arial" w:cs="Arial"/>
          <w:b/>
          <w:sz w:val="22"/>
          <w:szCs w:val="22"/>
          <w:lang w:val="sr-Latn-ME"/>
        </w:rPr>
      </w:pPr>
    </w:p>
    <w:p w:rsidR="00370754" w:rsidRPr="006E29E6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6E29E6">
        <w:rPr>
          <w:rFonts w:ascii="Arial" w:hAnsi="Arial" w:cs="Arial"/>
          <w:b/>
          <w:sz w:val="22"/>
          <w:szCs w:val="22"/>
          <w:lang w:val="sr-Latn-ME"/>
        </w:rPr>
        <w:t>PRIORITETNI PROBLEMI I POTR</w:t>
      </w:r>
      <w:r w:rsidR="00D1198E" w:rsidRPr="006E29E6">
        <w:rPr>
          <w:rFonts w:ascii="Arial" w:hAnsi="Arial" w:cs="Arial"/>
          <w:b/>
          <w:sz w:val="22"/>
          <w:szCs w:val="22"/>
          <w:lang w:val="sr-Latn-ME"/>
        </w:rPr>
        <w:t>EBE KOJE TREBA RIJEŠITI U 202</w:t>
      </w:r>
      <w:r w:rsidR="00513D34">
        <w:rPr>
          <w:rFonts w:ascii="Arial" w:hAnsi="Arial" w:cs="Arial"/>
          <w:b/>
          <w:sz w:val="22"/>
          <w:szCs w:val="22"/>
          <w:lang w:val="sr-Latn-ME"/>
        </w:rPr>
        <w:t>6</w:t>
      </w:r>
      <w:r w:rsidR="00D1198E" w:rsidRPr="006E29E6">
        <w:rPr>
          <w:rFonts w:ascii="Arial" w:hAnsi="Arial" w:cs="Arial"/>
          <w:b/>
          <w:sz w:val="22"/>
          <w:szCs w:val="22"/>
          <w:lang w:val="sr-Latn-ME"/>
        </w:rPr>
        <w:t>.</w:t>
      </w:r>
      <w:r w:rsidRPr="006E29E6">
        <w:rPr>
          <w:rFonts w:ascii="Arial" w:hAnsi="Arial" w:cs="Arial"/>
          <w:b/>
          <w:sz w:val="22"/>
          <w:szCs w:val="22"/>
          <w:lang w:val="sr-Latn-ME"/>
        </w:rPr>
        <w:t xml:space="preserve"> GODINI FINANSIRANJEM PROJEKATA I</w:t>
      </w:r>
      <w:r w:rsidR="00A640F0" w:rsidRPr="006E29E6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6E29E6">
        <w:rPr>
          <w:rFonts w:ascii="Arial" w:hAnsi="Arial" w:cs="Arial"/>
          <w:b/>
          <w:sz w:val="22"/>
          <w:szCs w:val="22"/>
          <w:lang w:val="sr-Latn-ME"/>
        </w:rPr>
        <w:t>PROGRAMA NVO</w:t>
      </w:r>
    </w:p>
    <w:p w:rsidR="00370754" w:rsidRPr="006E29E6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E29E6">
        <w:rPr>
          <w:rFonts w:ascii="Arial" w:hAnsi="Arial" w:cs="Arial"/>
          <w:sz w:val="22"/>
          <w:szCs w:val="22"/>
          <w:lang w:val="sr-Latn-ME"/>
        </w:rPr>
        <w:t xml:space="preserve">2.1. 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E29E6" w:rsidTr="00FD3C4B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05163F" w:rsidTr="00FD3C4B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F054DC" w:rsidRDefault="00D1198E" w:rsidP="00FD3C4B">
            <w:pPr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Problem 1: 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C52927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Odvojeno s</w:t>
            </w:r>
            <w:r w:rsidR="00513D3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akupljanje reciklabiln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ih</w:t>
            </w:r>
            <w:r w:rsidR="00513D3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komponent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</w:t>
            </w:r>
            <w:r w:rsidR="00513D3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komunalnog otpada </w:t>
            </w:r>
          </w:p>
          <w:p w:rsidR="00D1198E" w:rsidRPr="00F054DC" w:rsidRDefault="00D1198E" w:rsidP="00D1198E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Pravnom regulativom 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>u oblasti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upravljanj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otpadom, definisani su ciljevi koji se odnose na ponovno korišćenje i recikliranje 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određenih vrsta 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otpada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>Radi se o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sljedeći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>m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akti</w:t>
            </w:r>
            <w:r w:rsidR="00C52927">
              <w:rPr>
                <w:rFonts w:ascii="Times New Roman" w:hAnsi="Times New Roman"/>
                <w:sz w:val="22"/>
                <w:szCs w:val="22"/>
                <w:lang w:val="sr-Latn-ME"/>
              </w:rPr>
              <w:t>ma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: Zakon o upravljanju otpadom („Sl.list Crne Gore“, </w:t>
            </w:r>
            <w:r w:rsidR="00C346F3">
              <w:rPr>
                <w:rFonts w:ascii="Times New Roman" w:hAnsi="Times New Roman"/>
                <w:sz w:val="22"/>
                <w:szCs w:val="22"/>
                <w:lang w:val="sr-Latn-ME"/>
              </w:rPr>
              <w:t>3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4/</w:t>
            </w:r>
            <w:r w:rsidR="00C346F3">
              <w:rPr>
                <w:rFonts w:ascii="Times New Roman" w:hAnsi="Times New Roman"/>
                <w:sz w:val="22"/>
                <w:szCs w:val="22"/>
                <w:lang w:val="sr-Latn-ME"/>
              </w:rPr>
              <w:t>24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) i podzakonski akti donešeni na osnovu ovog zakona, Državni plan upravljanja otpadom, lokalni planovi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lokalne odluke koje se odnose na ovu oblast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Bez obzira na 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>dones</w:t>
            </w: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enu regulativu, postavljeni ciljevi nijesu postignuti ni u jednom segmentu. </w:t>
            </w:r>
            <w:r w:rsidR="00576621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 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posebnog </w:t>
            </w:r>
            <w:r w:rsidR="00576621">
              <w:rPr>
                <w:rFonts w:ascii="Times New Roman" w:hAnsi="Times New Roman"/>
                <w:sz w:val="22"/>
                <w:szCs w:val="22"/>
                <w:lang w:val="sr-Latn-ME"/>
              </w:rPr>
              <w:t>značaja je da ojača sistem sakupljanja reciklabilnih frakcija komunalnog otpada.</w:t>
            </w:r>
          </w:p>
          <w:p w:rsidR="00D1198E" w:rsidRPr="00F054DC" w:rsidRDefault="00C52927" w:rsidP="00D1198E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Sadašnja situacija je takva da se n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a sanitarnim deponijama odlažu velike količine otpada koje bi trebale biti odvojeno sakupljenje za reciklažu, što značajno smanjuje vijek trajanja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tih deponija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Prepoznati su razlozi zbog kojih 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proces odvojenog sakupljanja otpada veoma slabo realizuje, a to su nerazvijena 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 xml:space="preserve">infrastruktura u 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oblasti 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upravljanja otpadom</w:t>
            </w:r>
            <w:r w:rsidR="0036216A">
              <w:rPr>
                <w:rFonts w:ascii="Times New Roman" w:hAnsi="Times New Roman"/>
                <w:sz w:val="22"/>
                <w:szCs w:val="22"/>
                <w:lang w:val="sr-Latn-ME"/>
              </w:rPr>
              <w:t>, ne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dovoljno </w:t>
            </w:r>
            <w:r w:rsidR="0036216A">
              <w:rPr>
                <w:rFonts w:ascii="Times New Roman" w:hAnsi="Times New Roman"/>
                <w:sz w:val="22"/>
                <w:szCs w:val="22"/>
                <w:lang w:val="sr-Latn-ME"/>
              </w:rPr>
              <w:t>efikasan inspekcijski nadzor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>nizak</w:t>
            </w:r>
            <w:r w:rsidR="00D1198E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stepen ekološke svijesti našeg stanovništva. Stoga, saradnja sa nevladinim sektorom može doprinijeti rješavanju navedenog problema kroz realizaciju projekata koji imaju za cilj jačanje ekološke svijesti građanja.</w:t>
            </w:r>
          </w:p>
          <w:p w:rsidR="009155D6" w:rsidRPr="009155D6" w:rsidRDefault="009155D6" w:rsidP="009155D6">
            <w:pPr>
              <w:pStyle w:val="NormalTab"/>
              <w:rPr>
                <w:sz w:val="10"/>
                <w:szCs w:val="10"/>
                <w:lang w:val="sr-Latn-ME"/>
              </w:rPr>
            </w:pPr>
          </w:p>
          <w:p w:rsidR="002B052A" w:rsidRPr="00F054DC" w:rsidRDefault="002B052A" w:rsidP="002B052A">
            <w:pPr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Problem </w:t>
            </w:r>
            <w:r w:rsidR="00671DA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2</w:t>
            </w:r>
            <w:r w:rsidRPr="00F054DC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: 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Uspostavljanje sistema 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„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proširene odgovornosti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“</w:t>
            </w:r>
            <w:r w:rsidR="00CA38F6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671DA4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proizvođača</w:t>
            </w:r>
          </w:p>
          <w:p w:rsidR="00671DA4" w:rsidRPr="00671DA4" w:rsidRDefault="007D26F4" w:rsidP="00671DA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Z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akonom o upravljanju otpadom propisana je obaveza organizovanja sistema </w:t>
            </w:r>
            <w:r w:rsidR="002D12BD">
              <w:rPr>
                <w:rFonts w:ascii="Times New Roman" w:hAnsi="Times New Roman"/>
                <w:sz w:val="22"/>
                <w:szCs w:val="22"/>
                <w:lang w:val="sr-Latn-ME"/>
              </w:rPr>
              <w:t>„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proširene odgovornosti</w:t>
            </w:r>
            <w:r w:rsidR="002D12BD">
              <w:rPr>
                <w:rFonts w:ascii="Times New Roman" w:hAnsi="Times New Roman"/>
                <w:sz w:val="22"/>
                <w:szCs w:val="22"/>
                <w:lang w:val="sr-Latn-ME"/>
              </w:rPr>
              <w:t>“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proizvoda 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koji 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nakon isteka roka trajanja nastaju posebne vrste otpada, a to su: 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električn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elektronsk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oprem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, vozila, baterij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akumulator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, gum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, ambalaž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, plastični proizvod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jednokratnu upotrebu i ribolovn</w:t>
            </w:r>
            <w:r w:rsidR="00671DA4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671DA4"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alat koji sadrži plastiku.</w:t>
            </w:r>
          </w:p>
          <w:p w:rsidR="00721BC7" w:rsidRDefault="00671DA4" w:rsidP="00671DA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>Oblast upravljanja otpadom je veoma izazovna i jačanje</w:t>
            </w:r>
          </w:p>
          <w:p w:rsidR="009D1225" w:rsidRDefault="00671DA4" w:rsidP="00671DA4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71DA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ekološke svijesti naših građana je </w:t>
            </w:r>
            <w:r w:rsidR="009155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jedan od najvažnijih elemenata 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>sistema upravljanja otpadom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>Odgovarajući odnos prema otpadu e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>kološki svjest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>nog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građanin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preduslov njegovog adekvatnog funkcionisanja.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Stoga r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ealizacijom projekata na temu 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uspostavljanja sistema </w:t>
            </w:r>
            <w:r w:rsidR="002D12BD">
              <w:rPr>
                <w:rFonts w:ascii="Times New Roman" w:hAnsi="Times New Roman"/>
                <w:sz w:val="22"/>
                <w:szCs w:val="22"/>
                <w:lang w:val="sr-Latn-ME"/>
              </w:rPr>
              <w:t>„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proširene odgovornosti</w:t>
            </w:r>
            <w:r w:rsidR="002D12BD">
              <w:rPr>
                <w:rFonts w:ascii="Times New Roman" w:hAnsi="Times New Roman"/>
                <w:sz w:val="22"/>
                <w:szCs w:val="22"/>
                <w:lang w:val="sr-Latn-ME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proizvođača 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pruž</w:t>
            </w:r>
            <w:r w:rsidR="00180586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će se informacij</w:t>
            </w:r>
            <w:r w:rsidR="00661D03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661D0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pravnim licima i </w:t>
            </w:r>
            <w:r w:rsidR="00496A6D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građanima </w:t>
            </w:r>
            <w:r w:rsidR="00180586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koji način se može voditi ovaj proces i kakvi </w:t>
            </w:r>
            <w:r w:rsidR="00661D0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će biti </w:t>
            </w:r>
            <w:r w:rsidR="00180586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njegovi efekti. </w:t>
            </w:r>
            <w:r w:rsidR="00661D0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Naš nevladin sektor ima značajne kapacitete </w:t>
            </w:r>
            <w:r w:rsidR="009D1225">
              <w:rPr>
                <w:rFonts w:ascii="Times New Roman" w:hAnsi="Times New Roman"/>
                <w:sz w:val="22"/>
                <w:szCs w:val="22"/>
                <w:lang w:val="sr-Latn-ME"/>
              </w:rPr>
              <w:t>koji može da</w:t>
            </w:r>
            <w:r w:rsidR="00661D0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veliki doprinos na ovom planu.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7D26F4" w:rsidRPr="0005163F" w:rsidRDefault="009D1225" w:rsidP="00671DA4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Rješavanjem navedenog problema, d</w:t>
            </w:r>
            <w:r w:rsidR="00F94183">
              <w:rPr>
                <w:rFonts w:ascii="Times New Roman" w:hAnsi="Times New Roman"/>
                <w:sz w:val="22"/>
                <w:szCs w:val="22"/>
                <w:lang w:val="sr-Latn-ME"/>
              </w:rPr>
              <w:t>oprijenijeće se stvaranju uslova da se otpad ne odbacuje bilo gdje, već da se poštuju propisana pravila.</w:t>
            </w:r>
          </w:p>
        </w:tc>
      </w:tr>
      <w:tr w:rsidR="00370754" w:rsidRPr="0005163F" w:rsidTr="00FD3C4B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05163F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5163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05163F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5163F">
              <w:rPr>
                <w:rFonts w:ascii="Arial" w:hAnsi="Arial" w:cs="Arial"/>
                <w:sz w:val="22"/>
                <w:szCs w:val="22"/>
                <w:lang w:val="sr-Latn-ME"/>
              </w:rPr>
              <w:t>Izvor</w:t>
            </w:r>
            <w:r w:rsidR="0036216A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05163F">
              <w:rPr>
                <w:rFonts w:ascii="Arial" w:hAnsi="Arial" w:cs="Arial"/>
                <w:sz w:val="22"/>
                <w:szCs w:val="22"/>
                <w:lang w:val="sr-Latn-ME"/>
              </w:rPr>
              <w:t>(i) podataka</w:t>
            </w:r>
          </w:p>
        </w:tc>
      </w:tr>
      <w:tr w:rsidR="00370754" w:rsidRPr="0005163F" w:rsidTr="00FD3C4B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F054DC" w:rsidRDefault="0005163F" w:rsidP="00FD3C4B">
            <w:pPr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Problemi 1</w:t>
            </w:r>
            <w:r w:rsidR="00661D03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i</w:t>
            </w:r>
            <w:r w:rsidRPr="00F054DC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2:</w:t>
            </w:r>
          </w:p>
          <w:p w:rsidR="0005163F" w:rsidRPr="00F054DC" w:rsidRDefault="0005163F" w:rsidP="00FD3C4B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Državnim planom upravljanja otpadom u CG i lokalnim planovima upravljanja komunalnim i neopasnim građevinskim otpadom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F054DC" w:rsidRDefault="0005163F" w:rsidP="00F054DC">
            <w:pPr>
              <w:pStyle w:val="NoSpacing"/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b/>
                <w:lang w:val="sr-Latn-ME"/>
              </w:rPr>
              <w:t>Problemi 1</w:t>
            </w:r>
            <w:r w:rsidR="00661D03">
              <w:rPr>
                <w:rFonts w:ascii="Times New Roman" w:hAnsi="Times New Roman"/>
                <w:b/>
                <w:lang w:val="sr-Latn-ME"/>
              </w:rPr>
              <w:t xml:space="preserve"> i</w:t>
            </w:r>
            <w:r w:rsidRPr="00F054DC">
              <w:rPr>
                <w:rFonts w:ascii="Times New Roman" w:hAnsi="Times New Roman"/>
                <w:b/>
                <w:lang w:val="sr-Latn-ME"/>
              </w:rPr>
              <w:t xml:space="preserve"> 2</w:t>
            </w:r>
            <w:r w:rsidRPr="00F054DC">
              <w:rPr>
                <w:rFonts w:ascii="Times New Roman" w:hAnsi="Times New Roman"/>
                <w:lang w:val="sr-Latn-ME"/>
              </w:rPr>
              <w:t>:</w:t>
            </w:r>
          </w:p>
          <w:p w:rsidR="0005163F" w:rsidRPr="00F054DC" w:rsidRDefault="0005163F" w:rsidP="00F94183">
            <w:pPr>
              <w:pStyle w:val="NoSpacing"/>
              <w:numPr>
                <w:ilvl w:val="0"/>
                <w:numId w:val="20"/>
              </w:numPr>
              <w:ind w:left="438" w:hanging="284"/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lang w:val="sr-Latn-ME"/>
              </w:rPr>
              <w:t xml:space="preserve">Ministarstvo ekologije, </w:t>
            </w:r>
            <w:r w:rsidR="00966B3F">
              <w:rPr>
                <w:rFonts w:ascii="Times New Roman" w:hAnsi="Times New Roman"/>
                <w:lang w:val="sr-Latn-ME"/>
              </w:rPr>
              <w:t>održivog razvoja i razvoja sjevera</w:t>
            </w:r>
            <w:r w:rsidRPr="00F054DC">
              <w:rPr>
                <w:rFonts w:ascii="Times New Roman" w:hAnsi="Times New Roman"/>
                <w:lang w:val="sr-Latn-ME"/>
              </w:rPr>
              <w:t>,</w:t>
            </w:r>
          </w:p>
          <w:p w:rsidR="0005163F" w:rsidRPr="00F054DC" w:rsidRDefault="0005163F" w:rsidP="00F94183">
            <w:pPr>
              <w:pStyle w:val="NoSpacing"/>
              <w:numPr>
                <w:ilvl w:val="0"/>
                <w:numId w:val="20"/>
              </w:numPr>
              <w:ind w:left="438" w:hanging="284"/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lang w:val="sr-Latn-ME"/>
              </w:rPr>
              <w:t>Agencija za zaštitu životne sredine,</w:t>
            </w:r>
            <w:r w:rsidR="00F054DC" w:rsidRPr="00F054DC">
              <w:rPr>
                <w:rFonts w:ascii="Times New Roman" w:hAnsi="Times New Roman"/>
                <w:lang w:val="sr-Latn-ME"/>
              </w:rPr>
              <w:t xml:space="preserve"> </w:t>
            </w:r>
            <w:r w:rsidRPr="00F054DC">
              <w:rPr>
                <w:rFonts w:ascii="Times New Roman" w:hAnsi="Times New Roman"/>
                <w:lang w:val="sr-Latn-ME"/>
              </w:rPr>
              <w:t>JLS i njihovi organi,</w:t>
            </w:r>
          </w:p>
          <w:p w:rsidR="0005163F" w:rsidRPr="00F054DC" w:rsidRDefault="0005163F" w:rsidP="00F94183">
            <w:pPr>
              <w:pStyle w:val="NoSpacing"/>
              <w:numPr>
                <w:ilvl w:val="0"/>
                <w:numId w:val="20"/>
              </w:numPr>
              <w:ind w:left="438" w:hanging="284"/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lang w:val="sr-Latn-ME"/>
              </w:rPr>
              <w:t>Izvještaji o realizaciji DPUO i lokalnih planova</w:t>
            </w:r>
            <w:r w:rsidR="00F94183">
              <w:rPr>
                <w:rFonts w:ascii="Times New Roman" w:hAnsi="Times New Roman"/>
                <w:lang w:val="sr-Latn-ME"/>
              </w:rPr>
              <w:t xml:space="preserve"> i</w:t>
            </w:r>
          </w:p>
          <w:p w:rsidR="0005163F" w:rsidRPr="00F054DC" w:rsidRDefault="0005163F" w:rsidP="00F94183">
            <w:pPr>
              <w:pStyle w:val="NoSpacing"/>
              <w:numPr>
                <w:ilvl w:val="0"/>
                <w:numId w:val="20"/>
              </w:numPr>
              <w:ind w:left="438" w:hanging="284"/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lang w:val="sr-Latn-ME"/>
              </w:rPr>
              <w:t>MONSTAT</w:t>
            </w:r>
            <w:r w:rsidR="00F94183">
              <w:rPr>
                <w:rFonts w:ascii="Times New Roman" w:hAnsi="Times New Roman"/>
                <w:lang w:val="sr-Latn-ME"/>
              </w:rPr>
              <w:t>.</w:t>
            </w:r>
          </w:p>
        </w:tc>
      </w:tr>
    </w:tbl>
    <w:p w:rsidR="00370754" w:rsidRPr="006E29E6" w:rsidRDefault="00370754" w:rsidP="00370754">
      <w:pPr>
        <w:rPr>
          <w:rFonts w:ascii="Arial" w:hAnsi="Arial" w:cs="Arial"/>
          <w:sz w:val="22"/>
        </w:rPr>
      </w:pPr>
    </w:p>
    <w:p w:rsidR="00370754" w:rsidRPr="006E29E6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E29E6">
        <w:rPr>
          <w:rFonts w:ascii="Arial" w:hAnsi="Arial" w:cs="Arial"/>
          <w:sz w:val="22"/>
          <w:szCs w:val="22"/>
          <w:lang w:val="sr-Latn-ME"/>
        </w:rPr>
        <w:t>2.2.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E29E6" w:rsidTr="00FD3C4B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2B052A" w:rsidRPr="006E29E6" w:rsidTr="00C46BCD">
        <w:trPr>
          <w:trHeight w:val="778"/>
        </w:trPr>
        <w:tc>
          <w:tcPr>
            <w:tcW w:w="6884" w:type="dxa"/>
            <w:tcMar>
              <w:top w:w="57" w:type="dxa"/>
              <w:bottom w:w="57" w:type="dxa"/>
            </w:tcMar>
            <w:vAlign w:val="center"/>
          </w:tcPr>
          <w:p w:rsidR="002B052A" w:rsidRPr="006E29E6" w:rsidRDefault="002B052A" w:rsidP="002B052A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Državni plan upravljanja otpadom u CG i lok</w:t>
            </w:r>
            <w:r w:rsidR="005D4290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6E29E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lni planovi upravljanja komunalnim i neopasnim građevinskim otpadom.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  <w:vAlign w:val="center"/>
          </w:tcPr>
          <w:p w:rsidR="00FD3C4B" w:rsidRPr="009D1225" w:rsidRDefault="00FD3C4B" w:rsidP="00661D03">
            <w:pPr>
              <w:pStyle w:val="NoSpacing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9D1225">
              <w:rPr>
                <w:rFonts w:ascii="Times New Roman" w:hAnsi="Times New Roman"/>
                <w:sz w:val="22"/>
                <w:szCs w:val="22"/>
                <w:lang w:val="sr-Latn-RS"/>
              </w:rPr>
              <w:t>5.1.3. Ponovna upotreba i reciklaža;</w:t>
            </w:r>
          </w:p>
          <w:p w:rsidR="002B052A" w:rsidRPr="00661D03" w:rsidRDefault="00FD3C4B" w:rsidP="00661D03">
            <w:pPr>
              <w:pStyle w:val="NoSpacing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9D1225">
              <w:rPr>
                <w:rFonts w:ascii="Times New Roman" w:hAnsi="Times New Roman"/>
                <w:sz w:val="22"/>
                <w:szCs w:val="22"/>
                <w:lang w:val="sr-Latn-RS"/>
              </w:rPr>
              <w:t>6.2. Ciljevi koje treba ostvariti u domenu upravljanja otpadom;</w:t>
            </w:r>
          </w:p>
        </w:tc>
      </w:tr>
      <w:tr w:rsidR="00E75A72" w:rsidRPr="006E29E6" w:rsidTr="00FD3C4B">
        <w:trPr>
          <w:trHeight w:val="1675"/>
        </w:trPr>
        <w:tc>
          <w:tcPr>
            <w:tcW w:w="6884" w:type="dxa"/>
            <w:tcMar>
              <w:top w:w="57" w:type="dxa"/>
              <w:bottom w:w="57" w:type="dxa"/>
            </w:tcMar>
            <w:vAlign w:val="center"/>
          </w:tcPr>
          <w:p w:rsidR="00E75A72" w:rsidRPr="006E29E6" w:rsidRDefault="00E75A72" w:rsidP="00E75A7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E29E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Zakon o upravljanju otpadom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75A72" w:rsidRPr="007B0C55" w:rsidRDefault="00E75A72" w:rsidP="00E75A7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>Članovima 14,</w:t>
            </w:r>
            <w:r w:rsidR="007B0C55"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15 i 20</w:t>
            </w:r>
            <w:r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Zakona o upravljanju otpadom utvrđeno je odvojeno sakupljanje pojedinih vrsta, odnosno frakcija otpada. </w:t>
            </w:r>
          </w:p>
          <w:p w:rsidR="00E75A72" w:rsidRDefault="00E75A72" w:rsidP="00E75A7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>Lokalnim aktima je utvrđen način odvojenog sakupljanja komunalnog otpada po zonama ili određenim ulicama u pojedinim opštinama, tako je propisano odvojeno sakupljanje reciklabilnih frakcija postavljanjem posebnih kanti za papir i plastiku</w:t>
            </w:r>
            <w:r w:rsidR="007B0C55"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>.</w:t>
            </w:r>
          </w:p>
          <w:p w:rsidR="007B0C55" w:rsidRPr="007B0C55" w:rsidRDefault="00C46BCD" w:rsidP="00E75A7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U</w:t>
            </w:r>
            <w:r w:rsidR="007B0C55">
              <w:rPr>
                <w:rFonts w:ascii="Times New Roman" w:hAnsi="Times New Roman"/>
                <w:sz w:val="22"/>
                <w:szCs w:val="22"/>
                <w:lang w:val="sr-Latn-RS"/>
              </w:rPr>
              <w:t>tvrđeno je da p</w:t>
            </w:r>
            <w:r w:rsidR="007B0C55" w:rsidRPr="007B0C55">
              <w:rPr>
                <w:rFonts w:ascii="Times New Roman" w:hAnsi="Times New Roman"/>
                <w:sz w:val="22"/>
                <w:szCs w:val="22"/>
                <w:lang w:val="sr-Latn-RS"/>
              </w:rPr>
              <w:t>rivredno društvo i preduzetnik koji se bavi proizvodnjom, unapređenjem, preradom, obradom, prodajom ili uvozom proizvoda (novih, korišćenih, popravljenih ili prepravljenih), koji nakon upotrebe postaju otpad (u daljem tekstu: proizvođač) obuhvaćeni su režimom proširene odgovornosti proizvođača</w:t>
            </w:r>
            <w:r w:rsidR="007B0C55">
              <w:rPr>
                <w:rFonts w:ascii="Times New Roman" w:hAnsi="Times New Roman"/>
                <w:sz w:val="22"/>
                <w:szCs w:val="22"/>
                <w:lang w:val="sr-Latn-RS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Radi se o bijeloj tehnici, odnosno električnom i elektronskom opremom, različitim vrstama ambalaže, baterijama i akumulatorima, plastičnim materijalima  i ostalim vrstama posebnih vrsta otpada.</w:t>
            </w:r>
          </w:p>
        </w:tc>
      </w:tr>
    </w:tbl>
    <w:p w:rsidR="001822F4" w:rsidRPr="006E29E6" w:rsidRDefault="001822F4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</w:p>
    <w:p w:rsidR="00370754" w:rsidRPr="006E29E6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E29E6">
        <w:rPr>
          <w:rFonts w:ascii="Arial" w:hAnsi="Arial" w:cs="Arial"/>
          <w:sz w:val="22"/>
          <w:szCs w:val="22"/>
          <w:lang w:val="sr-Latn-ME"/>
        </w:rPr>
        <w:t>2.3.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6E29E6" w:rsidTr="00FD3C4B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RS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RS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RS"/>
              </w:rPr>
              <w:t>Izvor(i) podataka</w:t>
            </w:r>
          </w:p>
        </w:tc>
      </w:tr>
      <w:tr w:rsidR="002B052A" w:rsidRPr="00186B60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2B052A" w:rsidRPr="008C3441" w:rsidRDefault="002B052A" w:rsidP="00FC4790">
            <w:pPr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Problem 1:</w:t>
            </w:r>
            <w:r w:rsidR="00FC4790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</w:t>
            </w:r>
            <w:r w:rsidR="00C346F3" w:rsidRPr="00C346F3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Odvojeno sakupljanje reciklabilnih komponenti komunalnog otpada</w:t>
            </w:r>
          </w:p>
          <w:p w:rsidR="00D57A18" w:rsidRPr="008C3441" w:rsidRDefault="008C3441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Loše navike 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odnos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prema odlaganj</w:t>
            </w:r>
            <w:r w:rsidR="00825136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otpada koji se može ponovo koristiti ili reciklirati, </w:t>
            </w:r>
            <w:r w:rsidR="008B1369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otežava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ju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primarn</w:t>
            </w:r>
            <w:r w:rsidR="008B1369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selekcij</w:t>
            </w:r>
            <w:r w:rsidR="008B1369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u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komunalnog otpada</w:t>
            </w:r>
            <w:r w:rsidR="008B1369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. 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</w:p>
          <w:p w:rsidR="00D57A18" w:rsidRPr="008C3441" w:rsidRDefault="00D57A18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Osmišljavanjem i realizacijom projekata na temu</w:t>
            </w:r>
            <w:r w:rsidR="008C3441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odvojenog </w:t>
            </w:r>
            <w:r w:rsidR="00576621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sakupljanja reciklabilnih frakcija </w:t>
            </w:r>
            <w:r w:rsidR="00576621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lastRenderedPageBreak/>
              <w:t xml:space="preserve">komunalnog otpada u JLS u skladu sa lokalnim aktima koje regulišu ovu oblast, 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nevladin sektor bi dao veliki doprinos unapređenju sistema selektivnog sakupljanja otpada</w:t>
            </w:r>
            <w:r w:rsidRPr="008C3441">
              <w:rPr>
                <w:sz w:val="22"/>
                <w:szCs w:val="22"/>
              </w:rPr>
              <w:t xml:space="preserve"> 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i stvaranju preduslova za postizanje ciljeva koji se odnose na recikliranje otpada. </w:t>
            </w:r>
          </w:p>
          <w:p w:rsidR="00D57A18" w:rsidRPr="008C3441" w:rsidRDefault="00F77810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Realizacijom 6-mjesečnih (ili kraćih) projekata,</w:t>
            </w:r>
            <w:r w:rsidR="00D57A18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u kojima se obavezno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  <w:r w:rsidR="00D57A18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navode djelovi teritorije JLS koji će se tretirati o čemu se mora postići dogovor sa lokalnim organima kako odvojeno sakupljeni otpad ne bi završio pomiješan sa ostalim otpadom.</w:t>
            </w:r>
          </w:p>
          <w:p w:rsidR="005D4290" w:rsidRPr="008C3441" w:rsidRDefault="002B052A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Problem 2: 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Uspostavljanje sistema 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„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proširene odgovornosti proizvođača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“</w:t>
            </w:r>
          </w:p>
          <w:p w:rsidR="002B052A" w:rsidRPr="008C3441" w:rsidRDefault="0051288F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U 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svim slojevima 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našeg 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društva je prepoznato nesavjesno odbacivanje različitih vrsta otpada. 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Ovo se posebno odnosi na </w:t>
            </w:r>
            <w:r w:rsidR="00CE35B7">
              <w:rPr>
                <w:rFonts w:ascii="Times New Roman" w:hAnsi="Times New Roman"/>
                <w:sz w:val="22"/>
                <w:szCs w:val="22"/>
                <w:lang w:val="sr-Latn-RS"/>
              </w:rPr>
              <w:t>bijelu tehniku, različite vrste ambalaže, baterije i akumulatore, plastične materijale  i ostale vrste posebnih vrsta otpada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za koj</w:t>
            </w:r>
            <w:r w:rsidR="00CE35B7">
              <w:rPr>
                <w:rFonts w:ascii="Times New Roman" w:hAnsi="Times New Roman"/>
                <w:sz w:val="22"/>
                <w:szCs w:val="22"/>
                <w:lang w:val="sr-Latn-RS"/>
              </w:rPr>
              <w:t>e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je propisana obaveza </w:t>
            </w:r>
            <w:r w:rsidR="00CE35B7">
              <w:rPr>
                <w:rFonts w:ascii="Times New Roman" w:hAnsi="Times New Roman"/>
                <w:sz w:val="22"/>
                <w:szCs w:val="22"/>
                <w:lang w:val="sr-Latn-RS"/>
              </w:rPr>
              <w:t>proširene odgovornosti koja podrazumijeva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. </w:t>
            </w:r>
          </w:p>
          <w:p w:rsidR="002B052A" w:rsidRPr="008C3441" w:rsidRDefault="002B052A" w:rsidP="00FF1CFB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Veliko znanje i umijeće, razne vještine doprinijeće da nevladin sektor da impuls u rješavanju ovog problema.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B052A" w:rsidRPr="008C3441" w:rsidRDefault="002B052A" w:rsidP="00FC4790">
            <w:pPr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lastRenderedPageBreak/>
              <w:t xml:space="preserve">Problem 1: </w:t>
            </w:r>
            <w:r w:rsidR="00C346F3" w:rsidRPr="00C346F3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Odvojeno sakupljanje reciklabilnih komponenti komunalnog otpada</w:t>
            </w:r>
          </w:p>
          <w:p w:rsidR="000D74AA" w:rsidRPr="008C3441" w:rsidRDefault="000D74AA" w:rsidP="008C3441">
            <w:pPr>
              <w:pStyle w:val="NoSpacing"/>
              <w:numPr>
                <w:ilvl w:val="0"/>
                <w:numId w:val="12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Broj aktivnosti na kojima se direktno pokazao proces pravilnog sakupljanja otpada u mikrosredinama, obrazovnim i drugim institucijama, pojedinim naseljima, parkovima i dr.; </w:t>
            </w:r>
          </w:p>
          <w:p w:rsidR="000D74AA" w:rsidRPr="008C3441" w:rsidRDefault="000D74AA" w:rsidP="008C3441">
            <w:pPr>
              <w:pStyle w:val="NoSpacing"/>
              <w:numPr>
                <w:ilvl w:val="0"/>
                <w:numId w:val="12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lastRenderedPageBreak/>
              <w:t>Broj postavljenih posuda za selektivno sakupljanje otpada sa obezbijeđenim uslovima da se odvojene reciklabilne frakcije ne miješaju sa ostalim otpadom;</w:t>
            </w:r>
          </w:p>
          <w:p w:rsidR="002B052A" w:rsidRPr="008C3441" w:rsidRDefault="002B052A" w:rsidP="008C3441">
            <w:pPr>
              <w:pStyle w:val="NoSpacing"/>
              <w:numPr>
                <w:ilvl w:val="0"/>
                <w:numId w:val="12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priloga u medijima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;</w:t>
            </w:r>
          </w:p>
          <w:p w:rsidR="002B052A" w:rsidRPr="008C3441" w:rsidRDefault="002B052A" w:rsidP="008C3441">
            <w:pPr>
              <w:pStyle w:val="NoSpacing"/>
              <w:numPr>
                <w:ilvl w:val="0"/>
                <w:numId w:val="12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promotivnih materijala (poster, lifleti, video klipovi)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;</w:t>
            </w:r>
          </w:p>
          <w:p w:rsidR="000D74AA" w:rsidRPr="008C3441" w:rsidRDefault="000D74AA" w:rsidP="008C3441">
            <w:pPr>
              <w:pStyle w:val="NoSpacing"/>
              <w:numPr>
                <w:ilvl w:val="0"/>
                <w:numId w:val="12"/>
              </w:numPr>
              <w:ind w:left="181" w:hanging="181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učesnika na pomenutim aktivnostima</w:t>
            </w:r>
            <w:r w:rsidR="002B052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.</w:t>
            </w:r>
          </w:p>
          <w:p w:rsidR="000D74AA" w:rsidRPr="008C3441" w:rsidRDefault="000D74AA" w:rsidP="002B052A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</w:p>
          <w:p w:rsidR="000D74AA" w:rsidRPr="008C3441" w:rsidRDefault="002B052A" w:rsidP="002B052A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Problem 2: 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Uspostavljanje sistema 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„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proširene odgovornosti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“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proizvođača</w:t>
            </w:r>
          </w:p>
          <w:p w:rsidR="000D74AA" w:rsidRPr="008C3441" w:rsidRDefault="000D74AA" w:rsidP="002B052A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:rsidR="00767602" w:rsidRPr="008C3441" w:rsidRDefault="00FF1CFB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roj </w:t>
            </w:r>
            <w:r w:rsidR="003C0F03">
              <w:rPr>
                <w:rFonts w:ascii="Times New Roman" w:hAnsi="Times New Roman"/>
                <w:sz w:val="22"/>
                <w:szCs w:val="22"/>
                <w:lang w:val="sr-Latn-RS"/>
              </w:rPr>
              <w:t>održanih javnih skupova na temu načina funkcionisanja sistema proširene odgovornosti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;</w:t>
            </w:r>
          </w:p>
          <w:p w:rsidR="00767602" w:rsidRDefault="00FF1CFB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roj realizovanih aktivnosti čišćenj</w:t>
            </w:r>
            <w:r w:rsidR="00767602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a</w:t>
            </w:r>
            <w:r w:rsidR="000D74AA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lokacija neuređenih odlagališta</w:t>
            </w:r>
            <w:r w:rsidR="003C0F0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na kojima se nalazio otpad od posebnih vrsta otpada</w:t>
            </w:r>
            <w:r w:rsidR="00767602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;</w:t>
            </w:r>
          </w:p>
          <w:p w:rsidR="003C0F03" w:rsidRPr="008C3441" w:rsidRDefault="003C0F03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Količina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sakupljenog</w:t>
            </w: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otpada sa neuređenih odlagališta;</w:t>
            </w:r>
          </w:p>
          <w:p w:rsidR="002650ED" w:rsidRPr="00CE35B7" w:rsidRDefault="005D4290" w:rsidP="00CE35B7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CE35B7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Broj predstavnika institucija koji su se odazvali pozivu za </w:t>
            </w:r>
            <w:r w:rsidR="003C0F03" w:rsidRPr="00CE35B7">
              <w:rPr>
                <w:rFonts w:ascii="Times New Roman" w:hAnsi="Times New Roman"/>
                <w:sz w:val="22"/>
                <w:szCs w:val="22"/>
                <w:lang w:val="sr-Latn-RS"/>
              </w:rPr>
              <w:t>učešće u aktivnostima</w:t>
            </w:r>
            <w:r w:rsidRPr="00CE35B7">
              <w:rPr>
                <w:rFonts w:ascii="Times New Roman" w:hAnsi="Times New Roman"/>
                <w:sz w:val="22"/>
                <w:szCs w:val="22"/>
                <w:lang w:val="sr-Latn-RS"/>
              </w:rPr>
              <w:t>;</w:t>
            </w:r>
            <w:r w:rsidR="002650ED" w:rsidRPr="00CE35B7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</w:p>
          <w:p w:rsidR="002650ED" w:rsidRPr="008C3441" w:rsidRDefault="002650ED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učesnika u navedenim aktivnostima</w:t>
            </w:r>
          </w:p>
          <w:p w:rsidR="00767602" w:rsidRPr="008C3441" w:rsidRDefault="00767602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priloga u medijima;</w:t>
            </w:r>
          </w:p>
          <w:p w:rsidR="00767602" w:rsidRPr="008C3441" w:rsidRDefault="00767602" w:rsidP="003C0F03">
            <w:pPr>
              <w:pStyle w:val="NoSpacing"/>
              <w:numPr>
                <w:ilvl w:val="0"/>
                <w:numId w:val="13"/>
              </w:numPr>
              <w:ind w:left="181" w:hanging="181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Broj promotivnih materijala (poster, lifleti, video klipovi);</w:t>
            </w:r>
          </w:p>
          <w:p w:rsidR="002B052A" w:rsidRPr="008C3441" w:rsidRDefault="002B052A" w:rsidP="00FF1CFB">
            <w:pPr>
              <w:pStyle w:val="NoSpacing"/>
              <w:ind w:left="317" w:hanging="31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2B052A" w:rsidRPr="008C3441" w:rsidRDefault="002B052A" w:rsidP="00FC4790">
            <w:pPr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lastRenderedPageBreak/>
              <w:t xml:space="preserve">Problem 1: </w:t>
            </w:r>
            <w:r w:rsidR="00C346F3" w:rsidRPr="00C346F3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Odvojeno sakupljanje reciklabilnih komponenti komunalnog otpada</w:t>
            </w:r>
          </w:p>
          <w:p w:rsidR="002B052A" w:rsidRPr="008C3441" w:rsidRDefault="002B052A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Izvještaji nevladinih organizacija</w:t>
            </w:r>
            <w:r w:rsidR="00B03BD4"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.</w:t>
            </w:r>
          </w:p>
          <w:p w:rsidR="00B03BD4" w:rsidRPr="008C3441" w:rsidRDefault="00B03BD4" w:rsidP="002B052A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Dostavljanje podataka od ovlašćenih sakupljača.</w:t>
            </w:r>
          </w:p>
          <w:p w:rsidR="002B052A" w:rsidRPr="008C3441" w:rsidRDefault="002B052A" w:rsidP="002B052A">
            <w:pPr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Eksterna evaluacija projekta</w:t>
            </w: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</w:t>
            </w:r>
          </w:p>
          <w:p w:rsidR="00B03BD4" w:rsidRPr="008C3441" w:rsidRDefault="002B052A" w:rsidP="00B03BD4">
            <w:pPr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lastRenderedPageBreak/>
              <w:t xml:space="preserve">Problem 2: 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Uspostavljanje sistema 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„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proširene odgovornosti</w:t>
            </w:r>
            <w:r w:rsidR="002D12BD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“ </w:t>
            </w:r>
            <w:r w:rsidR="008C3441" w:rsidRPr="008C344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proizvođača</w:t>
            </w:r>
          </w:p>
          <w:p w:rsidR="00B03BD4" w:rsidRPr="008C3441" w:rsidRDefault="00B03BD4" w:rsidP="00B03BD4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Izvještaji nevladinih organizacija.</w:t>
            </w:r>
          </w:p>
          <w:p w:rsidR="00B03BD4" w:rsidRPr="008C3441" w:rsidRDefault="00B03BD4" w:rsidP="00B03BD4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Dostavljanje podataka od ovlašćenih sakupljača.</w:t>
            </w:r>
          </w:p>
          <w:p w:rsidR="002B052A" w:rsidRPr="008C3441" w:rsidRDefault="00B03BD4" w:rsidP="00B03BD4">
            <w:pPr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8C3441">
              <w:rPr>
                <w:rFonts w:ascii="Times New Roman" w:hAnsi="Times New Roman"/>
                <w:sz w:val="22"/>
                <w:szCs w:val="22"/>
                <w:lang w:val="sr-Latn-RS"/>
              </w:rPr>
              <w:t>Eksterna evaluacija projekta</w:t>
            </w:r>
          </w:p>
          <w:p w:rsidR="002B052A" w:rsidRPr="00F054DC" w:rsidRDefault="002B052A" w:rsidP="008C3441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</w:tbl>
    <w:p w:rsidR="00370754" w:rsidRDefault="00370754" w:rsidP="00370754">
      <w:pPr>
        <w:rPr>
          <w:rFonts w:ascii="Arial" w:hAnsi="Arial" w:cs="Arial"/>
          <w:sz w:val="22"/>
        </w:rPr>
      </w:pPr>
    </w:p>
    <w:p w:rsidR="00370754" w:rsidRPr="006E29E6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6E29E6">
        <w:rPr>
          <w:rFonts w:ascii="Arial" w:hAnsi="Arial" w:cs="Arial"/>
          <w:b/>
          <w:sz w:val="22"/>
          <w:szCs w:val="22"/>
          <w:lang w:val="sr-Latn-ME"/>
        </w:rPr>
        <w:t>OSTVARIVANJE STRATEŠKIH CILJEVA</w:t>
      </w:r>
    </w:p>
    <w:p w:rsidR="00370754" w:rsidRPr="006E29E6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E29E6">
        <w:rPr>
          <w:rFonts w:ascii="Arial" w:hAnsi="Arial" w:cs="Arial"/>
          <w:sz w:val="22"/>
          <w:szCs w:val="22"/>
          <w:lang w:val="sr-Latn-ME"/>
        </w:rPr>
        <w:t>3.1.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186B60" w:rsidRPr="006E29E6">
        <w:rPr>
          <w:rFonts w:ascii="Arial" w:hAnsi="Arial" w:cs="Arial"/>
          <w:sz w:val="22"/>
          <w:szCs w:val="22"/>
          <w:lang w:val="sr-Latn-ME"/>
        </w:rPr>
        <w:t>202</w:t>
      </w:r>
      <w:r w:rsidR="00E971DB">
        <w:rPr>
          <w:rFonts w:ascii="Arial" w:hAnsi="Arial" w:cs="Arial"/>
          <w:sz w:val="22"/>
          <w:szCs w:val="22"/>
          <w:lang w:val="sr-Latn-ME"/>
        </w:rPr>
        <w:t>6</w:t>
      </w:r>
      <w:r w:rsidR="00186B60" w:rsidRPr="006E29E6">
        <w:rPr>
          <w:rFonts w:ascii="Arial" w:hAnsi="Arial" w:cs="Arial"/>
          <w:sz w:val="22"/>
          <w:szCs w:val="22"/>
          <w:lang w:val="sr-Latn-ME"/>
        </w:rPr>
        <w:t>.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 xml:space="preserve"> 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16"/>
        <w:gridCol w:w="7030"/>
      </w:tblGrid>
      <w:tr w:rsidR="00370754" w:rsidRPr="006E29E6" w:rsidTr="00162749">
        <w:tc>
          <w:tcPr>
            <w:tcW w:w="671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Strateški cilj(evi) čijem ostvarenju će doprinijeti javni konkurs za projekte i programe</w:t>
            </w:r>
            <w:r w:rsidR="002B052A" w:rsidRPr="006E29E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nevladinih organizacija u 202</w:t>
            </w:r>
            <w:r w:rsidR="00E971DB">
              <w:rPr>
                <w:rFonts w:ascii="Arial" w:hAnsi="Arial" w:cs="Arial"/>
                <w:sz w:val="22"/>
                <w:szCs w:val="22"/>
                <w:lang w:val="sr-Latn-ME"/>
              </w:rPr>
              <w:t>6</w:t>
            </w: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7030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E29E6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E29E6">
              <w:rPr>
                <w:rFonts w:ascii="Arial" w:hAnsi="Arial" w:cs="Arial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2B052A" w:rsidRPr="006E29E6" w:rsidTr="009155D6">
        <w:trPr>
          <w:trHeight w:val="4359"/>
        </w:trPr>
        <w:tc>
          <w:tcPr>
            <w:tcW w:w="6716" w:type="dxa"/>
            <w:tcMar>
              <w:top w:w="57" w:type="dxa"/>
              <w:bottom w:w="57" w:type="dxa"/>
            </w:tcMar>
            <w:vAlign w:val="center"/>
          </w:tcPr>
          <w:p w:rsidR="002B052A" w:rsidRPr="006E29E6" w:rsidRDefault="002B052A" w:rsidP="00CE35B7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</w:pPr>
            <w:r w:rsidRPr="006E29E6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 xml:space="preserve">Cilj 1: </w:t>
            </w:r>
            <w:r w:rsidR="00CE35B7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 xml:space="preserve">Dostizanje postavljenih ciljeva u vezi sakupljanja reciklabilnih frakcija komunalnog otpada, odnosno unapređenje </w:t>
            </w:r>
            <w:r w:rsidR="00186B60" w:rsidRPr="006E29E6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 xml:space="preserve"> sistem</w:t>
            </w:r>
            <w:r w:rsidR="00162749" w:rsidRPr="006E29E6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>a</w:t>
            </w:r>
            <w:r w:rsidR="00186B60" w:rsidRPr="006E29E6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 xml:space="preserve"> s</w:t>
            </w:r>
            <w:r w:rsidR="00186B60" w:rsidRPr="006E29E6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elektivnog sakupljanje otpada</w:t>
            </w:r>
            <w:r w:rsidR="00A649EC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kroz jačanje ekološke svijesti na način da se o otpadu razmišlja kao o značajnom resursu.</w:t>
            </w:r>
            <w:r w:rsidR="000E239F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7030" w:type="dxa"/>
            <w:tcMar>
              <w:top w:w="57" w:type="dxa"/>
              <w:bottom w:w="57" w:type="dxa"/>
            </w:tcMar>
          </w:tcPr>
          <w:p w:rsidR="00162749" w:rsidRPr="006E29E6" w:rsidRDefault="00162749" w:rsidP="00162749">
            <w:pPr>
              <w:pStyle w:val="ListParagraph"/>
              <w:numPr>
                <w:ilvl w:val="1"/>
                <w:numId w:val="10"/>
              </w:numPr>
              <w:ind w:left="426" w:hanging="426"/>
              <w:jc w:val="both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D</w:t>
            </w:r>
            <w:r w:rsidR="00E714C1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irektnim pokazivanjem procesa pravilnog sakupljanja otpada u mikrosredinama, obrazovnim i drugim institucijama, pojedinim naseljima, parkovima i dr. postavljanjem posuda</w:t>
            </w: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za selektivno sakupljanje otpada</w:t>
            </w:r>
            <w:r w:rsidR="005D4290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u skladu sa loklanim odlukama o načinu odvojenog sakupljanja komunalnog otpada,</w:t>
            </w:r>
            <w:r w:rsidR="004C1025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26456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uz</w:t>
            </w:r>
            <w:r w:rsidR="004C1025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obezbijeđen</w:t>
            </w:r>
            <w:r w:rsidR="0026456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e</w:t>
            </w:r>
            <w:r w:rsidR="004C1025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uslov</w:t>
            </w:r>
            <w:r w:rsidR="0026456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e</w:t>
            </w:r>
            <w:r w:rsidR="004C1025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da se odvojene reciklabilne frakcije ne miješaju sa ostalim otpadom, na način što će se Komisiji za raspodjelu sredstava nevladinim organizacijama dostaviti akt o saradnji sa ovlašćenim sakupljačima, a postupanje po pomenutom aktu će se provjeriti u procesu realizacije projekata.</w:t>
            </w:r>
          </w:p>
          <w:p w:rsidR="00162749" w:rsidRPr="006E29E6" w:rsidRDefault="00162749" w:rsidP="00162749">
            <w:pPr>
              <w:pStyle w:val="ListParagraph"/>
              <w:ind w:left="426"/>
              <w:jc w:val="both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  <w:p w:rsidR="00162749" w:rsidRPr="006E29E6" w:rsidRDefault="00162749" w:rsidP="00162749">
            <w:pPr>
              <w:pStyle w:val="ListParagraph"/>
              <w:numPr>
                <w:ilvl w:val="1"/>
                <w:numId w:val="10"/>
              </w:numPr>
              <w:ind w:left="426" w:hanging="426"/>
              <w:jc w:val="both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I</w:t>
            </w:r>
            <w:r w:rsidR="00E714C1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zradom predmeta od reciklabilnih vrsta otpada i njihovim izlaganjem u izložbenim prostorima, </w:t>
            </w: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tržnim centrima, </w:t>
            </w:r>
            <w:r w:rsidR="00E714C1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bazarima i sl. </w:t>
            </w:r>
            <w:r w:rsidR="009155D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O</w:t>
            </w: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rganizovati izbor i obezbjediti nagrade za najbolje radove.</w:t>
            </w:r>
          </w:p>
          <w:p w:rsidR="00162749" w:rsidRPr="006E29E6" w:rsidRDefault="00162749" w:rsidP="00162749">
            <w:pPr>
              <w:pStyle w:val="ListParagraph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  <w:p w:rsidR="00162749" w:rsidRPr="006E29E6" w:rsidRDefault="004C1025" w:rsidP="00162749">
            <w:pPr>
              <w:pStyle w:val="ListParagraph"/>
              <w:numPr>
                <w:ilvl w:val="1"/>
                <w:numId w:val="10"/>
              </w:numPr>
              <w:ind w:left="426" w:hanging="426"/>
              <w:jc w:val="both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Izradom propagandnog materijala koji će pružiti informaciju na koji način se neadekvatno postupa sa otpadom u odnosu na važeću regulativu koja uređuje ovu problematiku. </w:t>
            </w:r>
          </w:p>
        </w:tc>
      </w:tr>
      <w:tr w:rsidR="002B052A" w:rsidRPr="006E29E6" w:rsidTr="00162749">
        <w:tc>
          <w:tcPr>
            <w:tcW w:w="6716" w:type="dxa"/>
            <w:tcMar>
              <w:top w:w="57" w:type="dxa"/>
              <w:bottom w:w="57" w:type="dxa"/>
            </w:tcMar>
            <w:vAlign w:val="center"/>
          </w:tcPr>
          <w:p w:rsidR="002B052A" w:rsidRPr="006E29E6" w:rsidRDefault="002B052A" w:rsidP="00F77810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</w:pPr>
            <w:r w:rsidRPr="006E29E6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>Cilj 2:</w:t>
            </w: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RS"/>
              </w:rPr>
              <w:t xml:space="preserve"> </w:t>
            </w:r>
            <w:r w:rsidR="00DA06ED" w:rsidRPr="00DA06ED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>Dostizanje postavljenih ciljev</w:t>
            </w:r>
            <w:r w:rsidR="00DA06ED">
              <w:rPr>
                <w:rFonts w:ascii="Times New Roman" w:hAnsi="Times New Roman"/>
                <w:b/>
                <w:noProof/>
                <w:sz w:val="22"/>
                <w:szCs w:val="22"/>
                <w:lang w:val="sr-Latn-RS"/>
              </w:rPr>
              <w:t>a koji se odnose na sakupljanje posebnih vrsta otpada</w:t>
            </w:r>
          </w:p>
        </w:tc>
        <w:tc>
          <w:tcPr>
            <w:tcW w:w="7030" w:type="dxa"/>
            <w:tcMar>
              <w:top w:w="57" w:type="dxa"/>
              <w:bottom w:w="57" w:type="dxa"/>
            </w:tcMar>
          </w:tcPr>
          <w:p w:rsidR="00237172" w:rsidRDefault="00162749" w:rsidP="00F445DA">
            <w:pPr>
              <w:ind w:left="457" w:hanging="457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2.1. </w:t>
            </w:r>
            <w:r w:rsidR="002B052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Organizovanje</w:t>
            </w:r>
            <w:r w:rsidR="00F445D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m</w:t>
            </w:r>
            <w:r w:rsidR="002B052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681A57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aktivnosti </w:t>
            </w:r>
            <w:r w:rsidR="00DA06ED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u kojima će učestvovati pravna lica, proizvođači ili uvoznici opreme od koje istekom roka nastaju posebne vrste otpada, a za koje je propisana obaveza organizovanja </w:t>
            </w:r>
            <w:r w:rsidR="00C73F9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sistema </w:t>
            </w:r>
            <w:r w:rsidR="00073A93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„</w:t>
            </w:r>
            <w:r w:rsidR="00C73F9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proširene odgovornosti</w:t>
            </w:r>
            <w:r w:rsidR="00073A93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“</w:t>
            </w:r>
            <w:r w:rsidR="00C73F9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DA06ED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ili učlanjenja u</w:t>
            </w:r>
            <w:r w:rsidR="00C73F9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taj sistem</w:t>
            </w:r>
            <w:r w:rsidR="00F445D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.</w:t>
            </w:r>
          </w:p>
          <w:p w:rsidR="00F445DA" w:rsidRPr="00237172" w:rsidRDefault="00F445DA" w:rsidP="00237172">
            <w:pPr>
              <w:pStyle w:val="ListParagraph"/>
              <w:numPr>
                <w:ilvl w:val="1"/>
                <w:numId w:val="18"/>
              </w:numPr>
              <w:ind w:left="461" w:hanging="461"/>
              <w:jc w:val="both"/>
              <w:rPr>
                <w:rFonts w:ascii="Times New Roman" w:hAnsi="Times New Roman"/>
                <w:noProof/>
                <w:sz w:val="22"/>
              </w:rPr>
            </w:pPr>
            <w:r w:rsidRPr="00237172">
              <w:rPr>
                <w:rFonts w:ascii="Times New Roman" w:hAnsi="Times New Roman"/>
                <w:noProof/>
                <w:sz w:val="22"/>
                <w:lang w:val="sr-Latn-ME"/>
              </w:rPr>
              <w:t xml:space="preserve"> </w:t>
            </w:r>
            <w:r w:rsidR="00237172" w:rsidRPr="00237172">
              <w:rPr>
                <w:rFonts w:ascii="Times New Roman" w:hAnsi="Times New Roman"/>
                <w:noProof/>
                <w:sz w:val="22"/>
              </w:rPr>
              <w:t>Direktnom komunikacijom sa proizvođačima ili uvoznicima pomenute opreme, dajući im pojašnjenja o konkretnim primjerima iz prakse, načinu funkcionisanja sistema pomoći će se direktnim nosiocima obaveze, a komunikacijom sa građanima ojačaće se građanska svijest kako bi se loše navike eliminisale, da se konačno shvati da je otpad značajan resurs.</w:t>
            </w:r>
          </w:p>
          <w:p w:rsidR="00F445DA" w:rsidRPr="006E29E6" w:rsidRDefault="002B052A" w:rsidP="00C73F9F">
            <w:pPr>
              <w:ind w:left="457" w:hanging="457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lastRenderedPageBreak/>
              <w:t>2.</w:t>
            </w:r>
            <w:r w:rsidR="00237172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3</w:t>
            </w:r>
            <w:r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.</w:t>
            </w:r>
            <w:r w:rsidR="00F445D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C73F9F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F445D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Izradom propagandnog materijala koji će pružiti informaciju na koji način se neadekvatnim postupanjem ugrožavaju ljepote </w:t>
            </w:r>
            <w:r w:rsidR="000D74AA" w:rsidRPr="006E29E6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Crne Gore i koji je način da očuvamo životnu sredinu poštujući propisane mjere.</w:t>
            </w:r>
          </w:p>
        </w:tc>
      </w:tr>
    </w:tbl>
    <w:p w:rsidR="00370754" w:rsidRPr="006E29E6" w:rsidRDefault="00370754" w:rsidP="00370754">
      <w:pPr>
        <w:rPr>
          <w:rFonts w:ascii="Arial" w:hAnsi="Arial" w:cs="Arial"/>
          <w:sz w:val="22"/>
        </w:rPr>
      </w:pPr>
    </w:p>
    <w:p w:rsidR="00370754" w:rsidRPr="006E29E6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6E29E6">
        <w:rPr>
          <w:rFonts w:ascii="Arial" w:hAnsi="Arial" w:cs="Arial"/>
          <w:b/>
          <w:sz w:val="22"/>
          <w:szCs w:val="22"/>
          <w:lang w:val="sr-Latn-ME"/>
        </w:rPr>
        <w:t>JAVNI KONKURSI ZA FINANSIRANJE PROJEKATA I PROGRAMA NVO - DOPRINOS OSTVARENJU STRATEŠKIH CILJEVA IZ SEKTORSKE NADLEŽNOSTI MINISTARSTVA</w:t>
      </w:r>
    </w:p>
    <w:p w:rsidR="003C0043" w:rsidRDefault="003C0043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</w:p>
    <w:p w:rsidR="00370754" w:rsidRPr="006E29E6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E29E6">
        <w:rPr>
          <w:rFonts w:ascii="Arial" w:hAnsi="Arial" w:cs="Arial"/>
          <w:sz w:val="22"/>
          <w:szCs w:val="22"/>
          <w:lang w:val="sr-Latn-ME"/>
        </w:rPr>
        <w:t>4.1.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 xml:space="preserve">Navesti javne konkurse koji se predlažu za objavljivanje u </w:t>
      </w:r>
      <w:r w:rsidR="006E29E6">
        <w:rPr>
          <w:rFonts w:ascii="Arial" w:hAnsi="Arial" w:cs="Arial"/>
          <w:sz w:val="22"/>
          <w:szCs w:val="22"/>
          <w:lang w:val="sr-Latn-ME"/>
        </w:rPr>
        <w:t>202</w:t>
      </w:r>
      <w:r w:rsidR="00E971DB">
        <w:rPr>
          <w:rFonts w:ascii="Arial" w:hAnsi="Arial" w:cs="Arial"/>
          <w:sz w:val="22"/>
          <w:szCs w:val="22"/>
          <w:lang w:val="sr-Latn-ME"/>
        </w:rPr>
        <w:t>6</w:t>
      </w:r>
      <w:r w:rsidR="00370754" w:rsidRPr="006E29E6">
        <w:rPr>
          <w:rFonts w:ascii="Arial" w:hAnsi="Arial" w:cs="Arial"/>
          <w:sz w:val="22"/>
          <w:szCs w:val="22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16"/>
        <w:gridCol w:w="1701"/>
        <w:gridCol w:w="5329"/>
      </w:tblGrid>
      <w:tr w:rsidR="00370754" w:rsidRPr="00370754" w:rsidTr="00FA6F14">
        <w:tc>
          <w:tcPr>
            <w:tcW w:w="671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F054D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054D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F054D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054DC">
              <w:rPr>
                <w:rFonts w:ascii="Arial" w:hAnsi="Arial" w:cs="Arial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329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F054D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054DC">
              <w:rPr>
                <w:rFonts w:ascii="Arial" w:hAnsi="Arial" w:cs="Arial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5C41EC" w:rsidRPr="00370754" w:rsidTr="003155C0">
        <w:trPr>
          <w:trHeight w:val="908"/>
        </w:trPr>
        <w:tc>
          <w:tcPr>
            <w:tcW w:w="6716" w:type="dxa"/>
            <w:tcMar>
              <w:top w:w="57" w:type="dxa"/>
              <w:bottom w:w="57" w:type="dxa"/>
            </w:tcMar>
            <w:vAlign w:val="center"/>
          </w:tcPr>
          <w:p w:rsidR="005C41EC" w:rsidRPr="003155C0" w:rsidRDefault="003155C0" w:rsidP="003155C0">
            <w:pPr>
              <w:ind w:right="187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Javni k</w:t>
            </w:r>
            <w:r w:rsidR="005711E3" w:rsidRPr="003155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onkurs za finsiranje projekata </w:t>
            </w:r>
            <w:r w:rsidRPr="003155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nevladinih organizacija </w:t>
            </w:r>
            <w:r w:rsidR="00FA6F14" w:rsidRPr="003155C0">
              <w:rPr>
                <w:rFonts w:ascii="Times New Roman" w:hAnsi="Times New Roman"/>
                <w:sz w:val="22"/>
                <w:szCs w:val="22"/>
                <w:lang w:val="sr-Latn-ME"/>
              </w:rPr>
              <w:t>za oblast upravljanja otpadom</w:t>
            </w:r>
          </w:p>
          <w:p w:rsidR="00FA6F14" w:rsidRDefault="00FA6F14" w:rsidP="003155C0">
            <w:pPr>
              <w:pStyle w:val="ListParagraph"/>
              <w:numPr>
                <w:ilvl w:val="0"/>
                <w:numId w:val="19"/>
              </w:numPr>
              <w:ind w:left="518" w:right="187" w:hanging="142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 </w:t>
            </w:r>
            <w:r w:rsidR="003155C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projekte 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koji se odnos</w:t>
            </w:r>
            <w:r w:rsidR="003155C0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</w:t>
            </w:r>
            <w:r w:rsidRPr="00FA6F14">
              <w:rPr>
                <w:rFonts w:ascii="Times New Roman" w:hAnsi="Times New Roman"/>
                <w:sz w:val="22"/>
                <w:szCs w:val="22"/>
                <w:lang w:val="sr-Latn-ME"/>
              </w:rPr>
              <w:t>sakupljanje reciklabilnih komponenti komunalnog otpada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</w:p>
          <w:p w:rsidR="00FA6F14" w:rsidRPr="00F054DC" w:rsidRDefault="002D12BD" w:rsidP="003155C0">
            <w:pPr>
              <w:pStyle w:val="ListParagraph"/>
              <w:numPr>
                <w:ilvl w:val="0"/>
                <w:numId w:val="19"/>
              </w:numPr>
              <w:ind w:left="518" w:right="187" w:hanging="142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 </w:t>
            </w:r>
            <w:r w:rsidR="00FC4790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projekte 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koji se odnos</w:t>
            </w:r>
            <w:r w:rsidR="00FC4790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„proširenu odgovornost“</w:t>
            </w:r>
            <w:r w:rsidR="003155C0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55C0" w:rsidRDefault="003155C0" w:rsidP="005C41E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C4790" w:rsidRDefault="00FC4790" w:rsidP="005C41E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C41EC" w:rsidRDefault="003155C0" w:rsidP="005C41E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- </w:t>
            </w:r>
            <w:r w:rsidR="00FA6F14">
              <w:rPr>
                <w:rFonts w:ascii="Times New Roman" w:hAnsi="Times New Roman"/>
                <w:sz w:val="22"/>
                <w:szCs w:val="22"/>
                <w:lang w:val="sr-Latn-ME"/>
              </w:rPr>
              <w:t>8</w:t>
            </w:r>
            <w:r w:rsidR="005C41EC"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0.000,00 eura</w:t>
            </w:r>
          </w:p>
          <w:p w:rsidR="00261150" w:rsidRPr="00F054DC" w:rsidRDefault="003155C0" w:rsidP="005C41E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- </w:t>
            </w:r>
            <w:r w:rsidR="00FA6F14">
              <w:rPr>
                <w:rFonts w:ascii="Times New Roman" w:hAnsi="Times New Roman"/>
                <w:sz w:val="22"/>
                <w:szCs w:val="22"/>
                <w:lang w:val="sr-Latn-ME"/>
              </w:rPr>
              <w:t>80.000,00 eura</w:t>
            </w:r>
          </w:p>
        </w:tc>
        <w:tc>
          <w:tcPr>
            <w:tcW w:w="5329" w:type="dxa"/>
            <w:tcBorders>
              <w:left w:val="single" w:sz="2" w:space="0" w:color="auto"/>
            </w:tcBorders>
            <w:vAlign w:val="center"/>
          </w:tcPr>
          <w:p w:rsidR="005C41EC" w:rsidRPr="00F054DC" w:rsidRDefault="005C41EC" w:rsidP="005C41EC">
            <w:pPr>
              <w:jc w:val="center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054DC">
              <w:rPr>
                <w:rFonts w:ascii="Times New Roman" w:hAnsi="Times New Roman"/>
                <w:sz w:val="22"/>
                <w:szCs w:val="22"/>
                <w:lang w:val="sr-Latn-ME"/>
              </w:rPr>
              <w:t>---</w:t>
            </w:r>
          </w:p>
        </w:tc>
      </w:tr>
      <w:tr w:rsidR="003155C0" w:rsidRPr="00370754" w:rsidTr="00FA6F14">
        <w:tc>
          <w:tcPr>
            <w:tcW w:w="6716" w:type="dxa"/>
            <w:tcMar>
              <w:top w:w="57" w:type="dxa"/>
              <w:bottom w:w="57" w:type="dxa"/>
            </w:tcMar>
            <w:vAlign w:val="center"/>
          </w:tcPr>
          <w:p w:rsidR="003155C0" w:rsidRPr="003155C0" w:rsidRDefault="003155C0" w:rsidP="003155C0">
            <w:pPr>
              <w:ind w:left="709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26115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UKUPNO: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55C0" w:rsidRDefault="003155C0" w:rsidP="003155C0">
            <w:pPr>
              <w:jc w:val="left"/>
              <w:rPr>
                <w:rFonts w:ascii="Times New Roman" w:hAnsi="Times New Roman"/>
                <w:sz w:val="22"/>
              </w:rPr>
            </w:pPr>
            <w:r w:rsidRPr="00261150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160.000,00 eura</w:t>
            </w:r>
          </w:p>
        </w:tc>
        <w:tc>
          <w:tcPr>
            <w:tcW w:w="5329" w:type="dxa"/>
            <w:tcBorders>
              <w:left w:val="single" w:sz="2" w:space="0" w:color="auto"/>
            </w:tcBorders>
            <w:vAlign w:val="center"/>
          </w:tcPr>
          <w:p w:rsidR="003155C0" w:rsidRPr="00F054DC" w:rsidRDefault="00384B0B" w:rsidP="005C41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</w:tbl>
    <w:p w:rsidR="00370754" w:rsidRDefault="00370754" w:rsidP="00370754">
      <w:pPr>
        <w:rPr>
          <w:rFonts w:ascii="Arial" w:hAnsi="Arial" w:cs="Arial"/>
          <w:sz w:val="10"/>
          <w:szCs w:val="10"/>
        </w:rPr>
      </w:pPr>
    </w:p>
    <w:p w:rsidR="00C93B16" w:rsidRPr="003C0043" w:rsidRDefault="00C93B16" w:rsidP="00370754">
      <w:pPr>
        <w:rPr>
          <w:rFonts w:ascii="Arial" w:hAnsi="Arial" w:cs="Arial"/>
          <w:sz w:val="10"/>
          <w:szCs w:val="10"/>
        </w:rPr>
      </w:pPr>
    </w:p>
    <w:p w:rsidR="00370754" w:rsidRPr="003C0043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C0043">
        <w:rPr>
          <w:rFonts w:ascii="Arial" w:hAnsi="Arial" w:cs="Arial"/>
          <w:sz w:val="22"/>
          <w:szCs w:val="22"/>
          <w:lang w:val="sr-Latn-ME"/>
        </w:rPr>
        <w:t>4.2.</w:t>
      </w:r>
      <w:r w:rsidR="00370754" w:rsidRPr="003C0043">
        <w:rPr>
          <w:rFonts w:ascii="Arial" w:hAnsi="Arial" w:cs="Arial"/>
          <w:sz w:val="22"/>
          <w:szCs w:val="22"/>
          <w:lang w:val="sr-Latn-ME"/>
        </w:rPr>
        <w:t>Navesti ko su predviđeni glavni korisnici projekata i programa koji će se finansirati putem javnog konkursa. Ukratko navesti glavna obilježja svake grupe korisnika, njihov broj i njihove potrebe na koje projekti i programi treba da odgovore u</w:t>
      </w:r>
      <w:r w:rsidR="00042C93" w:rsidRPr="003C0043">
        <w:rPr>
          <w:rFonts w:ascii="Arial" w:hAnsi="Arial" w:cs="Arial"/>
          <w:sz w:val="22"/>
          <w:szCs w:val="22"/>
          <w:lang w:val="sr-Latn-ME"/>
        </w:rPr>
        <w:t xml:space="preserve"> 202</w:t>
      </w:r>
      <w:r w:rsidR="00E971DB">
        <w:rPr>
          <w:rFonts w:ascii="Arial" w:hAnsi="Arial" w:cs="Arial"/>
          <w:sz w:val="22"/>
          <w:szCs w:val="22"/>
          <w:lang w:val="sr-Latn-ME"/>
        </w:rPr>
        <w:t>6</w:t>
      </w:r>
      <w:r w:rsidR="00370754" w:rsidRPr="003C0043">
        <w:rPr>
          <w:rFonts w:ascii="Arial" w:hAnsi="Arial" w:cs="Arial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F054DC" w:rsidTr="00FD3C4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F054D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054DC">
              <w:rPr>
                <w:rFonts w:ascii="Arial" w:hAnsi="Arial" w:cs="Arial"/>
                <w:sz w:val="22"/>
                <w:szCs w:val="22"/>
                <w:lang w:val="sr-Latn-ME"/>
              </w:rPr>
              <w:t>Opis glavnih grupa korisnika, njihov broj i potrebe</w:t>
            </w:r>
          </w:p>
        </w:tc>
      </w:tr>
      <w:tr w:rsidR="005C41EC" w:rsidRPr="00F054DC" w:rsidTr="00734667">
        <w:trPr>
          <w:trHeight w:val="1666"/>
        </w:trPr>
        <w:tc>
          <w:tcPr>
            <w:tcW w:w="13746" w:type="dxa"/>
            <w:tcMar>
              <w:top w:w="57" w:type="dxa"/>
              <w:bottom w:w="57" w:type="dxa"/>
            </w:tcMar>
            <w:vAlign w:val="center"/>
          </w:tcPr>
          <w:p w:rsidR="005C41EC" w:rsidRPr="00B1314A" w:rsidRDefault="005C41EC" w:rsidP="00734667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B1314A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Glavna grupa korisnika su:</w:t>
            </w:r>
            <w:r w:rsidR="00476D7D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226639" w:rsidRPr="00226639" w:rsidRDefault="00226639" w:rsidP="00734667">
            <w:pPr>
              <w:pStyle w:val="ListParagraph"/>
              <w:numPr>
                <w:ilvl w:val="0"/>
                <w:numId w:val="19"/>
              </w:numPr>
              <w:ind w:left="376" w:hanging="283"/>
              <w:jc w:val="both"/>
              <w:rPr>
                <w:rFonts w:ascii="Times New Roman" w:hAnsi="Times New Roman"/>
                <w:sz w:val="22"/>
              </w:rPr>
            </w:pPr>
            <w:r w:rsidRPr="000823CE">
              <w:rPr>
                <w:rFonts w:ascii="Times New Roman" w:hAnsi="Times New Roman"/>
                <w:sz w:val="22"/>
                <w:lang w:val="sr-Latn-RS"/>
              </w:rPr>
              <w:t>za dio javnog konkursa koji se odnosi na odvojeno sakupljanje otpada, predviđeno je da grup</w:t>
            </w:r>
            <w:r w:rsidR="000823CE" w:rsidRPr="000823CE">
              <w:rPr>
                <w:rFonts w:ascii="Times New Roman" w:hAnsi="Times New Roman"/>
                <w:sz w:val="22"/>
                <w:lang w:val="sr-Latn-RS"/>
              </w:rPr>
              <w:t>u</w:t>
            </w:r>
            <w:r w:rsidR="000823CE">
              <w:rPr>
                <w:rFonts w:ascii="Times New Roman" w:hAnsi="Times New Roman"/>
                <w:sz w:val="22"/>
                <w:lang w:val="sr-Latn-RS"/>
              </w:rPr>
              <w:t xml:space="preserve"> korisnika</w:t>
            </w:r>
            <w:r w:rsidR="00B27749" w:rsidRPr="000823CE">
              <w:rPr>
                <w:rFonts w:ascii="Times New Roman" w:hAnsi="Times New Roman"/>
                <w:sz w:val="22"/>
                <w:lang w:val="sr-Latn-RS"/>
              </w:rPr>
              <w:t xml:space="preserve"> </w:t>
            </w:r>
            <w:r w:rsidRPr="000823CE">
              <w:rPr>
                <w:rFonts w:ascii="Times New Roman" w:hAnsi="Times New Roman"/>
                <w:sz w:val="22"/>
                <w:lang w:val="sr-Latn-RS"/>
              </w:rPr>
              <w:t>za planiran</w:t>
            </w:r>
            <w:r w:rsidR="000823CE">
              <w:rPr>
                <w:rFonts w:ascii="Times New Roman" w:hAnsi="Times New Roman"/>
                <w:sz w:val="22"/>
                <w:lang w:val="sr-Latn-RS"/>
              </w:rPr>
              <w:t>ih</w:t>
            </w:r>
            <w:r w:rsidR="000823CE" w:rsidRPr="000823CE">
              <w:rPr>
                <w:rFonts w:ascii="Times New Roman" w:hAnsi="Times New Roman"/>
                <w:sz w:val="22"/>
                <w:lang w:val="sr-Latn-RS"/>
              </w:rPr>
              <w:t xml:space="preserve"> 1</w:t>
            </w:r>
            <w:r w:rsidR="00734667">
              <w:rPr>
                <w:rFonts w:ascii="Times New Roman" w:hAnsi="Times New Roman"/>
                <w:sz w:val="22"/>
                <w:lang w:val="sr-Latn-RS"/>
              </w:rPr>
              <w:t>1</w:t>
            </w:r>
            <w:r w:rsidRPr="000823CE">
              <w:rPr>
                <w:rFonts w:ascii="Times New Roman" w:hAnsi="Times New Roman"/>
                <w:sz w:val="22"/>
                <w:lang w:val="sr-Latn-RS"/>
              </w:rPr>
              <w:t xml:space="preserve">  projekata čini oko </w:t>
            </w:r>
            <w:r w:rsidR="00497FB6" w:rsidRPr="000823CE">
              <w:rPr>
                <w:rFonts w:ascii="Times New Roman" w:hAnsi="Times New Roman"/>
                <w:sz w:val="22"/>
                <w:lang w:val="sr-Latn-RS"/>
              </w:rPr>
              <w:t>36</w:t>
            </w:r>
            <w:r w:rsidRPr="000823CE">
              <w:rPr>
                <w:rFonts w:ascii="Times New Roman" w:hAnsi="Times New Roman"/>
                <w:sz w:val="22"/>
                <w:lang w:val="sr-Latn-RS"/>
              </w:rPr>
              <w:t>0</w:t>
            </w:r>
            <w:r w:rsidR="000823CE" w:rsidRPr="000823CE">
              <w:rPr>
                <w:rFonts w:ascii="Times New Roman" w:hAnsi="Times New Roman"/>
                <w:sz w:val="22"/>
                <w:lang w:val="sr-Latn-RS"/>
              </w:rPr>
              <w:t xml:space="preserve"> osoba, </w:t>
            </w:r>
            <w:r w:rsidR="000823CE">
              <w:rPr>
                <w:rFonts w:ascii="Times New Roman" w:hAnsi="Times New Roman"/>
                <w:sz w:val="22"/>
                <w:lang w:val="sr-Latn-RS"/>
              </w:rPr>
              <w:t xml:space="preserve">iz različitih djelova Crne Gore </w:t>
            </w:r>
            <w:r w:rsidR="000823CE" w:rsidRPr="000823CE">
              <w:rPr>
                <w:rFonts w:ascii="Times New Roman" w:hAnsi="Times New Roman"/>
                <w:sz w:val="22"/>
                <w:lang w:val="sr-Latn-RS"/>
              </w:rPr>
              <w:t xml:space="preserve">u zavisnosti gdje će nevladine organizacije </w:t>
            </w:r>
            <w:r w:rsidR="000823CE">
              <w:rPr>
                <w:rFonts w:ascii="Times New Roman" w:hAnsi="Times New Roman"/>
                <w:sz w:val="22"/>
                <w:lang w:val="sr-Latn-RS"/>
              </w:rPr>
              <w:t>realizovati</w:t>
            </w:r>
            <w:r w:rsidR="000823CE" w:rsidRPr="000823CE">
              <w:rPr>
                <w:rFonts w:ascii="Times New Roman" w:hAnsi="Times New Roman"/>
                <w:sz w:val="22"/>
                <w:lang w:val="sr-Latn-RS"/>
              </w:rPr>
              <w:t xml:space="preserve"> svoj</w:t>
            </w:r>
            <w:r w:rsidR="000823CE">
              <w:rPr>
                <w:rFonts w:ascii="Times New Roman" w:hAnsi="Times New Roman"/>
                <w:sz w:val="22"/>
                <w:lang w:val="sr-Latn-RS"/>
              </w:rPr>
              <w:t>e projekte</w:t>
            </w:r>
            <w:r w:rsidRPr="00226639">
              <w:rPr>
                <w:rFonts w:ascii="Times New Roman" w:hAnsi="Times New Roman"/>
                <w:sz w:val="22"/>
              </w:rPr>
              <w:t xml:space="preserve">. </w:t>
            </w:r>
          </w:p>
          <w:p w:rsidR="005C41EC" w:rsidRPr="0032771E" w:rsidRDefault="000823CE" w:rsidP="00734667">
            <w:pPr>
              <w:pStyle w:val="ListParagraph"/>
              <w:numPr>
                <w:ilvl w:val="0"/>
                <w:numId w:val="19"/>
              </w:numPr>
              <w:ind w:left="376" w:hanging="284"/>
              <w:jc w:val="both"/>
              <w:rPr>
                <w:rFonts w:ascii="Times New Roman" w:hAnsi="Times New Roman"/>
                <w:sz w:val="22"/>
                <w:lang w:val="sr-Latn-RS"/>
              </w:rPr>
            </w:pPr>
            <w:r w:rsidRPr="0032771E">
              <w:rPr>
                <w:rFonts w:ascii="Times New Roman" w:hAnsi="Times New Roman"/>
                <w:sz w:val="22"/>
                <w:lang w:val="sr-Latn-RS"/>
              </w:rPr>
              <w:t>Za dio javnog konkursa koji se odnosi na proširenu odgovornost, predviđeno je da grupu korisnika za planiranih 1</w:t>
            </w:r>
            <w:r w:rsidR="00734667">
              <w:rPr>
                <w:rFonts w:ascii="Times New Roman" w:hAnsi="Times New Roman"/>
                <w:sz w:val="22"/>
                <w:lang w:val="sr-Latn-RS"/>
              </w:rPr>
              <w:t>1</w:t>
            </w:r>
            <w:r w:rsidRPr="0032771E">
              <w:rPr>
                <w:rFonts w:ascii="Times New Roman" w:hAnsi="Times New Roman"/>
                <w:sz w:val="22"/>
                <w:lang w:val="sr-Latn-RS"/>
              </w:rPr>
              <w:t xml:space="preserve"> projekata čini oko 260 </w:t>
            </w:r>
            <w:r w:rsidR="0032771E" w:rsidRPr="0032771E">
              <w:rPr>
                <w:rFonts w:ascii="Times New Roman" w:hAnsi="Times New Roman"/>
                <w:sz w:val="22"/>
                <w:lang w:val="sr-Latn-RS"/>
              </w:rPr>
              <w:t>lica, predstavnika pravnih lica koje vrše proizvodnju ili su uvoznici opreme koja je obuhvaćena proširenom odgovornošću</w:t>
            </w:r>
            <w:r w:rsidR="0032771E">
              <w:rPr>
                <w:rFonts w:ascii="Times New Roman" w:hAnsi="Times New Roman"/>
                <w:sz w:val="22"/>
                <w:lang w:val="sr-Latn-RS"/>
              </w:rPr>
              <w:t>, kao i zainteresovanih građana</w:t>
            </w:r>
            <w:r w:rsidR="0032771E" w:rsidRPr="0032771E">
              <w:rPr>
                <w:rFonts w:ascii="Times New Roman" w:hAnsi="Times New Roman"/>
                <w:sz w:val="22"/>
                <w:lang w:val="sr-Latn-RS"/>
              </w:rPr>
              <w:t xml:space="preserve"> iz različitih djelova Crne Gore u zavisnosti gdje će nevladine organizacije realizovati svoje projekte.</w:t>
            </w:r>
          </w:p>
        </w:tc>
      </w:tr>
    </w:tbl>
    <w:p w:rsidR="00370754" w:rsidRPr="003C0043" w:rsidRDefault="00370754" w:rsidP="00AD29CE">
      <w:pPr>
        <w:rPr>
          <w:rFonts w:ascii="Arial" w:hAnsi="Arial" w:cs="Arial"/>
          <w:sz w:val="10"/>
          <w:szCs w:val="10"/>
        </w:rPr>
      </w:pPr>
    </w:p>
    <w:p w:rsidR="00370754" w:rsidRPr="003C0043" w:rsidRDefault="007A0248" w:rsidP="009E2AAF">
      <w:pPr>
        <w:pStyle w:val="ListParagraph"/>
        <w:tabs>
          <w:tab w:val="left" w:pos="6521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3C0043">
        <w:rPr>
          <w:rFonts w:ascii="Arial" w:hAnsi="Arial" w:cs="Arial"/>
          <w:sz w:val="22"/>
          <w:szCs w:val="22"/>
          <w:lang w:val="sr-Latn-ME"/>
        </w:rPr>
        <w:t>4.3.</w:t>
      </w:r>
      <w:r w:rsidR="00370754" w:rsidRPr="003C0043">
        <w:rPr>
          <w:rFonts w:ascii="Arial" w:hAnsi="Arial" w:cs="Arial"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433"/>
        <w:gridCol w:w="7313"/>
      </w:tblGrid>
      <w:tr w:rsidR="00370754" w:rsidRPr="00370754" w:rsidTr="00FD3C4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5C41EC" w:rsidRPr="00370754" w:rsidTr="009E2AAF">
        <w:tc>
          <w:tcPr>
            <w:tcW w:w="643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41EC" w:rsidRPr="00F054DC" w:rsidRDefault="005C41EC" w:rsidP="005C41EC">
            <w:pPr>
              <w:rPr>
                <w:rFonts w:ascii="Times New Roman" w:hAnsi="Times New Roman"/>
                <w:lang w:val="sr-Latn-ME"/>
              </w:rPr>
            </w:pPr>
            <w:r w:rsidRPr="00F054DC">
              <w:rPr>
                <w:rFonts w:ascii="Times New Roman" w:hAnsi="Times New Roman"/>
                <w:lang w:val="sr-Latn-ME"/>
              </w:rPr>
              <w:t>Naziv javnog konkursa</w:t>
            </w:r>
          </w:p>
        </w:tc>
        <w:tc>
          <w:tcPr>
            <w:tcW w:w="731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41EC" w:rsidRPr="00DF1867" w:rsidRDefault="00DF1867" w:rsidP="00DF1867">
            <w:pPr>
              <w:rPr>
                <w:rFonts w:ascii="Times New Roman" w:hAnsi="Times New Roman"/>
                <w:lang w:val="sr-Latn-ME"/>
              </w:rPr>
            </w:pPr>
            <w:r>
              <w:rPr>
                <w:rFonts w:ascii="Times New Roman" w:hAnsi="Times New Roman"/>
                <w:sz w:val="22"/>
                <w:lang w:val="sr-Latn-RS"/>
              </w:rPr>
              <w:t>Javni k</w:t>
            </w:r>
            <w:r w:rsidR="00C200CB" w:rsidRPr="00DF1867">
              <w:rPr>
                <w:rFonts w:ascii="Times New Roman" w:hAnsi="Times New Roman"/>
                <w:sz w:val="22"/>
                <w:lang w:val="sr-Latn-RS"/>
              </w:rPr>
              <w:t xml:space="preserve">onkurs za finansiranje projekata </w:t>
            </w:r>
            <w:r w:rsidR="00261150" w:rsidRPr="00DF1867">
              <w:rPr>
                <w:rFonts w:ascii="Times New Roman" w:hAnsi="Times New Roman"/>
                <w:sz w:val="22"/>
                <w:lang w:val="sr-Latn-RS"/>
              </w:rPr>
              <w:t>nevladinih organizacija u oblasti upravljanja otpadom</w:t>
            </w:r>
            <w:r w:rsidR="00C200CB" w:rsidRPr="00DF1867">
              <w:rPr>
                <w:rFonts w:ascii="Times New Roman" w:hAnsi="Times New Roman"/>
                <w:lang w:val="sr-Latn-ME"/>
              </w:rPr>
              <w:t xml:space="preserve"> </w:t>
            </w:r>
            <w:r w:rsidR="005C41EC" w:rsidRPr="00DF1867">
              <w:rPr>
                <w:rFonts w:ascii="Times New Roman" w:hAnsi="Times New Roman"/>
                <w:lang w:val="sr-Latn-ME"/>
              </w:rPr>
              <w:t xml:space="preserve">/ </w:t>
            </w:r>
            <w:r w:rsidR="00261150" w:rsidRPr="00DF1867">
              <w:rPr>
                <w:rFonts w:ascii="Times New Roman" w:hAnsi="Times New Roman"/>
                <w:lang w:val="sr-Latn-ME"/>
              </w:rPr>
              <w:t>2</w:t>
            </w:r>
            <w:r w:rsidR="00734667">
              <w:rPr>
                <w:rFonts w:ascii="Times New Roman" w:hAnsi="Times New Roman"/>
                <w:lang w:val="sr-Latn-ME"/>
              </w:rPr>
              <w:t>2</w:t>
            </w:r>
          </w:p>
        </w:tc>
      </w:tr>
    </w:tbl>
    <w:p w:rsidR="00C93B16" w:rsidRDefault="00C93B16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="00370754"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:rsidTr="00FD3C4B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370754" w:rsidRPr="00370754" w:rsidTr="00FD3C4B">
        <w:tc>
          <w:tcPr>
            <w:tcW w:w="6876" w:type="dxa"/>
          </w:tcPr>
          <w:p w:rsidR="00370754" w:rsidRPr="001268EC" w:rsidRDefault="00370754" w:rsidP="00FD3C4B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Najniži iznos finansijske podrške koju će biti moguće ostvariti na osnovu javnog konkursa:  </w:t>
            </w:r>
            <w:r w:rsidR="00DF1867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6</w:t>
            </w:r>
            <w:r w:rsidR="005C41EC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  <w:r w:rsidR="00DF1867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4</w:t>
            </w:r>
            <w:r w:rsidR="005C41EC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00,00</w:t>
            </w:r>
            <w:r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EURA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1268EC" w:rsidRDefault="00370754" w:rsidP="00FD3C4B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Najviši iznos finansijske podrške koju će biti moguće ostvariti na osnovu javnog</w:t>
            </w:r>
            <w:r w:rsidR="005C41EC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konkursa:  </w:t>
            </w:r>
            <w:r w:rsidR="00DF1867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8</w:t>
            </w:r>
            <w:r w:rsidR="005C41EC"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>.000,00</w:t>
            </w:r>
            <w:r w:rsidRPr="001268EC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EURA</w:t>
            </w:r>
          </w:p>
        </w:tc>
      </w:tr>
    </w:tbl>
    <w:p w:rsidR="003D1FB1" w:rsidRPr="00561C4C" w:rsidRDefault="00370754" w:rsidP="00AD29CE">
      <w:pPr>
        <w:rPr>
          <w:rFonts w:ascii="Arial" w:hAnsi="Arial" w:cs="Arial"/>
          <w:b/>
          <w:i/>
          <w:sz w:val="22"/>
        </w:rPr>
      </w:pPr>
      <w:r w:rsidRPr="00561C4C">
        <w:rPr>
          <w:rFonts w:ascii="Arial" w:hAnsi="Arial" w:cs="Arial"/>
          <w:b/>
          <w:sz w:val="22"/>
        </w:rPr>
        <w:t>NAPOMENA:</w:t>
      </w:r>
      <w:r w:rsidRPr="00561C4C">
        <w:rPr>
          <w:rFonts w:ascii="Arial" w:hAnsi="Arial" w:cs="Arial"/>
          <w:sz w:val="22"/>
        </w:rPr>
        <w:t xml:space="preserve"> stavom 4 člana 32ž Zakona o NVO, definisano je: </w:t>
      </w:r>
      <w:r w:rsidRPr="00561C4C">
        <w:rPr>
          <w:rFonts w:ascii="Arial" w:hAnsi="Arial" w:cs="Arial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Default="004B76A4" w:rsidP="00AD29CE">
      <w:pPr>
        <w:rPr>
          <w:rFonts w:ascii="Arial" w:hAnsi="Arial" w:cs="Arial"/>
          <w:b/>
          <w:i/>
          <w:sz w:val="22"/>
        </w:rPr>
      </w:pPr>
    </w:p>
    <w:p w:rsidR="00F650BE" w:rsidRDefault="00F650BE" w:rsidP="00AD29CE">
      <w:pPr>
        <w:rPr>
          <w:rFonts w:ascii="Arial" w:hAnsi="Arial" w:cs="Arial"/>
          <w:b/>
          <w:i/>
          <w:sz w:val="22"/>
        </w:rPr>
      </w:pPr>
    </w:p>
    <w:p w:rsidR="00F650BE" w:rsidRPr="00561C4C" w:rsidRDefault="00F650BE" w:rsidP="00AD29CE">
      <w:pPr>
        <w:rPr>
          <w:rFonts w:ascii="Arial" w:hAnsi="Arial" w:cs="Arial"/>
          <w:b/>
          <w:i/>
          <w:sz w:val="22"/>
        </w:rPr>
      </w:pPr>
    </w:p>
    <w:p w:rsidR="00370754" w:rsidRPr="00561C4C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561C4C">
        <w:rPr>
          <w:rFonts w:ascii="Arial" w:hAnsi="Arial" w:cs="Arial"/>
          <w:b/>
          <w:sz w:val="22"/>
          <w:szCs w:val="22"/>
          <w:lang w:val="sr-Latn-ME"/>
        </w:rPr>
        <w:t>KONSULTACIJE SA ZAIN</w:t>
      </w:r>
      <w:r w:rsidR="006A2698" w:rsidRPr="00561C4C">
        <w:rPr>
          <w:rFonts w:ascii="Arial" w:hAnsi="Arial" w:cs="Arial"/>
          <w:b/>
          <w:sz w:val="22"/>
          <w:szCs w:val="22"/>
          <w:lang w:val="sr-Latn-ME"/>
        </w:rPr>
        <w:t>TERESOVANIM NEVLADINIM ORGANIZA</w:t>
      </w:r>
      <w:r w:rsidRPr="00561C4C">
        <w:rPr>
          <w:rFonts w:ascii="Arial" w:hAnsi="Arial" w:cs="Arial"/>
          <w:b/>
          <w:sz w:val="22"/>
          <w:szCs w:val="22"/>
          <w:lang w:val="sr-Latn-ME"/>
        </w:rPr>
        <w:t>C</w:t>
      </w:r>
      <w:r w:rsidR="006A2698" w:rsidRPr="00561C4C">
        <w:rPr>
          <w:rFonts w:ascii="Arial" w:hAnsi="Arial" w:cs="Arial"/>
          <w:b/>
          <w:sz w:val="22"/>
          <w:szCs w:val="22"/>
          <w:lang w:val="sr-Latn-ME"/>
        </w:rPr>
        <w:t>I</w:t>
      </w:r>
      <w:r w:rsidRPr="00561C4C">
        <w:rPr>
          <w:rFonts w:ascii="Arial" w:hAnsi="Arial" w:cs="Arial"/>
          <w:b/>
          <w:sz w:val="22"/>
          <w:szCs w:val="22"/>
          <w:lang w:val="sr-Latn-ME"/>
        </w:rPr>
        <w:t>JAMA</w:t>
      </w:r>
    </w:p>
    <w:p w:rsidR="00370754" w:rsidRPr="00561C4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561C4C">
        <w:rPr>
          <w:rFonts w:ascii="Arial" w:hAnsi="Arial" w:cs="Arial"/>
          <w:sz w:val="22"/>
          <w:szCs w:val="22"/>
          <w:lang w:val="sr-Latn-ME"/>
        </w:rPr>
        <w:t xml:space="preserve">5.1. </w:t>
      </w:r>
      <w:r w:rsidR="00370754" w:rsidRPr="00561C4C">
        <w:rPr>
          <w:rFonts w:ascii="Arial" w:hAnsi="Arial" w:cs="Arial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561C4C" w:rsidTr="00FD3C4B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561C4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561C4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561C4C" w:rsidRDefault="00370754" w:rsidP="00FD3C4B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3B715A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1268EC" w:rsidRDefault="00DF1867" w:rsidP="001268EC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Dostavljanje mišljenja na </w:t>
            </w:r>
            <w:r w:rsidR="001268EC">
              <w:rPr>
                <w:rFonts w:ascii="Times New Roman" w:hAnsi="Times New Roman"/>
                <w:sz w:val="22"/>
                <w:szCs w:val="22"/>
                <w:lang w:val="sr-Latn-RS"/>
              </w:rPr>
              <w:t>S</w:t>
            </w: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ektorsku analizu </w:t>
            </w:r>
            <w:r w:rsidR="00D24F90"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>o</w:t>
            </w: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>bjav</w:t>
            </w:r>
            <w:r w:rsidR="00D24F90"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ljenu </w:t>
            </w: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>na internet stranici</w:t>
            </w:r>
            <w:r w:rsidR="00D24F90"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MERS-a. </w:t>
            </w:r>
          </w:p>
          <w:p w:rsidR="001268EC" w:rsidRDefault="00D24F90" w:rsidP="001268EC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Mišljenja </w:t>
            </w:r>
            <w:r w:rsid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se </w:t>
            </w: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>dostav</w:t>
            </w:r>
            <w:r w:rsidR="001268EC">
              <w:rPr>
                <w:rFonts w:ascii="Times New Roman" w:hAnsi="Times New Roman"/>
                <w:sz w:val="22"/>
                <w:szCs w:val="22"/>
                <w:lang w:val="sr-Latn-RS"/>
              </w:rPr>
              <w:t>ljaju</w:t>
            </w:r>
            <w:r w:rsidRPr="001268EC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na e-mail:</w:t>
            </w:r>
          </w:p>
          <w:p w:rsidR="003B715A" w:rsidRPr="001268EC" w:rsidRDefault="00FB5FAE" w:rsidP="001268EC">
            <w:pPr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D24F90" w:rsidRPr="001268EC">
                <w:rPr>
                  <w:rStyle w:val="Hyperlink"/>
                  <w:rFonts w:ascii="Times New Roman" w:hAnsi="Times New Roman"/>
                  <w:sz w:val="22"/>
                  <w:lang w:val="sr-Latn-RS"/>
                </w:rPr>
                <w:t>branka.milasinovic</w:t>
              </w:r>
              <w:r w:rsidR="00D24F90" w:rsidRPr="001268EC">
                <w:rPr>
                  <w:rStyle w:val="Hyperlink"/>
                  <w:rFonts w:ascii="Times New Roman" w:hAnsi="Times New Roman"/>
                  <w:sz w:val="22"/>
                </w:rPr>
                <w:t>@mers.gov.me</w:t>
              </w:r>
            </w:hyperlink>
            <w:r w:rsidR="00D24F90" w:rsidRPr="001268E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715A" w:rsidRPr="00561C4C" w:rsidRDefault="003B715A" w:rsidP="003B715A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B715A" w:rsidRPr="00561C4C" w:rsidRDefault="003B715A" w:rsidP="003B715A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3B715A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3B715A" w:rsidRPr="00561C4C" w:rsidRDefault="003B715A" w:rsidP="003B715A">
            <w:pPr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B715A" w:rsidRPr="00561C4C" w:rsidRDefault="003B715A" w:rsidP="003B715A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B715A" w:rsidRPr="00561C4C" w:rsidRDefault="003B715A" w:rsidP="00C178C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1268EC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1268EC" w:rsidRPr="00561C4C" w:rsidRDefault="001268EC" w:rsidP="003B715A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68EC" w:rsidRPr="00561C4C" w:rsidRDefault="001268EC" w:rsidP="003B71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268EC" w:rsidRPr="00561C4C" w:rsidRDefault="001268EC" w:rsidP="00C178C9">
            <w:pPr>
              <w:rPr>
                <w:rFonts w:ascii="Arial" w:hAnsi="Arial" w:cs="Arial"/>
                <w:sz w:val="22"/>
              </w:rPr>
            </w:pPr>
          </w:p>
        </w:tc>
      </w:tr>
      <w:tr w:rsidR="001268EC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1268EC" w:rsidRPr="00561C4C" w:rsidRDefault="001268EC" w:rsidP="003B715A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68EC" w:rsidRPr="00561C4C" w:rsidRDefault="001268EC" w:rsidP="003B71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268EC" w:rsidRPr="00561C4C" w:rsidRDefault="001268EC" w:rsidP="00C178C9">
            <w:pPr>
              <w:rPr>
                <w:rFonts w:ascii="Arial" w:hAnsi="Arial" w:cs="Arial"/>
                <w:sz w:val="22"/>
              </w:rPr>
            </w:pPr>
          </w:p>
        </w:tc>
      </w:tr>
      <w:tr w:rsidR="001268EC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1268EC" w:rsidRPr="00561C4C" w:rsidRDefault="001268EC" w:rsidP="003B715A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68EC" w:rsidRPr="00561C4C" w:rsidRDefault="001268EC" w:rsidP="003B71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268EC" w:rsidRPr="00561C4C" w:rsidRDefault="001268EC" w:rsidP="00C178C9">
            <w:pPr>
              <w:rPr>
                <w:rFonts w:ascii="Arial" w:hAnsi="Arial" w:cs="Arial"/>
                <w:sz w:val="22"/>
              </w:rPr>
            </w:pPr>
          </w:p>
        </w:tc>
      </w:tr>
      <w:tr w:rsidR="001268EC" w:rsidRPr="00561C4C" w:rsidTr="00FD3C4B">
        <w:tc>
          <w:tcPr>
            <w:tcW w:w="4582" w:type="dxa"/>
            <w:tcMar>
              <w:top w:w="57" w:type="dxa"/>
              <w:bottom w:w="57" w:type="dxa"/>
            </w:tcMar>
          </w:tcPr>
          <w:p w:rsidR="001268EC" w:rsidRPr="00561C4C" w:rsidRDefault="001268EC" w:rsidP="003B715A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68EC" w:rsidRPr="00561C4C" w:rsidRDefault="001268EC" w:rsidP="003B71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268EC" w:rsidRPr="00561C4C" w:rsidRDefault="001268EC" w:rsidP="00C178C9">
            <w:pPr>
              <w:rPr>
                <w:rFonts w:ascii="Arial" w:hAnsi="Arial" w:cs="Arial"/>
                <w:sz w:val="22"/>
              </w:rPr>
            </w:pPr>
          </w:p>
        </w:tc>
      </w:tr>
    </w:tbl>
    <w:p w:rsidR="00C178C9" w:rsidRDefault="00C178C9" w:rsidP="00C178C9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561C4C" w:rsidRDefault="00561C4C" w:rsidP="00C178C9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F650BE" w:rsidRDefault="00F650BE" w:rsidP="00C178C9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370754" w:rsidRPr="00561C4C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561C4C">
        <w:rPr>
          <w:rFonts w:ascii="Arial" w:hAnsi="Arial" w:cs="Arial"/>
          <w:b/>
          <w:sz w:val="22"/>
          <w:szCs w:val="22"/>
          <w:lang w:val="sr-Latn-ME"/>
        </w:rPr>
        <w:t>KAPACITETI ZA SPROVOĐENJE JAVNOG KONKURSA</w:t>
      </w:r>
    </w:p>
    <w:p w:rsidR="00C200CB" w:rsidRDefault="00C200CB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6D4322" w:rsidRPr="001268EC" w:rsidRDefault="004B794D" w:rsidP="001268EC">
      <w:pPr>
        <w:pStyle w:val="ListParagraph"/>
        <w:rPr>
          <w:rFonts w:ascii="Arial" w:hAnsi="Arial" w:cs="Arial"/>
          <w:sz w:val="22"/>
          <w:szCs w:val="22"/>
          <w:lang w:val="sr-Latn-ME"/>
        </w:rPr>
      </w:pPr>
      <w:r w:rsidRPr="00561C4C">
        <w:rPr>
          <w:rFonts w:ascii="Arial" w:hAnsi="Arial" w:cs="Arial"/>
          <w:sz w:val="22"/>
          <w:szCs w:val="22"/>
          <w:lang w:val="sr-Latn-ME"/>
        </w:rPr>
        <w:t>6.1.</w:t>
      </w:r>
      <w:r w:rsidR="00370754" w:rsidRPr="00561C4C">
        <w:rPr>
          <w:rFonts w:ascii="Arial" w:hAnsi="Arial" w:cs="Arial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94"/>
        <w:gridCol w:w="4399"/>
      </w:tblGrid>
      <w:tr w:rsidR="00370754" w:rsidRPr="00561C4C" w:rsidTr="005C52E2">
        <w:trPr>
          <w:jc w:val="center"/>
        </w:trPr>
        <w:tc>
          <w:tcPr>
            <w:tcW w:w="4673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561C4C" w:rsidRDefault="00370754" w:rsidP="00FD3C4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RS"/>
              </w:rPr>
              <w:lastRenderedPageBreak/>
              <w:t>Naziv javnog konkursa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561C4C" w:rsidRDefault="00370754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RS"/>
              </w:rPr>
              <w:t>Broj službenika/ica zaduženih</w:t>
            </w:r>
            <w:r w:rsidR="005A2821" w:rsidRPr="00561C4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za sprovođenje javnog konkursa </w:t>
            </w:r>
            <w:r w:rsidRPr="00561C4C">
              <w:rPr>
                <w:rFonts w:ascii="Arial" w:hAnsi="Arial" w:cs="Arial"/>
                <w:sz w:val="22"/>
                <w:szCs w:val="22"/>
                <w:lang w:val="sr-Latn-RS"/>
              </w:rPr>
              <w:t>i praćenje finansiranih projekata i programa nevladinih organizacija</w:t>
            </w:r>
          </w:p>
        </w:tc>
        <w:tc>
          <w:tcPr>
            <w:tcW w:w="4399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561C4C" w:rsidRDefault="005A2821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561C4C">
              <w:rPr>
                <w:rFonts w:ascii="Arial" w:hAnsi="Arial" w:cs="Arial"/>
                <w:sz w:val="22"/>
                <w:szCs w:val="22"/>
                <w:lang w:val="sr-Latn-RS"/>
              </w:rPr>
              <w:t xml:space="preserve">Imena </w:t>
            </w:r>
            <w:r w:rsidR="00370754" w:rsidRPr="00561C4C">
              <w:rPr>
                <w:rFonts w:ascii="Arial" w:hAnsi="Arial" w:cs="Arial"/>
                <w:sz w:val="22"/>
                <w:szCs w:val="22"/>
                <w:lang w:val="sr-Latn-RS"/>
              </w:rPr>
              <w:t>službenika/ica zaduženih za sprovođenje javnog konkursa i praćenje finansiranih projekata i programa nevladinih organizacija</w:t>
            </w:r>
          </w:p>
        </w:tc>
      </w:tr>
      <w:tr w:rsidR="006D4322" w:rsidRPr="00C200CB" w:rsidTr="00D35379">
        <w:trPr>
          <w:trHeight w:val="1684"/>
          <w:jc w:val="center"/>
        </w:trPr>
        <w:tc>
          <w:tcPr>
            <w:tcW w:w="467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27749" w:rsidRPr="00C64C44" w:rsidRDefault="00D24F90" w:rsidP="00D35379">
            <w:pPr>
              <w:spacing w:line="240" w:lineRule="auto"/>
              <w:rPr>
                <w:rFonts w:ascii="Times New Roman" w:hAnsi="Times New Roman"/>
                <w:lang w:val="sr-Latn-ME"/>
              </w:rPr>
            </w:pPr>
            <w:r w:rsidRPr="00C64C44">
              <w:rPr>
                <w:rFonts w:ascii="Times New Roman" w:hAnsi="Times New Roman"/>
                <w:sz w:val="22"/>
                <w:lang w:val="sr-Latn-RS"/>
              </w:rPr>
              <w:t>Javni k</w:t>
            </w:r>
            <w:r w:rsidR="006D4322" w:rsidRPr="00C64C44">
              <w:rPr>
                <w:rFonts w:ascii="Times New Roman" w:hAnsi="Times New Roman"/>
                <w:sz w:val="22"/>
                <w:lang w:val="sr-Latn-RS"/>
              </w:rPr>
              <w:t xml:space="preserve">onkurs za  finansiranje projekata </w:t>
            </w:r>
            <w:r w:rsidR="00261150" w:rsidRPr="00C64C44">
              <w:rPr>
                <w:rFonts w:ascii="Times New Roman" w:hAnsi="Times New Roman"/>
                <w:sz w:val="22"/>
                <w:lang w:val="sr-Latn-RS"/>
              </w:rPr>
              <w:t>iz oblasti upravljanja otpadom /</w:t>
            </w:r>
            <w:r w:rsidR="00B27749" w:rsidRPr="00C64C44">
              <w:rPr>
                <w:rFonts w:ascii="Times New Roman" w:hAnsi="Times New Roman"/>
                <w:sz w:val="22"/>
                <w:lang w:val="sr-Latn-RS"/>
              </w:rPr>
              <w:t>2</w:t>
            </w:r>
            <w:r w:rsidR="00E971DB">
              <w:rPr>
                <w:rFonts w:ascii="Times New Roman" w:hAnsi="Times New Roman"/>
                <w:sz w:val="22"/>
                <w:lang w:val="sr-Latn-RS"/>
              </w:rPr>
              <w:t>2</w:t>
            </w:r>
          </w:p>
          <w:p w:rsidR="00B27749" w:rsidRDefault="00B27749" w:rsidP="00D35379">
            <w:pPr>
              <w:pStyle w:val="ListParagraph"/>
              <w:numPr>
                <w:ilvl w:val="0"/>
                <w:numId w:val="19"/>
              </w:numPr>
              <w:ind w:left="306" w:hanging="142"/>
              <w:rPr>
                <w:rFonts w:ascii="Times New Roman" w:hAnsi="Times New Roman"/>
                <w:sz w:val="22"/>
                <w:lang w:val="sr-Latn-RS"/>
              </w:rPr>
            </w:pPr>
            <w:r>
              <w:rPr>
                <w:rFonts w:ascii="Times New Roman" w:hAnsi="Times New Roman"/>
                <w:sz w:val="22"/>
                <w:lang w:val="sr-Latn-RS"/>
              </w:rPr>
              <w:t>1</w:t>
            </w:r>
            <w:r w:rsidR="00E971DB">
              <w:rPr>
                <w:rFonts w:ascii="Times New Roman" w:hAnsi="Times New Roman"/>
                <w:sz w:val="22"/>
                <w:lang w:val="sr-Latn-RS"/>
              </w:rPr>
              <w:t>1</w:t>
            </w:r>
            <w:r>
              <w:rPr>
                <w:rFonts w:ascii="Times New Roman" w:hAnsi="Times New Roman"/>
                <w:sz w:val="22"/>
                <w:lang w:val="sr-Latn-RS"/>
              </w:rPr>
              <w:t xml:space="preserve"> projekata u vezi odvojenog sakupljanja otpada i </w:t>
            </w:r>
          </w:p>
          <w:p w:rsidR="006D4322" w:rsidRPr="00F054DC" w:rsidRDefault="00B27749" w:rsidP="00D35379">
            <w:pPr>
              <w:pStyle w:val="ListParagraph"/>
              <w:numPr>
                <w:ilvl w:val="0"/>
                <w:numId w:val="19"/>
              </w:numPr>
              <w:ind w:left="306" w:hanging="142"/>
              <w:rPr>
                <w:rFonts w:ascii="Times New Roman" w:hAnsi="Times New Roman"/>
                <w:lang w:val="sr-Latn-ME"/>
              </w:rPr>
            </w:pPr>
            <w:r>
              <w:rPr>
                <w:rFonts w:ascii="Times New Roman" w:hAnsi="Times New Roman"/>
                <w:sz w:val="22"/>
                <w:lang w:val="sr-Latn-RS"/>
              </w:rPr>
              <w:t>1</w:t>
            </w:r>
            <w:r w:rsidR="00E971DB">
              <w:rPr>
                <w:rFonts w:ascii="Times New Roman" w:hAnsi="Times New Roman"/>
                <w:sz w:val="22"/>
                <w:lang w:val="sr-Latn-RS"/>
              </w:rPr>
              <w:t>1</w:t>
            </w:r>
            <w:r>
              <w:rPr>
                <w:rFonts w:ascii="Times New Roman" w:hAnsi="Times New Roman"/>
                <w:sz w:val="22"/>
                <w:lang w:val="sr-Latn-RS"/>
              </w:rPr>
              <w:t xml:space="preserve"> za projekte u vezi proširene odgovornosti </w:t>
            </w:r>
          </w:p>
        </w:tc>
        <w:tc>
          <w:tcPr>
            <w:tcW w:w="4394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4322" w:rsidRPr="00F054DC" w:rsidRDefault="006D4322" w:rsidP="006D4322">
            <w:pPr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F054DC">
              <w:rPr>
                <w:rFonts w:ascii="Times New Roman" w:hAnsi="Times New Roman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4399" w:type="dxa"/>
            <w:tcBorders>
              <w:left w:val="single" w:sz="2" w:space="0" w:color="auto"/>
            </w:tcBorders>
          </w:tcPr>
          <w:p w:rsidR="006D4322" w:rsidRDefault="006D4322" w:rsidP="006D432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D4322">
              <w:rPr>
                <w:rFonts w:ascii="Times New Roman" w:hAnsi="Times New Roman"/>
                <w:sz w:val="22"/>
                <w:szCs w:val="22"/>
                <w:lang w:val="sr-Latn-RS"/>
              </w:rPr>
              <w:t>Branka Milašinović</w:t>
            </w:r>
          </w:p>
          <w:p w:rsidR="00D24F90" w:rsidRPr="00D24F90" w:rsidRDefault="00D24F90" w:rsidP="006D432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Jasmina Janković Mišnić</w:t>
            </w:r>
          </w:p>
          <w:p w:rsidR="006D4322" w:rsidRPr="006D4322" w:rsidRDefault="006D4322" w:rsidP="006D4322">
            <w:pPr>
              <w:pStyle w:val="NoSpacing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D4322">
              <w:rPr>
                <w:rFonts w:ascii="Times New Roman" w:hAnsi="Times New Roman"/>
                <w:sz w:val="22"/>
                <w:szCs w:val="22"/>
                <w:lang w:val="sr-Latn-RS"/>
              </w:rPr>
              <w:t>Ivan Stanišić</w:t>
            </w:r>
          </w:p>
        </w:tc>
      </w:tr>
    </w:tbl>
    <w:p w:rsidR="00D35379" w:rsidRDefault="00D35379" w:rsidP="003D1FB1">
      <w:pPr>
        <w:jc w:val="center"/>
        <w:rPr>
          <w:rFonts w:ascii="Arial" w:hAnsi="Arial" w:cs="Arial"/>
          <w:b/>
        </w:rPr>
      </w:pPr>
    </w:p>
    <w:p w:rsidR="00D35379" w:rsidRDefault="00D35379" w:rsidP="003D1FB1">
      <w:pPr>
        <w:jc w:val="center"/>
        <w:rPr>
          <w:rFonts w:ascii="Arial" w:hAnsi="Arial" w:cs="Arial"/>
          <w:b/>
        </w:rPr>
      </w:pPr>
    </w:p>
    <w:p w:rsid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p w:rsidR="00F650BE" w:rsidRPr="00370754" w:rsidRDefault="00F650BE" w:rsidP="003D1FB1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FD3C4B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D35379">
        <w:trPr>
          <w:trHeight w:val="563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FD3C4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FD3C4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M.P.</w:t>
            </w:r>
          </w:p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FD3C4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FD3C4B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D50A00" w:rsidRDefault="00D50A00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8A14DD" w:rsidRDefault="008A14DD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8A14DD" w:rsidRDefault="008A14DD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D35379" w:rsidRDefault="00D35379" w:rsidP="00375D0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D35379" w:rsidSect="00D35379">
      <w:headerReference w:type="default" r:id="rId10"/>
      <w:headerReference w:type="first" r:id="rId11"/>
      <w:pgSz w:w="16838" w:h="11906" w:orient="landscape" w:code="9"/>
      <w:pgMar w:top="1314" w:right="1276" w:bottom="1276" w:left="567" w:header="426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FAE" w:rsidRDefault="00FB5FAE" w:rsidP="00A6505B">
      <w:pPr>
        <w:spacing w:before="0" w:after="0" w:line="240" w:lineRule="auto"/>
      </w:pPr>
      <w:r>
        <w:separator/>
      </w:r>
    </w:p>
  </w:endnote>
  <w:endnote w:type="continuationSeparator" w:id="0">
    <w:p w:rsidR="00FB5FAE" w:rsidRDefault="00FB5F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FAE" w:rsidRDefault="00FB5FAE" w:rsidP="00A6505B">
      <w:pPr>
        <w:spacing w:before="0" w:after="0" w:line="240" w:lineRule="auto"/>
      </w:pPr>
      <w:r>
        <w:separator/>
      </w:r>
    </w:p>
  </w:footnote>
  <w:footnote w:type="continuationSeparator" w:id="0">
    <w:p w:rsidR="00FB5FAE" w:rsidRDefault="00FB5F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C4B" w:rsidRDefault="00FD3C4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DC" w:rsidRPr="00F323F6" w:rsidRDefault="007010DC" w:rsidP="007010DC">
    <w:pPr>
      <w:pStyle w:val="Header"/>
      <w:tabs>
        <w:tab w:val="clear" w:pos="4536"/>
        <w:tab w:val="clear" w:pos="9072"/>
        <w:tab w:val="left" w:pos="2310"/>
      </w:tabs>
    </w:pPr>
    <w:r>
      <w:t xml:space="preserve">                   </w:t>
    </w:r>
  </w:p>
  <w:tbl>
    <w:tblPr>
      <w:tblStyle w:val="TableGrid"/>
      <w:tblW w:w="0" w:type="auto"/>
      <w:tblInd w:w="1134" w:type="dxa"/>
      <w:tblLook w:val="04A0" w:firstRow="1" w:lastRow="0" w:firstColumn="1" w:lastColumn="0" w:noHBand="0" w:noVBand="1"/>
    </w:tblPr>
    <w:tblGrid>
      <w:gridCol w:w="13861"/>
    </w:tblGrid>
    <w:tr w:rsidR="007010DC" w:rsidTr="007A586B">
      <w:tc>
        <w:tcPr>
          <w:tcW w:w="13861" w:type="dxa"/>
          <w:tcBorders>
            <w:top w:val="nil"/>
            <w:left w:val="nil"/>
            <w:bottom w:val="nil"/>
            <w:right w:val="nil"/>
          </w:tcBorders>
        </w:tcPr>
        <w:p w:rsidR="007010DC" w:rsidRDefault="00384B0B" w:rsidP="007010DC">
          <w:pPr>
            <w:spacing w:before="0" w:after="0" w:line="240" w:lineRule="auto"/>
            <w:ind w:left="1134"/>
            <w:jc w:val="left"/>
            <w:rPr>
              <w:rFonts w:ascii="Arial" w:eastAsia="Times New Roman" w:hAnsi="Arial" w:cs="Arial"/>
              <w:noProof/>
              <w:spacing w:val="-10"/>
              <w:kern w:val="28"/>
              <w:sz w:val="22"/>
            </w:rPr>
          </w:pP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6CE3762" wp14:editId="102F8F02">
                    <wp:simplePos x="0" y="0"/>
                    <wp:positionH relativeFrom="margin">
                      <wp:posOffset>5490211</wp:posOffset>
                    </wp:positionH>
                    <wp:positionV relativeFrom="paragraph">
                      <wp:posOffset>86360</wp:posOffset>
                    </wp:positionV>
                    <wp:extent cx="3169920" cy="74295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69920" cy="742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10DC" w:rsidRPr="007010DC" w:rsidRDefault="007010DC" w:rsidP="007010D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7010DC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Adresa: Cetinjski put bb, Eko efikasna zgrada </w:t>
                                </w:r>
                              </w:p>
                              <w:p w:rsidR="007010DC" w:rsidRPr="007010DC" w:rsidRDefault="007010DC" w:rsidP="007010D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7010DC">
                                  <w:rPr>
                                    <w:rFonts w:ascii="Arial" w:hAnsi="Arial" w:cs="Arial"/>
                                    <w:sz w:val="22"/>
                                  </w:rPr>
                                  <w:t>81000 Podgorica, Crna Gora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6CE37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32.3pt;margin-top:6.8pt;width:249.6pt;height:58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" stroked="f">
                    <v:textbox style="mso-fit-shape-to-text:t">
                      <w:txbxContent>
                        <w:p w:rsidR="007010DC" w:rsidRPr="007010DC" w:rsidRDefault="007010DC" w:rsidP="007010D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7010DC">
                            <w:rPr>
                              <w:rFonts w:ascii="Arial" w:hAnsi="Arial" w:cs="Arial"/>
                              <w:sz w:val="22"/>
                            </w:rPr>
                            <w:t xml:space="preserve">Adresa: Cetinjski put bb, Eko efikasna zgrada </w:t>
                          </w:r>
                        </w:p>
                        <w:p w:rsidR="007010DC" w:rsidRPr="007010DC" w:rsidRDefault="007010DC" w:rsidP="007010D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7010DC">
                            <w:rPr>
                              <w:rFonts w:ascii="Arial" w:hAnsi="Arial" w:cs="Arial"/>
                              <w:sz w:val="22"/>
                            </w:rPr>
                            <w:t>81000 Podgorica, Crna Gora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010DC">
            <w:rPr>
              <w:rFonts w:asciiTheme="majorHAnsi" w:hAnsiTheme="majorHAnsi"/>
              <w:bCs/>
            </w:rPr>
            <w:t xml:space="preserve">          </w:t>
          </w:r>
        </w:p>
        <w:p w:rsidR="007010DC" w:rsidRPr="007010DC" w:rsidRDefault="007010DC" w:rsidP="007010DC">
          <w:pPr>
            <w:spacing w:before="0" w:after="0" w:line="240" w:lineRule="auto"/>
            <w:ind w:left="1134"/>
            <w:jc w:val="left"/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</w:pP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w:drawing>
              <wp:anchor distT="0" distB="0" distL="114300" distR="114300" simplePos="0" relativeHeight="251661312" behindDoc="1" locked="0" layoutInCell="1" allowOverlap="1" wp14:anchorId="0B8E027E" wp14:editId="6202492E">
                <wp:simplePos x="0" y="0"/>
                <wp:positionH relativeFrom="column">
                  <wp:posOffset>-24765</wp:posOffset>
                </wp:positionH>
                <wp:positionV relativeFrom="paragraph">
                  <wp:posOffset>52705</wp:posOffset>
                </wp:positionV>
                <wp:extent cx="561975" cy="639445"/>
                <wp:effectExtent l="0" t="0" r="9525" b="8255"/>
                <wp:wrapNone/>
                <wp:docPr id="1" name="Picture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BE4667" wp14:editId="7A9F84FA">
                    <wp:simplePos x="0" y="0"/>
                    <wp:positionH relativeFrom="column">
                      <wp:posOffset>622295</wp:posOffset>
                    </wp:positionH>
                    <wp:positionV relativeFrom="paragraph">
                      <wp:posOffset>52750</wp:posOffset>
                    </wp:positionV>
                    <wp:extent cx="0" cy="635106"/>
                    <wp:effectExtent l="0" t="0" r="19050" b="31750"/>
                    <wp:wrapNone/>
                    <wp:docPr id="27" name="Straight Connector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35106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AA6E67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<v:stroke joinstyle="miter"/>
                  </v:line>
                </w:pict>
              </mc:Fallback>
            </mc:AlternateContent>
          </w: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w:t>Crna Gora</w:t>
          </w:r>
        </w:p>
        <w:p w:rsidR="007010DC" w:rsidRPr="007010DC" w:rsidRDefault="007010DC" w:rsidP="007010DC">
          <w:pPr>
            <w:spacing w:before="0" w:after="0" w:line="240" w:lineRule="auto"/>
            <w:ind w:left="1134"/>
            <w:jc w:val="left"/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</w:pP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w:t xml:space="preserve">Ministarstvo ekologije, </w:t>
          </w:r>
        </w:p>
        <w:p w:rsidR="007010DC" w:rsidRPr="007010DC" w:rsidRDefault="007010DC" w:rsidP="007010DC">
          <w:pPr>
            <w:spacing w:before="0" w:after="0" w:line="240" w:lineRule="auto"/>
            <w:ind w:left="1134"/>
            <w:jc w:val="left"/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</w:pPr>
          <w:r w:rsidRPr="007010DC">
            <w:rPr>
              <w:rFonts w:ascii="Arial" w:eastAsia="Times New Roman" w:hAnsi="Arial" w:cs="Arial"/>
              <w:noProof/>
              <w:spacing w:val="-10"/>
              <w:kern w:val="28"/>
              <w:szCs w:val="24"/>
            </w:rPr>
            <w:t>održivog razvoja i razvoja sjevera</w:t>
          </w:r>
        </w:p>
        <w:p w:rsidR="007010DC" w:rsidRDefault="007010DC" w:rsidP="007010DC">
          <w:pPr>
            <w:spacing w:before="0" w:after="0" w:line="240" w:lineRule="auto"/>
            <w:ind w:left="1134"/>
            <w:rPr>
              <w:rFonts w:asciiTheme="majorHAnsi" w:hAnsiTheme="majorHAnsi"/>
              <w:bCs/>
            </w:rPr>
          </w:pPr>
        </w:p>
        <w:p w:rsidR="007010DC" w:rsidRDefault="007010DC" w:rsidP="007010DC">
          <w:pPr>
            <w:spacing w:before="0" w:after="0" w:line="240" w:lineRule="auto"/>
            <w:rPr>
              <w:rFonts w:asciiTheme="majorHAnsi" w:hAnsiTheme="majorHAnsi"/>
              <w:bCs/>
            </w:rPr>
          </w:pPr>
        </w:p>
      </w:tc>
    </w:tr>
  </w:tbl>
  <w:p w:rsidR="00FD3C4B" w:rsidRPr="00F323F6" w:rsidRDefault="00FD3C4B" w:rsidP="007010DC">
    <w:pPr>
      <w:pStyle w:val="Header"/>
      <w:tabs>
        <w:tab w:val="clear" w:pos="4536"/>
        <w:tab w:val="clear" w:pos="9072"/>
        <w:tab w:val="left" w:pos="2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3B9"/>
    <w:multiLevelType w:val="multilevel"/>
    <w:tmpl w:val="EB26D4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A05D1"/>
    <w:multiLevelType w:val="multilevel"/>
    <w:tmpl w:val="8FB0E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171A"/>
    <w:multiLevelType w:val="multilevel"/>
    <w:tmpl w:val="DAAC9C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47408A"/>
    <w:multiLevelType w:val="hybridMultilevel"/>
    <w:tmpl w:val="85BCF606"/>
    <w:lvl w:ilvl="0" w:tplc="E3C6ACB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7900"/>
    <w:multiLevelType w:val="hybridMultilevel"/>
    <w:tmpl w:val="0D22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245F"/>
    <w:multiLevelType w:val="hybridMultilevel"/>
    <w:tmpl w:val="06F07D8A"/>
    <w:lvl w:ilvl="0" w:tplc="E3C6ACBE">
      <w:start w:val="2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A33322"/>
    <w:multiLevelType w:val="hybridMultilevel"/>
    <w:tmpl w:val="F65CA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DC5"/>
    <w:multiLevelType w:val="hybridMultilevel"/>
    <w:tmpl w:val="3CE81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643A0"/>
    <w:multiLevelType w:val="multilevel"/>
    <w:tmpl w:val="4448E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9F3BC1"/>
    <w:multiLevelType w:val="hybridMultilevel"/>
    <w:tmpl w:val="4D60BC4E"/>
    <w:lvl w:ilvl="0" w:tplc="238041D2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487A7A"/>
    <w:multiLevelType w:val="hybridMultilevel"/>
    <w:tmpl w:val="F65CA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F195C"/>
    <w:multiLevelType w:val="hybridMultilevel"/>
    <w:tmpl w:val="EFCAAABA"/>
    <w:lvl w:ilvl="0" w:tplc="DF26785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140F5"/>
    <w:multiLevelType w:val="multilevel"/>
    <w:tmpl w:val="78141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9D116C"/>
    <w:multiLevelType w:val="hybridMultilevel"/>
    <w:tmpl w:val="3A401146"/>
    <w:lvl w:ilvl="0" w:tplc="238041D2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0409A"/>
    <w:multiLevelType w:val="hybridMultilevel"/>
    <w:tmpl w:val="75BE611C"/>
    <w:lvl w:ilvl="0" w:tplc="E3C6ACB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17"/>
  </w:num>
  <w:num w:numId="9">
    <w:abstractNumId w:val="12"/>
  </w:num>
  <w:num w:numId="10">
    <w:abstractNumId w:val="15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6"/>
  </w:num>
  <w:num w:numId="16">
    <w:abstractNumId w:val="8"/>
  </w:num>
  <w:num w:numId="17">
    <w:abstractNumId w:val="2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4B9"/>
    <w:rsid w:val="00013761"/>
    <w:rsid w:val="00020673"/>
    <w:rsid w:val="00031675"/>
    <w:rsid w:val="00042C93"/>
    <w:rsid w:val="0005163F"/>
    <w:rsid w:val="000637EA"/>
    <w:rsid w:val="00071E3B"/>
    <w:rsid w:val="00073A93"/>
    <w:rsid w:val="000823CE"/>
    <w:rsid w:val="0009621B"/>
    <w:rsid w:val="000A20FF"/>
    <w:rsid w:val="000A6033"/>
    <w:rsid w:val="000D74AA"/>
    <w:rsid w:val="000E239F"/>
    <w:rsid w:val="000F2AA0"/>
    <w:rsid w:val="000F2B95"/>
    <w:rsid w:val="000F2BFC"/>
    <w:rsid w:val="001053EE"/>
    <w:rsid w:val="00107821"/>
    <w:rsid w:val="00107D7D"/>
    <w:rsid w:val="001268EC"/>
    <w:rsid w:val="00154D42"/>
    <w:rsid w:val="00162749"/>
    <w:rsid w:val="00180586"/>
    <w:rsid w:val="001822F4"/>
    <w:rsid w:val="001822FC"/>
    <w:rsid w:val="001847FD"/>
    <w:rsid w:val="00186B60"/>
    <w:rsid w:val="00196664"/>
    <w:rsid w:val="001A2608"/>
    <w:rsid w:val="001A79B6"/>
    <w:rsid w:val="001A7E96"/>
    <w:rsid w:val="001C2DA5"/>
    <w:rsid w:val="001D3909"/>
    <w:rsid w:val="001F1805"/>
    <w:rsid w:val="001F75D5"/>
    <w:rsid w:val="002031D8"/>
    <w:rsid w:val="00205759"/>
    <w:rsid w:val="00226639"/>
    <w:rsid w:val="00237172"/>
    <w:rsid w:val="00250B84"/>
    <w:rsid w:val="002511E4"/>
    <w:rsid w:val="00252A36"/>
    <w:rsid w:val="00260C7C"/>
    <w:rsid w:val="00261150"/>
    <w:rsid w:val="0026456F"/>
    <w:rsid w:val="002650ED"/>
    <w:rsid w:val="002710C4"/>
    <w:rsid w:val="00273E94"/>
    <w:rsid w:val="00281711"/>
    <w:rsid w:val="00292D5E"/>
    <w:rsid w:val="002A7CB3"/>
    <w:rsid w:val="002B052A"/>
    <w:rsid w:val="002C6DFD"/>
    <w:rsid w:val="002D12BD"/>
    <w:rsid w:val="002D3C17"/>
    <w:rsid w:val="002F2902"/>
    <w:rsid w:val="002F461C"/>
    <w:rsid w:val="00302662"/>
    <w:rsid w:val="00304612"/>
    <w:rsid w:val="003155C0"/>
    <w:rsid w:val="003168DA"/>
    <w:rsid w:val="0032771E"/>
    <w:rsid w:val="003417B8"/>
    <w:rsid w:val="00350578"/>
    <w:rsid w:val="00354D08"/>
    <w:rsid w:val="0036216A"/>
    <w:rsid w:val="00370754"/>
    <w:rsid w:val="00374FC4"/>
    <w:rsid w:val="00375D08"/>
    <w:rsid w:val="00384B0B"/>
    <w:rsid w:val="003A6DB5"/>
    <w:rsid w:val="003B2901"/>
    <w:rsid w:val="003B715A"/>
    <w:rsid w:val="003C0043"/>
    <w:rsid w:val="003C0F03"/>
    <w:rsid w:val="003D1FB1"/>
    <w:rsid w:val="004112D5"/>
    <w:rsid w:val="004378E1"/>
    <w:rsid w:val="004501E6"/>
    <w:rsid w:val="00451F6C"/>
    <w:rsid w:val="00451FF9"/>
    <w:rsid w:val="00460F3F"/>
    <w:rsid w:val="00465E0B"/>
    <w:rsid w:val="004679C3"/>
    <w:rsid w:val="00474298"/>
    <w:rsid w:val="00476D7D"/>
    <w:rsid w:val="004934B6"/>
    <w:rsid w:val="00496A6D"/>
    <w:rsid w:val="00497FB6"/>
    <w:rsid w:val="004B76A4"/>
    <w:rsid w:val="004B794D"/>
    <w:rsid w:val="004C1025"/>
    <w:rsid w:val="004E3DA7"/>
    <w:rsid w:val="004F24B0"/>
    <w:rsid w:val="004F5EE0"/>
    <w:rsid w:val="00502151"/>
    <w:rsid w:val="0051288F"/>
    <w:rsid w:val="00513D34"/>
    <w:rsid w:val="00521C0E"/>
    <w:rsid w:val="00522355"/>
    <w:rsid w:val="00523147"/>
    <w:rsid w:val="0052712D"/>
    <w:rsid w:val="00531FDF"/>
    <w:rsid w:val="00544836"/>
    <w:rsid w:val="00561C4C"/>
    <w:rsid w:val="005711E3"/>
    <w:rsid w:val="005723C7"/>
    <w:rsid w:val="00576621"/>
    <w:rsid w:val="00583E10"/>
    <w:rsid w:val="005A2821"/>
    <w:rsid w:val="005A4E7E"/>
    <w:rsid w:val="005A6AD9"/>
    <w:rsid w:val="005B44BF"/>
    <w:rsid w:val="005B6B1D"/>
    <w:rsid w:val="005C41EC"/>
    <w:rsid w:val="005C52E2"/>
    <w:rsid w:val="005C6B1E"/>
    <w:rsid w:val="005C6F24"/>
    <w:rsid w:val="005D4290"/>
    <w:rsid w:val="005E2CF3"/>
    <w:rsid w:val="005F56D9"/>
    <w:rsid w:val="00612213"/>
    <w:rsid w:val="00613FAD"/>
    <w:rsid w:val="00630A76"/>
    <w:rsid w:val="00661D03"/>
    <w:rsid w:val="00670FF6"/>
    <w:rsid w:val="00671DA4"/>
    <w:rsid w:val="006739CA"/>
    <w:rsid w:val="00681A57"/>
    <w:rsid w:val="00683884"/>
    <w:rsid w:val="006870B4"/>
    <w:rsid w:val="0068793B"/>
    <w:rsid w:val="006A24FA"/>
    <w:rsid w:val="006A2698"/>
    <w:rsid w:val="006A2C40"/>
    <w:rsid w:val="006B0CEE"/>
    <w:rsid w:val="006D0070"/>
    <w:rsid w:val="006D4322"/>
    <w:rsid w:val="006D711E"/>
    <w:rsid w:val="006E262C"/>
    <w:rsid w:val="006E296B"/>
    <w:rsid w:val="006E29E6"/>
    <w:rsid w:val="006E3F31"/>
    <w:rsid w:val="006F36A6"/>
    <w:rsid w:val="0070005F"/>
    <w:rsid w:val="007010DC"/>
    <w:rsid w:val="00721BC7"/>
    <w:rsid w:val="00722040"/>
    <w:rsid w:val="007246E0"/>
    <w:rsid w:val="00734667"/>
    <w:rsid w:val="0073561A"/>
    <w:rsid w:val="00742F4B"/>
    <w:rsid w:val="00755913"/>
    <w:rsid w:val="00767602"/>
    <w:rsid w:val="0077100B"/>
    <w:rsid w:val="00786F2E"/>
    <w:rsid w:val="007904A7"/>
    <w:rsid w:val="00794586"/>
    <w:rsid w:val="007978B6"/>
    <w:rsid w:val="007A0248"/>
    <w:rsid w:val="007A118F"/>
    <w:rsid w:val="007B0C55"/>
    <w:rsid w:val="007B2B13"/>
    <w:rsid w:val="007C1265"/>
    <w:rsid w:val="007D26F4"/>
    <w:rsid w:val="007F30A2"/>
    <w:rsid w:val="00810444"/>
    <w:rsid w:val="00825136"/>
    <w:rsid w:val="00867626"/>
    <w:rsid w:val="0088156B"/>
    <w:rsid w:val="00885190"/>
    <w:rsid w:val="008A14DD"/>
    <w:rsid w:val="008B1369"/>
    <w:rsid w:val="008B42A5"/>
    <w:rsid w:val="008B566E"/>
    <w:rsid w:val="008C3441"/>
    <w:rsid w:val="008C7F82"/>
    <w:rsid w:val="008D13A0"/>
    <w:rsid w:val="008D3097"/>
    <w:rsid w:val="008E6F47"/>
    <w:rsid w:val="00902E6C"/>
    <w:rsid w:val="00907170"/>
    <w:rsid w:val="00912CCA"/>
    <w:rsid w:val="009130A0"/>
    <w:rsid w:val="009155D6"/>
    <w:rsid w:val="00922A8D"/>
    <w:rsid w:val="00937684"/>
    <w:rsid w:val="00946A67"/>
    <w:rsid w:val="0096107C"/>
    <w:rsid w:val="00966B3F"/>
    <w:rsid w:val="009751DF"/>
    <w:rsid w:val="00986399"/>
    <w:rsid w:val="00997C04"/>
    <w:rsid w:val="009C4DD7"/>
    <w:rsid w:val="009D1225"/>
    <w:rsid w:val="009E2AAF"/>
    <w:rsid w:val="009E797A"/>
    <w:rsid w:val="009F2841"/>
    <w:rsid w:val="009F5AED"/>
    <w:rsid w:val="00A640F0"/>
    <w:rsid w:val="00A649EC"/>
    <w:rsid w:val="00A6505B"/>
    <w:rsid w:val="00A9072D"/>
    <w:rsid w:val="00AA6DBF"/>
    <w:rsid w:val="00AD29CE"/>
    <w:rsid w:val="00AE56FD"/>
    <w:rsid w:val="00AF1FAB"/>
    <w:rsid w:val="00AF27FF"/>
    <w:rsid w:val="00B003EE"/>
    <w:rsid w:val="00B03BD4"/>
    <w:rsid w:val="00B11571"/>
    <w:rsid w:val="00B1314A"/>
    <w:rsid w:val="00B13AFC"/>
    <w:rsid w:val="00B167AC"/>
    <w:rsid w:val="00B27749"/>
    <w:rsid w:val="00B30D58"/>
    <w:rsid w:val="00B40A06"/>
    <w:rsid w:val="00B43769"/>
    <w:rsid w:val="00B473C2"/>
    <w:rsid w:val="00B47D2C"/>
    <w:rsid w:val="00B83F7A"/>
    <w:rsid w:val="00B84F08"/>
    <w:rsid w:val="00BB014F"/>
    <w:rsid w:val="00BE3206"/>
    <w:rsid w:val="00BF464E"/>
    <w:rsid w:val="00BF6E64"/>
    <w:rsid w:val="00C123D2"/>
    <w:rsid w:val="00C176EB"/>
    <w:rsid w:val="00C178C9"/>
    <w:rsid w:val="00C200CB"/>
    <w:rsid w:val="00C20E0A"/>
    <w:rsid w:val="00C2622E"/>
    <w:rsid w:val="00C346F3"/>
    <w:rsid w:val="00C4431F"/>
    <w:rsid w:val="00C46BCD"/>
    <w:rsid w:val="00C52927"/>
    <w:rsid w:val="00C54749"/>
    <w:rsid w:val="00C64C44"/>
    <w:rsid w:val="00C73F9F"/>
    <w:rsid w:val="00C84028"/>
    <w:rsid w:val="00C93B16"/>
    <w:rsid w:val="00CA38F6"/>
    <w:rsid w:val="00CA4058"/>
    <w:rsid w:val="00CC2580"/>
    <w:rsid w:val="00CC7EFA"/>
    <w:rsid w:val="00CD159D"/>
    <w:rsid w:val="00CE35B7"/>
    <w:rsid w:val="00CF51A2"/>
    <w:rsid w:val="00CF540B"/>
    <w:rsid w:val="00D07FD8"/>
    <w:rsid w:val="00D1198E"/>
    <w:rsid w:val="00D23B4D"/>
    <w:rsid w:val="00D2455F"/>
    <w:rsid w:val="00D24F90"/>
    <w:rsid w:val="00D3081F"/>
    <w:rsid w:val="00D35379"/>
    <w:rsid w:val="00D50A00"/>
    <w:rsid w:val="00D57A18"/>
    <w:rsid w:val="00D63B3D"/>
    <w:rsid w:val="00D74335"/>
    <w:rsid w:val="00D95056"/>
    <w:rsid w:val="00DA06ED"/>
    <w:rsid w:val="00DA3DE2"/>
    <w:rsid w:val="00DC5DF1"/>
    <w:rsid w:val="00DF1867"/>
    <w:rsid w:val="00DF60F7"/>
    <w:rsid w:val="00E12D1F"/>
    <w:rsid w:val="00E714C1"/>
    <w:rsid w:val="00E73A9B"/>
    <w:rsid w:val="00E74F68"/>
    <w:rsid w:val="00E75466"/>
    <w:rsid w:val="00E75A72"/>
    <w:rsid w:val="00E971DB"/>
    <w:rsid w:val="00EA0F01"/>
    <w:rsid w:val="00EA22A1"/>
    <w:rsid w:val="00EB4992"/>
    <w:rsid w:val="00EC3AC5"/>
    <w:rsid w:val="00F054DC"/>
    <w:rsid w:val="00F114FC"/>
    <w:rsid w:val="00F127D8"/>
    <w:rsid w:val="00F14B0C"/>
    <w:rsid w:val="00F16D1B"/>
    <w:rsid w:val="00F21A4A"/>
    <w:rsid w:val="00F323F6"/>
    <w:rsid w:val="00F445DA"/>
    <w:rsid w:val="00F56D36"/>
    <w:rsid w:val="00F63FBA"/>
    <w:rsid w:val="00F6415D"/>
    <w:rsid w:val="00F650BE"/>
    <w:rsid w:val="00F77810"/>
    <w:rsid w:val="00F94183"/>
    <w:rsid w:val="00FA6F14"/>
    <w:rsid w:val="00FB38AC"/>
    <w:rsid w:val="00FB5FAE"/>
    <w:rsid w:val="00FC4790"/>
    <w:rsid w:val="00FD3C4B"/>
    <w:rsid w:val="00FE4CFA"/>
    <w:rsid w:val="00FF1CF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styleId="NoSpacing">
    <w:name w:val="No Spacing"/>
    <w:uiPriority w:val="1"/>
    <w:qFormat/>
    <w:rsid w:val="002B052A"/>
    <w:pPr>
      <w:spacing w:after="0" w:line="240" w:lineRule="auto"/>
      <w:jc w:val="both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ranka.milasinovic@mer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1042E-8A16-4F0C-B98B-32C12951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Branka Milasinovic</cp:lastModifiedBy>
  <cp:revision>2</cp:revision>
  <cp:lastPrinted>2025-04-08T08:43:00Z</cp:lastPrinted>
  <dcterms:created xsi:type="dcterms:W3CDTF">2025-04-08T10:34:00Z</dcterms:created>
  <dcterms:modified xsi:type="dcterms:W3CDTF">2025-04-08T10:34:00Z</dcterms:modified>
</cp:coreProperties>
</file>