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32" w:rsidRPr="00A86452" w:rsidRDefault="00CB49C8" w:rsidP="00A71A4E">
      <w:pPr>
        <w:jc w:val="center"/>
        <w:rPr>
          <w:rFonts w:ascii="Arial" w:hAnsi="Arial" w:cs="Arial"/>
          <w:b/>
          <w:sz w:val="22"/>
          <w:szCs w:val="22"/>
        </w:rPr>
      </w:pPr>
      <w:r w:rsidRPr="00A86452">
        <w:rPr>
          <w:rFonts w:ascii="Arial" w:hAnsi="Arial" w:cs="Arial"/>
          <w:b/>
          <w:sz w:val="22"/>
          <w:szCs w:val="22"/>
        </w:rPr>
        <w:t xml:space="preserve">SERVICE </w:t>
      </w:r>
      <w:r w:rsidR="000406AC" w:rsidRPr="00A86452">
        <w:rPr>
          <w:rFonts w:ascii="Arial" w:hAnsi="Arial" w:cs="Arial"/>
          <w:b/>
          <w:sz w:val="22"/>
          <w:szCs w:val="22"/>
        </w:rPr>
        <w:t>PRIOR INFORMATION NOTICE</w:t>
      </w:r>
    </w:p>
    <w:p w:rsidR="00E1652C" w:rsidRPr="00A86452" w:rsidRDefault="00E1652C" w:rsidP="00E1652C">
      <w:pPr>
        <w:jc w:val="center"/>
        <w:rPr>
          <w:rFonts w:ascii="Arial" w:hAnsi="Arial" w:cs="Arial"/>
          <w:b/>
          <w:bCs/>
          <w:sz w:val="22"/>
          <w:szCs w:val="22"/>
          <w:lang w:val="en-GB"/>
        </w:rPr>
      </w:pPr>
      <w:r w:rsidRPr="00A86452">
        <w:rPr>
          <w:rFonts w:ascii="Arial" w:hAnsi="Arial" w:cs="Arial"/>
          <w:b/>
          <w:bCs/>
          <w:sz w:val="22"/>
          <w:szCs w:val="22"/>
          <w:lang w:val="en-GB"/>
        </w:rPr>
        <w:t xml:space="preserve"> TECHNICAL ASSISTANCE FOR PROJECT PREPARATION OF INVESTMENT PROJECTS IN THE TRANSPORT SECTOR IN MONTENEGRO</w:t>
      </w:r>
    </w:p>
    <w:p w:rsidR="00D40632" w:rsidRPr="00A86452" w:rsidRDefault="005A5C96"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1.</w:t>
      </w:r>
      <w:r w:rsidR="003425D3" w:rsidRPr="00A86452">
        <w:rPr>
          <w:rStyle w:val="Strong"/>
          <w:rFonts w:ascii="Arial" w:hAnsi="Arial" w:cs="Arial"/>
          <w:sz w:val="22"/>
          <w:szCs w:val="22"/>
        </w:rPr>
        <w:tab/>
      </w:r>
      <w:r w:rsidR="00D40632" w:rsidRPr="00A86452">
        <w:rPr>
          <w:rStyle w:val="Strong"/>
          <w:rFonts w:ascii="Arial" w:hAnsi="Arial" w:cs="Arial"/>
          <w:sz w:val="22"/>
          <w:szCs w:val="22"/>
        </w:rPr>
        <w:t>Publication reference</w:t>
      </w:r>
    </w:p>
    <w:p w:rsidR="00CF1459" w:rsidRPr="00A86452" w:rsidRDefault="00CF1459" w:rsidP="00CF1459">
      <w:pPr>
        <w:widowControl/>
        <w:spacing w:before="0" w:after="0"/>
        <w:ind w:firstLine="426"/>
        <w:rPr>
          <w:rFonts w:ascii="Arial" w:hAnsi="Arial" w:cs="Arial"/>
          <w:snapToGrid/>
          <w:color w:val="000000"/>
          <w:sz w:val="22"/>
          <w:szCs w:val="22"/>
          <w:lang w:val="en-GB" w:eastAsia="en-GB"/>
        </w:rPr>
      </w:pPr>
    </w:p>
    <w:p w:rsidR="00D40632" w:rsidRPr="00A86452" w:rsidRDefault="00CF1459" w:rsidP="00CF1459">
      <w:pPr>
        <w:widowControl/>
        <w:spacing w:before="0" w:after="0"/>
        <w:ind w:firstLine="426"/>
        <w:rPr>
          <w:rFonts w:ascii="Arial" w:hAnsi="Arial" w:cs="Arial"/>
          <w:snapToGrid/>
          <w:color w:val="000000"/>
          <w:sz w:val="22"/>
          <w:szCs w:val="22"/>
          <w:lang w:val="en-GB" w:eastAsia="en-GB"/>
        </w:rPr>
      </w:pPr>
      <w:r w:rsidRPr="00A86452">
        <w:rPr>
          <w:rFonts w:ascii="Arial" w:hAnsi="Arial" w:cs="Arial"/>
          <w:snapToGrid/>
          <w:color w:val="000000"/>
          <w:sz w:val="22"/>
          <w:szCs w:val="22"/>
          <w:lang w:val="en-GB" w:eastAsia="en-GB"/>
        </w:rPr>
        <w:t>EuropeAid/140118/IH/SER/ME</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2. </w:t>
      </w:r>
      <w:r w:rsidR="003425D3" w:rsidRPr="00A86452">
        <w:rPr>
          <w:rStyle w:val="Strong"/>
          <w:rFonts w:ascii="Arial" w:hAnsi="Arial" w:cs="Arial"/>
          <w:sz w:val="22"/>
          <w:szCs w:val="22"/>
        </w:rPr>
        <w:tab/>
      </w:r>
      <w:r w:rsidRPr="00A86452">
        <w:rPr>
          <w:rStyle w:val="Strong"/>
          <w:rFonts w:ascii="Arial" w:hAnsi="Arial" w:cs="Arial"/>
          <w:sz w:val="22"/>
          <w:szCs w:val="22"/>
        </w:rPr>
        <w:t>Procedure</w:t>
      </w:r>
    </w:p>
    <w:p w:rsidR="00D40632" w:rsidRPr="00A86452" w:rsidRDefault="00D40632" w:rsidP="00454332">
      <w:pPr>
        <w:ind w:left="357" w:right="357"/>
        <w:jc w:val="both"/>
        <w:rPr>
          <w:rStyle w:val="Emphasis"/>
          <w:rFonts w:ascii="Arial" w:hAnsi="Arial" w:cs="Arial"/>
          <w:i w:val="0"/>
          <w:sz w:val="22"/>
          <w:szCs w:val="22"/>
          <w:lang w:val="en-GB"/>
        </w:rPr>
      </w:pPr>
      <w:r w:rsidRPr="00A86452">
        <w:rPr>
          <w:rStyle w:val="Emphasis"/>
          <w:rFonts w:ascii="Arial" w:hAnsi="Arial" w:cs="Arial"/>
          <w:i w:val="0"/>
          <w:sz w:val="22"/>
          <w:szCs w:val="22"/>
          <w:lang w:val="en-GB"/>
        </w:rPr>
        <w:t>Restricted</w:t>
      </w:r>
      <w:r w:rsidR="003425D3" w:rsidRPr="00A86452">
        <w:rPr>
          <w:rStyle w:val="Emphasis"/>
          <w:rFonts w:ascii="Arial" w:hAnsi="Arial" w:cs="Arial"/>
          <w:i w:val="0"/>
          <w:sz w:val="22"/>
          <w:szCs w:val="22"/>
          <w:lang w:val="en-GB"/>
        </w:rPr>
        <w:t xml:space="preserve"> </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3. </w:t>
      </w:r>
      <w:r w:rsidR="003425D3" w:rsidRPr="00A86452">
        <w:rPr>
          <w:rStyle w:val="Strong"/>
          <w:rFonts w:ascii="Arial" w:hAnsi="Arial" w:cs="Arial"/>
          <w:sz w:val="22"/>
          <w:szCs w:val="22"/>
        </w:rPr>
        <w:tab/>
      </w:r>
      <w:r w:rsidRPr="00A86452">
        <w:rPr>
          <w:rStyle w:val="Strong"/>
          <w:rFonts w:ascii="Arial" w:hAnsi="Arial" w:cs="Arial"/>
          <w:sz w:val="22"/>
          <w:szCs w:val="22"/>
          <w:lang w:val="en-GB"/>
        </w:rPr>
        <w:t>Programme</w:t>
      </w:r>
      <w:r w:rsidR="00E668C2" w:rsidRPr="00A86452">
        <w:rPr>
          <w:rStyle w:val="Strong"/>
          <w:rFonts w:ascii="Arial" w:hAnsi="Arial" w:cs="Arial"/>
          <w:sz w:val="22"/>
          <w:szCs w:val="22"/>
        </w:rPr>
        <w:t xml:space="preserve"> title</w:t>
      </w:r>
    </w:p>
    <w:p w:rsidR="00454332" w:rsidRPr="00A86452" w:rsidRDefault="00454332" w:rsidP="00454332">
      <w:pPr>
        <w:ind w:left="709" w:hanging="349"/>
        <w:outlineLvl w:val="0"/>
        <w:rPr>
          <w:rStyle w:val="Emphasis"/>
          <w:rFonts w:ascii="Arial" w:hAnsi="Arial" w:cs="Arial"/>
          <w:i w:val="0"/>
          <w:sz w:val="22"/>
          <w:szCs w:val="22"/>
        </w:rPr>
      </w:pPr>
      <w:r w:rsidRPr="00A86452">
        <w:rPr>
          <w:rStyle w:val="Emphasis"/>
          <w:rFonts w:ascii="Arial" w:hAnsi="Arial" w:cs="Arial"/>
          <w:i w:val="0"/>
          <w:sz w:val="22"/>
          <w:szCs w:val="22"/>
        </w:rPr>
        <w:t>Country Action Programme for Montenegro (2017) – Support to the Transport Sector in Montenegro</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4. </w:t>
      </w:r>
      <w:r w:rsidR="003425D3" w:rsidRPr="00A86452">
        <w:rPr>
          <w:rStyle w:val="Strong"/>
          <w:rFonts w:ascii="Arial" w:hAnsi="Arial" w:cs="Arial"/>
          <w:sz w:val="22"/>
          <w:szCs w:val="22"/>
        </w:rPr>
        <w:tab/>
      </w:r>
      <w:r w:rsidRPr="00A86452">
        <w:rPr>
          <w:rStyle w:val="Strong"/>
          <w:rFonts w:ascii="Arial" w:hAnsi="Arial" w:cs="Arial"/>
          <w:sz w:val="22"/>
          <w:szCs w:val="22"/>
        </w:rPr>
        <w:t>Financing</w:t>
      </w:r>
    </w:p>
    <w:p w:rsidR="00454332" w:rsidRPr="00A86452" w:rsidRDefault="00454332" w:rsidP="00E1652C">
      <w:pPr>
        <w:ind w:left="357" w:right="357"/>
        <w:jc w:val="both"/>
        <w:rPr>
          <w:rStyle w:val="Emphasis"/>
          <w:rFonts w:ascii="Arial" w:hAnsi="Arial" w:cs="Arial"/>
          <w:i w:val="0"/>
          <w:sz w:val="22"/>
          <w:szCs w:val="22"/>
          <w:lang w:val="en-GB"/>
        </w:rPr>
      </w:pPr>
      <w:r w:rsidRPr="00A86452">
        <w:rPr>
          <w:rStyle w:val="Emphasis"/>
          <w:rFonts w:ascii="Arial" w:hAnsi="Arial" w:cs="Arial"/>
          <w:i w:val="0"/>
          <w:sz w:val="22"/>
          <w:szCs w:val="22"/>
          <w:lang w:val="en-GB"/>
        </w:rPr>
        <w:t>Financing Agreement concerning the Country Action Programme for Montenegro (2017) under the Instrument for Pre-Accession Assistance IPA II (2014-2020)</w:t>
      </w:r>
    </w:p>
    <w:p w:rsidR="00D40632" w:rsidRPr="00A86452" w:rsidRDefault="00D40632" w:rsidP="00454332">
      <w:pPr>
        <w:spacing w:before="120" w:after="0"/>
        <w:ind w:left="426" w:hanging="426"/>
        <w:outlineLvl w:val="0"/>
        <w:rPr>
          <w:rStyle w:val="Strong"/>
          <w:rFonts w:ascii="Arial" w:hAnsi="Arial" w:cs="Arial"/>
          <w:sz w:val="22"/>
          <w:szCs w:val="22"/>
        </w:rPr>
      </w:pPr>
      <w:r w:rsidRPr="00A86452">
        <w:rPr>
          <w:rStyle w:val="Strong"/>
          <w:rFonts w:ascii="Arial" w:hAnsi="Arial" w:cs="Arial"/>
          <w:sz w:val="22"/>
          <w:szCs w:val="22"/>
        </w:rPr>
        <w:t xml:space="preserve">5. </w:t>
      </w:r>
      <w:r w:rsidR="003425D3" w:rsidRPr="00A86452">
        <w:rPr>
          <w:rStyle w:val="Strong"/>
          <w:rFonts w:ascii="Arial" w:hAnsi="Arial" w:cs="Arial"/>
          <w:sz w:val="22"/>
          <w:szCs w:val="22"/>
        </w:rPr>
        <w:tab/>
      </w:r>
      <w:r w:rsidRPr="00A86452">
        <w:rPr>
          <w:rStyle w:val="Strong"/>
          <w:rFonts w:ascii="Arial" w:hAnsi="Arial" w:cs="Arial"/>
          <w:sz w:val="22"/>
          <w:szCs w:val="22"/>
        </w:rPr>
        <w:t>Contracting Authority</w:t>
      </w:r>
    </w:p>
    <w:p w:rsidR="00D40632" w:rsidRPr="00A86452" w:rsidRDefault="00454332" w:rsidP="00454332">
      <w:pPr>
        <w:ind w:left="357" w:right="357"/>
        <w:jc w:val="both"/>
        <w:rPr>
          <w:rFonts w:ascii="Arial" w:hAnsi="Arial" w:cs="Arial"/>
          <w:sz w:val="22"/>
          <w:szCs w:val="22"/>
        </w:rPr>
      </w:pPr>
      <w:r w:rsidRPr="00A86452">
        <w:rPr>
          <w:rStyle w:val="Emphasis"/>
          <w:rFonts w:ascii="Arial" w:hAnsi="Arial" w:cs="Arial"/>
          <w:i w:val="0"/>
          <w:sz w:val="22"/>
          <w:szCs w:val="22"/>
          <w:lang w:val="en-GB"/>
        </w:rPr>
        <w:t xml:space="preserve">Directorate of Public Works, </w:t>
      </w:r>
      <w:r w:rsidRPr="00A86452">
        <w:rPr>
          <w:rStyle w:val="Emphasis"/>
          <w:rFonts w:ascii="Arial" w:hAnsi="Arial" w:cs="Arial"/>
          <w:i w:val="0"/>
          <w:sz w:val="22"/>
          <w:szCs w:val="22"/>
        </w:rPr>
        <w:t>Novaka Miloševa 18, 81000 Podgorica,</w:t>
      </w:r>
      <w:r w:rsidRPr="00A86452">
        <w:rPr>
          <w:rStyle w:val="Emphasis"/>
          <w:rFonts w:ascii="Arial" w:hAnsi="Arial" w:cs="Arial"/>
          <w:i w:val="0"/>
          <w:sz w:val="22"/>
          <w:szCs w:val="22"/>
          <w:lang w:val="en-GB"/>
        </w:rPr>
        <w:t xml:space="preserve"> Montenegro</w:t>
      </w:r>
      <w:r w:rsidR="00D40632" w:rsidRPr="00A86452">
        <w:rPr>
          <w:rFonts w:ascii="Arial" w:hAnsi="Arial" w:cs="Arial"/>
          <w:sz w:val="22"/>
          <w:szCs w:val="22"/>
        </w:rPr>
        <w:t xml:space="preserve"> </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6. </w:t>
      </w:r>
      <w:r w:rsidR="003425D3" w:rsidRPr="00A86452">
        <w:rPr>
          <w:rStyle w:val="Strong"/>
          <w:rFonts w:ascii="Arial" w:hAnsi="Arial" w:cs="Arial"/>
          <w:sz w:val="22"/>
          <w:szCs w:val="22"/>
        </w:rPr>
        <w:tab/>
      </w:r>
      <w:r w:rsidRPr="00A86452">
        <w:rPr>
          <w:rStyle w:val="Strong"/>
          <w:rFonts w:ascii="Arial" w:hAnsi="Arial" w:cs="Arial"/>
          <w:sz w:val="22"/>
          <w:szCs w:val="22"/>
        </w:rPr>
        <w:t>Nature of contract</w:t>
      </w:r>
    </w:p>
    <w:p w:rsidR="00D40632" w:rsidRPr="00A86452" w:rsidRDefault="00D40632" w:rsidP="00454332">
      <w:pPr>
        <w:ind w:left="357" w:right="357"/>
        <w:jc w:val="both"/>
        <w:rPr>
          <w:rStyle w:val="Emphasis"/>
          <w:rFonts w:ascii="Arial" w:hAnsi="Arial" w:cs="Arial"/>
          <w:i w:val="0"/>
          <w:sz w:val="22"/>
          <w:szCs w:val="22"/>
          <w:lang w:val="en-GB"/>
        </w:rPr>
      </w:pPr>
      <w:r w:rsidRPr="00A86452">
        <w:rPr>
          <w:rStyle w:val="Emphasis"/>
          <w:rFonts w:ascii="Arial" w:hAnsi="Arial" w:cs="Arial"/>
          <w:i w:val="0"/>
          <w:sz w:val="22"/>
          <w:szCs w:val="22"/>
          <w:lang w:val="en-GB"/>
        </w:rPr>
        <w:t xml:space="preserve">Fee-based </w:t>
      </w:r>
    </w:p>
    <w:p w:rsidR="005A5C96" w:rsidRPr="00A86452" w:rsidRDefault="00D40632" w:rsidP="005A5C96">
      <w:pPr>
        <w:spacing w:before="120" w:after="0"/>
        <w:ind w:left="425" w:hanging="425"/>
        <w:outlineLvl w:val="0"/>
        <w:rPr>
          <w:rStyle w:val="Strong"/>
          <w:rFonts w:ascii="Arial" w:hAnsi="Arial" w:cs="Arial"/>
          <w:sz w:val="22"/>
          <w:szCs w:val="22"/>
        </w:rPr>
      </w:pPr>
      <w:r w:rsidRPr="00A86452">
        <w:rPr>
          <w:rStyle w:val="Strong"/>
          <w:rFonts w:ascii="Arial" w:hAnsi="Arial" w:cs="Arial"/>
          <w:sz w:val="22"/>
          <w:szCs w:val="22"/>
        </w:rPr>
        <w:t xml:space="preserve">7. </w:t>
      </w:r>
      <w:r w:rsidR="003425D3" w:rsidRPr="00A86452">
        <w:rPr>
          <w:rStyle w:val="Strong"/>
          <w:rFonts w:ascii="Arial" w:hAnsi="Arial" w:cs="Arial"/>
          <w:sz w:val="22"/>
          <w:szCs w:val="22"/>
        </w:rPr>
        <w:tab/>
      </w:r>
      <w:r w:rsidRPr="00A86452">
        <w:rPr>
          <w:rStyle w:val="Strong"/>
          <w:rFonts w:ascii="Arial" w:hAnsi="Arial" w:cs="Arial"/>
          <w:sz w:val="22"/>
          <w:szCs w:val="22"/>
        </w:rPr>
        <w:t>Contract description</w:t>
      </w:r>
    </w:p>
    <w:p w:rsidR="00E1652C" w:rsidRPr="00A86452" w:rsidRDefault="00E1652C" w:rsidP="00A360EB">
      <w:pPr>
        <w:ind w:left="357" w:right="357"/>
        <w:jc w:val="both"/>
        <w:rPr>
          <w:rStyle w:val="Emphasis"/>
          <w:rFonts w:ascii="Arial" w:hAnsi="Arial" w:cs="Arial"/>
          <w:i w:val="0"/>
          <w:sz w:val="22"/>
          <w:szCs w:val="22"/>
          <w:lang w:val="en-GB"/>
        </w:rPr>
      </w:pPr>
      <w:r w:rsidRPr="00A86452">
        <w:rPr>
          <w:rStyle w:val="Emphasis"/>
          <w:rFonts w:ascii="Arial" w:hAnsi="Arial" w:cs="Arial"/>
          <w:i w:val="0"/>
          <w:sz w:val="22"/>
          <w:szCs w:val="22"/>
          <w:lang w:val="en-GB"/>
        </w:rPr>
        <w:t>The purpose of this contract is the creation of a Project Preparation Facility to support the generation of mature projects. Those projects would be ready to be proposed for implementation</w:t>
      </w:r>
      <w:r w:rsidR="004F4C75" w:rsidRPr="00A86452">
        <w:rPr>
          <w:rStyle w:val="Emphasis"/>
          <w:rFonts w:ascii="Arial" w:hAnsi="Arial" w:cs="Arial"/>
          <w:i w:val="0"/>
          <w:sz w:val="22"/>
          <w:szCs w:val="22"/>
          <w:lang w:val="en-GB"/>
        </w:rPr>
        <w:t>,</w:t>
      </w:r>
      <w:r w:rsidRPr="00A86452">
        <w:rPr>
          <w:rStyle w:val="Emphasis"/>
          <w:rFonts w:ascii="Arial" w:hAnsi="Arial" w:cs="Arial"/>
          <w:i w:val="0"/>
          <w:sz w:val="22"/>
          <w:szCs w:val="22"/>
          <w:lang w:val="en-GB"/>
        </w:rPr>
        <w:t xml:space="preserve"> financing and eventual construction by the transport sector entities namely M</w:t>
      </w:r>
      <w:r w:rsidR="006570EC" w:rsidRPr="00A86452">
        <w:rPr>
          <w:rStyle w:val="Emphasis"/>
          <w:rFonts w:ascii="Arial" w:hAnsi="Arial" w:cs="Arial"/>
          <w:i w:val="0"/>
          <w:sz w:val="22"/>
          <w:szCs w:val="22"/>
          <w:lang w:val="en-GB"/>
        </w:rPr>
        <w:t xml:space="preserve">inistry of Transport and Maritime Affairs </w:t>
      </w:r>
      <w:r w:rsidRPr="00A86452">
        <w:rPr>
          <w:rStyle w:val="Emphasis"/>
          <w:rFonts w:ascii="Arial" w:hAnsi="Arial" w:cs="Arial"/>
          <w:i w:val="0"/>
          <w:sz w:val="22"/>
          <w:szCs w:val="22"/>
          <w:lang w:val="en-GB"/>
        </w:rPr>
        <w:t>and its related bodies.</w:t>
      </w:r>
      <w:r w:rsidR="00A360EB" w:rsidRPr="00A86452">
        <w:rPr>
          <w:rStyle w:val="Emphasis"/>
          <w:rFonts w:ascii="Arial" w:hAnsi="Arial" w:cs="Arial"/>
          <w:i w:val="0"/>
          <w:sz w:val="22"/>
          <w:szCs w:val="22"/>
          <w:lang w:val="en-GB"/>
        </w:rPr>
        <w:t xml:space="preserve"> </w:t>
      </w:r>
      <w:r w:rsidRPr="00A86452">
        <w:rPr>
          <w:rStyle w:val="Emphasis"/>
          <w:rFonts w:ascii="Arial" w:hAnsi="Arial" w:cs="Arial"/>
          <w:i w:val="0"/>
          <w:sz w:val="22"/>
          <w:szCs w:val="22"/>
          <w:lang w:val="en-GB"/>
        </w:rPr>
        <w:t>The Consultant will provide engineering project preparation services from initiation, to further development and implementation of mature and financially viable transport projects on the future Comprehensive and Core Network of Montenegro.</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8. </w:t>
      </w:r>
      <w:r w:rsidR="003425D3" w:rsidRPr="00A86452">
        <w:rPr>
          <w:rStyle w:val="Strong"/>
          <w:rFonts w:ascii="Arial" w:hAnsi="Arial" w:cs="Arial"/>
          <w:sz w:val="22"/>
          <w:szCs w:val="22"/>
        </w:rPr>
        <w:tab/>
      </w:r>
      <w:r w:rsidRPr="00A86452">
        <w:rPr>
          <w:rStyle w:val="Strong"/>
          <w:rFonts w:ascii="Arial" w:hAnsi="Arial" w:cs="Arial"/>
          <w:sz w:val="22"/>
          <w:szCs w:val="22"/>
        </w:rPr>
        <w:t>Indicative budget</w:t>
      </w:r>
    </w:p>
    <w:p w:rsidR="00D40632" w:rsidRPr="00A86452" w:rsidRDefault="00D40632" w:rsidP="00A47DF6">
      <w:pPr>
        <w:pStyle w:val="Blockquote"/>
        <w:spacing w:before="120" w:after="120"/>
        <w:ind w:left="426" w:right="4"/>
        <w:jc w:val="both"/>
        <w:rPr>
          <w:rFonts w:ascii="Arial" w:hAnsi="Arial" w:cs="Arial"/>
          <w:b/>
          <w:sz w:val="22"/>
          <w:szCs w:val="22"/>
        </w:rPr>
      </w:pPr>
      <w:r w:rsidRPr="00A86452">
        <w:rPr>
          <w:rFonts w:ascii="Arial" w:hAnsi="Arial" w:cs="Arial"/>
          <w:b/>
          <w:sz w:val="22"/>
          <w:szCs w:val="22"/>
        </w:rPr>
        <w:t xml:space="preserve">EUR </w:t>
      </w:r>
      <w:r w:rsidR="00A360EB" w:rsidRPr="00A86452">
        <w:rPr>
          <w:rFonts w:ascii="Arial" w:hAnsi="Arial" w:cs="Arial"/>
          <w:b/>
          <w:sz w:val="22"/>
          <w:szCs w:val="22"/>
        </w:rPr>
        <w:t>2</w:t>
      </w:r>
      <w:r w:rsidR="0024421D" w:rsidRPr="00A86452">
        <w:rPr>
          <w:rFonts w:ascii="Arial" w:hAnsi="Arial" w:cs="Arial"/>
          <w:b/>
          <w:sz w:val="22"/>
          <w:szCs w:val="22"/>
        </w:rPr>
        <w:t>.</w:t>
      </w:r>
      <w:r w:rsidR="00A360EB" w:rsidRPr="00A86452">
        <w:rPr>
          <w:rFonts w:ascii="Arial" w:hAnsi="Arial" w:cs="Arial"/>
          <w:b/>
          <w:sz w:val="22"/>
          <w:szCs w:val="22"/>
        </w:rPr>
        <w:t>5</w:t>
      </w:r>
      <w:r w:rsidR="00995A80" w:rsidRPr="00A86452">
        <w:rPr>
          <w:rFonts w:ascii="Arial" w:hAnsi="Arial" w:cs="Arial"/>
          <w:b/>
          <w:sz w:val="22"/>
          <w:szCs w:val="22"/>
        </w:rPr>
        <w:t xml:space="preserve"> million</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9. </w:t>
      </w:r>
      <w:r w:rsidR="003425D3" w:rsidRPr="00A86452">
        <w:rPr>
          <w:rStyle w:val="Strong"/>
          <w:rFonts w:ascii="Arial" w:hAnsi="Arial" w:cs="Arial"/>
          <w:sz w:val="22"/>
          <w:szCs w:val="22"/>
        </w:rPr>
        <w:tab/>
      </w:r>
      <w:r w:rsidRPr="00A86452">
        <w:rPr>
          <w:rStyle w:val="Strong"/>
          <w:rFonts w:ascii="Arial" w:hAnsi="Arial" w:cs="Arial"/>
          <w:sz w:val="22"/>
          <w:szCs w:val="22"/>
        </w:rPr>
        <w:t>Intended timing of publication</w:t>
      </w:r>
      <w:r w:rsidR="0062550F" w:rsidRPr="00A86452">
        <w:rPr>
          <w:rStyle w:val="Strong"/>
          <w:rFonts w:ascii="Arial" w:hAnsi="Arial" w:cs="Arial"/>
          <w:sz w:val="22"/>
          <w:szCs w:val="22"/>
        </w:rPr>
        <w:t xml:space="preserve"> of the </w:t>
      </w:r>
      <w:r w:rsidR="000406AC" w:rsidRPr="00A86452">
        <w:rPr>
          <w:rStyle w:val="Strong"/>
          <w:rFonts w:ascii="Arial" w:hAnsi="Arial" w:cs="Arial"/>
          <w:sz w:val="22"/>
          <w:szCs w:val="22"/>
        </w:rPr>
        <w:t>contract</w:t>
      </w:r>
      <w:r w:rsidR="0062550F" w:rsidRPr="00A86452">
        <w:rPr>
          <w:rStyle w:val="Strong"/>
          <w:rFonts w:ascii="Arial" w:hAnsi="Arial" w:cs="Arial"/>
          <w:sz w:val="22"/>
          <w:szCs w:val="22"/>
        </w:rPr>
        <w:t xml:space="preserve"> notice</w:t>
      </w:r>
    </w:p>
    <w:p w:rsidR="00D40632" w:rsidRPr="00A86452" w:rsidRDefault="004F4C75" w:rsidP="005A5C96">
      <w:pPr>
        <w:pStyle w:val="Blockquote"/>
        <w:spacing w:before="120" w:after="120"/>
        <w:ind w:left="426" w:right="357"/>
        <w:rPr>
          <w:rFonts w:ascii="Arial" w:hAnsi="Arial" w:cs="Arial"/>
          <w:sz w:val="22"/>
          <w:szCs w:val="22"/>
        </w:rPr>
      </w:pPr>
      <w:r w:rsidRPr="00A86452">
        <w:rPr>
          <w:rFonts w:ascii="Arial" w:hAnsi="Arial" w:cs="Arial"/>
          <w:sz w:val="22"/>
          <w:szCs w:val="22"/>
        </w:rPr>
        <w:t>4 March</w:t>
      </w:r>
      <w:r w:rsidR="00995A80" w:rsidRPr="00A86452">
        <w:rPr>
          <w:rFonts w:ascii="Arial" w:hAnsi="Arial" w:cs="Arial"/>
          <w:sz w:val="22"/>
          <w:szCs w:val="22"/>
        </w:rPr>
        <w:t xml:space="preserve"> 2019</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10. </w:t>
      </w:r>
      <w:r w:rsidR="003425D3" w:rsidRPr="00A86452">
        <w:rPr>
          <w:rStyle w:val="Strong"/>
          <w:rFonts w:ascii="Arial" w:hAnsi="Arial" w:cs="Arial"/>
          <w:sz w:val="22"/>
          <w:szCs w:val="22"/>
        </w:rPr>
        <w:tab/>
      </w:r>
      <w:r w:rsidRPr="00A86452">
        <w:rPr>
          <w:rStyle w:val="Strong"/>
          <w:rFonts w:ascii="Arial" w:hAnsi="Arial" w:cs="Arial"/>
          <w:sz w:val="22"/>
          <w:szCs w:val="22"/>
        </w:rPr>
        <w:t>Additional information</w:t>
      </w:r>
    </w:p>
    <w:p w:rsidR="00D40632" w:rsidRPr="00A86452" w:rsidRDefault="00995A80" w:rsidP="005A5C96">
      <w:pPr>
        <w:pStyle w:val="Blockquote"/>
        <w:spacing w:before="120" w:after="120"/>
        <w:ind w:left="426"/>
        <w:rPr>
          <w:rFonts w:ascii="Arial" w:hAnsi="Arial" w:cs="Arial"/>
          <w:sz w:val="22"/>
          <w:szCs w:val="22"/>
        </w:rPr>
      </w:pPr>
      <w:r w:rsidRPr="00A86452">
        <w:rPr>
          <w:rFonts w:ascii="Arial" w:hAnsi="Arial" w:cs="Arial"/>
          <w:sz w:val="22"/>
          <w:szCs w:val="22"/>
        </w:rPr>
        <w:t>-</w:t>
      </w:r>
    </w:p>
    <w:p w:rsidR="00D40632" w:rsidRPr="00A86452" w:rsidRDefault="00D40632" w:rsidP="005A5C96">
      <w:pPr>
        <w:spacing w:before="120" w:after="0"/>
        <w:ind w:left="426" w:hanging="426"/>
        <w:outlineLvl w:val="0"/>
        <w:rPr>
          <w:rFonts w:ascii="Arial" w:hAnsi="Arial" w:cs="Arial"/>
          <w:sz w:val="22"/>
          <w:szCs w:val="22"/>
        </w:rPr>
      </w:pPr>
      <w:r w:rsidRPr="00A86452">
        <w:rPr>
          <w:rStyle w:val="Strong"/>
          <w:rFonts w:ascii="Arial" w:hAnsi="Arial" w:cs="Arial"/>
          <w:sz w:val="22"/>
          <w:szCs w:val="22"/>
        </w:rPr>
        <w:t xml:space="preserve">11. </w:t>
      </w:r>
      <w:r w:rsidR="003425D3" w:rsidRPr="00A86452">
        <w:rPr>
          <w:rStyle w:val="Strong"/>
          <w:rFonts w:ascii="Arial" w:hAnsi="Arial" w:cs="Arial"/>
          <w:sz w:val="22"/>
          <w:szCs w:val="22"/>
        </w:rPr>
        <w:tab/>
      </w:r>
      <w:r w:rsidRPr="00A86452">
        <w:rPr>
          <w:rStyle w:val="Strong"/>
          <w:rFonts w:ascii="Arial" w:hAnsi="Arial" w:cs="Arial"/>
          <w:sz w:val="22"/>
          <w:szCs w:val="22"/>
        </w:rPr>
        <w:t>Legal basis</w:t>
      </w:r>
      <w:r w:rsidR="00E668C2" w:rsidRPr="00A86452">
        <w:rPr>
          <w:rStyle w:val="FootnoteReference"/>
          <w:rFonts w:ascii="Arial" w:hAnsi="Arial" w:cs="Arial"/>
          <w:b/>
          <w:sz w:val="22"/>
          <w:szCs w:val="22"/>
        </w:rPr>
        <w:footnoteReference w:id="2"/>
      </w:r>
    </w:p>
    <w:p w:rsidR="002B1792" w:rsidRPr="00A86452" w:rsidRDefault="002B1792" w:rsidP="002B1792">
      <w:pPr>
        <w:pStyle w:val="ListParagraph"/>
        <w:spacing w:before="0" w:after="0" w:line="276" w:lineRule="auto"/>
        <w:jc w:val="both"/>
        <w:rPr>
          <w:rFonts w:ascii="Arial" w:hAnsi="Arial" w:cs="Arial"/>
          <w:sz w:val="22"/>
          <w:szCs w:val="22"/>
          <w:lang w:val="en-US"/>
        </w:rPr>
      </w:pPr>
    </w:p>
    <w:p w:rsidR="002B1792" w:rsidRPr="00A86452" w:rsidRDefault="002B1792" w:rsidP="002B1792">
      <w:pPr>
        <w:pStyle w:val="ListParagraph"/>
        <w:numPr>
          <w:ilvl w:val="0"/>
          <w:numId w:val="19"/>
        </w:numPr>
        <w:spacing w:before="0" w:after="0" w:line="276" w:lineRule="auto"/>
        <w:ind w:left="284" w:hanging="270"/>
        <w:jc w:val="both"/>
        <w:rPr>
          <w:rFonts w:ascii="Arial" w:hAnsi="Arial" w:cs="Arial"/>
          <w:sz w:val="22"/>
          <w:szCs w:val="22"/>
          <w:lang w:val="en-US"/>
        </w:rPr>
      </w:pPr>
      <w:r w:rsidRPr="00A86452">
        <w:rPr>
          <w:rFonts w:ascii="Arial" w:hAnsi="Arial" w:cs="Arial"/>
          <w:sz w:val="22"/>
          <w:szCs w:val="22"/>
          <w:lang w:val="en-US"/>
        </w:rPr>
        <w:t>Regulation (EU) No 231/2014 of the European Parliament and of the Council of 11th March 2014 establishing an Instrument for Pre-Accession Assistance (IPA II)</w:t>
      </w:r>
    </w:p>
    <w:p w:rsidR="002B1792" w:rsidRPr="00A86452" w:rsidRDefault="002B1792" w:rsidP="002B1792">
      <w:pPr>
        <w:pStyle w:val="Blockquote"/>
        <w:widowControl/>
        <w:numPr>
          <w:ilvl w:val="0"/>
          <w:numId w:val="20"/>
        </w:numPr>
        <w:snapToGrid w:val="0"/>
        <w:spacing w:before="0" w:after="0" w:line="276" w:lineRule="auto"/>
        <w:ind w:left="284" w:right="4" w:hanging="270"/>
        <w:jc w:val="both"/>
        <w:rPr>
          <w:rFonts w:ascii="Arial" w:hAnsi="Arial" w:cs="Arial"/>
          <w:sz w:val="22"/>
          <w:szCs w:val="22"/>
        </w:rPr>
      </w:pPr>
      <w:r w:rsidRPr="00A86452">
        <w:rPr>
          <w:rFonts w:ascii="Arial" w:hAnsi="Arial" w:cs="Arial"/>
          <w:sz w:val="22"/>
          <w:szCs w:val="22"/>
        </w:rPr>
        <w:t>Regulation (EU) No 236/2014 of the European Parliament and of the Council of 11 March 2014 laying down common rules and procedures for the implementation of the Union's instruments for financing external action;</w:t>
      </w:r>
    </w:p>
    <w:p w:rsidR="002B1792" w:rsidRPr="00A86452" w:rsidRDefault="002B1792" w:rsidP="002B1792">
      <w:pPr>
        <w:pStyle w:val="Blockquote"/>
        <w:widowControl/>
        <w:numPr>
          <w:ilvl w:val="0"/>
          <w:numId w:val="21"/>
        </w:numPr>
        <w:snapToGrid w:val="0"/>
        <w:spacing w:before="0" w:after="0"/>
        <w:ind w:left="284" w:right="357" w:hanging="270"/>
        <w:jc w:val="both"/>
        <w:rPr>
          <w:rFonts w:ascii="Arial" w:hAnsi="Arial" w:cs="Arial"/>
          <w:sz w:val="22"/>
          <w:szCs w:val="22"/>
        </w:rPr>
      </w:pPr>
      <w:r w:rsidRPr="00A86452">
        <w:rPr>
          <w:rFonts w:ascii="Arial" w:hAnsi="Arial" w:cs="Arial"/>
          <w:sz w:val="22"/>
          <w:szCs w:val="22"/>
        </w:rPr>
        <w:lastRenderedPageBreak/>
        <w:t>Commission Implementing Regulation (EU) No 447/2014 of 2nd May 2014 on the specific rules for implementing Regulation (EU) No 231/2014 of the European Parliament and of the Council of 11th March 2014 establishing an Instrument for Pre-Accession Assistance (IPA II).</w:t>
      </w:r>
    </w:p>
    <w:p w:rsidR="004A65B3" w:rsidRPr="00A86452" w:rsidRDefault="004A65B3" w:rsidP="00995A80">
      <w:pPr>
        <w:keepNext/>
        <w:keepLines/>
        <w:rPr>
          <w:rFonts w:ascii="Arial" w:hAnsi="Arial" w:cs="Arial"/>
          <w:sz w:val="22"/>
          <w:szCs w:val="22"/>
        </w:rPr>
      </w:pPr>
      <w:r w:rsidRPr="00A86452">
        <w:rPr>
          <w:rFonts w:ascii="Arial" w:hAnsi="Arial" w:cs="Arial"/>
          <w:sz w:val="22"/>
          <w:szCs w:val="22"/>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p>
    <w:p w:rsidR="00995A80" w:rsidRPr="00A86452" w:rsidRDefault="00995A80" w:rsidP="00995A80">
      <w:pPr>
        <w:pStyle w:val="Blockquote"/>
        <w:spacing w:before="0" w:after="0"/>
        <w:ind w:left="0" w:right="357"/>
        <w:rPr>
          <w:rFonts w:ascii="Arial" w:hAnsi="Arial" w:cs="Arial"/>
          <w:b/>
          <w:sz w:val="22"/>
          <w:szCs w:val="22"/>
        </w:rPr>
      </w:pPr>
    </w:p>
    <w:p w:rsidR="00D40632" w:rsidRPr="00A86452" w:rsidRDefault="00D40632" w:rsidP="00995A80">
      <w:pPr>
        <w:pStyle w:val="Blockquote"/>
        <w:spacing w:before="0" w:after="0"/>
        <w:ind w:left="0" w:right="357"/>
        <w:rPr>
          <w:rFonts w:ascii="Arial" w:hAnsi="Arial" w:cs="Arial"/>
          <w:sz w:val="22"/>
          <w:szCs w:val="22"/>
        </w:rPr>
      </w:pPr>
      <w:r w:rsidRPr="00A86452">
        <w:rPr>
          <w:rFonts w:ascii="Arial" w:hAnsi="Arial" w:cs="Arial"/>
          <w:b/>
          <w:sz w:val="22"/>
          <w:szCs w:val="22"/>
        </w:rPr>
        <w:t>Remarks</w:t>
      </w:r>
      <w:r w:rsidRPr="00A86452">
        <w:rPr>
          <w:rStyle w:val="Strong"/>
          <w:rFonts w:ascii="Arial" w:hAnsi="Arial" w:cs="Arial"/>
          <w:sz w:val="22"/>
          <w:szCs w:val="22"/>
        </w:rPr>
        <w:t>:</w:t>
      </w:r>
    </w:p>
    <w:p w:rsidR="00D40632" w:rsidRPr="00A86452" w:rsidRDefault="00D40632" w:rsidP="001A76E1">
      <w:pPr>
        <w:pStyle w:val="Blockquote"/>
        <w:spacing w:before="0" w:after="0"/>
        <w:ind w:left="0" w:right="357"/>
        <w:rPr>
          <w:rFonts w:ascii="Arial" w:hAnsi="Arial" w:cs="Arial"/>
          <w:sz w:val="22"/>
          <w:szCs w:val="22"/>
        </w:rPr>
      </w:pPr>
      <w:r w:rsidRPr="00A86452">
        <w:rPr>
          <w:rFonts w:ascii="Arial" w:hAnsi="Arial" w:cs="Arial"/>
          <w:sz w:val="22"/>
          <w:szCs w:val="22"/>
        </w:rPr>
        <w:t xml:space="preserve">There must be a minimum period of 30 calendar days between the publication of this </w:t>
      </w:r>
      <w:r w:rsidR="000406AC" w:rsidRPr="00A86452">
        <w:rPr>
          <w:rFonts w:ascii="Arial" w:hAnsi="Arial" w:cs="Arial"/>
          <w:sz w:val="22"/>
          <w:szCs w:val="22"/>
        </w:rPr>
        <w:t>prior information notice</w:t>
      </w:r>
      <w:r w:rsidRPr="00A86452">
        <w:rPr>
          <w:rFonts w:ascii="Arial" w:hAnsi="Arial" w:cs="Arial"/>
          <w:sz w:val="22"/>
          <w:szCs w:val="22"/>
        </w:rPr>
        <w:t xml:space="preserve"> and the publication of the corresponding </w:t>
      </w:r>
      <w:r w:rsidR="000406AC" w:rsidRPr="00A86452">
        <w:rPr>
          <w:rFonts w:ascii="Arial" w:hAnsi="Arial" w:cs="Arial"/>
          <w:sz w:val="22"/>
          <w:szCs w:val="22"/>
        </w:rPr>
        <w:t>contract</w:t>
      </w:r>
      <w:r w:rsidRPr="00A86452">
        <w:rPr>
          <w:rFonts w:ascii="Arial" w:hAnsi="Arial" w:cs="Arial"/>
          <w:sz w:val="22"/>
          <w:szCs w:val="22"/>
        </w:rPr>
        <w:t xml:space="preserve"> notice.</w:t>
      </w:r>
    </w:p>
    <w:p w:rsidR="00D40632" w:rsidRPr="00A86452" w:rsidRDefault="00D40632" w:rsidP="001A76E1">
      <w:pPr>
        <w:pStyle w:val="Blockquote"/>
        <w:spacing w:before="40" w:after="0"/>
        <w:ind w:left="0" w:right="357"/>
        <w:rPr>
          <w:rFonts w:ascii="Arial" w:hAnsi="Arial" w:cs="Arial"/>
          <w:sz w:val="22"/>
          <w:szCs w:val="22"/>
        </w:rPr>
      </w:pPr>
      <w:r w:rsidRPr="00A86452">
        <w:rPr>
          <w:rFonts w:ascii="Arial" w:hAnsi="Arial" w:cs="Arial"/>
          <w:sz w:val="22"/>
          <w:szCs w:val="22"/>
        </w:rPr>
        <w:t>No applications or requests for information should be sent at this stage.</w:t>
      </w:r>
    </w:p>
    <w:sectPr w:rsidR="00D40632" w:rsidRPr="00A86452" w:rsidSect="003A3BCF">
      <w:footerReference w:type="even" r:id="rId8"/>
      <w:footerReference w:type="default" r:id="rId9"/>
      <w:pgSz w:w="12240" w:h="15840"/>
      <w:pgMar w:top="1135" w:right="1440" w:bottom="851" w:left="1440" w:header="720" w:footer="44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0D8" w:rsidRDefault="001C50D8">
      <w:r>
        <w:separator/>
      </w:r>
    </w:p>
  </w:endnote>
  <w:endnote w:type="continuationSeparator" w:id="1">
    <w:p w:rsidR="001C50D8" w:rsidRDefault="001C5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Default="007A289A" w:rsidP="00A82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A289A" w:rsidRDefault="007A289A" w:rsidP="00A821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Pr="00ED0704" w:rsidRDefault="00DA23E5" w:rsidP="00AD5854">
    <w:pPr>
      <w:pStyle w:val="Footer"/>
      <w:tabs>
        <w:tab w:val="clear" w:pos="4320"/>
        <w:tab w:val="clear" w:pos="8640"/>
        <w:tab w:val="right" w:pos="9356"/>
      </w:tabs>
      <w:spacing w:before="120" w:after="0"/>
      <w:ind w:right="360"/>
      <w:rPr>
        <w:sz w:val="18"/>
        <w:szCs w:val="18"/>
        <w:lang w:val="en-GB"/>
      </w:rPr>
    </w:pPr>
    <w:r>
      <w:rPr>
        <w:b/>
        <w:sz w:val="18"/>
        <w:szCs w:val="18"/>
        <w:lang w:val="en-GB"/>
      </w:rPr>
      <w:t>August</w:t>
    </w:r>
    <w:r w:rsidR="00475F35">
      <w:rPr>
        <w:b/>
        <w:sz w:val="18"/>
        <w:szCs w:val="18"/>
        <w:lang w:val="en-GB"/>
      </w:rPr>
      <w:t xml:space="preserve"> 2018 </w:t>
    </w:r>
    <w:r w:rsidR="007A289A" w:rsidRPr="00ED0704">
      <w:rPr>
        <w:sz w:val="18"/>
        <w:szCs w:val="18"/>
        <w:lang w:val="en-GB"/>
      </w:rPr>
      <w:tab/>
      <w:t xml:space="preserve">Page </w:t>
    </w:r>
    <w:r w:rsidR="007A289A" w:rsidRPr="00ED0704">
      <w:rPr>
        <w:sz w:val="18"/>
        <w:szCs w:val="18"/>
        <w:lang w:val="en-GB"/>
      </w:rPr>
      <w:fldChar w:fldCharType="begin"/>
    </w:r>
    <w:r w:rsidR="007A289A" w:rsidRPr="00ED0704">
      <w:rPr>
        <w:sz w:val="18"/>
        <w:szCs w:val="18"/>
        <w:lang w:val="en-GB"/>
      </w:rPr>
      <w:instrText xml:space="preserve"> PAGE </w:instrText>
    </w:r>
    <w:r w:rsidR="007A289A" w:rsidRPr="00ED0704">
      <w:rPr>
        <w:sz w:val="18"/>
        <w:szCs w:val="18"/>
        <w:lang w:val="en-GB"/>
      </w:rPr>
      <w:fldChar w:fldCharType="separate"/>
    </w:r>
    <w:r w:rsidR="00A86452">
      <w:rPr>
        <w:noProof/>
        <w:sz w:val="18"/>
        <w:szCs w:val="18"/>
        <w:lang w:val="en-GB"/>
      </w:rPr>
      <w:t>1</w:t>
    </w:r>
    <w:r w:rsidR="007A289A" w:rsidRPr="00ED0704">
      <w:rPr>
        <w:sz w:val="18"/>
        <w:szCs w:val="18"/>
        <w:lang w:val="en-GB"/>
      </w:rPr>
      <w:fldChar w:fldCharType="end"/>
    </w:r>
    <w:r w:rsidR="007A289A" w:rsidRPr="00ED0704">
      <w:rPr>
        <w:sz w:val="18"/>
        <w:szCs w:val="18"/>
        <w:lang w:val="en-GB"/>
      </w:rPr>
      <w:t xml:space="preserve"> of </w:t>
    </w:r>
    <w:r w:rsidR="00EF3EEB">
      <w:rPr>
        <w:sz w:val="18"/>
        <w:szCs w:val="18"/>
        <w:lang w:val="en-GB"/>
      </w:rPr>
      <w:t>2</w:t>
    </w:r>
  </w:p>
  <w:p w:rsidR="007A289A" w:rsidRPr="007A289A" w:rsidRDefault="00AD3F78" w:rsidP="007A289A">
    <w:pPr>
      <w:pStyle w:val="Footer"/>
      <w:tabs>
        <w:tab w:val="clear" w:pos="4320"/>
        <w:tab w:val="clear" w:pos="8640"/>
        <w:tab w:val="right" w:pos="9356"/>
      </w:tabs>
      <w:spacing w:before="0" w:after="0"/>
      <w:ind w:right="360"/>
      <w:rPr>
        <w:sz w:val="18"/>
        <w:szCs w:val="18"/>
        <w:lang w:val="en-GB"/>
      </w:rPr>
    </w:pPr>
    <w:r w:rsidRPr="00AD3F78">
      <w:rPr>
        <w:sz w:val="18"/>
        <w:szCs w:val="18"/>
        <w:lang w:val="en-GB"/>
      </w:rPr>
      <w:fldChar w:fldCharType="begin"/>
    </w:r>
    <w:r w:rsidRPr="00AD3F78">
      <w:rPr>
        <w:sz w:val="18"/>
        <w:szCs w:val="18"/>
        <w:lang w:val="en-GB"/>
      </w:rPr>
      <w:instrText xml:space="preserve"> FILENAME </w:instrText>
    </w:r>
    <w:r>
      <w:rPr>
        <w:sz w:val="18"/>
        <w:szCs w:val="18"/>
        <w:lang w:val="en-GB"/>
      </w:rPr>
      <w:fldChar w:fldCharType="separate"/>
    </w:r>
    <w:r w:rsidR="00AE003F">
      <w:rPr>
        <w:noProof/>
        <w:sz w:val="18"/>
        <w:szCs w:val="18"/>
        <w:lang w:val="en-GB"/>
      </w:rPr>
      <w:t>21122018 b1_priorinfo_en</w:t>
    </w:r>
    <w:r w:rsidRPr="00AD3F78">
      <w:rPr>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0D8" w:rsidRDefault="001C50D8" w:rsidP="00AD5854">
      <w:pPr>
        <w:spacing w:before="120" w:after="0"/>
      </w:pPr>
      <w:r>
        <w:separator/>
      </w:r>
    </w:p>
  </w:footnote>
  <w:footnote w:type="continuationSeparator" w:id="1">
    <w:p w:rsidR="001C50D8" w:rsidRDefault="001C50D8">
      <w:r>
        <w:continuationSeparator/>
      </w:r>
    </w:p>
  </w:footnote>
  <w:footnote w:id="2">
    <w:p w:rsidR="00E668C2" w:rsidRPr="00AD5854" w:rsidRDefault="00E668C2" w:rsidP="00AD5854">
      <w:pPr>
        <w:pStyle w:val="FootnoteText"/>
        <w:rPr>
          <w:lang w:val="en-GB"/>
        </w:rPr>
      </w:pPr>
      <w:r w:rsidRPr="00AD5854">
        <w:rPr>
          <w:rStyle w:val="FootnoteReference"/>
          <w:sz w:val="16"/>
          <w:szCs w:val="16"/>
        </w:rPr>
        <w:footnoteRef/>
      </w:r>
      <w:r w:rsidR="00B2749B">
        <w:t xml:space="preserve"> </w:t>
      </w:r>
      <w:r w:rsidRPr="00AD5854">
        <w:t xml:space="preserve">Please state any specificity that might have an impact on rules on participation (such as </w:t>
      </w:r>
      <w:r w:rsidRPr="00AD5854">
        <w:rPr>
          <w:lang w:val="en-GB"/>
        </w:rPr>
        <w:t>geographic or thematic or long/short term).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nsid w:val="188B2F05"/>
    <w:multiLevelType w:val="hybridMultilevel"/>
    <w:tmpl w:val="BCD497F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595C7355"/>
    <w:multiLevelType w:val="multilevel"/>
    <w:tmpl w:val="C7B63DFE"/>
    <w:lvl w:ilvl="0">
      <w:start w:val="2"/>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6A7B4BF1"/>
    <w:multiLevelType w:val="multilevel"/>
    <w:tmpl w:val="195A07C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6"/>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0"/>
    <w:footnote w:id="1"/>
  </w:footnotePr>
  <w:endnotePr>
    <w:endnote w:id="0"/>
    <w:endnote w:id="1"/>
  </w:endnotePr>
  <w:compat/>
  <w:docVars>
    <w:docVar w:name="LW_DocType" w:val="NORMAL"/>
  </w:docVars>
  <w:rsids>
    <w:rsidRoot w:val="007006B3"/>
    <w:rsid w:val="000012DB"/>
    <w:rsid w:val="0001162E"/>
    <w:rsid w:val="0001549D"/>
    <w:rsid w:val="000158CB"/>
    <w:rsid w:val="000345D1"/>
    <w:rsid w:val="00034DC1"/>
    <w:rsid w:val="000406AC"/>
    <w:rsid w:val="00046376"/>
    <w:rsid w:val="00066566"/>
    <w:rsid w:val="000801A8"/>
    <w:rsid w:val="00091469"/>
    <w:rsid w:val="000A03DE"/>
    <w:rsid w:val="000C4E39"/>
    <w:rsid w:val="000F2B86"/>
    <w:rsid w:val="00107435"/>
    <w:rsid w:val="0014681C"/>
    <w:rsid w:val="001624D7"/>
    <w:rsid w:val="00171E7F"/>
    <w:rsid w:val="001A76E1"/>
    <w:rsid w:val="001C50D8"/>
    <w:rsid w:val="001E5084"/>
    <w:rsid w:val="002252B6"/>
    <w:rsid w:val="002403B2"/>
    <w:rsid w:val="0024421D"/>
    <w:rsid w:val="00263A24"/>
    <w:rsid w:val="002B1792"/>
    <w:rsid w:val="002B611D"/>
    <w:rsid w:val="002C605D"/>
    <w:rsid w:val="002D417C"/>
    <w:rsid w:val="002E1E48"/>
    <w:rsid w:val="002F1840"/>
    <w:rsid w:val="00301DD4"/>
    <w:rsid w:val="0031058A"/>
    <w:rsid w:val="00321F18"/>
    <w:rsid w:val="00327196"/>
    <w:rsid w:val="003425D3"/>
    <w:rsid w:val="00373815"/>
    <w:rsid w:val="003825BB"/>
    <w:rsid w:val="00397E42"/>
    <w:rsid w:val="003A3BCF"/>
    <w:rsid w:val="003B2B10"/>
    <w:rsid w:val="003C76FC"/>
    <w:rsid w:val="003D7757"/>
    <w:rsid w:val="003E0BD7"/>
    <w:rsid w:val="003E500E"/>
    <w:rsid w:val="003F540F"/>
    <w:rsid w:val="00452EE7"/>
    <w:rsid w:val="00454332"/>
    <w:rsid w:val="00475F35"/>
    <w:rsid w:val="00495D84"/>
    <w:rsid w:val="004A65B3"/>
    <w:rsid w:val="004D1843"/>
    <w:rsid w:val="004F4C75"/>
    <w:rsid w:val="00502E2E"/>
    <w:rsid w:val="005622CB"/>
    <w:rsid w:val="005775C5"/>
    <w:rsid w:val="00585A07"/>
    <w:rsid w:val="005A5C96"/>
    <w:rsid w:val="005C7A0D"/>
    <w:rsid w:val="005D739F"/>
    <w:rsid w:val="005E5BE4"/>
    <w:rsid w:val="006041E0"/>
    <w:rsid w:val="00621A2D"/>
    <w:rsid w:val="0062550F"/>
    <w:rsid w:val="00626355"/>
    <w:rsid w:val="00626DA2"/>
    <w:rsid w:val="00637611"/>
    <w:rsid w:val="00647417"/>
    <w:rsid w:val="006570EC"/>
    <w:rsid w:val="00690815"/>
    <w:rsid w:val="006A3B54"/>
    <w:rsid w:val="006A40BA"/>
    <w:rsid w:val="006B28B9"/>
    <w:rsid w:val="006B4D57"/>
    <w:rsid w:val="006D2330"/>
    <w:rsid w:val="007006B3"/>
    <w:rsid w:val="0075614B"/>
    <w:rsid w:val="00760E21"/>
    <w:rsid w:val="00784FB1"/>
    <w:rsid w:val="0078543C"/>
    <w:rsid w:val="00787314"/>
    <w:rsid w:val="00794048"/>
    <w:rsid w:val="00796089"/>
    <w:rsid w:val="007A289A"/>
    <w:rsid w:val="007D4FF8"/>
    <w:rsid w:val="007D63E6"/>
    <w:rsid w:val="007E525D"/>
    <w:rsid w:val="007F1DC4"/>
    <w:rsid w:val="00803B4F"/>
    <w:rsid w:val="00812333"/>
    <w:rsid w:val="00862BF5"/>
    <w:rsid w:val="00864A63"/>
    <w:rsid w:val="008A72EC"/>
    <w:rsid w:val="008C67C9"/>
    <w:rsid w:val="008D1CA1"/>
    <w:rsid w:val="008E58E4"/>
    <w:rsid w:val="009255A1"/>
    <w:rsid w:val="00933ABF"/>
    <w:rsid w:val="009439A9"/>
    <w:rsid w:val="00947708"/>
    <w:rsid w:val="00965B09"/>
    <w:rsid w:val="00965C18"/>
    <w:rsid w:val="0096648E"/>
    <w:rsid w:val="00982D25"/>
    <w:rsid w:val="00992BFF"/>
    <w:rsid w:val="00995A80"/>
    <w:rsid w:val="009B1C03"/>
    <w:rsid w:val="009B1F06"/>
    <w:rsid w:val="009B7B7E"/>
    <w:rsid w:val="009D227B"/>
    <w:rsid w:val="009E3060"/>
    <w:rsid w:val="009F3ADC"/>
    <w:rsid w:val="00A054EF"/>
    <w:rsid w:val="00A0731E"/>
    <w:rsid w:val="00A261BD"/>
    <w:rsid w:val="00A360EB"/>
    <w:rsid w:val="00A47DF6"/>
    <w:rsid w:val="00A52174"/>
    <w:rsid w:val="00A65367"/>
    <w:rsid w:val="00A71043"/>
    <w:rsid w:val="00A71A4E"/>
    <w:rsid w:val="00A73081"/>
    <w:rsid w:val="00A767A6"/>
    <w:rsid w:val="00A76880"/>
    <w:rsid w:val="00A8218E"/>
    <w:rsid w:val="00A86452"/>
    <w:rsid w:val="00AC6DD2"/>
    <w:rsid w:val="00AD3F78"/>
    <w:rsid w:val="00AD5854"/>
    <w:rsid w:val="00AE003F"/>
    <w:rsid w:val="00AF2A75"/>
    <w:rsid w:val="00B167A8"/>
    <w:rsid w:val="00B21840"/>
    <w:rsid w:val="00B2749B"/>
    <w:rsid w:val="00B56468"/>
    <w:rsid w:val="00B570B7"/>
    <w:rsid w:val="00B83109"/>
    <w:rsid w:val="00B905A9"/>
    <w:rsid w:val="00BE6AF3"/>
    <w:rsid w:val="00BF428F"/>
    <w:rsid w:val="00C1438F"/>
    <w:rsid w:val="00C1519D"/>
    <w:rsid w:val="00C351D5"/>
    <w:rsid w:val="00C373C1"/>
    <w:rsid w:val="00C66EF1"/>
    <w:rsid w:val="00C722A7"/>
    <w:rsid w:val="00C826BF"/>
    <w:rsid w:val="00C84736"/>
    <w:rsid w:val="00CB49C8"/>
    <w:rsid w:val="00CE3776"/>
    <w:rsid w:val="00CF0E6E"/>
    <w:rsid w:val="00CF1459"/>
    <w:rsid w:val="00D12B32"/>
    <w:rsid w:val="00D230A2"/>
    <w:rsid w:val="00D2738A"/>
    <w:rsid w:val="00D40632"/>
    <w:rsid w:val="00D622C1"/>
    <w:rsid w:val="00D630FA"/>
    <w:rsid w:val="00D6593A"/>
    <w:rsid w:val="00D74978"/>
    <w:rsid w:val="00D74E6A"/>
    <w:rsid w:val="00DA23E5"/>
    <w:rsid w:val="00DA3CC7"/>
    <w:rsid w:val="00DB119A"/>
    <w:rsid w:val="00DD0539"/>
    <w:rsid w:val="00DF2126"/>
    <w:rsid w:val="00E00EB3"/>
    <w:rsid w:val="00E1652C"/>
    <w:rsid w:val="00E22666"/>
    <w:rsid w:val="00E668C2"/>
    <w:rsid w:val="00EA39FB"/>
    <w:rsid w:val="00EB5814"/>
    <w:rsid w:val="00ED0704"/>
    <w:rsid w:val="00ED2C34"/>
    <w:rsid w:val="00EE19B4"/>
    <w:rsid w:val="00EF3EEB"/>
    <w:rsid w:val="00F22C21"/>
    <w:rsid w:val="00F8424E"/>
    <w:rsid w:val="00F8687C"/>
    <w:rsid w:val="00FB6255"/>
    <w:rsid w:val="00FC70DA"/>
    <w:rsid w:val="00FE7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376"/>
    <w:pPr>
      <w:widowControl w:val="0"/>
      <w:spacing w:before="100" w:after="100"/>
    </w:pPr>
    <w:rPr>
      <w:snapToGrid w:val="0"/>
      <w:sz w:val="24"/>
    </w:rPr>
  </w:style>
  <w:style w:type="paragraph" w:styleId="Heading1">
    <w:name w:val="heading 1"/>
    <w:basedOn w:val="Normal"/>
    <w:next w:val="Normal"/>
    <w:link w:val="Heading1Char"/>
    <w:autoRedefine/>
    <w:qFormat/>
    <w:rsid w:val="00995A80"/>
    <w:pPr>
      <w:keepNext/>
      <w:keepLines/>
      <w:pageBreakBefore/>
      <w:widowControl/>
      <w:numPr>
        <w:numId w:val="15"/>
      </w:numPr>
      <w:spacing w:before="240" w:after="120"/>
      <w:jc w:val="both"/>
      <w:outlineLvl w:val="0"/>
    </w:pPr>
    <w:rPr>
      <w:b/>
      <w:smallCaps/>
      <w:snapToGrid/>
      <w:kern w:val="28"/>
      <w:sz w:val="28"/>
      <w:szCs w:val="28"/>
      <w:lang/>
    </w:rPr>
  </w:style>
  <w:style w:type="paragraph" w:styleId="Heading2">
    <w:name w:val="heading 2"/>
    <w:basedOn w:val="Normal"/>
    <w:next w:val="Normal"/>
    <w:link w:val="Heading2Char"/>
    <w:autoRedefine/>
    <w:qFormat/>
    <w:rsid w:val="00995A80"/>
    <w:pPr>
      <w:widowControl/>
      <w:numPr>
        <w:ilvl w:val="1"/>
        <w:numId w:val="15"/>
      </w:numPr>
      <w:tabs>
        <w:tab w:val="num" w:pos="540"/>
      </w:tabs>
      <w:spacing w:before="240" w:after="120"/>
      <w:ind w:left="540" w:hanging="540"/>
      <w:outlineLvl w:val="1"/>
    </w:pPr>
    <w:rPr>
      <w:b/>
      <w:snapToGrid/>
      <w:szCs w:val="24"/>
      <w:lang/>
    </w:rPr>
  </w:style>
  <w:style w:type="paragraph" w:styleId="Heading3">
    <w:name w:val="heading 3"/>
    <w:basedOn w:val="Normal"/>
    <w:next w:val="Normal"/>
    <w:link w:val="Heading3Char"/>
    <w:autoRedefine/>
    <w:qFormat/>
    <w:rsid w:val="00995A80"/>
    <w:pPr>
      <w:keepNext/>
      <w:widowControl/>
      <w:numPr>
        <w:ilvl w:val="2"/>
        <w:numId w:val="15"/>
      </w:numPr>
      <w:spacing w:before="120" w:after="120"/>
      <w:ind w:left="567" w:hanging="567"/>
      <w:jc w:val="both"/>
      <w:outlineLvl w:val="2"/>
    </w:pPr>
    <w:rPr>
      <w:b/>
      <w:snapToGrid/>
      <w:sz w:val="22"/>
      <w:szCs w:val="22"/>
      <w:lang/>
    </w:rPr>
  </w:style>
  <w:style w:type="paragraph" w:styleId="Heading4">
    <w:name w:val="heading 4"/>
    <w:basedOn w:val="Normal"/>
    <w:next w:val="Normal"/>
    <w:link w:val="Heading4Char"/>
    <w:qFormat/>
    <w:rsid w:val="00995A80"/>
    <w:pPr>
      <w:keepNext/>
      <w:widowControl/>
      <w:numPr>
        <w:ilvl w:val="3"/>
        <w:numId w:val="15"/>
      </w:numPr>
      <w:spacing w:before="0" w:after="120"/>
      <w:jc w:val="both"/>
      <w:outlineLvl w:val="3"/>
    </w:pPr>
    <w:rPr>
      <w:rFonts w:ascii="Arial" w:hAnsi="Arial"/>
      <w:snapToGrid/>
      <w:sz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A8218E"/>
  </w:style>
  <w:style w:type="paragraph" w:styleId="BalloonText">
    <w:name w:val="Balloon Text"/>
    <w:basedOn w:val="Normal"/>
    <w:semiHidden/>
    <w:rsid w:val="005A5C96"/>
    <w:rPr>
      <w:rFonts w:ascii="Tahoma" w:hAnsi="Tahoma" w:cs="Tahoma"/>
      <w:sz w:val="16"/>
      <w:szCs w:val="16"/>
    </w:rPr>
  </w:style>
  <w:style w:type="paragraph" w:customStyle="1" w:styleId="PRAGHeading2">
    <w:name w:val="PRAG Heading 2"/>
    <w:basedOn w:val="Normal"/>
    <w:rsid w:val="00E668C2"/>
    <w:pPr>
      <w:numPr>
        <w:numId w:val="14"/>
      </w:numPr>
    </w:pPr>
  </w:style>
  <w:style w:type="paragraph" w:styleId="FootnoteText">
    <w:name w:val="footnote text"/>
    <w:basedOn w:val="Normal"/>
    <w:link w:val="FootnoteTextChar"/>
    <w:autoRedefine/>
    <w:rsid w:val="00B2749B"/>
    <w:pPr>
      <w:spacing w:before="0" w:after="60"/>
    </w:pPr>
    <w:rPr>
      <w:sz w:val="20"/>
    </w:rPr>
  </w:style>
  <w:style w:type="character" w:customStyle="1" w:styleId="FootnoteTextChar">
    <w:name w:val="Footnote Text Char"/>
    <w:link w:val="FootnoteText"/>
    <w:rsid w:val="00B2749B"/>
    <w:rPr>
      <w:snapToGrid/>
      <w:lang w:val="en-US" w:eastAsia="en-US"/>
    </w:rPr>
  </w:style>
  <w:style w:type="character" w:styleId="FootnoteReference">
    <w:name w:val="footnote reference"/>
    <w:rsid w:val="00E668C2"/>
    <w:rPr>
      <w:vertAlign w:val="superscript"/>
    </w:rPr>
  </w:style>
  <w:style w:type="paragraph" w:styleId="Revision">
    <w:name w:val="Revision"/>
    <w:hidden/>
    <w:uiPriority w:val="99"/>
    <w:semiHidden/>
    <w:rsid w:val="00A47DF6"/>
    <w:rPr>
      <w:snapToGrid w:val="0"/>
      <w:sz w:val="24"/>
    </w:rPr>
  </w:style>
  <w:style w:type="character" w:customStyle="1" w:styleId="Heading1Char">
    <w:name w:val="Heading 1 Char"/>
    <w:link w:val="Heading1"/>
    <w:rsid w:val="00995A80"/>
    <w:rPr>
      <w:b/>
      <w:smallCaps/>
      <w:kern w:val="28"/>
      <w:sz w:val="28"/>
      <w:szCs w:val="28"/>
    </w:rPr>
  </w:style>
  <w:style w:type="character" w:customStyle="1" w:styleId="Heading2Char">
    <w:name w:val="Heading 2 Char"/>
    <w:link w:val="Heading2"/>
    <w:rsid w:val="00995A80"/>
    <w:rPr>
      <w:b/>
      <w:sz w:val="24"/>
      <w:szCs w:val="24"/>
    </w:rPr>
  </w:style>
  <w:style w:type="character" w:customStyle="1" w:styleId="Heading3Char">
    <w:name w:val="Heading 3 Char"/>
    <w:link w:val="Heading3"/>
    <w:rsid w:val="00995A80"/>
    <w:rPr>
      <w:b/>
      <w:sz w:val="22"/>
      <w:szCs w:val="22"/>
    </w:rPr>
  </w:style>
  <w:style w:type="character" w:customStyle="1" w:styleId="Heading4Char">
    <w:name w:val="Heading 4 Char"/>
    <w:link w:val="Heading4"/>
    <w:rsid w:val="00995A80"/>
    <w:rPr>
      <w:rFonts w:ascii="Arial" w:hAnsi="Arial"/>
    </w:rPr>
  </w:style>
  <w:style w:type="character" w:customStyle="1" w:styleId="ListBulletChar">
    <w:name w:val="List Bullet Char"/>
    <w:link w:val="ListBullet"/>
    <w:locked/>
    <w:rsid w:val="00E1652C"/>
    <w:rPr>
      <w:sz w:val="24"/>
      <w:lang w:eastAsia="en-US"/>
    </w:rPr>
  </w:style>
  <w:style w:type="paragraph" w:styleId="ListBullet">
    <w:name w:val="List Bullet"/>
    <w:basedOn w:val="Normal"/>
    <w:link w:val="ListBulletChar"/>
    <w:unhideWhenUsed/>
    <w:rsid w:val="00E1652C"/>
    <w:pPr>
      <w:widowControl/>
      <w:numPr>
        <w:numId w:val="17"/>
      </w:numPr>
      <w:spacing w:before="0" w:after="240"/>
      <w:jc w:val="both"/>
    </w:pPr>
    <w:rPr>
      <w:snapToGrid/>
      <w:lang/>
    </w:rPr>
  </w:style>
  <w:style w:type="paragraph" w:styleId="ListParagraph">
    <w:name w:val="List Paragraph"/>
    <w:basedOn w:val="Normal"/>
    <w:uiPriority w:val="34"/>
    <w:qFormat/>
    <w:rsid w:val="002B1792"/>
    <w:pPr>
      <w:widowControl/>
      <w:snapToGrid w:val="0"/>
      <w:ind w:left="720"/>
      <w:contextualSpacing/>
    </w:pPr>
    <w:rPr>
      <w:rFonts w:eastAsia="Calibri"/>
      <w:snapToGrid/>
      <w:szCs w:val="24"/>
      <w:lang w:val="en-GB"/>
    </w:rPr>
  </w:style>
</w:styles>
</file>

<file path=word/webSettings.xml><?xml version="1.0" encoding="utf-8"?>
<w:webSettings xmlns:r="http://schemas.openxmlformats.org/officeDocument/2006/relationships" xmlns:w="http://schemas.openxmlformats.org/wordprocessingml/2006/main">
  <w:divs>
    <w:div w:id="431896975">
      <w:bodyDiv w:val="1"/>
      <w:marLeft w:val="0"/>
      <w:marRight w:val="0"/>
      <w:marTop w:val="0"/>
      <w:marBottom w:val="0"/>
      <w:divBdr>
        <w:top w:val="none" w:sz="0" w:space="0" w:color="auto"/>
        <w:left w:val="none" w:sz="0" w:space="0" w:color="auto"/>
        <w:bottom w:val="none" w:sz="0" w:space="0" w:color="auto"/>
        <w:right w:val="none" w:sz="0" w:space="0" w:color="auto"/>
      </w:divBdr>
    </w:div>
    <w:div w:id="487601208">
      <w:bodyDiv w:val="1"/>
      <w:marLeft w:val="0"/>
      <w:marRight w:val="0"/>
      <w:marTop w:val="0"/>
      <w:marBottom w:val="0"/>
      <w:divBdr>
        <w:top w:val="none" w:sz="0" w:space="0" w:color="auto"/>
        <w:left w:val="none" w:sz="0" w:space="0" w:color="auto"/>
        <w:bottom w:val="none" w:sz="0" w:space="0" w:color="auto"/>
        <w:right w:val="none" w:sz="0" w:space="0" w:color="auto"/>
      </w:divBdr>
    </w:div>
    <w:div w:id="10449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CD55-BD14-4557-8C05-FD78ADD1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Pre-information notice - services</vt:lpstr>
    </vt:vector>
  </TitlesOfParts>
  <Company>European Commission</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Pre-information notice - services</dc:title>
  <dc:creator>ramatje</dc:creator>
  <cp:lastModifiedBy>haris.sabotic</cp:lastModifiedBy>
  <cp:revision>2</cp:revision>
  <cp:lastPrinted>2018-12-20T10:22:00Z</cp:lastPrinted>
  <dcterms:created xsi:type="dcterms:W3CDTF">2019-02-12T12:16:00Z</dcterms:created>
  <dcterms:modified xsi:type="dcterms:W3CDTF">2019-02-12T12:16:00Z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