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C0C8" w14:textId="014DEDA6" w:rsidR="00463C47" w:rsidRDefault="00463C47" w:rsidP="00463C47">
      <w:pPr>
        <w:jc w:val="center"/>
      </w:pPr>
      <w:r>
        <w:rPr>
          <w:noProof/>
        </w:rPr>
        <w:drawing>
          <wp:inline distT="0" distB="0" distL="0" distR="0" wp14:anchorId="59D91F16" wp14:editId="166023E6">
            <wp:extent cx="2105025" cy="138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F8B26" w14:textId="77777777" w:rsidR="00463C47" w:rsidRDefault="00463C47" w:rsidP="00463C47">
      <w:pPr>
        <w:jc w:val="center"/>
      </w:pPr>
    </w:p>
    <w:p w14:paraId="31BA307C" w14:textId="77777777" w:rsidR="00463C47" w:rsidRDefault="00463C47" w:rsidP="00463C47">
      <w:pPr>
        <w:jc w:val="center"/>
      </w:pPr>
    </w:p>
    <w:p w14:paraId="4EE2CC4E" w14:textId="77777777" w:rsidR="00463C47" w:rsidRDefault="00463C47" w:rsidP="00463C47">
      <w:pPr>
        <w:jc w:val="center"/>
      </w:pPr>
    </w:p>
    <w:p w14:paraId="6DC49C35" w14:textId="77777777" w:rsidR="00463C47" w:rsidRDefault="00463C47" w:rsidP="00463C47">
      <w:pPr>
        <w:jc w:val="center"/>
      </w:pPr>
    </w:p>
    <w:p w14:paraId="2AA98F39" w14:textId="77777777" w:rsidR="00463C47" w:rsidRDefault="00463C47" w:rsidP="00463C47">
      <w:pPr>
        <w:jc w:val="center"/>
      </w:pPr>
    </w:p>
    <w:p w14:paraId="45E83BD3" w14:textId="77777777" w:rsidR="00463C47" w:rsidRDefault="00463C47" w:rsidP="00463C47">
      <w:pPr>
        <w:jc w:val="center"/>
      </w:pPr>
    </w:p>
    <w:p w14:paraId="794BD761" w14:textId="77777777" w:rsidR="00463C47" w:rsidRPr="00253818" w:rsidRDefault="00463C47" w:rsidP="00463C47">
      <w:r w:rsidRPr="00253818">
        <w:t>FOND ZA OBEŠTEĆENJE</w:t>
      </w:r>
    </w:p>
    <w:p w14:paraId="6D929A3F" w14:textId="5B3CFE2C" w:rsidR="00463C47" w:rsidRPr="009C7874" w:rsidRDefault="00463C47" w:rsidP="00463C47">
      <w:pPr>
        <w:rPr>
          <w:lang w:val="sr-Latn-ME"/>
        </w:rPr>
      </w:pPr>
      <w:r w:rsidRPr="00253818">
        <w:t>Br.</w:t>
      </w:r>
      <w:r w:rsidR="009C7874">
        <w:rPr>
          <w:u w:val="single"/>
        </w:rPr>
        <w:softHyphen/>
      </w:r>
      <w:r w:rsidR="009C7874">
        <w:rPr>
          <w:u w:val="single"/>
        </w:rPr>
        <w:softHyphen/>
      </w:r>
      <w:r w:rsidR="009C7874">
        <w:rPr>
          <w:u w:val="single"/>
        </w:rPr>
        <w:softHyphen/>
      </w:r>
      <w:r w:rsidR="009C7874">
        <w:t>______________</w:t>
      </w:r>
    </w:p>
    <w:p w14:paraId="2C346663" w14:textId="0DCF83E7" w:rsidR="00463C47" w:rsidRPr="00253818" w:rsidRDefault="00463C47" w:rsidP="00463C47">
      <w:r w:rsidRPr="00253818">
        <w:t>Podgorica</w:t>
      </w:r>
      <w:r w:rsidR="00C24F7A">
        <w:t xml:space="preserve"> 24.02.2026. </w:t>
      </w:r>
      <w:r w:rsidRPr="00253818">
        <w:t>godine</w:t>
      </w:r>
    </w:p>
    <w:p w14:paraId="7148B569" w14:textId="77777777" w:rsidR="00463C47" w:rsidRDefault="00463C47" w:rsidP="00463C47">
      <w:pPr>
        <w:jc w:val="center"/>
      </w:pPr>
    </w:p>
    <w:p w14:paraId="0D6467FF" w14:textId="77777777" w:rsidR="00463C47" w:rsidRDefault="00463C47" w:rsidP="00463C47">
      <w:pPr>
        <w:jc w:val="center"/>
      </w:pPr>
    </w:p>
    <w:p w14:paraId="5FF65603" w14:textId="77777777" w:rsidR="00463C47" w:rsidRDefault="00463C47" w:rsidP="00463C47">
      <w:pPr>
        <w:jc w:val="center"/>
      </w:pPr>
    </w:p>
    <w:p w14:paraId="084E89A9" w14:textId="77777777" w:rsidR="00463C47" w:rsidRDefault="00463C47" w:rsidP="00463C47">
      <w:pPr>
        <w:jc w:val="center"/>
      </w:pPr>
    </w:p>
    <w:p w14:paraId="4803C055" w14:textId="77777777" w:rsidR="00463C47" w:rsidRDefault="00463C47" w:rsidP="00463C47">
      <w:pPr>
        <w:jc w:val="center"/>
      </w:pPr>
    </w:p>
    <w:p w14:paraId="52F64F99" w14:textId="77777777" w:rsidR="00463C47" w:rsidRDefault="00463C47" w:rsidP="00463C47">
      <w:pPr>
        <w:jc w:val="center"/>
      </w:pPr>
    </w:p>
    <w:p w14:paraId="4E588ECD" w14:textId="77777777" w:rsidR="00463C47" w:rsidRDefault="00463C47" w:rsidP="00463C47">
      <w:pPr>
        <w:jc w:val="center"/>
      </w:pPr>
    </w:p>
    <w:p w14:paraId="366B2FBB" w14:textId="77777777" w:rsidR="00463C47" w:rsidRPr="00F725D4" w:rsidRDefault="00463C47" w:rsidP="00463C47">
      <w:pPr>
        <w:jc w:val="center"/>
        <w:rPr>
          <w:b/>
          <w:sz w:val="28"/>
          <w:szCs w:val="28"/>
        </w:rPr>
      </w:pPr>
      <w:r w:rsidRPr="00F725D4">
        <w:rPr>
          <w:b/>
          <w:sz w:val="28"/>
          <w:szCs w:val="28"/>
        </w:rPr>
        <w:t>IZVJEŠTAJ</w:t>
      </w:r>
    </w:p>
    <w:p w14:paraId="4912E9EE" w14:textId="0E5E670D" w:rsidR="00463C47" w:rsidRPr="00F725D4" w:rsidRDefault="00463C47" w:rsidP="00463C47">
      <w:pPr>
        <w:jc w:val="center"/>
        <w:rPr>
          <w:b/>
          <w:sz w:val="28"/>
          <w:szCs w:val="28"/>
        </w:rPr>
      </w:pPr>
      <w:r w:rsidRPr="00F725D4">
        <w:rPr>
          <w:b/>
          <w:sz w:val="28"/>
          <w:szCs w:val="28"/>
        </w:rPr>
        <w:t xml:space="preserve"> O RADU FONDA ZA OBEŠTEĆENJE SA IZVJEŠTAJEM O PRIKUPLJENIM SREDSTVIMA, RASPOLOŽIVIM AKCIJA</w:t>
      </w:r>
      <w:r>
        <w:rPr>
          <w:b/>
          <w:sz w:val="28"/>
          <w:szCs w:val="28"/>
        </w:rPr>
        <w:t>MA I IZDATIM OBVEZNICAMA ZA 202</w:t>
      </w:r>
      <w:r w:rsidR="009C7874">
        <w:rPr>
          <w:b/>
          <w:sz w:val="28"/>
          <w:szCs w:val="28"/>
        </w:rPr>
        <w:t>5</w:t>
      </w:r>
      <w:r w:rsidRPr="00F725D4">
        <w:rPr>
          <w:b/>
          <w:sz w:val="28"/>
          <w:szCs w:val="28"/>
        </w:rPr>
        <w:t>. GODINU</w:t>
      </w:r>
    </w:p>
    <w:p w14:paraId="75A536DC" w14:textId="77777777" w:rsidR="00463C47" w:rsidRDefault="00463C47" w:rsidP="00463C47">
      <w:pPr>
        <w:tabs>
          <w:tab w:val="left" w:pos="3420"/>
        </w:tabs>
        <w:jc w:val="center"/>
      </w:pPr>
    </w:p>
    <w:p w14:paraId="5E36893C" w14:textId="77777777" w:rsidR="00463C47" w:rsidRDefault="00463C47" w:rsidP="00463C47">
      <w:pPr>
        <w:jc w:val="center"/>
      </w:pPr>
    </w:p>
    <w:p w14:paraId="6D3BB19D" w14:textId="77777777" w:rsidR="00463C47" w:rsidRDefault="00463C47" w:rsidP="00463C47">
      <w:pPr>
        <w:jc w:val="center"/>
      </w:pPr>
    </w:p>
    <w:p w14:paraId="2619C6AD" w14:textId="77777777" w:rsidR="00463C47" w:rsidRDefault="00463C47" w:rsidP="00463C47">
      <w:pPr>
        <w:jc w:val="center"/>
      </w:pPr>
    </w:p>
    <w:p w14:paraId="45E7B164" w14:textId="77777777" w:rsidR="00463C47" w:rsidRDefault="00463C47" w:rsidP="00463C47">
      <w:pPr>
        <w:jc w:val="center"/>
      </w:pPr>
    </w:p>
    <w:p w14:paraId="648D1B4C" w14:textId="77777777" w:rsidR="00463C47" w:rsidRDefault="00463C47" w:rsidP="00463C47">
      <w:pPr>
        <w:jc w:val="center"/>
      </w:pPr>
    </w:p>
    <w:p w14:paraId="145D27E0" w14:textId="77777777" w:rsidR="00463C47" w:rsidRDefault="00463C47" w:rsidP="00463C47">
      <w:pPr>
        <w:jc w:val="center"/>
      </w:pPr>
    </w:p>
    <w:p w14:paraId="54CF7A1D" w14:textId="77777777" w:rsidR="00463C47" w:rsidRDefault="00463C47" w:rsidP="00463C47">
      <w:pPr>
        <w:jc w:val="center"/>
      </w:pPr>
    </w:p>
    <w:p w14:paraId="368C9E27" w14:textId="77777777" w:rsidR="00463C47" w:rsidRDefault="00463C47" w:rsidP="00463C47">
      <w:pPr>
        <w:jc w:val="center"/>
      </w:pPr>
    </w:p>
    <w:p w14:paraId="4B9BFC0F" w14:textId="77777777" w:rsidR="00463C47" w:rsidRDefault="00463C47" w:rsidP="00463C47">
      <w:pPr>
        <w:jc w:val="center"/>
      </w:pPr>
    </w:p>
    <w:p w14:paraId="3A21A6A3" w14:textId="77777777" w:rsidR="00463C47" w:rsidRDefault="00463C47" w:rsidP="00463C47">
      <w:pPr>
        <w:jc w:val="center"/>
      </w:pPr>
    </w:p>
    <w:p w14:paraId="3802973A" w14:textId="77777777" w:rsidR="00463C47" w:rsidRDefault="00463C47" w:rsidP="00463C47">
      <w:pPr>
        <w:jc w:val="center"/>
      </w:pPr>
    </w:p>
    <w:p w14:paraId="56706802" w14:textId="77777777" w:rsidR="00463C47" w:rsidRDefault="00463C47" w:rsidP="00463C47">
      <w:pPr>
        <w:jc w:val="center"/>
      </w:pPr>
    </w:p>
    <w:p w14:paraId="3152E9B2" w14:textId="77777777" w:rsidR="00463C47" w:rsidRDefault="00463C47" w:rsidP="00463C47">
      <w:pPr>
        <w:jc w:val="center"/>
      </w:pPr>
    </w:p>
    <w:p w14:paraId="03EC5054" w14:textId="77777777" w:rsidR="00463C47" w:rsidRDefault="00463C47" w:rsidP="00463C47"/>
    <w:p w14:paraId="1BD25A5E" w14:textId="77777777" w:rsidR="00463C47" w:rsidRPr="00F725D4" w:rsidRDefault="00463C47" w:rsidP="00463C47">
      <w:pPr>
        <w:rPr>
          <w:b/>
        </w:rPr>
      </w:pPr>
    </w:p>
    <w:p w14:paraId="6FE1964C" w14:textId="77777777" w:rsidR="00463C47" w:rsidRPr="00F725D4" w:rsidRDefault="00463C47" w:rsidP="00463C47">
      <w:pPr>
        <w:jc w:val="center"/>
        <w:rPr>
          <w:b/>
        </w:rPr>
      </w:pPr>
    </w:p>
    <w:p w14:paraId="6DC73537" w14:textId="0E517BF7" w:rsidR="00DE2FA6" w:rsidRDefault="00463C47" w:rsidP="00DE2FA6">
      <w:pPr>
        <w:jc w:val="center"/>
        <w:rPr>
          <w:b/>
        </w:rPr>
      </w:pPr>
      <w:r>
        <w:rPr>
          <w:b/>
        </w:rPr>
        <w:t>Februar 202</w:t>
      </w:r>
      <w:r w:rsidR="009C7874">
        <w:rPr>
          <w:b/>
        </w:rPr>
        <w:t>6</w:t>
      </w:r>
      <w:r>
        <w:rPr>
          <w:b/>
        </w:rPr>
        <w:t xml:space="preserve">. </w:t>
      </w:r>
      <w:r w:rsidR="00DE2FA6">
        <w:rPr>
          <w:b/>
        </w:rPr>
        <w:t>G</w:t>
      </w:r>
      <w:r>
        <w:rPr>
          <w:b/>
        </w:rPr>
        <w:t>odine</w:t>
      </w:r>
      <w:bookmarkStart w:id="0" w:name="_GoBack"/>
      <w:bookmarkEnd w:id="0"/>
    </w:p>
    <w:p w14:paraId="5C6EFEB9" w14:textId="77777777" w:rsidR="00463C47" w:rsidRPr="00F725D4" w:rsidRDefault="00463C47" w:rsidP="00463C47">
      <w:pPr>
        <w:jc w:val="center"/>
        <w:rPr>
          <w:b/>
        </w:rPr>
      </w:pPr>
    </w:p>
    <w:p w14:paraId="292EEDA7" w14:textId="77777777" w:rsidR="00463C47" w:rsidRPr="00F725D4" w:rsidRDefault="00463C47" w:rsidP="00463C47">
      <w:pPr>
        <w:jc w:val="center"/>
        <w:rPr>
          <w:b/>
        </w:rPr>
      </w:pPr>
    </w:p>
    <w:p w14:paraId="085FEF78" w14:textId="77777777" w:rsidR="00463C47" w:rsidRDefault="00463C47" w:rsidP="00463C47">
      <w:pPr>
        <w:jc w:val="center"/>
        <w:rPr>
          <w:b/>
        </w:rPr>
      </w:pPr>
    </w:p>
    <w:p w14:paraId="6372933A" w14:textId="77777777" w:rsidR="00463C47" w:rsidRDefault="00463C47" w:rsidP="00463C47">
      <w:pPr>
        <w:jc w:val="center"/>
        <w:rPr>
          <w:b/>
        </w:rPr>
      </w:pPr>
    </w:p>
    <w:p w14:paraId="3D870099" w14:textId="77777777" w:rsidR="00463C47" w:rsidRPr="00F725D4" w:rsidRDefault="00463C47" w:rsidP="00463C47">
      <w:pPr>
        <w:jc w:val="center"/>
        <w:rPr>
          <w:b/>
        </w:rPr>
      </w:pPr>
      <w:r w:rsidRPr="00F725D4">
        <w:rPr>
          <w:b/>
        </w:rPr>
        <w:t>SADRŽAJ</w:t>
      </w:r>
    </w:p>
    <w:p w14:paraId="7F2EAFF7" w14:textId="77777777" w:rsidR="00463C47" w:rsidRPr="00F725D4" w:rsidRDefault="00463C47" w:rsidP="00463C47">
      <w:pPr>
        <w:jc w:val="center"/>
        <w:rPr>
          <w:b/>
        </w:rPr>
      </w:pPr>
    </w:p>
    <w:p w14:paraId="3D219463" w14:textId="77777777" w:rsidR="00463C47" w:rsidRPr="00F725D4" w:rsidRDefault="00463C47" w:rsidP="00463C47">
      <w:pPr>
        <w:jc w:val="center"/>
        <w:rPr>
          <w:b/>
        </w:rPr>
      </w:pPr>
    </w:p>
    <w:p w14:paraId="4C4664F8" w14:textId="77777777" w:rsidR="00463C47" w:rsidRPr="00F725D4" w:rsidRDefault="00463C47" w:rsidP="00463C47">
      <w:pPr>
        <w:jc w:val="center"/>
        <w:rPr>
          <w:b/>
        </w:rPr>
      </w:pPr>
    </w:p>
    <w:p w14:paraId="439C511D" w14:textId="77777777" w:rsidR="00463C47" w:rsidRPr="00F725D4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 w:rsidRPr="00F725D4">
        <w:rPr>
          <w:b/>
        </w:rPr>
        <w:t>UVOD..................................................................................................................</w:t>
      </w:r>
      <w:r>
        <w:rPr>
          <w:b/>
        </w:rPr>
        <w:t>....</w:t>
      </w:r>
      <w:r w:rsidRPr="00F725D4">
        <w:rPr>
          <w:b/>
        </w:rPr>
        <w:t>3</w:t>
      </w:r>
    </w:p>
    <w:p w14:paraId="5EE0A943" w14:textId="71DD8E0F" w:rsidR="00463C47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 w:rsidRPr="00F725D4">
        <w:rPr>
          <w:b/>
        </w:rPr>
        <w:t>REALIZACIJA P</w:t>
      </w:r>
      <w:r>
        <w:rPr>
          <w:b/>
        </w:rPr>
        <w:t xml:space="preserve">LANIRANIH OBAVEZA, IZVJEŠTAJ O NOVČANIM </w:t>
      </w:r>
      <w:proofErr w:type="gramStart"/>
      <w:r>
        <w:rPr>
          <w:b/>
        </w:rPr>
        <w:t>TOKOVIMA</w:t>
      </w:r>
      <w:r w:rsidRPr="00C56DA6">
        <w:rPr>
          <w:b/>
        </w:rPr>
        <w:t xml:space="preserve"> </w:t>
      </w:r>
      <w:r>
        <w:rPr>
          <w:b/>
        </w:rPr>
        <w:t xml:space="preserve"> I</w:t>
      </w:r>
      <w:proofErr w:type="gramEnd"/>
      <w:r>
        <w:rPr>
          <w:b/>
        </w:rPr>
        <w:t xml:space="preserve"> </w:t>
      </w:r>
      <w:r w:rsidRPr="00C56DA6">
        <w:rPr>
          <w:b/>
        </w:rPr>
        <w:t>VISINA OBEŠTEĆENJA UTVRĐENA U 202</w:t>
      </w:r>
      <w:r w:rsidR="009C7874">
        <w:rPr>
          <w:b/>
        </w:rPr>
        <w:t>5</w:t>
      </w:r>
      <w:r w:rsidRPr="00C56DA6">
        <w:rPr>
          <w:b/>
        </w:rPr>
        <w:t xml:space="preserve">. </w:t>
      </w:r>
      <w:proofErr w:type="gramStart"/>
      <w:r w:rsidRPr="00C56DA6">
        <w:rPr>
          <w:b/>
        </w:rPr>
        <w:t>GODINI</w:t>
      </w:r>
      <w:r>
        <w:rPr>
          <w:b/>
        </w:rPr>
        <w:t>..</w:t>
      </w:r>
      <w:proofErr w:type="gramEnd"/>
      <w:r w:rsidRPr="00F725D4">
        <w:rPr>
          <w:b/>
        </w:rPr>
        <w:t xml:space="preserve"> 4</w:t>
      </w:r>
    </w:p>
    <w:p w14:paraId="6BCA6679" w14:textId="2D228C10" w:rsidR="00463C47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>
        <w:rPr>
          <w:b/>
        </w:rPr>
        <w:t>PRIHODI</w:t>
      </w:r>
      <w:r w:rsidRPr="00F41457">
        <w:rPr>
          <w:b/>
        </w:rPr>
        <w:t xml:space="preserve"> I AKTIVNOST</w:t>
      </w:r>
      <w:r>
        <w:rPr>
          <w:b/>
        </w:rPr>
        <w:t xml:space="preserve"> FONDA ZA </w:t>
      </w:r>
      <w:r w:rsidRPr="00F41457">
        <w:rPr>
          <w:b/>
        </w:rPr>
        <w:t>OBEŠTEĆENJE</w:t>
      </w:r>
      <w:r>
        <w:rPr>
          <w:b/>
        </w:rPr>
        <w:t xml:space="preserve"> U </w:t>
      </w:r>
      <w:proofErr w:type="gramStart"/>
      <w:r>
        <w:rPr>
          <w:b/>
        </w:rPr>
        <w:t>202</w:t>
      </w:r>
      <w:r w:rsidR="009C7874">
        <w:rPr>
          <w:b/>
        </w:rPr>
        <w:t>5</w:t>
      </w:r>
      <w:r>
        <w:rPr>
          <w:b/>
        </w:rPr>
        <w:t>.GODINI..</w:t>
      </w:r>
      <w:proofErr w:type="gramEnd"/>
      <w:r>
        <w:rPr>
          <w:b/>
        </w:rPr>
        <w:t xml:space="preserve"> </w:t>
      </w:r>
      <w:r w:rsidR="00D005A2">
        <w:rPr>
          <w:b/>
        </w:rPr>
        <w:t>1</w:t>
      </w:r>
      <w:r w:rsidR="00C01EBF">
        <w:rPr>
          <w:b/>
        </w:rPr>
        <w:t>1</w:t>
      </w:r>
    </w:p>
    <w:p w14:paraId="4ECA28D1" w14:textId="13A05FBB" w:rsidR="00463C47" w:rsidRDefault="00463C47" w:rsidP="00463C47">
      <w:pPr>
        <w:spacing w:line="720" w:lineRule="auto"/>
        <w:ind w:left="360"/>
        <w:rPr>
          <w:b/>
        </w:rPr>
      </w:pPr>
      <w:r>
        <w:rPr>
          <w:b/>
        </w:rPr>
        <w:t>3.1. Uplate lokalnih samouprava i drugih pravnih i fizičkih lica   ........................</w:t>
      </w:r>
      <w:r w:rsidR="00D005A2">
        <w:rPr>
          <w:b/>
        </w:rPr>
        <w:t>1</w:t>
      </w:r>
      <w:r w:rsidR="00C01EBF">
        <w:rPr>
          <w:b/>
        </w:rPr>
        <w:t>1</w:t>
      </w:r>
    </w:p>
    <w:p w14:paraId="14AA43B5" w14:textId="77777777" w:rsidR="00463C47" w:rsidRDefault="00463C47" w:rsidP="00463C47">
      <w:pPr>
        <w:spacing w:line="720" w:lineRule="auto"/>
        <w:ind w:left="360"/>
        <w:rPr>
          <w:b/>
        </w:rPr>
      </w:pPr>
      <w:proofErr w:type="gramStart"/>
      <w:r>
        <w:rPr>
          <w:b/>
        </w:rPr>
        <w:t xml:space="preserve">3.2  </w:t>
      </w:r>
      <w:r w:rsidRPr="00D5380E">
        <w:rPr>
          <w:b/>
        </w:rPr>
        <w:t>Fond</w:t>
      </w:r>
      <w:proofErr w:type="gramEnd"/>
      <w:r w:rsidRPr="00D5380E">
        <w:rPr>
          <w:b/>
        </w:rPr>
        <w:t xml:space="preserve"> za obeštećenje kao dio javne uprave i stranka u upravnom postupku</w:t>
      </w:r>
    </w:p>
    <w:p w14:paraId="3C8CB351" w14:textId="20B796E8" w:rsidR="00463C47" w:rsidRDefault="00463C47" w:rsidP="00463C47">
      <w:pPr>
        <w:spacing w:line="720" w:lineRule="auto"/>
        <w:ind w:left="360"/>
        <w:rPr>
          <w:b/>
        </w:rPr>
      </w:pPr>
      <w:r>
        <w:rPr>
          <w:b/>
        </w:rPr>
        <w:t xml:space="preserve">       </w:t>
      </w:r>
      <w:r w:rsidRPr="00D5380E">
        <w:rPr>
          <w:b/>
        </w:rPr>
        <w:t>pred regionalnim komisijama u toku 202</w:t>
      </w:r>
      <w:r w:rsidR="009C7874">
        <w:rPr>
          <w:b/>
        </w:rPr>
        <w:t>5</w:t>
      </w:r>
      <w:r w:rsidRPr="00D5380E">
        <w:rPr>
          <w:b/>
        </w:rPr>
        <w:t>. godine</w:t>
      </w:r>
      <w:r>
        <w:rPr>
          <w:b/>
        </w:rPr>
        <w:t xml:space="preserve"> …………………………1</w:t>
      </w:r>
      <w:r w:rsidR="00C01EBF">
        <w:rPr>
          <w:b/>
        </w:rPr>
        <w:t>2</w:t>
      </w:r>
    </w:p>
    <w:p w14:paraId="7CC7F8A6" w14:textId="44BD6123" w:rsidR="00463C47" w:rsidRPr="00B33B6F" w:rsidRDefault="00463C47" w:rsidP="00463C47">
      <w:pPr>
        <w:numPr>
          <w:ilvl w:val="0"/>
          <w:numId w:val="3"/>
        </w:numPr>
        <w:spacing w:line="720" w:lineRule="auto"/>
        <w:rPr>
          <w:b/>
          <w:lang w:val="sr-Latn-CS"/>
        </w:rPr>
      </w:pPr>
      <w:r w:rsidRPr="00F725D4">
        <w:rPr>
          <w:b/>
        </w:rPr>
        <w:t xml:space="preserve">OCJENA </w:t>
      </w:r>
      <w:proofErr w:type="gramStart"/>
      <w:r w:rsidRPr="00F725D4">
        <w:rPr>
          <w:b/>
        </w:rPr>
        <w:t>STANJA</w:t>
      </w:r>
      <w:r>
        <w:rPr>
          <w:b/>
        </w:rPr>
        <w:t xml:space="preserve">  </w:t>
      </w:r>
      <w:r w:rsidRPr="00B33B6F">
        <w:rPr>
          <w:b/>
          <w:lang w:val="sr-Latn-CS"/>
        </w:rPr>
        <w:t>NAPLATA</w:t>
      </w:r>
      <w:proofErr w:type="gramEnd"/>
      <w:r w:rsidRPr="00B33B6F">
        <w:rPr>
          <w:b/>
          <w:lang w:val="sr-Latn-CS"/>
        </w:rPr>
        <w:t xml:space="preserve"> PRIHODA OD STRANE LOKALNIH SAMOUPRAVA</w:t>
      </w:r>
      <w:r>
        <w:rPr>
          <w:b/>
          <w:lang w:val="sr-Latn-CS"/>
        </w:rPr>
        <w:t>..................................................................................................1</w:t>
      </w:r>
      <w:r w:rsidR="00D005A2">
        <w:rPr>
          <w:b/>
          <w:lang w:val="sr-Latn-CS"/>
        </w:rPr>
        <w:t>3</w:t>
      </w:r>
    </w:p>
    <w:p w14:paraId="1E9AEA6C" w14:textId="7A97B42D" w:rsidR="00463C47" w:rsidRPr="00470396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>
        <w:rPr>
          <w:b/>
        </w:rPr>
        <w:t>REALIZACIJA PLANIRANIH AKTIVNOSTI</w:t>
      </w:r>
      <w:r w:rsidRPr="00470396">
        <w:rPr>
          <w:b/>
        </w:rPr>
        <w:t>.........</w:t>
      </w:r>
      <w:r>
        <w:rPr>
          <w:b/>
        </w:rPr>
        <w:t>.....................................1</w:t>
      </w:r>
      <w:r w:rsidR="004B0C65">
        <w:rPr>
          <w:b/>
        </w:rPr>
        <w:t>6</w:t>
      </w:r>
    </w:p>
    <w:p w14:paraId="381FFD4A" w14:textId="572168CF" w:rsidR="00463C47" w:rsidRPr="00F725D4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>
        <w:rPr>
          <w:b/>
        </w:rPr>
        <w:t>PRIORITETI U 202</w:t>
      </w:r>
      <w:r w:rsidR="009C7874">
        <w:rPr>
          <w:b/>
        </w:rPr>
        <w:t>6</w:t>
      </w:r>
      <w:r>
        <w:rPr>
          <w:b/>
        </w:rPr>
        <w:t>.</w:t>
      </w:r>
      <w:r w:rsidRPr="00F725D4">
        <w:rPr>
          <w:b/>
        </w:rPr>
        <w:t xml:space="preserve"> GODINI..............................................</w:t>
      </w:r>
      <w:r>
        <w:rPr>
          <w:b/>
        </w:rPr>
        <w:t>...........................1</w:t>
      </w:r>
      <w:r w:rsidR="00653620">
        <w:rPr>
          <w:b/>
        </w:rPr>
        <w:t>7</w:t>
      </w:r>
    </w:p>
    <w:p w14:paraId="3E44C15F" w14:textId="7D11E995" w:rsidR="00463C47" w:rsidRPr="00B33B6F" w:rsidRDefault="00463C47" w:rsidP="00463C47">
      <w:pPr>
        <w:numPr>
          <w:ilvl w:val="0"/>
          <w:numId w:val="3"/>
        </w:numPr>
        <w:spacing w:line="720" w:lineRule="auto"/>
        <w:rPr>
          <w:b/>
        </w:rPr>
      </w:pPr>
      <w:r w:rsidRPr="00F725D4">
        <w:rPr>
          <w:b/>
        </w:rPr>
        <w:t>PREDLOG MJERA.................................................................</w:t>
      </w:r>
      <w:r>
        <w:rPr>
          <w:b/>
        </w:rPr>
        <w:t>...........................1</w:t>
      </w:r>
      <w:r w:rsidR="00D005A2">
        <w:rPr>
          <w:b/>
        </w:rPr>
        <w:t>7</w:t>
      </w:r>
    </w:p>
    <w:p w14:paraId="6EBB29E8" w14:textId="77777777" w:rsidR="00463C47" w:rsidRDefault="00463C47" w:rsidP="00463C47">
      <w:pPr>
        <w:jc w:val="center"/>
      </w:pPr>
    </w:p>
    <w:p w14:paraId="1D43A5AA" w14:textId="77777777" w:rsidR="00463C47" w:rsidRDefault="00463C47" w:rsidP="00463C47">
      <w:pPr>
        <w:jc w:val="center"/>
      </w:pPr>
    </w:p>
    <w:p w14:paraId="47373250" w14:textId="77777777" w:rsidR="00463C47" w:rsidRDefault="00463C47" w:rsidP="00463C47">
      <w:pPr>
        <w:jc w:val="center"/>
      </w:pPr>
    </w:p>
    <w:p w14:paraId="0DB91600" w14:textId="77777777" w:rsidR="00463C47" w:rsidRDefault="00463C47" w:rsidP="00463C47"/>
    <w:p w14:paraId="108DC735" w14:textId="77777777" w:rsidR="00463C47" w:rsidRDefault="00463C47" w:rsidP="00463C47"/>
    <w:p w14:paraId="2A20017D" w14:textId="7BD60252" w:rsidR="00463C47" w:rsidRDefault="00463C47" w:rsidP="00463C47">
      <w:pPr>
        <w:jc w:val="center"/>
      </w:pPr>
    </w:p>
    <w:p w14:paraId="5C240EEE" w14:textId="77777777" w:rsidR="00D005A2" w:rsidRDefault="00D005A2" w:rsidP="00463C47">
      <w:pPr>
        <w:jc w:val="center"/>
      </w:pPr>
    </w:p>
    <w:p w14:paraId="28E5EBF5" w14:textId="77777777" w:rsidR="00463C47" w:rsidRDefault="00463C47" w:rsidP="00463C47">
      <w:pPr>
        <w:numPr>
          <w:ilvl w:val="0"/>
          <w:numId w:val="4"/>
        </w:numPr>
        <w:rPr>
          <w:b/>
        </w:rPr>
      </w:pPr>
      <w:r w:rsidRPr="001E03FA">
        <w:rPr>
          <w:b/>
        </w:rPr>
        <w:lastRenderedPageBreak/>
        <w:t>UVOD</w:t>
      </w:r>
    </w:p>
    <w:p w14:paraId="1799DDCA" w14:textId="77777777" w:rsidR="00463C47" w:rsidRPr="001E03FA" w:rsidRDefault="00463C47" w:rsidP="00463C47">
      <w:pPr>
        <w:ind w:left="720"/>
        <w:rPr>
          <w:b/>
        </w:rPr>
      </w:pPr>
    </w:p>
    <w:p w14:paraId="04DE4250" w14:textId="77777777" w:rsidR="00463C47" w:rsidRDefault="00463C47" w:rsidP="00463C47">
      <w:pPr>
        <w:jc w:val="both"/>
      </w:pPr>
    </w:p>
    <w:p w14:paraId="5DA2A5D1" w14:textId="77777777" w:rsidR="00463C47" w:rsidRDefault="00463C47" w:rsidP="00463C47">
      <w:pPr>
        <w:spacing w:line="276" w:lineRule="auto"/>
        <w:jc w:val="both"/>
      </w:pPr>
      <w:r w:rsidRPr="00962587">
        <w:t>Shodno</w:t>
      </w:r>
      <w:r>
        <w:t xml:space="preserve"> članu</w:t>
      </w:r>
      <w:r w:rsidRPr="00962587">
        <w:t xml:space="preserve"> </w:t>
      </w:r>
      <w:r>
        <w:t xml:space="preserve">45 </w:t>
      </w:r>
      <w:r w:rsidRPr="000C676C">
        <w:t>Zakon</w:t>
      </w:r>
      <w:r>
        <w:t>a</w:t>
      </w:r>
      <w:r w:rsidRPr="000C676C">
        <w:t xml:space="preserve"> o povraćaju oduzetih imovinskih prava i obeštećenju</w:t>
      </w:r>
      <w:r>
        <w:t xml:space="preserve"> (</w:t>
      </w:r>
      <w:proofErr w:type="gramStart"/>
      <w:r>
        <w:t>Sl.list</w:t>
      </w:r>
      <w:proofErr w:type="gramEnd"/>
      <w:r>
        <w:t xml:space="preserve"> RCG br.21/04, 49/07, 60/07 i Sl.list CG br.12/07, 30/17, 70/17 i 33/2024) Fond za obeštećenje najmanje jedanput godišnje podnosi Vladi izvještaj o prikupljenim sredstvima, raspoloživim akcijama i izdatim obveznicama.</w:t>
      </w:r>
    </w:p>
    <w:p w14:paraId="43C029F4" w14:textId="77777777" w:rsidR="00463C47" w:rsidRDefault="00463C47" w:rsidP="00463C47">
      <w:pPr>
        <w:spacing w:line="276" w:lineRule="auto"/>
        <w:jc w:val="both"/>
      </w:pPr>
    </w:p>
    <w:p w14:paraId="3E16461D" w14:textId="50A04628" w:rsidR="00463C47" w:rsidRDefault="00463C47" w:rsidP="00463C47">
      <w:pPr>
        <w:spacing w:line="276" w:lineRule="auto"/>
        <w:jc w:val="both"/>
      </w:pPr>
      <w:r>
        <w:t xml:space="preserve">Djelokrug rada Fonda za obeštećenje obuhvata poslove državne uprave koji se odnose na ostvarivanje javnog interesa u oblastima koje reguliše </w:t>
      </w:r>
      <w:r w:rsidRPr="000C676C">
        <w:t>Zakon o povraćaju oduzetih imovinskih prava i obeštećenju</w:t>
      </w:r>
      <w:r>
        <w:t xml:space="preserve"> i koje su bliže definisane Odlukom o obrazovanju Fonda za obeštećenje (“Sl. list” RCG br. 57/04</w:t>
      </w:r>
      <w:r w:rsidR="00F32E4E">
        <w:t xml:space="preserve"> </w:t>
      </w:r>
      <w:r w:rsidR="00B20DA3">
        <w:t>i Sl.list CG br.31/25</w:t>
      </w:r>
      <w:r>
        <w:t>) i Statutom Fonda za obeštećenje i obuhvataju vođenje evidencija o donesenim odlukama, isplati novčanih sredstava, izdatim potvrdama za pribavljanje obveznica, o prodatim obveznicama kao i o izvršenim isplatama.</w:t>
      </w:r>
    </w:p>
    <w:p w14:paraId="778CA385" w14:textId="77777777" w:rsidR="00463C47" w:rsidRDefault="00463C47" w:rsidP="00463C47">
      <w:pPr>
        <w:spacing w:line="276" w:lineRule="auto"/>
        <w:jc w:val="both"/>
      </w:pPr>
    </w:p>
    <w:p w14:paraId="696A0F1D" w14:textId="77777777" w:rsidR="00463C47" w:rsidRDefault="00463C47" w:rsidP="00463C47">
      <w:pPr>
        <w:spacing w:line="276" w:lineRule="auto"/>
        <w:jc w:val="both"/>
      </w:pPr>
      <w:r w:rsidRPr="000C676C">
        <w:t>Zakon o povraćaju oduzetih imovinskih prava i obeštećenju</w:t>
      </w:r>
      <w:r>
        <w:t xml:space="preserve"> objavljen je u Službenom listu RCG br. 21/04 od 31.03.2004. god., kada je počeo da se primjenjuje. Nakon stupanja na snagu zakona, formirane su komisije za povraćaj i </w:t>
      </w:r>
      <w:proofErr w:type="gramStart"/>
      <w:r>
        <w:t>obeštećenje  u</w:t>
      </w:r>
      <w:proofErr w:type="gramEnd"/>
      <w:r>
        <w:t xml:space="preserve"> svim opštinama na teritoriji Crne Gore.</w:t>
      </w:r>
    </w:p>
    <w:p w14:paraId="24D2B7A9" w14:textId="77777777" w:rsidR="00463C47" w:rsidRDefault="00463C47" w:rsidP="00463C47">
      <w:pPr>
        <w:spacing w:line="276" w:lineRule="auto"/>
        <w:jc w:val="both"/>
      </w:pPr>
      <w:r>
        <w:t>Zakonom o izmjenama i dopunama z</w:t>
      </w:r>
      <w:r w:rsidRPr="000C676C">
        <w:t>akon</w:t>
      </w:r>
      <w:r>
        <w:t>a</w:t>
      </w:r>
      <w:r w:rsidRPr="000C676C">
        <w:t xml:space="preserve"> o povraćaju oduzetih imovinskih prava i obeštećenju</w:t>
      </w:r>
      <w:r>
        <w:t xml:space="preserve"> (</w:t>
      </w:r>
      <w:proofErr w:type="gramStart"/>
      <w:r>
        <w:t>Sl.list</w:t>
      </w:r>
      <w:proofErr w:type="gramEnd"/>
      <w:r>
        <w:t xml:space="preserve"> CG br.49/07) od 10.08.2007. god. formirane su regionalne komisije u Podgorici, Baru i Bijelom Polju koje su preuzele nadležnost rješavanja zahtjeva od strane opštinskih komisija.</w:t>
      </w:r>
    </w:p>
    <w:p w14:paraId="42DC85FE" w14:textId="77777777" w:rsidR="00463C47" w:rsidRDefault="00463C47" w:rsidP="00463C47">
      <w:pPr>
        <w:spacing w:line="276" w:lineRule="auto"/>
        <w:jc w:val="both"/>
      </w:pPr>
      <w:r>
        <w:t>Navedenim izmjenama zakona Fond za obeštećenje je dobio svojstvo stranke, od kada i aktivno učestvuje u upravnom postupku pred nadležnim komisijama i sudovima. Na ovaj način je proširen djelokrug rada Fonda i data mu je mogućnost da se uključi u sve upravne radnje do okončanja postupka i konačnog izvršenja odluka kojima su usvojeni zahtjevi bivših vlasnika i njihovih naslednika.</w:t>
      </w:r>
    </w:p>
    <w:p w14:paraId="210D3293" w14:textId="77777777" w:rsidR="00463C47" w:rsidRDefault="00463C47" w:rsidP="00463C47">
      <w:pPr>
        <w:spacing w:line="276" w:lineRule="auto"/>
        <w:jc w:val="both"/>
      </w:pPr>
    </w:p>
    <w:p w14:paraId="1259E7F4" w14:textId="0AB26B75" w:rsidR="00463C47" w:rsidRDefault="00463C47" w:rsidP="00463C47">
      <w:pPr>
        <w:spacing w:line="276" w:lineRule="auto"/>
        <w:jc w:val="both"/>
      </w:pPr>
      <w:r>
        <w:t>Pored izvještaja o prikupljenim sredstvima, raspoloživim akcijama i izdatim obveznicama, izvještaj o radu sadrži i pregled podataka u okviru programa Vlade i postupanje Fonda za obeštećenje u upravnom postupku i upravnom sporu u toku 202</w:t>
      </w:r>
      <w:r w:rsidR="009C7874">
        <w:t>5</w:t>
      </w:r>
      <w:r>
        <w:t>. godine.</w:t>
      </w:r>
    </w:p>
    <w:p w14:paraId="1E24381C" w14:textId="77777777" w:rsidR="00463C47" w:rsidRDefault="00463C47" w:rsidP="00463C47">
      <w:pPr>
        <w:jc w:val="both"/>
      </w:pPr>
    </w:p>
    <w:p w14:paraId="6E89540C" w14:textId="77777777" w:rsidR="00463C47" w:rsidRDefault="00463C47" w:rsidP="00463C47">
      <w:pPr>
        <w:jc w:val="center"/>
      </w:pPr>
    </w:p>
    <w:p w14:paraId="256A544F" w14:textId="77777777" w:rsidR="00463C47" w:rsidRDefault="00463C47" w:rsidP="00463C47">
      <w:pPr>
        <w:jc w:val="center"/>
      </w:pPr>
    </w:p>
    <w:p w14:paraId="7B312F97" w14:textId="77777777" w:rsidR="00463C47" w:rsidRDefault="00463C47" w:rsidP="00463C47">
      <w:pPr>
        <w:jc w:val="center"/>
      </w:pPr>
    </w:p>
    <w:p w14:paraId="28FBAC58" w14:textId="77777777" w:rsidR="00463C47" w:rsidRDefault="00463C47" w:rsidP="00463C47">
      <w:pPr>
        <w:jc w:val="center"/>
      </w:pPr>
    </w:p>
    <w:p w14:paraId="5A0F6271" w14:textId="77777777" w:rsidR="00463C47" w:rsidRDefault="00463C47" w:rsidP="00463C47">
      <w:pPr>
        <w:jc w:val="center"/>
      </w:pPr>
    </w:p>
    <w:p w14:paraId="1B4064EA" w14:textId="77777777" w:rsidR="00463C47" w:rsidRDefault="00463C47" w:rsidP="00463C47">
      <w:pPr>
        <w:jc w:val="center"/>
      </w:pPr>
    </w:p>
    <w:p w14:paraId="106C3303" w14:textId="6E5DA623" w:rsidR="00463C47" w:rsidRDefault="00463C47" w:rsidP="00463C47">
      <w:pPr>
        <w:jc w:val="center"/>
      </w:pPr>
    </w:p>
    <w:p w14:paraId="19BB7937" w14:textId="4825E70E" w:rsidR="00D005A2" w:rsidRDefault="00D005A2" w:rsidP="00463C47">
      <w:pPr>
        <w:jc w:val="center"/>
      </w:pPr>
    </w:p>
    <w:p w14:paraId="711DE723" w14:textId="23392EDD" w:rsidR="00D005A2" w:rsidRDefault="00D005A2" w:rsidP="00463C47">
      <w:pPr>
        <w:jc w:val="center"/>
      </w:pPr>
    </w:p>
    <w:p w14:paraId="63C7A595" w14:textId="7D282209" w:rsidR="00D005A2" w:rsidRDefault="00D005A2" w:rsidP="00463C47">
      <w:pPr>
        <w:jc w:val="center"/>
      </w:pPr>
    </w:p>
    <w:p w14:paraId="07AEBC78" w14:textId="77777777" w:rsidR="00D005A2" w:rsidRDefault="00D005A2" w:rsidP="00463C47">
      <w:pPr>
        <w:jc w:val="center"/>
      </w:pPr>
    </w:p>
    <w:p w14:paraId="21EDB0F1" w14:textId="77777777" w:rsidR="00463C47" w:rsidRDefault="00463C47" w:rsidP="00463C47">
      <w:pPr>
        <w:jc w:val="center"/>
      </w:pPr>
    </w:p>
    <w:p w14:paraId="29257DCE" w14:textId="50FED406" w:rsidR="00463C47" w:rsidRDefault="00463C47" w:rsidP="00463C47">
      <w:r>
        <w:t xml:space="preserve"> </w:t>
      </w:r>
    </w:p>
    <w:p w14:paraId="1E58008F" w14:textId="35B4C7D5" w:rsidR="00463C47" w:rsidRPr="00F76A63" w:rsidRDefault="00463C47" w:rsidP="00463C47">
      <w:pPr>
        <w:numPr>
          <w:ilvl w:val="0"/>
          <w:numId w:val="4"/>
        </w:numPr>
        <w:rPr>
          <w:b/>
        </w:rPr>
      </w:pPr>
      <w:r w:rsidRPr="00EC0A58">
        <w:rPr>
          <w:b/>
        </w:rPr>
        <w:lastRenderedPageBreak/>
        <w:t xml:space="preserve">REALIZACIJA </w:t>
      </w:r>
      <w:r>
        <w:rPr>
          <w:b/>
        </w:rPr>
        <w:t xml:space="preserve">PLANIRANIH </w:t>
      </w:r>
      <w:proofErr w:type="gramStart"/>
      <w:r>
        <w:rPr>
          <w:b/>
        </w:rPr>
        <w:t>OBAVEZA,  IZVJEŠTAJ</w:t>
      </w:r>
      <w:proofErr w:type="gramEnd"/>
      <w:r>
        <w:rPr>
          <w:b/>
        </w:rPr>
        <w:t xml:space="preserve"> O NOVČANIM TOKOVIMA I VISINA OBEŠTEĆENJA UTVRĐENA U 202</w:t>
      </w:r>
      <w:r w:rsidR="005727CB">
        <w:rPr>
          <w:b/>
        </w:rPr>
        <w:t>5</w:t>
      </w:r>
      <w:r>
        <w:rPr>
          <w:b/>
        </w:rPr>
        <w:t>. GODINI.</w:t>
      </w:r>
    </w:p>
    <w:p w14:paraId="311A34AF" w14:textId="77777777" w:rsidR="00463C47" w:rsidRDefault="00463C47" w:rsidP="00463C47"/>
    <w:p w14:paraId="5563E308" w14:textId="77777777" w:rsidR="00463C47" w:rsidRDefault="00463C47" w:rsidP="00463C47">
      <w:pPr>
        <w:spacing w:line="276" w:lineRule="auto"/>
        <w:jc w:val="both"/>
      </w:pPr>
      <w:r>
        <w:t>U skladu sa planom rada realizovane su sledeće obaveze Fonda za obeštećenje:</w:t>
      </w:r>
    </w:p>
    <w:p w14:paraId="7409925A" w14:textId="77777777" w:rsidR="00463C47" w:rsidRDefault="00463C47" w:rsidP="00463C47">
      <w:pPr>
        <w:spacing w:line="276" w:lineRule="auto"/>
        <w:jc w:val="both"/>
      </w:pPr>
    </w:p>
    <w:p w14:paraId="2E408ED7" w14:textId="364AF113" w:rsidR="00463C47" w:rsidRDefault="00463C47" w:rsidP="00463C47">
      <w:pPr>
        <w:numPr>
          <w:ilvl w:val="0"/>
          <w:numId w:val="7"/>
        </w:numPr>
        <w:spacing w:line="276" w:lineRule="auto"/>
        <w:jc w:val="both"/>
      </w:pPr>
      <w:r w:rsidRPr="00476DB8">
        <w:t xml:space="preserve">U skladu </w:t>
      </w:r>
      <w:proofErr w:type="gramStart"/>
      <w:r w:rsidRPr="00476DB8">
        <w:t>sa  dinamikom</w:t>
      </w:r>
      <w:proofErr w:type="gramEnd"/>
      <w:r w:rsidRPr="00476DB8">
        <w:t xml:space="preserve"> i načinom isplate propisanim odredbama Zakona o</w:t>
      </w:r>
      <w:r>
        <w:t xml:space="preserve"> povraćaju oduzetih imovinskih prava i obeštećenju i na osnovu člana 22 stav 5 Zakona o povraćaju oduzetih imovinskih prava i obeštećenju, </w:t>
      </w:r>
      <w:r w:rsidRPr="008F7F2F">
        <w:t>Vlada Crne Gore, na sjednici od</w:t>
      </w:r>
      <w:r>
        <w:t xml:space="preserve"> 1</w:t>
      </w:r>
      <w:r w:rsidR="00DC23C3">
        <w:t>9</w:t>
      </w:r>
      <w:r w:rsidRPr="00E771D7">
        <w:t>.</w:t>
      </w:r>
      <w:r>
        <w:t xml:space="preserve"> ju</w:t>
      </w:r>
      <w:r w:rsidR="00DC23C3">
        <w:t>na</w:t>
      </w:r>
      <w:r>
        <w:t xml:space="preserve"> 202</w:t>
      </w:r>
      <w:r w:rsidR="00DC23C3">
        <w:t>5</w:t>
      </w:r>
      <w:r w:rsidRPr="00E771D7">
        <w:t>. godine</w:t>
      </w:r>
      <w:r>
        <w:t xml:space="preserve">, donijela je </w:t>
      </w:r>
      <w:r w:rsidRPr="000031BB">
        <w:rPr>
          <w:b/>
        </w:rPr>
        <w:t>Uredbu o utvrđivanju isplate obeštećenja bivšim vlasnicima oduzetih imovinskih pra</w:t>
      </w:r>
      <w:r>
        <w:rPr>
          <w:b/>
        </w:rPr>
        <w:t>va u novčanim sredstvima za 202</w:t>
      </w:r>
      <w:r w:rsidR="009C7874">
        <w:rPr>
          <w:b/>
        </w:rPr>
        <w:t>5</w:t>
      </w:r>
      <w:r w:rsidRPr="000031BB">
        <w:rPr>
          <w:b/>
        </w:rPr>
        <w:t>. godinu</w:t>
      </w:r>
      <w:r>
        <w:rPr>
          <w:b/>
        </w:rPr>
        <w:t xml:space="preserve"> </w:t>
      </w:r>
      <w:r w:rsidRPr="008D7A8D">
        <w:t>(Sl. list CG br.</w:t>
      </w:r>
      <w:r w:rsidRPr="008D7A8D">
        <w:rPr>
          <w:rFonts w:ascii="Calibri" w:eastAsia="Calibri" w:hAnsi="Calibri"/>
          <w:sz w:val="22"/>
          <w:szCs w:val="22"/>
          <w:lang w:val="sr-Latn-BA"/>
        </w:rPr>
        <w:t xml:space="preserve"> </w:t>
      </w:r>
      <w:r>
        <w:rPr>
          <w:lang w:val="sr-Latn-BA"/>
        </w:rPr>
        <w:t>7</w:t>
      </w:r>
      <w:r w:rsidR="007F3BA4">
        <w:rPr>
          <w:lang w:val="sr-Latn-BA"/>
        </w:rPr>
        <w:t>0</w:t>
      </w:r>
      <w:r w:rsidRPr="008D7A8D">
        <w:rPr>
          <w:lang w:val="sr-Latn-BA"/>
        </w:rPr>
        <w:t>/</w:t>
      </w:r>
      <w:r>
        <w:rPr>
          <w:lang w:val="sr-Latn-BA"/>
        </w:rPr>
        <w:t>2</w:t>
      </w:r>
      <w:r w:rsidR="007F3BA4">
        <w:rPr>
          <w:lang w:val="sr-Latn-BA"/>
        </w:rPr>
        <w:t>5</w:t>
      </w:r>
      <w:r w:rsidRPr="008D7A8D">
        <w:rPr>
          <w:lang w:val="sr-Latn-BA"/>
        </w:rPr>
        <w:t xml:space="preserve"> od </w:t>
      </w:r>
      <w:r w:rsidR="007F3BA4">
        <w:rPr>
          <w:lang w:val="sr-Latn-BA"/>
        </w:rPr>
        <w:t>04</w:t>
      </w:r>
      <w:r w:rsidRPr="008D7A8D">
        <w:rPr>
          <w:lang w:val="sr-Latn-BA"/>
        </w:rPr>
        <w:t>.07.202</w:t>
      </w:r>
      <w:r w:rsidR="007F3BA4">
        <w:rPr>
          <w:lang w:val="sr-Latn-BA"/>
        </w:rPr>
        <w:t>5</w:t>
      </w:r>
      <w:r w:rsidRPr="008D7A8D">
        <w:rPr>
          <w:lang w:val="sr-Latn-BA"/>
        </w:rPr>
        <w:t>.</w:t>
      </w:r>
      <w:r w:rsidRPr="008D7A8D">
        <w:t>)</w:t>
      </w:r>
      <w:r>
        <w:rPr>
          <w:b/>
        </w:rPr>
        <w:t xml:space="preserve"> </w:t>
      </w:r>
      <w:r>
        <w:t>na osnovu koje je Fond za obeštećenje izvršio isplatu godišnjih rata za 202</w:t>
      </w:r>
      <w:r w:rsidR="00DC23C3">
        <w:t>5</w:t>
      </w:r>
      <w:r w:rsidRPr="00E771D7">
        <w:t>. godinu</w:t>
      </w:r>
      <w:r>
        <w:t xml:space="preserve"> u iznosu od </w:t>
      </w:r>
      <w:r w:rsidR="001B5D9F">
        <w:rPr>
          <w:b/>
        </w:rPr>
        <w:t>8.541.664,32</w:t>
      </w:r>
      <w:r>
        <w:rPr>
          <w:b/>
        </w:rPr>
        <w:t>€</w:t>
      </w:r>
      <w:r w:rsidRPr="00EE10E6">
        <w:rPr>
          <w:b/>
        </w:rPr>
        <w:t>,</w:t>
      </w:r>
      <w:r>
        <w:rPr>
          <w:b/>
        </w:rPr>
        <w:t xml:space="preserve"> </w:t>
      </w:r>
      <w:r>
        <w:t xml:space="preserve">po konačnim rješenjima dostavljenim Fondu do </w:t>
      </w:r>
      <w:proofErr w:type="gramStart"/>
      <w:r>
        <w:t>31.decembra</w:t>
      </w:r>
      <w:proofErr w:type="gramEnd"/>
      <w:r>
        <w:t xml:space="preserve"> 202</w:t>
      </w:r>
      <w:r w:rsidR="007F3BA4">
        <w:t>4</w:t>
      </w:r>
      <w:r>
        <w:t>. godine.</w:t>
      </w:r>
    </w:p>
    <w:p w14:paraId="7DB4A997" w14:textId="53C0026A" w:rsidR="00463C47" w:rsidRDefault="00463C47" w:rsidP="00463C47">
      <w:pPr>
        <w:numPr>
          <w:ilvl w:val="0"/>
          <w:numId w:val="7"/>
        </w:numPr>
        <w:spacing w:line="276" w:lineRule="auto"/>
        <w:jc w:val="both"/>
      </w:pPr>
      <w:r>
        <w:t>Pravo na isplatu godišnje rate obeštećenja za 202</w:t>
      </w:r>
      <w:r w:rsidR="00E45964">
        <w:t>5</w:t>
      </w:r>
      <w:r>
        <w:t xml:space="preserve">. godinu ostvarilo je ukupno </w:t>
      </w:r>
      <w:r w:rsidR="00E45964">
        <w:rPr>
          <w:b/>
        </w:rPr>
        <w:t>4178</w:t>
      </w:r>
      <w:r w:rsidRPr="0019696E">
        <w:rPr>
          <w:b/>
        </w:rPr>
        <w:t xml:space="preserve"> korisnika prava na obeštećenja</w:t>
      </w:r>
      <w:r>
        <w:t>. Isplate su vršene na račune banaka koje su korisnici prava na obeštećenje dostavili Fondu i to po bankama:</w:t>
      </w:r>
    </w:p>
    <w:p w14:paraId="16DAFDBE" w14:textId="77777777" w:rsidR="00463C47" w:rsidRDefault="00463C47" w:rsidP="00463C47">
      <w:pPr>
        <w:spacing w:line="276" w:lineRule="auto"/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1"/>
        <w:gridCol w:w="2196"/>
      </w:tblGrid>
      <w:tr w:rsidR="00463C47" w:rsidRPr="0012671E" w14:paraId="29764B63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FFFF00"/>
          </w:tcPr>
          <w:p w14:paraId="6A452D79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bookmarkStart w:id="1" w:name="_Hlk189048248"/>
            <w:r w:rsidRPr="0012671E">
              <w:t>BANKA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AEE77C9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IZNOS U €</w:t>
            </w:r>
          </w:p>
        </w:tc>
      </w:tr>
      <w:tr w:rsidR="00463C47" w:rsidRPr="0012671E" w14:paraId="0634E876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3A36E810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CKB PODGORICA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67717225" w14:textId="0FCD9A72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3.116.979,92</w:t>
            </w:r>
            <w:r w:rsidR="00463C47" w:rsidRPr="0012671E">
              <w:t xml:space="preserve"> </w:t>
            </w:r>
          </w:p>
        </w:tc>
      </w:tr>
      <w:tr w:rsidR="00463C47" w:rsidRPr="0012671E" w14:paraId="43A6CC23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36C6A360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PRVA BANKA CRNE GORE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7D766FAA" w14:textId="074D469E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607.580,01</w:t>
            </w:r>
            <w:r w:rsidR="00463C47" w:rsidRPr="0012671E">
              <w:t xml:space="preserve"> </w:t>
            </w:r>
          </w:p>
        </w:tc>
      </w:tr>
      <w:tr w:rsidR="00463C47" w:rsidRPr="0012671E" w14:paraId="4B09FA53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70F22C75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PRVA BANKA CRNE GORE (INO plaćanja)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15A08B3A" w14:textId="1E65B3A8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2.463.787,56</w:t>
            </w:r>
          </w:p>
        </w:tc>
      </w:tr>
      <w:tr w:rsidR="00463C47" w:rsidRPr="0012671E" w14:paraId="0E274AFB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58D51C37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 xml:space="preserve">ERSTE BANKA PODGORICA 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02A85090" w14:textId="21868F99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874.768,72</w:t>
            </w:r>
          </w:p>
        </w:tc>
      </w:tr>
      <w:tr w:rsidR="00463C47" w:rsidRPr="0012671E" w14:paraId="7C7EA82A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1474282D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LOVĆEN BANKA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4735F82D" w14:textId="184FC748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44.418,57</w:t>
            </w:r>
          </w:p>
        </w:tc>
      </w:tr>
      <w:tr w:rsidR="00463C47" w:rsidRPr="0012671E" w14:paraId="54F986B6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220660F3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HIPOTEKARNA BANKA PODGORICA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69C21055" w14:textId="09E60582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408.125,84</w:t>
            </w:r>
          </w:p>
        </w:tc>
      </w:tr>
      <w:tr w:rsidR="00463C47" w:rsidRPr="0012671E" w14:paraId="213DC3C7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03B1DB4C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NLB MONTENEGRO BANKA PODGORICA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5936AAA8" w14:textId="62C23EC4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751.375,18</w:t>
            </w:r>
          </w:p>
        </w:tc>
      </w:tr>
      <w:tr w:rsidR="00463C47" w:rsidRPr="0012671E" w14:paraId="64D8122A" w14:textId="77777777" w:rsidTr="00301EDF">
        <w:tc>
          <w:tcPr>
            <w:tcW w:w="6041" w:type="dxa"/>
            <w:tcBorders>
              <w:right w:val="single" w:sz="4" w:space="0" w:color="auto"/>
            </w:tcBorders>
            <w:shd w:val="clear" w:color="auto" w:fill="auto"/>
          </w:tcPr>
          <w:p w14:paraId="598C6D7A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 xml:space="preserve">ADRIATIC (NOVA) BANKA                                                       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14:paraId="7B50C665" w14:textId="46B4E6E6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4.721,62</w:t>
            </w:r>
          </w:p>
        </w:tc>
      </w:tr>
      <w:tr w:rsidR="00463C47" w:rsidRPr="0012671E" w14:paraId="7C68CB84" w14:textId="77777777" w:rsidTr="003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041" w:type="dxa"/>
          </w:tcPr>
          <w:p w14:paraId="503DD0AA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ZAPAD BANKA</w:t>
            </w:r>
          </w:p>
        </w:tc>
        <w:tc>
          <w:tcPr>
            <w:tcW w:w="1694" w:type="dxa"/>
          </w:tcPr>
          <w:p w14:paraId="6E7AE9D0" w14:textId="388BCBAB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2.724,34</w:t>
            </w:r>
          </w:p>
        </w:tc>
      </w:tr>
      <w:tr w:rsidR="00463C47" w:rsidRPr="0012671E" w14:paraId="7049CAFE" w14:textId="77777777" w:rsidTr="003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041" w:type="dxa"/>
          </w:tcPr>
          <w:p w14:paraId="5B548A00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ADDICO BANKA</w:t>
            </w:r>
          </w:p>
        </w:tc>
        <w:tc>
          <w:tcPr>
            <w:tcW w:w="1694" w:type="dxa"/>
          </w:tcPr>
          <w:p w14:paraId="553F165D" w14:textId="0AADDE9B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232.104,44</w:t>
            </w:r>
          </w:p>
        </w:tc>
      </w:tr>
      <w:tr w:rsidR="00463C47" w:rsidRPr="0012671E" w14:paraId="48E01AB8" w14:textId="77777777" w:rsidTr="003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041" w:type="dxa"/>
          </w:tcPr>
          <w:p w14:paraId="59FD70FA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UNIVERSAL CAPITAL BANK</w:t>
            </w:r>
          </w:p>
        </w:tc>
        <w:tc>
          <w:tcPr>
            <w:tcW w:w="1694" w:type="dxa"/>
          </w:tcPr>
          <w:p w14:paraId="6AE406A7" w14:textId="32554F45" w:rsidR="00463C47" w:rsidRPr="0012671E" w:rsidRDefault="00127D88" w:rsidP="00301EDF">
            <w:pPr>
              <w:spacing w:line="276" w:lineRule="auto"/>
              <w:ind w:left="720"/>
              <w:jc w:val="both"/>
            </w:pPr>
            <w:r>
              <w:t>1.941,18</w:t>
            </w:r>
          </w:p>
        </w:tc>
      </w:tr>
      <w:tr w:rsidR="00463C47" w:rsidRPr="0012671E" w14:paraId="512CF8F9" w14:textId="77777777" w:rsidTr="003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041" w:type="dxa"/>
          </w:tcPr>
          <w:p w14:paraId="586DEDF8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ZIRAAT BANKA</w:t>
            </w:r>
          </w:p>
        </w:tc>
        <w:tc>
          <w:tcPr>
            <w:tcW w:w="1694" w:type="dxa"/>
          </w:tcPr>
          <w:p w14:paraId="0C4F16DE" w14:textId="424DDA74" w:rsidR="00463C47" w:rsidRPr="0012671E" w:rsidRDefault="000A42C3" w:rsidP="00301EDF">
            <w:pPr>
              <w:spacing w:line="276" w:lineRule="auto"/>
              <w:ind w:left="720"/>
              <w:jc w:val="both"/>
            </w:pPr>
            <w:r>
              <w:t>33.136,94</w:t>
            </w:r>
          </w:p>
        </w:tc>
      </w:tr>
      <w:tr w:rsidR="00463C47" w:rsidRPr="0012671E" w14:paraId="660AF1EE" w14:textId="77777777" w:rsidTr="003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041" w:type="dxa"/>
          </w:tcPr>
          <w:p w14:paraId="45583662" w14:textId="77777777" w:rsidR="00463C47" w:rsidRPr="0012671E" w:rsidRDefault="00463C47" w:rsidP="00301EDF">
            <w:pPr>
              <w:spacing w:line="276" w:lineRule="auto"/>
              <w:ind w:left="720"/>
              <w:jc w:val="both"/>
            </w:pPr>
            <w:r w:rsidRPr="0012671E">
              <w:t>UKUPNO</w:t>
            </w:r>
          </w:p>
        </w:tc>
        <w:tc>
          <w:tcPr>
            <w:tcW w:w="1694" w:type="dxa"/>
          </w:tcPr>
          <w:p w14:paraId="642B23D8" w14:textId="59F37F24" w:rsidR="00463C47" w:rsidRPr="0012671E" w:rsidRDefault="00877BC2" w:rsidP="00301EDF">
            <w:pPr>
              <w:spacing w:line="276" w:lineRule="auto"/>
              <w:ind w:left="720"/>
              <w:jc w:val="both"/>
            </w:pPr>
            <w:r>
              <w:rPr>
                <w:b/>
              </w:rPr>
              <w:t>8.541.664,32</w:t>
            </w:r>
          </w:p>
        </w:tc>
      </w:tr>
      <w:bookmarkEnd w:id="1"/>
    </w:tbl>
    <w:p w14:paraId="4CF016D8" w14:textId="77777777" w:rsidR="00463C47" w:rsidRDefault="00463C47" w:rsidP="00463C47">
      <w:pPr>
        <w:spacing w:line="276" w:lineRule="auto"/>
        <w:ind w:left="720"/>
        <w:jc w:val="both"/>
      </w:pPr>
    </w:p>
    <w:p w14:paraId="31A93F13" w14:textId="77777777" w:rsidR="00463C47" w:rsidRDefault="00463C47" w:rsidP="00463C47">
      <w:pPr>
        <w:spacing w:line="276" w:lineRule="auto"/>
        <w:jc w:val="both"/>
      </w:pPr>
    </w:p>
    <w:p w14:paraId="44E5973D" w14:textId="77777777" w:rsidR="00463C47" w:rsidRDefault="00463C47" w:rsidP="00463C47">
      <w:pPr>
        <w:spacing w:line="276" w:lineRule="auto"/>
        <w:jc w:val="both"/>
      </w:pPr>
    </w:p>
    <w:p w14:paraId="063524D0" w14:textId="6EC1043C" w:rsidR="009A7918" w:rsidRDefault="00463C47" w:rsidP="00105434">
      <w:pPr>
        <w:numPr>
          <w:ilvl w:val="0"/>
          <w:numId w:val="18"/>
        </w:numPr>
        <w:spacing w:line="276" w:lineRule="auto"/>
        <w:jc w:val="both"/>
      </w:pPr>
      <w:r>
        <w:t>U toku 202</w:t>
      </w:r>
      <w:r w:rsidR="009C7874">
        <w:t>5</w:t>
      </w:r>
      <w:r>
        <w:t>.</w:t>
      </w:r>
      <w:r w:rsidRPr="00476DB8">
        <w:t xml:space="preserve"> godine Fond za </w:t>
      </w:r>
      <w:proofErr w:type="gramStart"/>
      <w:r w:rsidRPr="00476DB8">
        <w:t>obeštećenje  je</w:t>
      </w:r>
      <w:proofErr w:type="gramEnd"/>
      <w:r w:rsidRPr="00476DB8">
        <w:t xml:space="preserve"> u skladu sa čl. 22 i 25 Zakona o povraćaju oduzetih imovinskih prava i obeštećenju, postupajući po zahtjevu bivših vlasnika, izdao </w:t>
      </w:r>
      <w:r w:rsidR="00E45964">
        <w:rPr>
          <w:b/>
        </w:rPr>
        <w:t>47</w:t>
      </w:r>
      <w:r w:rsidRPr="0019696E">
        <w:t xml:space="preserve"> </w:t>
      </w:r>
      <w:r w:rsidRPr="0019696E">
        <w:rPr>
          <w:b/>
        </w:rPr>
        <w:t>potvrd</w:t>
      </w:r>
      <w:r>
        <w:rPr>
          <w:b/>
        </w:rPr>
        <w:t>a</w:t>
      </w:r>
      <w:r w:rsidRPr="0019696E">
        <w:rPr>
          <w:b/>
        </w:rPr>
        <w:t xml:space="preserve"> o konverziji</w:t>
      </w:r>
      <w:r w:rsidRPr="00476DB8">
        <w:t xml:space="preserve"> novčanog obeštećenja u </w:t>
      </w:r>
      <w:r w:rsidRPr="000B0B9D">
        <w:rPr>
          <w:b/>
        </w:rPr>
        <w:t xml:space="preserve">obveznice </w:t>
      </w:r>
      <w:r w:rsidRPr="00476DB8">
        <w:t xml:space="preserve">u ukupnoj nominalnoj vrijednosti </w:t>
      </w:r>
      <w:r w:rsidRPr="00AE5CB9">
        <w:t xml:space="preserve">od </w:t>
      </w:r>
      <w:r w:rsidR="00E45964">
        <w:rPr>
          <w:b/>
        </w:rPr>
        <w:t>248.828</w:t>
      </w:r>
      <w:r>
        <w:rPr>
          <w:b/>
        </w:rPr>
        <w:t>,00</w:t>
      </w:r>
      <w:r w:rsidRPr="00EE10E6">
        <w:rPr>
          <w:b/>
        </w:rPr>
        <w:t xml:space="preserve"> €.</w:t>
      </w:r>
      <w:r w:rsidRPr="00476DB8">
        <w:t xml:space="preserve"> </w:t>
      </w:r>
    </w:p>
    <w:p w14:paraId="79E6AADD" w14:textId="60397474" w:rsidR="00463C47" w:rsidRDefault="00463C47" w:rsidP="00105434">
      <w:pPr>
        <w:numPr>
          <w:ilvl w:val="0"/>
          <w:numId w:val="18"/>
        </w:numPr>
        <w:spacing w:line="276" w:lineRule="auto"/>
        <w:jc w:val="both"/>
      </w:pPr>
      <w:r>
        <w:t>Od početka primjene Zakona</w:t>
      </w:r>
      <w:r w:rsidRPr="002C65F0">
        <w:t xml:space="preserve"> </w:t>
      </w:r>
      <w:r>
        <w:t xml:space="preserve">o </w:t>
      </w:r>
      <w:r w:rsidRPr="000C676C">
        <w:t>povraćaju oduzetih imovinskih prava i obeštećenju</w:t>
      </w:r>
      <w:r>
        <w:t xml:space="preserve">, pa sve do kraja izvještajnog perioda - </w:t>
      </w:r>
      <w:r w:rsidRPr="00105434">
        <w:rPr>
          <w:b/>
        </w:rPr>
        <w:t>31.12.202</w:t>
      </w:r>
      <w:r w:rsidR="009C7874" w:rsidRPr="00105434">
        <w:rPr>
          <w:b/>
        </w:rPr>
        <w:t>5</w:t>
      </w:r>
      <w:r>
        <w:t xml:space="preserve">. </w:t>
      </w:r>
      <w:proofErr w:type="gramStart"/>
      <w:r>
        <w:t>godine,  Fondu</w:t>
      </w:r>
      <w:proofErr w:type="gramEnd"/>
      <w:r>
        <w:t xml:space="preserve"> za obeštećenje je od strane komisija za povraćaj i obeštećenje dostavljeno ukupno </w:t>
      </w:r>
      <w:r w:rsidRPr="00105434">
        <w:rPr>
          <w:b/>
        </w:rPr>
        <w:t>175</w:t>
      </w:r>
      <w:r w:rsidR="00285D18">
        <w:rPr>
          <w:b/>
        </w:rPr>
        <w:t>2</w:t>
      </w:r>
      <w:r w:rsidRPr="00105434">
        <w:rPr>
          <w:b/>
        </w:rPr>
        <w:t xml:space="preserve"> konačna rješenja,</w:t>
      </w:r>
      <w:r>
        <w:t xml:space="preserve"> čija ukupna vrijednost na dan 31.12.202</w:t>
      </w:r>
      <w:r w:rsidR="00DD1E43">
        <w:t>5</w:t>
      </w:r>
      <w:r>
        <w:t xml:space="preserve">. godine iznosi </w:t>
      </w:r>
      <w:r w:rsidR="00301EDF" w:rsidRPr="00105434">
        <w:rPr>
          <w:b/>
        </w:rPr>
        <w:t>247.</w:t>
      </w:r>
      <w:r w:rsidR="00B61E01">
        <w:rPr>
          <w:b/>
        </w:rPr>
        <w:t>927</w:t>
      </w:r>
      <w:r w:rsidR="00301EDF" w:rsidRPr="00105434">
        <w:rPr>
          <w:b/>
        </w:rPr>
        <w:t>.</w:t>
      </w:r>
      <w:r w:rsidR="00B61E01">
        <w:rPr>
          <w:b/>
        </w:rPr>
        <w:t>099</w:t>
      </w:r>
      <w:r w:rsidR="00301EDF" w:rsidRPr="00105434">
        <w:rPr>
          <w:b/>
        </w:rPr>
        <w:t>,</w:t>
      </w:r>
      <w:r w:rsidR="00B61E01">
        <w:rPr>
          <w:b/>
        </w:rPr>
        <w:t>19</w:t>
      </w:r>
      <w:r w:rsidRPr="00105434">
        <w:rPr>
          <w:b/>
        </w:rPr>
        <w:t xml:space="preserve"> €</w:t>
      </w:r>
      <w:r w:rsidRPr="00EE10E6">
        <w:t>.</w:t>
      </w:r>
      <w:r>
        <w:t xml:space="preserve">  Po konačnim </w:t>
      </w:r>
      <w:r>
        <w:lastRenderedPageBreak/>
        <w:t>rješenjima, od početka primjene zakona, bivšim vlasnicima je</w:t>
      </w:r>
      <w:r w:rsidRPr="00F34329">
        <w:t xml:space="preserve"> </w:t>
      </w:r>
      <w:r>
        <w:t>ukupno u novcu isplaćeno</w:t>
      </w:r>
      <w:r w:rsidRPr="00105434">
        <w:rPr>
          <w:b/>
        </w:rPr>
        <w:t xml:space="preserve"> </w:t>
      </w:r>
      <w:r w:rsidR="00301EDF" w:rsidRPr="00105434">
        <w:rPr>
          <w:b/>
        </w:rPr>
        <w:t>72.400.044,33</w:t>
      </w:r>
      <w:r w:rsidRPr="00105434">
        <w:rPr>
          <w:b/>
        </w:rPr>
        <w:t xml:space="preserve"> €</w:t>
      </w:r>
      <w:r w:rsidRPr="00EE10E6">
        <w:t>.</w:t>
      </w:r>
    </w:p>
    <w:p w14:paraId="2135DC5E" w14:textId="77777777" w:rsidR="00463C47" w:rsidRDefault="00463C47" w:rsidP="00463C47">
      <w:pPr>
        <w:numPr>
          <w:ilvl w:val="0"/>
          <w:numId w:val="7"/>
        </w:numPr>
        <w:spacing w:line="276" w:lineRule="auto"/>
        <w:jc w:val="both"/>
      </w:pPr>
      <w:r w:rsidRPr="00777CF5">
        <w:t xml:space="preserve">Shodno Zakonu o povraćaju oduzetih imovinskih prava i </w:t>
      </w:r>
      <w:proofErr w:type="gramStart"/>
      <w:r w:rsidRPr="00777CF5">
        <w:t>obeštećenju  izvršena</w:t>
      </w:r>
      <w:proofErr w:type="gramEnd"/>
      <w:r w:rsidRPr="00777CF5">
        <w:t xml:space="preserve"> je</w:t>
      </w:r>
      <w:r>
        <w:t xml:space="preserve"> prva</w:t>
      </w:r>
      <w:r w:rsidRPr="00777CF5">
        <w:t xml:space="preserve"> emisija obveznica serije </w:t>
      </w:r>
      <w:r w:rsidRPr="00777CF5">
        <w:rPr>
          <w:b/>
        </w:rPr>
        <w:t>FO01</w:t>
      </w:r>
      <w:r w:rsidRPr="00777CF5">
        <w:t xml:space="preserve"> u iznosu od </w:t>
      </w:r>
      <w:r w:rsidRPr="00777CF5">
        <w:rPr>
          <w:b/>
        </w:rPr>
        <w:t xml:space="preserve">105.000.000,00 </w:t>
      </w:r>
      <w:r>
        <w:rPr>
          <w:b/>
        </w:rPr>
        <w:t>€</w:t>
      </w:r>
      <w:r w:rsidRPr="00777CF5">
        <w:t>, koje</w:t>
      </w:r>
      <w:r>
        <w:t xml:space="preserve"> su imale rok važenja tri godine, odnosno do 08.04.2007. godine</w:t>
      </w:r>
      <w:r w:rsidRPr="00777CF5">
        <w:t xml:space="preserve">. Od naprijed navedene emisije, iznos za koji je trajno umanjena obaveza Države prema korisnicima obeštećenja iznosi </w:t>
      </w:r>
      <w:r w:rsidRPr="0019696E">
        <w:rPr>
          <w:b/>
        </w:rPr>
        <w:t xml:space="preserve">18.528.502,00 </w:t>
      </w:r>
      <w:r>
        <w:rPr>
          <w:b/>
        </w:rPr>
        <w:t>€</w:t>
      </w:r>
    </w:p>
    <w:p w14:paraId="2A53D432" w14:textId="3BA54E62" w:rsidR="00463C47" w:rsidRDefault="00463C47" w:rsidP="00463C47">
      <w:pPr>
        <w:numPr>
          <w:ilvl w:val="0"/>
          <w:numId w:val="7"/>
        </w:numPr>
        <w:spacing w:line="276" w:lineRule="auto"/>
        <w:jc w:val="both"/>
      </w:pPr>
      <w:r>
        <w:t>Od emisije obveznica</w:t>
      </w:r>
      <w:r w:rsidRPr="00696436">
        <w:t xml:space="preserve"> </w:t>
      </w:r>
      <w:r>
        <w:t xml:space="preserve">serije FO02 u ukupnoj vrijednosti od </w:t>
      </w:r>
      <w:r>
        <w:rPr>
          <w:b/>
        </w:rPr>
        <w:t>210.000.000,00 e</w:t>
      </w:r>
      <w:r w:rsidRPr="00B011CA">
        <w:rPr>
          <w:b/>
        </w:rPr>
        <w:t>ura</w:t>
      </w:r>
      <w:r>
        <w:t>, Fond za obeštećenje je</w:t>
      </w:r>
      <w:r w:rsidRPr="00FC790C">
        <w:t xml:space="preserve"> </w:t>
      </w:r>
      <w:r>
        <w:t xml:space="preserve">postupajući po zahtjevima korisnika prava na obeštećenje do kraja izvještajnog perioda, odnosno </w:t>
      </w:r>
      <w:r>
        <w:rPr>
          <w:b/>
        </w:rPr>
        <w:t>do 31.12.202</w:t>
      </w:r>
      <w:r w:rsidR="009C7874">
        <w:rPr>
          <w:b/>
        </w:rPr>
        <w:t>5</w:t>
      </w:r>
      <w:r w:rsidRPr="00C70A88">
        <w:rPr>
          <w:b/>
        </w:rPr>
        <w:t>. god</w:t>
      </w:r>
      <w:proofErr w:type="gramStart"/>
      <w:r>
        <w:t>.,  kod</w:t>
      </w:r>
      <w:proofErr w:type="gramEnd"/>
      <w:r>
        <w:t xml:space="preserve"> Centralnog klirinškog depozitarnog društva (CKDD), izvršio registraciju obveznica u ukupnoj vrijednosti </w:t>
      </w:r>
      <w:r w:rsidRPr="00AE5CB9">
        <w:t xml:space="preserve">od  </w:t>
      </w:r>
      <w:r w:rsidR="00301EDF">
        <w:rPr>
          <w:b/>
        </w:rPr>
        <w:t>97.276.672,00</w:t>
      </w:r>
      <w:r w:rsidRPr="00EE10E6">
        <w:rPr>
          <w:b/>
        </w:rPr>
        <w:t xml:space="preserve"> €</w:t>
      </w:r>
      <w:r w:rsidRPr="00EE10E6">
        <w:t>.</w:t>
      </w:r>
    </w:p>
    <w:p w14:paraId="6D005808" w14:textId="7BCC7D1B" w:rsidR="00463C47" w:rsidRPr="00940AE2" w:rsidRDefault="00463C47" w:rsidP="00463C47">
      <w:pPr>
        <w:numPr>
          <w:ilvl w:val="0"/>
          <w:numId w:val="7"/>
        </w:numPr>
        <w:spacing w:line="276" w:lineRule="auto"/>
        <w:jc w:val="both"/>
      </w:pPr>
      <w:r w:rsidRPr="0019696E">
        <w:t xml:space="preserve">Od ukupne navedene vrijednosti registrovanih obveznica kod CKDD po </w:t>
      </w:r>
      <w:r w:rsidRPr="0019696E">
        <w:rPr>
          <w:b/>
        </w:rPr>
        <w:t>izvodu o</w:t>
      </w:r>
      <w:r w:rsidRPr="0019696E">
        <w:t xml:space="preserve"> </w:t>
      </w:r>
      <w:r w:rsidRPr="0019696E">
        <w:rPr>
          <w:b/>
        </w:rPr>
        <w:t>strukturi akcionara za emitente na 31.12.202</w:t>
      </w:r>
      <w:r w:rsidR="009C7874">
        <w:rPr>
          <w:b/>
        </w:rPr>
        <w:t>5</w:t>
      </w:r>
      <w:r w:rsidRPr="0019696E">
        <w:t xml:space="preserve">. </w:t>
      </w:r>
      <w:r w:rsidRPr="0019696E">
        <w:rPr>
          <w:b/>
        </w:rPr>
        <w:t>godine</w:t>
      </w:r>
      <w:r w:rsidRPr="0019696E">
        <w:t xml:space="preserve">, najveći broj hartija od vrijednosti FO02 nalazi se na računu Ministarstva finansija i to 57.056.519,00 €. Na restricted računu Fonda za obeštećenje nalazi se </w:t>
      </w:r>
      <w:r>
        <w:t xml:space="preserve">19.078.812,00 </w:t>
      </w:r>
      <w:r w:rsidRPr="0019696E">
        <w:t>€. Na računu Uprave</w:t>
      </w:r>
      <w:r>
        <w:t xml:space="preserve"> </w:t>
      </w:r>
      <w:r w:rsidRPr="0019696E">
        <w:t xml:space="preserve">carina iznos od </w:t>
      </w:r>
      <w:r w:rsidR="00301EDF">
        <w:t>18.652.707,00</w:t>
      </w:r>
      <w:r w:rsidRPr="00EE10E6">
        <w:t xml:space="preserve"> </w:t>
      </w:r>
      <w:r w:rsidRPr="0019696E">
        <w:t xml:space="preserve">€ i iznos od </w:t>
      </w:r>
      <w:r w:rsidR="00301EDF">
        <w:t>1.142.424,00</w:t>
      </w:r>
      <w:r w:rsidRPr="0019696E">
        <w:t xml:space="preserve">€ na računu </w:t>
      </w:r>
      <w:r>
        <w:t>P</w:t>
      </w:r>
      <w:r w:rsidRPr="0019696E">
        <w:t>oreske uprave. Zavod za zapošlj</w:t>
      </w:r>
      <w:r>
        <w:t>a</w:t>
      </w:r>
      <w:r w:rsidRPr="0019696E">
        <w:t xml:space="preserve">vanje je </w:t>
      </w:r>
      <w:r w:rsidRPr="00940AE2">
        <w:t xml:space="preserve">vlasnik 192.739,00 € i </w:t>
      </w:r>
      <w:proofErr w:type="gramStart"/>
      <w:r w:rsidRPr="00940AE2">
        <w:t>Fond  PIO</w:t>
      </w:r>
      <w:proofErr w:type="gramEnd"/>
      <w:r w:rsidRPr="00940AE2">
        <w:t xml:space="preserve"> Crne Gore 7.596,00 €.</w:t>
      </w:r>
    </w:p>
    <w:p w14:paraId="413E0AE4" w14:textId="77777777" w:rsidR="00463C47" w:rsidRPr="0019696E" w:rsidRDefault="00463C47" w:rsidP="00463C47">
      <w:pPr>
        <w:spacing w:line="276" w:lineRule="auto"/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070"/>
        <w:gridCol w:w="1818"/>
      </w:tblGrid>
      <w:tr w:rsidR="00463C47" w:rsidRPr="007E2181" w14:paraId="5A10542A" w14:textId="77777777" w:rsidTr="00301EDF">
        <w:trPr>
          <w:trHeight w:val="647"/>
        </w:trPr>
        <w:tc>
          <w:tcPr>
            <w:tcW w:w="4248" w:type="dxa"/>
            <w:shd w:val="clear" w:color="auto" w:fill="auto"/>
          </w:tcPr>
          <w:p w14:paraId="04349A88" w14:textId="77777777" w:rsidR="00463C47" w:rsidRPr="001B7E4A" w:rsidRDefault="00463C47" w:rsidP="00301EDF">
            <w:pPr>
              <w:spacing w:line="276" w:lineRule="auto"/>
              <w:rPr>
                <w:b/>
                <w:color w:val="FFFF00"/>
              </w:rPr>
            </w:pPr>
            <w:r w:rsidRPr="001B7E4A">
              <w:rPr>
                <w:b/>
              </w:rPr>
              <w:t>AKCIONARI FO02 KOD CKDD</w:t>
            </w:r>
          </w:p>
        </w:tc>
        <w:tc>
          <w:tcPr>
            <w:tcW w:w="2070" w:type="dxa"/>
            <w:shd w:val="clear" w:color="auto" w:fill="auto"/>
          </w:tcPr>
          <w:p w14:paraId="711914BE" w14:textId="77777777" w:rsidR="00463C47" w:rsidRPr="007E2181" w:rsidRDefault="00463C47" w:rsidP="00301EDF">
            <w:pPr>
              <w:spacing w:line="276" w:lineRule="auto"/>
              <w:rPr>
                <w:b/>
              </w:rPr>
            </w:pPr>
            <w:r w:rsidRPr="007E2181">
              <w:rPr>
                <w:b/>
              </w:rPr>
              <w:t>BROJ HARTIJA</w:t>
            </w:r>
          </w:p>
        </w:tc>
        <w:tc>
          <w:tcPr>
            <w:tcW w:w="1818" w:type="dxa"/>
            <w:shd w:val="clear" w:color="auto" w:fill="auto"/>
          </w:tcPr>
          <w:p w14:paraId="6A3DA5D9" w14:textId="77777777" w:rsidR="00463C47" w:rsidRPr="007E2181" w:rsidRDefault="00463C47" w:rsidP="00301EDF">
            <w:pPr>
              <w:spacing w:line="276" w:lineRule="auto"/>
              <w:rPr>
                <w:b/>
              </w:rPr>
            </w:pPr>
            <w:r w:rsidRPr="007E2181">
              <w:rPr>
                <w:b/>
              </w:rPr>
              <w:t>UČEŠĆE</w:t>
            </w:r>
            <w:r>
              <w:rPr>
                <w:b/>
              </w:rPr>
              <w:t xml:space="preserve"> U%</w:t>
            </w:r>
          </w:p>
        </w:tc>
      </w:tr>
      <w:tr w:rsidR="00463C47" w:rsidRPr="007E2181" w14:paraId="30E60843" w14:textId="77777777" w:rsidTr="00301EDF">
        <w:tc>
          <w:tcPr>
            <w:tcW w:w="4248" w:type="dxa"/>
            <w:shd w:val="clear" w:color="auto" w:fill="auto"/>
          </w:tcPr>
          <w:p w14:paraId="3F79C366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Ministarstvo finansija</w:t>
            </w:r>
          </w:p>
        </w:tc>
        <w:tc>
          <w:tcPr>
            <w:tcW w:w="2070" w:type="dxa"/>
            <w:shd w:val="clear" w:color="auto" w:fill="auto"/>
          </w:tcPr>
          <w:p w14:paraId="3D49E85C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57.056.519</w:t>
            </w:r>
          </w:p>
        </w:tc>
        <w:tc>
          <w:tcPr>
            <w:tcW w:w="1818" w:type="dxa"/>
            <w:shd w:val="clear" w:color="auto" w:fill="auto"/>
          </w:tcPr>
          <w:p w14:paraId="5763F620" w14:textId="5451E1E2" w:rsidR="00463C47" w:rsidRPr="007E2181" w:rsidRDefault="00301EDF" w:rsidP="00301EDF">
            <w:pPr>
              <w:spacing w:line="276" w:lineRule="auto"/>
              <w:jc w:val="both"/>
            </w:pPr>
            <w:r>
              <w:t>58,6539</w:t>
            </w:r>
          </w:p>
        </w:tc>
      </w:tr>
      <w:tr w:rsidR="00463C47" w:rsidRPr="007E2181" w14:paraId="1217DB78" w14:textId="77777777" w:rsidTr="00301EDF">
        <w:tc>
          <w:tcPr>
            <w:tcW w:w="4248" w:type="dxa"/>
            <w:shd w:val="clear" w:color="auto" w:fill="auto"/>
          </w:tcPr>
          <w:p w14:paraId="03D7B5A1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Fond za obeštećenje</w:t>
            </w:r>
          </w:p>
        </w:tc>
        <w:tc>
          <w:tcPr>
            <w:tcW w:w="2070" w:type="dxa"/>
            <w:shd w:val="clear" w:color="auto" w:fill="auto"/>
          </w:tcPr>
          <w:p w14:paraId="055F9950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19.078.812</w:t>
            </w:r>
          </w:p>
        </w:tc>
        <w:tc>
          <w:tcPr>
            <w:tcW w:w="1818" w:type="dxa"/>
            <w:shd w:val="clear" w:color="auto" w:fill="auto"/>
          </w:tcPr>
          <w:p w14:paraId="3F8951E7" w14:textId="401F8801" w:rsidR="00463C47" w:rsidRPr="007E2181" w:rsidRDefault="00301EDF" w:rsidP="00301EDF">
            <w:pPr>
              <w:spacing w:line="276" w:lineRule="auto"/>
              <w:jc w:val="both"/>
            </w:pPr>
            <w:r>
              <w:t>19,6129</w:t>
            </w:r>
          </w:p>
        </w:tc>
      </w:tr>
      <w:tr w:rsidR="00463C47" w:rsidRPr="007E2181" w14:paraId="7637CD52" w14:textId="77777777" w:rsidTr="00301EDF">
        <w:tc>
          <w:tcPr>
            <w:tcW w:w="4248" w:type="dxa"/>
            <w:shd w:val="clear" w:color="auto" w:fill="auto"/>
          </w:tcPr>
          <w:p w14:paraId="384B4830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Uprava carina</w:t>
            </w:r>
          </w:p>
        </w:tc>
        <w:tc>
          <w:tcPr>
            <w:tcW w:w="2070" w:type="dxa"/>
            <w:shd w:val="clear" w:color="auto" w:fill="auto"/>
          </w:tcPr>
          <w:p w14:paraId="3B1D18C1" w14:textId="4D5ED31D" w:rsidR="00463C47" w:rsidRPr="007E2181" w:rsidRDefault="00301EDF" w:rsidP="00301EDF">
            <w:pPr>
              <w:spacing w:line="276" w:lineRule="auto"/>
              <w:jc w:val="both"/>
            </w:pPr>
            <w:r>
              <w:t>18.652.707</w:t>
            </w:r>
          </w:p>
        </w:tc>
        <w:tc>
          <w:tcPr>
            <w:tcW w:w="1818" w:type="dxa"/>
            <w:shd w:val="clear" w:color="auto" w:fill="auto"/>
          </w:tcPr>
          <w:p w14:paraId="664B6A3F" w14:textId="0FBAD64B" w:rsidR="00463C47" w:rsidRPr="007E2181" w:rsidRDefault="00301EDF" w:rsidP="00301EDF">
            <w:pPr>
              <w:spacing w:line="276" w:lineRule="auto"/>
              <w:jc w:val="both"/>
            </w:pPr>
            <w:r>
              <w:t>19,1749</w:t>
            </w:r>
          </w:p>
        </w:tc>
      </w:tr>
      <w:tr w:rsidR="00463C47" w:rsidRPr="007E2181" w14:paraId="0D14D749" w14:textId="77777777" w:rsidTr="00301EDF">
        <w:tc>
          <w:tcPr>
            <w:tcW w:w="4248" w:type="dxa"/>
            <w:shd w:val="clear" w:color="auto" w:fill="auto"/>
          </w:tcPr>
          <w:p w14:paraId="55CCCC35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Poreska up</w:t>
            </w:r>
            <w:r>
              <w:t>r</w:t>
            </w:r>
            <w:r w:rsidRPr="007E2181">
              <w:t>ava</w:t>
            </w:r>
          </w:p>
        </w:tc>
        <w:tc>
          <w:tcPr>
            <w:tcW w:w="2070" w:type="dxa"/>
            <w:shd w:val="clear" w:color="auto" w:fill="auto"/>
          </w:tcPr>
          <w:p w14:paraId="2CC2EC31" w14:textId="166BF345" w:rsidR="00463C47" w:rsidRPr="007E2181" w:rsidRDefault="00301EDF" w:rsidP="00301EDF">
            <w:pPr>
              <w:spacing w:line="276" w:lineRule="auto"/>
              <w:jc w:val="both"/>
            </w:pPr>
            <w:r>
              <w:t>1.142.424</w:t>
            </w:r>
          </w:p>
        </w:tc>
        <w:tc>
          <w:tcPr>
            <w:tcW w:w="1818" w:type="dxa"/>
            <w:shd w:val="clear" w:color="auto" w:fill="auto"/>
          </w:tcPr>
          <w:p w14:paraId="4CEBCC99" w14:textId="3A19116E" w:rsidR="00463C47" w:rsidRPr="007E2181" w:rsidRDefault="00301EDF" w:rsidP="00301EDF">
            <w:pPr>
              <w:spacing w:line="276" w:lineRule="auto"/>
              <w:jc w:val="both"/>
            </w:pPr>
            <w:r>
              <w:t>1,1744</w:t>
            </w:r>
          </w:p>
        </w:tc>
      </w:tr>
      <w:tr w:rsidR="00463C47" w:rsidRPr="007E2181" w14:paraId="479D03F7" w14:textId="77777777" w:rsidTr="00301EDF">
        <w:tc>
          <w:tcPr>
            <w:tcW w:w="4248" w:type="dxa"/>
            <w:shd w:val="clear" w:color="auto" w:fill="auto"/>
          </w:tcPr>
          <w:p w14:paraId="7393CCDB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Zavod za zapo</w:t>
            </w:r>
            <w:r>
              <w:t>š</w:t>
            </w:r>
            <w:r w:rsidRPr="007E2181">
              <w:t>ljavanje Crne Gore</w:t>
            </w:r>
          </w:p>
        </w:tc>
        <w:tc>
          <w:tcPr>
            <w:tcW w:w="2070" w:type="dxa"/>
            <w:shd w:val="clear" w:color="auto" w:fill="auto"/>
          </w:tcPr>
          <w:p w14:paraId="0826D663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192.739</w:t>
            </w:r>
          </w:p>
        </w:tc>
        <w:tc>
          <w:tcPr>
            <w:tcW w:w="1818" w:type="dxa"/>
            <w:shd w:val="clear" w:color="auto" w:fill="auto"/>
          </w:tcPr>
          <w:p w14:paraId="54FB4BEF" w14:textId="596672B5" w:rsidR="00463C47" w:rsidRPr="007E2181" w:rsidRDefault="00463C47" w:rsidP="00301EDF">
            <w:pPr>
              <w:spacing w:line="276" w:lineRule="auto"/>
              <w:jc w:val="both"/>
            </w:pPr>
            <w:r>
              <w:t>0,1</w:t>
            </w:r>
            <w:r w:rsidR="00301EDF">
              <w:t>981</w:t>
            </w:r>
          </w:p>
        </w:tc>
      </w:tr>
      <w:tr w:rsidR="00463C47" w:rsidRPr="007E2181" w14:paraId="4A39C301" w14:textId="77777777" w:rsidTr="00301EDF">
        <w:tc>
          <w:tcPr>
            <w:tcW w:w="4248" w:type="dxa"/>
            <w:shd w:val="clear" w:color="auto" w:fill="auto"/>
          </w:tcPr>
          <w:p w14:paraId="6DADE309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Fond penzijskog i invalidskog osiguranja</w:t>
            </w:r>
          </w:p>
        </w:tc>
        <w:tc>
          <w:tcPr>
            <w:tcW w:w="2070" w:type="dxa"/>
            <w:shd w:val="clear" w:color="auto" w:fill="auto"/>
          </w:tcPr>
          <w:p w14:paraId="42EBB4F9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7.596</w:t>
            </w:r>
          </w:p>
        </w:tc>
        <w:tc>
          <w:tcPr>
            <w:tcW w:w="1818" w:type="dxa"/>
            <w:shd w:val="clear" w:color="auto" w:fill="auto"/>
          </w:tcPr>
          <w:p w14:paraId="678A9317" w14:textId="77777777" w:rsidR="00463C47" w:rsidRPr="007E2181" w:rsidRDefault="00463C47" w:rsidP="00301EDF">
            <w:pPr>
              <w:spacing w:line="276" w:lineRule="auto"/>
              <w:jc w:val="both"/>
            </w:pPr>
            <w:r w:rsidRPr="007E2181">
              <w:t>0,0078</w:t>
            </w:r>
          </w:p>
        </w:tc>
      </w:tr>
    </w:tbl>
    <w:p w14:paraId="24FADB8D" w14:textId="77777777" w:rsidR="00463C47" w:rsidRDefault="00463C47" w:rsidP="00463C47">
      <w:pPr>
        <w:spacing w:line="276" w:lineRule="auto"/>
        <w:ind w:left="720"/>
        <w:jc w:val="both"/>
      </w:pPr>
    </w:p>
    <w:p w14:paraId="46C57010" w14:textId="4DDE85EC" w:rsidR="00463C47" w:rsidRPr="00371EE2" w:rsidRDefault="00463C47" w:rsidP="00463C47">
      <w:pPr>
        <w:numPr>
          <w:ilvl w:val="0"/>
          <w:numId w:val="7"/>
        </w:numPr>
        <w:jc w:val="both"/>
      </w:pPr>
      <w:r w:rsidRPr="004D5F99">
        <w:t xml:space="preserve">Ukupan iznos za koji je trajno umanjena obaveza Fonda za obeštećenje prema </w:t>
      </w:r>
      <w:r w:rsidRPr="00371EE2">
        <w:t>bivšim vlasnicima</w:t>
      </w:r>
      <w:r w:rsidRPr="00371EE2">
        <w:rPr>
          <w:b/>
        </w:rPr>
        <w:t xml:space="preserve"> </w:t>
      </w:r>
      <w:r w:rsidRPr="00371EE2">
        <w:t>na dan 31.12.202</w:t>
      </w:r>
      <w:r w:rsidR="009C7874">
        <w:t>5</w:t>
      </w:r>
      <w:r w:rsidRPr="00371EE2">
        <w:t xml:space="preserve">. godine iznosi </w:t>
      </w:r>
      <w:r w:rsidR="00E86366">
        <w:rPr>
          <w:b/>
        </w:rPr>
        <w:t>187.059.343,33</w:t>
      </w:r>
      <w:r w:rsidRPr="00371EE2">
        <w:rPr>
          <w:b/>
        </w:rPr>
        <w:t xml:space="preserve"> €.</w:t>
      </w:r>
    </w:p>
    <w:p w14:paraId="1F68E65D" w14:textId="77777777" w:rsidR="00463C47" w:rsidRPr="00371EE2" w:rsidRDefault="00463C47" w:rsidP="00463C47">
      <w:pPr>
        <w:ind w:left="720"/>
        <w:jc w:val="both"/>
      </w:pPr>
    </w:p>
    <w:p w14:paraId="165A3B61" w14:textId="15FD2B7F" w:rsidR="00463C47" w:rsidRPr="00371EE2" w:rsidRDefault="00463C47" w:rsidP="00463C47">
      <w:pPr>
        <w:numPr>
          <w:ilvl w:val="0"/>
          <w:numId w:val="7"/>
        </w:numPr>
        <w:jc w:val="both"/>
      </w:pPr>
      <w:r w:rsidRPr="00371EE2">
        <w:t>Ukupan dug po konačnim rješenjima koja su dostavljena Fondu za obeštećenje do 31.12.202</w:t>
      </w:r>
      <w:r w:rsidR="009C7874">
        <w:t>5</w:t>
      </w:r>
      <w:r w:rsidRPr="00371EE2">
        <w:t xml:space="preserve">. godine iznosi </w:t>
      </w:r>
      <w:r w:rsidR="00E86366">
        <w:rPr>
          <w:b/>
        </w:rPr>
        <w:t>60.</w:t>
      </w:r>
      <w:r w:rsidR="00B61E01">
        <w:rPr>
          <w:b/>
        </w:rPr>
        <w:t>867</w:t>
      </w:r>
      <w:r w:rsidR="00E86366">
        <w:rPr>
          <w:b/>
        </w:rPr>
        <w:t>.</w:t>
      </w:r>
      <w:r w:rsidR="00B61E01">
        <w:rPr>
          <w:b/>
        </w:rPr>
        <w:t>755</w:t>
      </w:r>
      <w:r w:rsidR="00E86366">
        <w:rPr>
          <w:b/>
        </w:rPr>
        <w:t>,</w:t>
      </w:r>
      <w:r w:rsidR="00B61E01">
        <w:rPr>
          <w:b/>
        </w:rPr>
        <w:t>86</w:t>
      </w:r>
      <w:r w:rsidRPr="00371EE2">
        <w:rPr>
          <w:b/>
        </w:rPr>
        <w:t>€.</w:t>
      </w:r>
    </w:p>
    <w:p w14:paraId="1EA4B78E" w14:textId="77777777" w:rsidR="00463C47" w:rsidRPr="00371EE2" w:rsidRDefault="00463C47" w:rsidP="00463C47">
      <w:pPr>
        <w:ind w:left="720"/>
        <w:jc w:val="both"/>
      </w:pPr>
    </w:p>
    <w:p w14:paraId="5728785F" w14:textId="134BDDAF" w:rsidR="004E5475" w:rsidRPr="00D005A2" w:rsidRDefault="00463C47" w:rsidP="002D015E">
      <w:pPr>
        <w:numPr>
          <w:ilvl w:val="0"/>
          <w:numId w:val="20"/>
        </w:numPr>
        <w:jc w:val="both"/>
      </w:pPr>
      <w:r w:rsidRPr="00371EE2">
        <w:rPr>
          <w:rFonts w:eastAsia="Calibri"/>
          <w:lang w:val="sr-Latn-CS"/>
        </w:rPr>
        <w:t>Ukupni materijalni izdaci Fonda za obeštećenje u 202</w:t>
      </w:r>
      <w:r w:rsidR="009C7874">
        <w:rPr>
          <w:rFonts w:eastAsia="Calibri"/>
          <w:lang w:val="sr-Latn-CS"/>
        </w:rPr>
        <w:t>5</w:t>
      </w:r>
      <w:r w:rsidRPr="00371EE2">
        <w:rPr>
          <w:rFonts w:eastAsia="Calibri"/>
          <w:lang w:val="sr-Latn-CS"/>
        </w:rPr>
        <w:t>. godini iznosili su</w:t>
      </w:r>
      <w:r w:rsidR="009503D8">
        <w:rPr>
          <w:rFonts w:ascii="Arial" w:hAnsi="Arial" w:cs="Arial"/>
          <w:b/>
          <w:bCs/>
          <w:sz w:val="20"/>
          <w:szCs w:val="20"/>
        </w:rPr>
        <w:t xml:space="preserve"> 8.771.434.45 </w:t>
      </w:r>
      <w:r w:rsidRPr="00371EE2">
        <w:rPr>
          <w:rFonts w:eastAsia="Calibri"/>
          <w:b/>
          <w:bCs/>
        </w:rPr>
        <w:t>€</w:t>
      </w:r>
      <w:r w:rsidRPr="00371EE2">
        <w:rPr>
          <w:rFonts w:eastAsia="Calibri"/>
          <w:bCs/>
        </w:rPr>
        <w:t xml:space="preserve"> i</w:t>
      </w:r>
      <w:r w:rsidRPr="00371EE2">
        <w:rPr>
          <w:rFonts w:eastAsia="Calibri"/>
          <w:b/>
          <w:bCs/>
        </w:rPr>
        <w:t xml:space="preserve"> </w:t>
      </w:r>
      <w:r w:rsidRPr="00371EE2">
        <w:rPr>
          <w:rFonts w:eastAsia="Calibri"/>
          <w:bCs/>
        </w:rPr>
        <w:t>isti su prikazani u</w:t>
      </w:r>
      <w:r w:rsidRPr="00371EE2">
        <w:rPr>
          <w:rFonts w:eastAsia="Calibri"/>
          <w:lang w:val="sr-Latn-CS"/>
        </w:rPr>
        <w:t xml:space="preserve"> izvještaju o novčanim to</w:t>
      </w:r>
      <w:r w:rsidR="001C721C">
        <w:rPr>
          <w:rFonts w:eastAsia="Calibri"/>
          <w:lang w:val="sr-Latn-CS"/>
        </w:rPr>
        <w:t>kovima</w:t>
      </w:r>
      <w:r w:rsidR="001C721C">
        <w:rPr>
          <w:rFonts w:eastAsia="Calibri"/>
          <w:lang w:val="sr-Latn-ME"/>
        </w:rPr>
        <w:t>:</w:t>
      </w:r>
    </w:p>
    <w:p w14:paraId="4DCB4EA1" w14:textId="0B944731" w:rsidR="00D005A2" w:rsidRDefault="00D005A2" w:rsidP="00D005A2">
      <w:pPr>
        <w:jc w:val="both"/>
      </w:pPr>
    </w:p>
    <w:p w14:paraId="527BC7F7" w14:textId="71B32C2A" w:rsidR="00D005A2" w:rsidRDefault="00D005A2" w:rsidP="00D005A2">
      <w:pPr>
        <w:jc w:val="both"/>
      </w:pPr>
    </w:p>
    <w:p w14:paraId="01B23482" w14:textId="2C950C69" w:rsidR="00D005A2" w:rsidRDefault="00D005A2" w:rsidP="00D005A2">
      <w:pPr>
        <w:jc w:val="both"/>
      </w:pPr>
    </w:p>
    <w:p w14:paraId="6D09DFED" w14:textId="2EE07864" w:rsidR="00D005A2" w:rsidRDefault="00D005A2" w:rsidP="00D005A2">
      <w:pPr>
        <w:jc w:val="both"/>
      </w:pPr>
    </w:p>
    <w:p w14:paraId="74776061" w14:textId="22B95117" w:rsidR="00D005A2" w:rsidRDefault="00D005A2" w:rsidP="00D005A2">
      <w:pPr>
        <w:jc w:val="both"/>
      </w:pPr>
    </w:p>
    <w:p w14:paraId="3A68AFE7" w14:textId="5D3114DF" w:rsidR="00D005A2" w:rsidRDefault="00D005A2" w:rsidP="00D005A2">
      <w:pPr>
        <w:jc w:val="both"/>
      </w:pPr>
    </w:p>
    <w:p w14:paraId="3EFA94B1" w14:textId="77777777" w:rsidR="00D005A2" w:rsidRPr="002D015E" w:rsidRDefault="00D005A2" w:rsidP="00D005A2">
      <w:pPr>
        <w:jc w:val="both"/>
      </w:pPr>
    </w:p>
    <w:p w14:paraId="55798591" w14:textId="3205E883" w:rsidR="002D015E" w:rsidRDefault="002D015E" w:rsidP="002D015E">
      <w:pPr>
        <w:jc w:val="both"/>
      </w:pPr>
    </w:p>
    <w:p w14:paraId="27B5C574" w14:textId="77777777" w:rsidR="002D015E" w:rsidRPr="002D015E" w:rsidRDefault="002D015E" w:rsidP="002D015E">
      <w:pPr>
        <w:jc w:val="both"/>
      </w:pPr>
    </w:p>
    <w:p w14:paraId="726531B2" w14:textId="10C630DE" w:rsidR="002747FD" w:rsidRPr="002747FD" w:rsidRDefault="002747FD" w:rsidP="002747FD">
      <w:pPr>
        <w:autoSpaceDE w:val="0"/>
        <w:autoSpaceDN w:val="0"/>
        <w:adjustRightInd w:val="0"/>
        <w:ind w:left="-1" w:hanging="135"/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lastRenderedPageBreak/>
        <w:t xml:space="preserve">       </w:t>
      </w:r>
      <w:r w:rsidRPr="002747FD">
        <w:rPr>
          <w:rFonts w:ascii="Arial" w:hAnsi="Arial" w:cs="Arial"/>
          <w:bCs/>
          <w:color w:val="000000"/>
          <w:sz w:val="22"/>
        </w:rPr>
        <w:t>Organizacioni kod: 60501A0138</w:t>
      </w:r>
      <w:r w:rsidRPr="002747FD">
        <w:rPr>
          <w:rFonts w:ascii="Arial" w:hAnsi="Arial" w:cs="Arial"/>
          <w:b/>
          <w:bCs/>
          <w:color w:val="000000"/>
          <w:sz w:val="22"/>
        </w:rPr>
        <w:t xml:space="preserve">                                                                         Obrazac 3 </w:t>
      </w:r>
    </w:p>
    <w:tbl>
      <w:tblPr>
        <w:tblpPr w:leftFromText="180" w:rightFromText="180" w:horzAnchor="margin" w:tblpXSpec="center" w:tblpY="375"/>
        <w:tblW w:w="10848" w:type="dxa"/>
        <w:tblLook w:val="0000" w:firstRow="0" w:lastRow="0" w:firstColumn="0" w:lastColumn="0" w:noHBand="0" w:noVBand="0"/>
      </w:tblPr>
      <w:tblGrid>
        <w:gridCol w:w="880"/>
        <w:gridCol w:w="1949"/>
        <w:gridCol w:w="1885"/>
        <w:gridCol w:w="1420"/>
        <w:gridCol w:w="1384"/>
        <w:gridCol w:w="1194"/>
        <w:gridCol w:w="251"/>
        <w:gridCol w:w="1885"/>
      </w:tblGrid>
      <w:tr w:rsidR="002747FD" w:rsidRPr="008B4509" w14:paraId="0FDB9DB6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077B2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CAF38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IZVJEŠTAJ O NOVČANIM TOKOVIMA III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AE31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6CAFC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Godina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161975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2747FD" w:rsidRPr="008B4509" w14:paraId="56BDCF33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DFA6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D00F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BB83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6C256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Period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A4B76" w14:textId="2CE202A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01.01.-3</w:t>
            </w:r>
            <w:r w:rsidR="003866E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.12.2025</w:t>
            </w:r>
          </w:p>
        </w:tc>
      </w:tr>
      <w:tr w:rsidR="002747FD" w:rsidRPr="008B4509" w14:paraId="67C2A85D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2AF7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3580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DE6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24D5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EE63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       (u €)</w:t>
            </w:r>
          </w:p>
        </w:tc>
      </w:tr>
      <w:tr w:rsidR="002747FD" w:rsidRPr="008B4509" w14:paraId="02AC52FC" w14:textId="77777777" w:rsidTr="002747FD">
        <w:trPr>
          <w:trHeight w:val="53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691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1CD909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NOVČANI TOK-EKONOMSKA KLASIFIKACIJA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BF2F98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C7D6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I z v r š e nj e</w:t>
            </w:r>
          </w:p>
        </w:tc>
      </w:tr>
      <w:tr w:rsidR="002747FD" w:rsidRPr="008B4509" w14:paraId="7B2FE95D" w14:textId="77777777" w:rsidTr="002747FD">
        <w:trPr>
          <w:trHeight w:val="6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2CA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2D6C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885D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22A5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Prethodna godina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B2AA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Tekuća godina</w:t>
            </w:r>
          </w:p>
        </w:tc>
      </w:tr>
      <w:tr w:rsidR="002747FD" w:rsidRPr="008B4509" w14:paraId="7E174C82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96AC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2CB5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0F12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5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EDEB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5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73C0B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5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747FD" w:rsidRPr="008B4509" w14:paraId="3240E8E7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014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CEFD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987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A4EA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FC7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3D85CFA2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C72C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CDA59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Opšti prihodi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497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9.455.473.60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6E5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8.167.816.72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A90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8.771.434.45</w:t>
            </w:r>
          </w:p>
        </w:tc>
      </w:tr>
      <w:tr w:rsidR="002747FD" w:rsidRPr="008B4509" w14:paraId="41583F53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3C03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27D6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Namjenski prihodi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3A6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260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E07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353767C9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23FF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ED77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Sopstveni prihodi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C392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8B3F9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1B9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2A49C8F1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6941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B748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28B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9D7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EBE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7786B510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93D9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E4EB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Po</w:t>
            </w:r>
            <w:r w:rsidRPr="008B4509">
              <w:rPr>
                <w:rFonts w:ascii="Arial" w:hAnsi="Arial" w:cs="Arial"/>
                <w:sz w:val="20"/>
                <w:szCs w:val="20"/>
                <w:lang w:val="sr-Latn-CS"/>
              </w:rPr>
              <w:t>zajmice i krediti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D33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395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1C8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64E95E19" w14:textId="77777777" w:rsidTr="002747F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5DD2119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F4B8058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</w:t>
            </w:r>
            <w:proofErr w:type="gramStart"/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primici  (</w:t>
            </w:r>
            <w:proofErr w:type="gramEnd"/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1.1+1.2+1.3+1.4+1.5)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E8775A7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9.455.473.60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DB95EAA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8.167.816.72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B714ED1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8.771.434,45</w:t>
            </w:r>
          </w:p>
        </w:tc>
      </w:tr>
      <w:tr w:rsidR="002747FD" w:rsidRPr="008B4509" w14:paraId="004EAADE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CB6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3FD0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IZDACI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4C3E9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A81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89FF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1597D608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C716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B78E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Tekući izdaci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ED77" w14:textId="77777777" w:rsidR="002747FD" w:rsidRPr="006B6049" w:rsidRDefault="002747FD" w:rsidP="00863A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254.872.60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4F8A0" w14:textId="77777777" w:rsidR="002747FD" w:rsidRPr="006B6049" w:rsidRDefault="002747FD" w:rsidP="00863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04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201.107,07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2D87C" w14:textId="77777777" w:rsidR="002747FD" w:rsidRPr="006B6049" w:rsidRDefault="002747FD" w:rsidP="00863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049">
              <w:rPr>
                <w:rFonts w:ascii="Arial" w:hAnsi="Arial" w:cs="Arial"/>
                <w:b/>
                <w:sz w:val="20"/>
                <w:szCs w:val="20"/>
              </w:rPr>
              <w:t xml:space="preserve"> 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215.352,35</w:t>
            </w:r>
          </w:p>
        </w:tc>
      </w:tr>
      <w:tr w:rsidR="002747FD" w:rsidRPr="008B4509" w14:paraId="5DF8E167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AA13B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5AB5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Bruto zarade i doprinosi na teret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986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151.649.89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FD90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117.904.48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49B5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127.086.04</w:t>
            </w:r>
          </w:p>
        </w:tc>
      </w:tr>
      <w:tr w:rsidR="002747FD" w:rsidRPr="008B4509" w14:paraId="318B3E09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031C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02915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Ostala lična primanja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D14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13.731.25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DC25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10.817.92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A315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10.718,52</w:t>
            </w:r>
          </w:p>
        </w:tc>
      </w:tr>
      <w:tr w:rsidR="002747FD" w:rsidRPr="008B4509" w14:paraId="1BEC75C8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BE34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B00E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Rashodi za materijal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B06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11.600.00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B06E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8.994,37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F31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9.846.90</w:t>
            </w:r>
          </w:p>
        </w:tc>
      </w:tr>
      <w:tr w:rsidR="002747FD" w:rsidRPr="008B4509" w14:paraId="0384DB36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FC1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2.1.4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DE80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90B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43.420,77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A45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37.957,15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475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37.814.71</w:t>
            </w:r>
          </w:p>
        </w:tc>
      </w:tr>
      <w:tr w:rsidR="002747FD" w:rsidRPr="008B4509" w14:paraId="5A029D5E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55F9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2.1.5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0381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Tekuće održavanje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41B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2.808,81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2E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2.250,91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3F0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2.655.22</w:t>
            </w:r>
          </w:p>
        </w:tc>
      </w:tr>
      <w:tr w:rsidR="002747FD" w:rsidRPr="008B4509" w14:paraId="312DE85F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0C18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2.1.6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D29B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Kamate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44EA4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A44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E75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244E86D3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5057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2.1.7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EC8E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Renta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B9F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CD7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23A2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65380666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0226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2.1.8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602C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2EE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599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E89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629CD15E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5D55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2.1.9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B5D64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Ostali izdaci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B8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31.661.88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EB9CE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23.182,24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03C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27.230.96</w:t>
            </w:r>
          </w:p>
        </w:tc>
      </w:tr>
      <w:tr w:rsidR="002747FD" w:rsidRPr="008B4509" w14:paraId="7DBE53E9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8E874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3C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          Transferi za socijalnu zaštitu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21C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239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3BB4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7A414332" w14:textId="77777777" w:rsidTr="002747F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0497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ABA8B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Prava iz oblasti socijalne zaštite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4E59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7CB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E7F4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FD" w:rsidRPr="008B4509" w14:paraId="5C09DA4E" w14:textId="77777777" w:rsidTr="002747FD">
        <w:trPr>
          <w:trHeight w:val="1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C0E9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48C47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Sredstva za tehnološke viškove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4D45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22D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9471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FD" w:rsidRPr="008B4509" w14:paraId="4FB0C79B" w14:textId="77777777" w:rsidTr="002747FD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8DA13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2.2.3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2C86B" w14:textId="47F052C8" w:rsidR="002747FD" w:rsidRPr="008B4509" w:rsidRDefault="002747FD" w:rsidP="004427DA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Prava iz oblasti penzijskog i invalidskog </w:t>
            </w:r>
            <w:r w:rsidR="004427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4509">
              <w:rPr>
                <w:rFonts w:ascii="Arial" w:hAnsi="Arial" w:cs="Arial"/>
                <w:sz w:val="20"/>
                <w:szCs w:val="20"/>
              </w:rPr>
              <w:t>osiguranja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8F95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1CD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82E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FD" w:rsidRPr="008B4509" w14:paraId="52176183" w14:textId="77777777" w:rsidTr="002747FD">
        <w:trPr>
          <w:trHeight w:val="31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654B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2.2.4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8BBDF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Ostala prava iz oblasti zdravstvene zaštite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3ABF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77F9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542F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FD" w:rsidRPr="008B4509" w14:paraId="364891EF" w14:textId="77777777" w:rsidTr="002747F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BF9F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2.2.5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81937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Ostala prava iz oblasti zdravstvenog osiguranja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46C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D93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E5E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FD" w:rsidRPr="008B4509" w14:paraId="2AFA03DE" w14:textId="77777777" w:rsidTr="002747FD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59B0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82F1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          Transferi institucijama, pojedincima, nevladinom i    javnom sektoru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00E6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9.193.000.00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376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7.958.586,96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FD7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8.547.663.32</w:t>
            </w:r>
          </w:p>
        </w:tc>
      </w:tr>
      <w:tr w:rsidR="002747FD" w:rsidRPr="008B4509" w14:paraId="27820CC5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1305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8992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          Kapitalni izdaci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8F5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7.600.00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D1C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6.716,21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4703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7.324.28</w:t>
            </w:r>
          </w:p>
        </w:tc>
      </w:tr>
      <w:tr w:rsidR="002747FD" w:rsidRPr="008B4509" w14:paraId="013003A0" w14:textId="77777777" w:rsidTr="002747FD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0A168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E354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Pozajmice i krediti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F17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6E4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039A2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2B05EC60" w14:textId="77777777" w:rsidTr="002747F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A07C9B3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7D190D4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Otplata dugova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DADC7D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1,00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ED8EC8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0,00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2F779B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1.094,50</w:t>
            </w:r>
          </w:p>
        </w:tc>
      </w:tr>
      <w:tr w:rsidR="002747FD" w:rsidRPr="008B4509" w14:paraId="61B1DFFA" w14:textId="77777777" w:rsidTr="002747FD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D49F8DE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9DD15E5" w14:textId="77777777" w:rsidR="002747FD" w:rsidRPr="008B4509" w:rsidRDefault="002747FD" w:rsidP="00863AB9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Rezerve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9DC356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C5BAF94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46BABFC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47FD" w:rsidRPr="008B4509" w14:paraId="59994D3D" w14:textId="77777777" w:rsidTr="002747FD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FEA565A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BFFC769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</w:t>
            </w:r>
            <w:proofErr w:type="gramStart"/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izdaci  (</w:t>
            </w:r>
            <w:proofErr w:type="gramEnd"/>
            <w:r w:rsidRPr="008B4509">
              <w:rPr>
                <w:rFonts w:ascii="Arial" w:hAnsi="Arial" w:cs="Arial"/>
                <w:b/>
                <w:bCs/>
                <w:sz w:val="20"/>
                <w:szCs w:val="20"/>
              </w:rPr>
              <w:t>2.1 + 2.2 + 2.3  + 2.4 + 2.5 +2.6 +2.7)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E91E5C7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9.455.473,60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E28ECF1" w14:textId="77777777" w:rsidR="002747FD" w:rsidRPr="008B4509" w:rsidRDefault="002747FD" w:rsidP="00863A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8.166.410,24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316B7E3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8.771.434.45</w:t>
            </w:r>
          </w:p>
        </w:tc>
      </w:tr>
      <w:tr w:rsidR="002747FD" w:rsidRPr="008B4509" w14:paraId="29D54812" w14:textId="77777777" w:rsidTr="002747FD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0BD4" w14:textId="77777777" w:rsidR="002747FD" w:rsidRPr="008B4509" w:rsidRDefault="002747FD" w:rsidP="00863A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3A8B8" w14:textId="77777777" w:rsidR="002747FD" w:rsidRPr="008B4509" w:rsidRDefault="002747FD" w:rsidP="00863AB9">
            <w:pPr>
              <w:ind w:firstLineChars="300" w:firstLine="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C797B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D26F7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CD647" w14:textId="77777777" w:rsidR="002747FD" w:rsidRPr="008B4509" w:rsidRDefault="002747FD" w:rsidP="00863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47FD" w:rsidRPr="008B4509" w14:paraId="53F6B314" w14:textId="77777777" w:rsidTr="002747FD">
        <w:trPr>
          <w:trHeight w:val="255"/>
        </w:trPr>
        <w:tc>
          <w:tcPr>
            <w:tcW w:w="6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AB20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Podgorici      30.01.2026.god.</w:t>
            </w:r>
            <w:r w:rsidRPr="008B450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DA2EB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Lice odgovorno za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FF780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 xml:space="preserve">STARJEŠINA </w:t>
            </w:r>
          </w:p>
        </w:tc>
      </w:tr>
      <w:tr w:rsidR="002747FD" w:rsidRPr="008B4509" w14:paraId="4DB5F9D9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0EE57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64E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0084D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sastavljanje izvještaja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B3AA8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 w:rsidRPr="008B4509">
              <w:rPr>
                <w:rFonts w:ascii="Arial" w:hAnsi="Arial" w:cs="Arial"/>
                <w:sz w:val="20"/>
                <w:szCs w:val="20"/>
              </w:rPr>
              <w:t>ORGANA</w:t>
            </w:r>
          </w:p>
        </w:tc>
      </w:tr>
      <w:tr w:rsidR="002747FD" w:rsidRPr="008B4509" w14:paraId="7A668C2F" w14:textId="77777777" w:rsidTr="002747F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EEA39" w14:textId="77777777" w:rsidR="002747FD" w:rsidRPr="008B4509" w:rsidRDefault="002747FD" w:rsidP="00285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C783A" w14:textId="77777777" w:rsidR="002747FD" w:rsidRPr="008B4509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297CA" w14:textId="7115105F" w:rsidR="002747FD" w:rsidRDefault="002747FD" w:rsidP="00677BE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Đaletić Radojka</w:t>
            </w:r>
          </w:p>
          <w:p w14:paraId="50220DD6" w14:textId="77777777" w:rsidR="002852D5" w:rsidRDefault="002852D5" w:rsidP="00677BE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14:paraId="6D162D60" w14:textId="51415AA4" w:rsidR="00677BEA" w:rsidRDefault="002852D5" w:rsidP="00863AB9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6716BD"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14:paraId="3C8D3C03" w14:textId="2AC89C05" w:rsidR="00677BEA" w:rsidRPr="009F1C6E" w:rsidRDefault="00677BEA" w:rsidP="00863AB9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ED893" w14:textId="34838C04" w:rsidR="002747FD" w:rsidRDefault="002747FD" w:rsidP="00863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Elmir Kurtagić</w:t>
            </w:r>
          </w:p>
          <w:p w14:paraId="359F3D16" w14:textId="68239DAC" w:rsidR="006716BD" w:rsidRDefault="006716BD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2AA55" w14:textId="4C7EC943" w:rsidR="006716BD" w:rsidRDefault="006716BD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FAAD" w14:textId="7BCC8D38" w:rsidR="006716BD" w:rsidRDefault="006716BD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29D65" w14:textId="096D15DE" w:rsidR="006716BD" w:rsidRDefault="006716BD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CA7F6" w14:textId="77777777" w:rsidR="006716BD" w:rsidRDefault="006716BD" w:rsidP="00671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77F66" w14:textId="613DEECF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26AD0" w14:textId="7777777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ED724" w14:textId="7D303426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D9F39" w14:textId="7777777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04A39" w14:textId="0CCC5C4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CD508" w14:textId="7777777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49BBA" w14:textId="7777777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40AFF" w14:textId="2C4765AE" w:rsidR="002852D5" w:rsidRPr="008B4509" w:rsidRDefault="002852D5" w:rsidP="002852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8B4509" w14:paraId="1CAF84CB" w14:textId="77777777" w:rsidTr="002747FD">
        <w:trPr>
          <w:gridAfter w:val="5"/>
          <w:wAfter w:w="6134" w:type="dxa"/>
          <w:trHeight w:val="255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CD461" w14:textId="0EE6A3A0" w:rsidR="002852D5" w:rsidRDefault="002852D5" w:rsidP="00677BEA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C99A8" w14:textId="77777777" w:rsidR="002852D5" w:rsidRDefault="002852D5" w:rsidP="00863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FE709" w14:textId="2BAE4CC4" w:rsidR="002852D5" w:rsidRDefault="002852D5" w:rsidP="002852D5">
      <w:pPr>
        <w:rPr>
          <w:rFonts w:ascii="Arial" w:hAnsi="Arial" w:cs="Arial"/>
          <w:b/>
          <w:bCs/>
          <w:color w:val="000000"/>
        </w:rPr>
      </w:pPr>
      <w:r w:rsidRPr="002852D5">
        <w:rPr>
          <w:rFonts w:ascii="Arial" w:hAnsi="Arial" w:cs="Arial"/>
          <w:bCs/>
          <w:color w:val="000000"/>
          <w:sz w:val="22"/>
        </w:rPr>
        <w:t xml:space="preserve">Organizacioni kod:  </w:t>
      </w:r>
      <w:proofErr w:type="gramStart"/>
      <w:r w:rsidRPr="002852D5">
        <w:rPr>
          <w:rFonts w:ascii="Arial" w:hAnsi="Arial" w:cs="Arial"/>
          <w:bCs/>
          <w:color w:val="000000"/>
          <w:sz w:val="22"/>
        </w:rPr>
        <w:t>605012471</w:t>
      </w:r>
      <w:r w:rsidRPr="002852D5">
        <w:rPr>
          <w:rFonts w:ascii="Arial" w:hAnsi="Arial" w:cs="Arial"/>
          <w:b/>
          <w:bCs/>
          <w:color w:val="000000"/>
          <w:sz w:val="22"/>
        </w:rPr>
        <w:t xml:space="preserve">  </w:t>
      </w:r>
      <w:r w:rsidRPr="002852D5">
        <w:rPr>
          <w:rFonts w:ascii="Arial" w:hAnsi="Arial" w:cs="Arial"/>
          <w:b/>
          <w:bCs/>
          <w:color w:val="000000"/>
          <w:sz w:val="22"/>
        </w:rPr>
        <w:tab/>
      </w:r>
      <w:proofErr w:type="gramEnd"/>
      <w:r w:rsidRPr="002852D5"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 xml:space="preserve">                   </w:t>
      </w:r>
      <w:r w:rsidR="006716BD">
        <w:rPr>
          <w:rFonts w:ascii="Arial" w:hAnsi="Arial" w:cs="Arial"/>
          <w:b/>
          <w:bCs/>
          <w:color w:val="000000"/>
          <w:sz w:val="22"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22"/>
        </w:rPr>
        <w:t xml:space="preserve">                 </w:t>
      </w:r>
      <w:r w:rsidRPr="002852D5">
        <w:rPr>
          <w:rFonts w:ascii="Arial" w:hAnsi="Arial" w:cs="Arial"/>
          <w:b/>
          <w:bCs/>
          <w:color w:val="000000"/>
          <w:sz w:val="22"/>
        </w:rPr>
        <w:t>Obrazac 5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pPr w:leftFromText="180" w:rightFromText="180" w:vertAnchor="page" w:horzAnchor="margin" w:tblpY="3739"/>
        <w:tblW w:w="9977" w:type="dxa"/>
        <w:tblLook w:val="0000" w:firstRow="0" w:lastRow="0" w:firstColumn="0" w:lastColumn="0" w:noHBand="0" w:noVBand="0"/>
      </w:tblPr>
      <w:tblGrid>
        <w:gridCol w:w="820"/>
        <w:gridCol w:w="5541"/>
        <w:gridCol w:w="1996"/>
        <w:gridCol w:w="1620"/>
      </w:tblGrid>
      <w:tr w:rsidR="002852D5" w:rsidRPr="00E36C88" w14:paraId="3F7BA7D5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F1B44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5AEC3" w14:textId="77777777" w:rsidR="002852D5" w:rsidRPr="00E36C88" w:rsidRDefault="002852D5" w:rsidP="00671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C88">
              <w:rPr>
                <w:rFonts w:ascii="Arial" w:hAnsi="Arial" w:cs="Arial"/>
                <w:b/>
                <w:bCs/>
                <w:sz w:val="20"/>
                <w:szCs w:val="20"/>
              </w:rPr>
              <w:t>IZVJEŠTAJ O NEIZMIRENIM OBAVEZAMA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E2504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Godina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EE172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2025.</w:t>
            </w:r>
          </w:p>
        </w:tc>
      </w:tr>
      <w:tr w:rsidR="002852D5" w:rsidRPr="00E36C88" w14:paraId="5AF6BDB3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272EB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F615C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6E4E7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873FE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C8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852D5" w:rsidRPr="00E36C88" w14:paraId="0644D861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8618E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6324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F651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738A4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 xml:space="preserve">      (u €)</w:t>
            </w:r>
          </w:p>
        </w:tc>
      </w:tr>
      <w:tr w:rsidR="002852D5" w:rsidRPr="00E36C88" w14:paraId="12CB6C65" w14:textId="77777777" w:rsidTr="006716BD">
        <w:trPr>
          <w:trHeight w:val="10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AD3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3339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F1FE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Stanje obaveza na dan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36C88">
              <w:rPr>
                <w:rFonts w:ascii="Arial" w:hAnsi="Arial" w:cs="Arial"/>
                <w:sz w:val="20"/>
                <w:szCs w:val="20"/>
              </w:rPr>
              <w:t>.prethodne godine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6068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Stanje obaveza na kraju izvještajnog perioda</w:t>
            </w:r>
          </w:p>
        </w:tc>
      </w:tr>
      <w:tr w:rsidR="002852D5" w:rsidRPr="00E36C88" w14:paraId="2883CB47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A26C6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C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E49BB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C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4F92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C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C5633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C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852D5" w:rsidRPr="00E36C88" w14:paraId="4B0870CC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A3A15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28E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 xml:space="preserve">Obaveze za tekuće </w:t>
            </w:r>
            <w:proofErr w:type="gramStart"/>
            <w:r w:rsidRPr="00E36C88">
              <w:rPr>
                <w:rFonts w:ascii="Arial" w:hAnsi="Arial" w:cs="Arial"/>
                <w:sz w:val="20"/>
                <w:szCs w:val="20"/>
              </w:rPr>
              <w:t>izdatke  (</w:t>
            </w:r>
            <w:proofErr w:type="gramEnd"/>
            <w:r w:rsidRPr="00E36C88">
              <w:rPr>
                <w:rFonts w:ascii="Arial" w:hAnsi="Arial" w:cs="Arial"/>
                <w:sz w:val="20"/>
                <w:szCs w:val="20"/>
              </w:rPr>
              <w:t>1.1+1.2+1.3)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B1C9" w14:textId="77777777" w:rsidR="002852D5" w:rsidRPr="006B6049" w:rsidRDefault="002852D5" w:rsidP="006716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0.00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53DF" w14:textId="77777777" w:rsidR="002852D5" w:rsidRPr="006B6049" w:rsidRDefault="002852D5" w:rsidP="006716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0,00             </w:t>
            </w:r>
          </w:p>
        </w:tc>
      </w:tr>
      <w:tr w:rsidR="002852D5" w:rsidRPr="00E36C88" w14:paraId="55E525A6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1356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79D3" w14:textId="77777777" w:rsidR="002852D5" w:rsidRPr="00E36C88" w:rsidRDefault="002852D5" w:rsidP="006716B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za bruto zarade i doprinose na teret poslodavca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4543D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1.405,78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9807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0,00</w:t>
            </w:r>
          </w:p>
        </w:tc>
      </w:tr>
      <w:tr w:rsidR="002852D5" w:rsidRPr="00E36C88" w14:paraId="1C2467A9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3ABA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E137" w14:textId="77777777" w:rsidR="002852D5" w:rsidRPr="00E36C88" w:rsidRDefault="002852D5" w:rsidP="006716B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za ostala lična primanja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C72E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2580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0.00</w:t>
            </w:r>
          </w:p>
        </w:tc>
      </w:tr>
      <w:tr w:rsidR="002852D5" w:rsidRPr="00E36C88" w14:paraId="061880B5" w14:textId="77777777" w:rsidTr="006716BD">
        <w:trPr>
          <w:trHeight w:val="2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6ECC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6EFC" w14:textId="77777777" w:rsidR="002852D5" w:rsidRPr="00E36C88" w:rsidRDefault="002852D5" w:rsidP="006716B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za ostale tekuće izdatke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A272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D4A5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0.00</w:t>
            </w:r>
          </w:p>
        </w:tc>
      </w:tr>
      <w:tr w:rsidR="002852D5" w:rsidRPr="00E36C88" w14:paraId="56C543DE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4D2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FA95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po transferima za socijalnu zaštitu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3F421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0,00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97334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0.00</w:t>
            </w:r>
          </w:p>
        </w:tc>
      </w:tr>
      <w:tr w:rsidR="002852D5" w:rsidRPr="00E36C88" w14:paraId="6CD4FAF9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97B6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23DE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za transfere institucijama, pojedincima i kreditima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C261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9EF0F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0.00</w:t>
            </w:r>
          </w:p>
        </w:tc>
      </w:tr>
      <w:tr w:rsidR="002852D5" w:rsidRPr="00E36C88" w14:paraId="58856ED2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0B4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A77E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za kapitalne izdatke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45A8C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9B87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2852D5" w:rsidRPr="00E36C88" w14:paraId="56218D92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53E5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375C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po pozajmicama i kreditima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7C9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9C13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0.00</w:t>
            </w:r>
          </w:p>
        </w:tc>
      </w:tr>
      <w:tr w:rsidR="002852D5" w:rsidRPr="00E36C88" w14:paraId="00A18B6F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FFD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BBB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po osnovu otplate dugova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540B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E771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0.00</w:t>
            </w:r>
          </w:p>
        </w:tc>
      </w:tr>
      <w:tr w:rsidR="002852D5" w:rsidRPr="00E36C88" w14:paraId="0C8316E1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C956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C1E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Obaveze iz rezervi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BD06" w14:textId="77777777" w:rsidR="002852D5" w:rsidRPr="006B6049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68CC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0.00          </w:t>
            </w:r>
          </w:p>
        </w:tc>
      </w:tr>
      <w:tr w:rsidR="002852D5" w:rsidRPr="00E36C88" w14:paraId="14261946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7521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74016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 xml:space="preserve">Stanje obaveza na kraju </w:t>
            </w:r>
            <w:proofErr w:type="gramStart"/>
            <w:r w:rsidRPr="00E36C88">
              <w:rPr>
                <w:rFonts w:ascii="Arial" w:hAnsi="Arial" w:cs="Arial"/>
                <w:sz w:val="20"/>
                <w:szCs w:val="20"/>
              </w:rPr>
              <w:t>perioda  (</w:t>
            </w:r>
            <w:proofErr w:type="gramEnd"/>
            <w:r w:rsidRPr="00E36C88">
              <w:rPr>
                <w:rFonts w:ascii="Arial" w:hAnsi="Arial" w:cs="Arial"/>
                <w:sz w:val="20"/>
                <w:szCs w:val="20"/>
              </w:rPr>
              <w:t>1+2+3+4+5+6+7)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88AC" w14:textId="77777777" w:rsidR="002852D5" w:rsidRPr="006B6049" w:rsidRDefault="002852D5" w:rsidP="006716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1.405,78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11EA" w14:textId="77777777" w:rsidR="002852D5" w:rsidRPr="006B6049" w:rsidRDefault="002852D5" w:rsidP="006716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0,00</w:t>
            </w:r>
          </w:p>
        </w:tc>
      </w:tr>
      <w:tr w:rsidR="002852D5" w:rsidRPr="00E36C88" w14:paraId="2C3B3BFE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44F0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9572C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22EB2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611F2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E36C88" w14:paraId="74A2691C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95942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23EF4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5C16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A4192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E36C88" w14:paraId="77FEA8C9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746AB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ECC63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3C9A1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B1343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E36C88" w14:paraId="7AF37A92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E10B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52E40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365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ED4B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E36C88" w14:paraId="22D6CB8C" w14:textId="77777777" w:rsidTr="006716BD">
        <w:trPr>
          <w:trHeight w:val="255"/>
        </w:trPr>
        <w:tc>
          <w:tcPr>
            <w:tcW w:w="6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22A3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>Podgorici    30.01.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2026.g.</w:t>
            </w:r>
            <w:proofErr w:type="gramEnd"/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BB2C9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 xml:space="preserve">Lice odgovorno za </w:t>
            </w:r>
          </w:p>
        </w:tc>
      </w:tr>
      <w:tr w:rsidR="002852D5" w:rsidRPr="00E36C88" w14:paraId="695BE39C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B7D86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B31FA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93BC8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sastavljanje izvještaja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73A13" w14:textId="77777777" w:rsidR="002852D5" w:rsidRPr="00E36C88" w:rsidRDefault="002852D5" w:rsidP="00671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C88">
              <w:rPr>
                <w:rFonts w:ascii="Arial" w:hAnsi="Arial" w:cs="Arial"/>
                <w:sz w:val="20"/>
                <w:szCs w:val="20"/>
              </w:rPr>
              <w:t>Ovlašćeno lice</w:t>
            </w:r>
          </w:p>
        </w:tc>
      </w:tr>
      <w:tr w:rsidR="002852D5" w:rsidRPr="00E36C88" w14:paraId="4E2525BA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C97E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996E1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E00B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F4C0C" w14:textId="77777777" w:rsidR="002852D5" w:rsidRPr="00E36C88" w:rsidRDefault="002852D5" w:rsidP="00671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2D5" w:rsidRPr="00E36C88" w14:paraId="0FC8DA12" w14:textId="77777777" w:rsidTr="006716BD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52159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CFF76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1518D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Đaletić Radojka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2461F" w14:textId="77777777" w:rsidR="002852D5" w:rsidRPr="00E36C88" w:rsidRDefault="002852D5" w:rsidP="00671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Elmir Kurtagić</w:t>
            </w:r>
          </w:p>
        </w:tc>
      </w:tr>
    </w:tbl>
    <w:p w14:paraId="66F989B7" w14:textId="77777777" w:rsidR="002852D5" w:rsidRDefault="002852D5" w:rsidP="00463C47">
      <w:pPr>
        <w:jc w:val="both"/>
        <w:rPr>
          <w:b/>
        </w:rPr>
      </w:pPr>
    </w:p>
    <w:p w14:paraId="3EF39D22" w14:textId="69A297A8" w:rsidR="002852D5" w:rsidRDefault="002852D5" w:rsidP="00463C47">
      <w:pPr>
        <w:jc w:val="both"/>
        <w:rPr>
          <w:b/>
        </w:rPr>
      </w:pPr>
    </w:p>
    <w:p w14:paraId="1DA0FA00" w14:textId="43A3900A" w:rsidR="002852D5" w:rsidRDefault="002852D5" w:rsidP="00463C47">
      <w:pPr>
        <w:jc w:val="both"/>
        <w:rPr>
          <w:b/>
        </w:rPr>
      </w:pPr>
    </w:p>
    <w:p w14:paraId="74D9B8C1" w14:textId="02744417" w:rsidR="002852D5" w:rsidRDefault="002852D5" w:rsidP="00463C47">
      <w:pPr>
        <w:jc w:val="both"/>
        <w:rPr>
          <w:b/>
        </w:rPr>
      </w:pPr>
    </w:p>
    <w:p w14:paraId="4164C6F3" w14:textId="523132A4" w:rsidR="00C24F7A" w:rsidRDefault="00C24F7A" w:rsidP="00463C47">
      <w:pPr>
        <w:jc w:val="both"/>
        <w:rPr>
          <w:b/>
        </w:rPr>
      </w:pPr>
    </w:p>
    <w:p w14:paraId="4470B0AB" w14:textId="323669F6" w:rsidR="00C24F7A" w:rsidRDefault="00C24F7A" w:rsidP="00463C47">
      <w:pPr>
        <w:jc w:val="both"/>
        <w:rPr>
          <w:b/>
        </w:rPr>
      </w:pPr>
    </w:p>
    <w:p w14:paraId="6C8BD409" w14:textId="4B525D06" w:rsidR="00C24F7A" w:rsidRDefault="00C24F7A" w:rsidP="00463C47">
      <w:pPr>
        <w:jc w:val="both"/>
        <w:rPr>
          <w:b/>
        </w:rPr>
      </w:pPr>
    </w:p>
    <w:p w14:paraId="31C77D7B" w14:textId="4D25AA67" w:rsidR="00C24F7A" w:rsidRDefault="00C24F7A" w:rsidP="00463C47">
      <w:pPr>
        <w:jc w:val="both"/>
        <w:rPr>
          <w:b/>
        </w:rPr>
      </w:pPr>
    </w:p>
    <w:p w14:paraId="39071FA3" w14:textId="61559178" w:rsidR="00C24F7A" w:rsidRDefault="00C24F7A" w:rsidP="00463C47">
      <w:pPr>
        <w:jc w:val="both"/>
        <w:rPr>
          <w:b/>
        </w:rPr>
      </w:pPr>
    </w:p>
    <w:p w14:paraId="2ABA9FF5" w14:textId="54973B0A" w:rsidR="00C24F7A" w:rsidRDefault="00C24F7A" w:rsidP="00463C47">
      <w:pPr>
        <w:jc w:val="both"/>
        <w:rPr>
          <w:b/>
        </w:rPr>
      </w:pPr>
    </w:p>
    <w:p w14:paraId="48C0E1F2" w14:textId="2AA8EFA9" w:rsidR="00C24F7A" w:rsidRDefault="00C24F7A" w:rsidP="00463C47">
      <w:pPr>
        <w:jc w:val="both"/>
        <w:rPr>
          <w:b/>
        </w:rPr>
      </w:pPr>
    </w:p>
    <w:p w14:paraId="2DFEEBB4" w14:textId="77777777" w:rsidR="00C24F7A" w:rsidRDefault="00C24F7A" w:rsidP="00463C47">
      <w:pPr>
        <w:jc w:val="both"/>
        <w:rPr>
          <w:b/>
        </w:rPr>
      </w:pPr>
    </w:p>
    <w:p w14:paraId="0617D61D" w14:textId="509C5049" w:rsidR="00463C47" w:rsidRDefault="00463C47" w:rsidP="00463C47">
      <w:pPr>
        <w:jc w:val="center"/>
      </w:pPr>
    </w:p>
    <w:tbl>
      <w:tblPr>
        <w:tblW w:w="8601" w:type="dxa"/>
        <w:jc w:val="center"/>
        <w:tblLook w:val="04A0" w:firstRow="1" w:lastRow="0" w:firstColumn="1" w:lastColumn="0" w:noHBand="0" w:noVBand="1"/>
      </w:tblPr>
      <w:tblGrid>
        <w:gridCol w:w="2992"/>
        <w:gridCol w:w="2575"/>
        <w:gridCol w:w="3034"/>
      </w:tblGrid>
      <w:tr w:rsidR="009C525F" w:rsidRPr="00E25843" w14:paraId="1344A76E" w14:textId="77777777" w:rsidTr="009C525F">
        <w:trPr>
          <w:trHeight w:val="610"/>
          <w:jc w:val="center"/>
        </w:trPr>
        <w:tc>
          <w:tcPr>
            <w:tcW w:w="8601" w:type="dxa"/>
            <w:gridSpan w:val="3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92D050"/>
            <w:noWrap/>
            <w:vAlign w:val="center"/>
            <w:hideMark/>
          </w:tcPr>
          <w:p w14:paraId="013CC455" w14:textId="77777777" w:rsidR="009C525F" w:rsidRPr="00E25843" w:rsidRDefault="009C525F" w:rsidP="009C52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43">
              <w:rPr>
                <w:rFonts w:asciiTheme="minorHAnsi" w:hAnsiTheme="minorHAnsi" w:cstheme="minorHAnsi"/>
                <w:b/>
                <w:bCs/>
              </w:rPr>
              <w:t>VISINA OBEŠTEĆENJA PO REGIONALNIM KOMISIJAMA SHODNO IZVRŠNIM RJEŠENJIMA DOSTAVLJENIM FONDU U 202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E25843">
              <w:rPr>
                <w:rFonts w:asciiTheme="minorHAnsi" w:hAnsiTheme="minorHAnsi" w:cstheme="minorHAnsi"/>
                <w:b/>
                <w:bCs/>
              </w:rPr>
              <w:t>. GODINI</w:t>
            </w:r>
          </w:p>
        </w:tc>
      </w:tr>
      <w:tr w:rsidR="009C525F" w:rsidRPr="00E25843" w14:paraId="6958A666" w14:textId="77777777" w:rsidTr="009C525F">
        <w:trPr>
          <w:trHeight w:val="315"/>
          <w:jc w:val="center"/>
        </w:trPr>
        <w:tc>
          <w:tcPr>
            <w:tcW w:w="2992" w:type="dxa"/>
            <w:tcBorders>
              <w:top w:val="single" w:sz="8" w:space="0" w:color="3F3F3F"/>
              <w:left w:val="single" w:sz="8" w:space="0" w:color="3F3F3F"/>
              <w:bottom w:val="nil"/>
              <w:right w:val="single" w:sz="8" w:space="0" w:color="3F3F3F"/>
            </w:tcBorders>
            <w:shd w:val="clear" w:color="000000" w:fill="FFD966"/>
            <w:noWrap/>
            <w:vAlign w:val="center"/>
            <w:hideMark/>
          </w:tcPr>
          <w:p w14:paraId="4BD7E36E" w14:textId="77777777" w:rsidR="009C525F" w:rsidRPr="00E25843" w:rsidRDefault="009C525F" w:rsidP="009C52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43">
              <w:rPr>
                <w:rFonts w:asciiTheme="minorHAnsi" w:hAnsiTheme="minorHAnsi" w:cstheme="minorHAnsi"/>
                <w:b/>
                <w:bCs/>
              </w:rPr>
              <w:t>PODGORICA</w:t>
            </w:r>
          </w:p>
        </w:tc>
        <w:tc>
          <w:tcPr>
            <w:tcW w:w="2575" w:type="dxa"/>
            <w:tcBorders>
              <w:top w:val="single" w:sz="8" w:space="0" w:color="3F3F3F"/>
              <w:left w:val="nil"/>
              <w:bottom w:val="nil"/>
              <w:right w:val="single" w:sz="8" w:space="0" w:color="3F3F3F"/>
            </w:tcBorders>
            <w:shd w:val="clear" w:color="000000" w:fill="FFD966"/>
            <w:noWrap/>
            <w:vAlign w:val="center"/>
            <w:hideMark/>
          </w:tcPr>
          <w:p w14:paraId="343CC858" w14:textId="77777777" w:rsidR="009C525F" w:rsidRPr="00E25843" w:rsidRDefault="009C525F" w:rsidP="009C52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43">
              <w:rPr>
                <w:rFonts w:asciiTheme="minorHAnsi" w:hAnsiTheme="minorHAnsi" w:cstheme="minorHAnsi"/>
                <w:b/>
                <w:bCs/>
              </w:rPr>
              <w:t>BAR</w:t>
            </w:r>
          </w:p>
        </w:tc>
        <w:tc>
          <w:tcPr>
            <w:tcW w:w="3034" w:type="dxa"/>
            <w:tcBorders>
              <w:top w:val="single" w:sz="8" w:space="0" w:color="3F3F3F"/>
              <w:left w:val="nil"/>
              <w:bottom w:val="nil"/>
              <w:right w:val="single" w:sz="8" w:space="0" w:color="3F3F3F"/>
            </w:tcBorders>
            <w:shd w:val="clear" w:color="000000" w:fill="FFD966"/>
            <w:noWrap/>
            <w:vAlign w:val="center"/>
            <w:hideMark/>
          </w:tcPr>
          <w:p w14:paraId="1ADE9DCE" w14:textId="77777777" w:rsidR="009C525F" w:rsidRPr="00E25843" w:rsidRDefault="009C525F" w:rsidP="009C52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843">
              <w:rPr>
                <w:rFonts w:asciiTheme="minorHAnsi" w:hAnsiTheme="minorHAnsi" w:cstheme="minorHAnsi"/>
                <w:b/>
                <w:bCs/>
              </w:rPr>
              <w:t>BIJELO POLJE</w:t>
            </w:r>
          </w:p>
        </w:tc>
      </w:tr>
      <w:tr w:rsidR="009C525F" w14:paraId="2F24CD9F" w14:textId="77777777" w:rsidTr="009C525F">
        <w:tblPrEx>
          <w:jc w:val="left"/>
        </w:tblPrEx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08F48A99" w14:textId="4BC5B125" w:rsidR="009C525F" w:rsidRDefault="00831E43" w:rsidP="009C525F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181</w:t>
            </w:r>
            <w:r w:rsidR="00425906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.759,79</w:t>
            </w:r>
            <w:r w:rsidR="009C525F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2875C682" w14:textId="77777777" w:rsidR="009C525F" w:rsidRDefault="009C525F" w:rsidP="009C525F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 xml:space="preserve">12.543,30 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94D222C" w14:textId="77777777" w:rsidR="009C525F" w:rsidRDefault="009C525F" w:rsidP="009C525F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 xml:space="preserve">1.547,52 </w:t>
            </w:r>
          </w:p>
        </w:tc>
      </w:tr>
    </w:tbl>
    <w:p w14:paraId="054E14A9" w14:textId="31F12C39" w:rsidR="00463C47" w:rsidRDefault="00463C47" w:rsidP="00463C47">
      <w:pPr>
        <w:jc w:val="both"/>
      </w:pPr>
    </w:p>
    <w:p w14:paraId="0C3A49EC" w14:textId="77777777" w:rsidR="009C525F" w:rsidRDefault="009C525F" w:rsidP="00463C47">
      <w:pPr>
        <w:jc w:val="both"/>
      </w:pPr>
    </w:p>
    <w:p w14:paraId="132DC1F6" w14:textId="2E7A3E9F" w:rsidR="00963D6F" w:rsidRDefault="00963D6F" w:rsidP="00463C47">
      <w:pPr>
        <w:jc w:val="both"/>
      </w:pPr>
    </w:p>
    <w:p w14:paraId="6546C8A9" w14:textId="57DD9B7E" w:rsidR="001266F9" w:rsidRDefault="00425906" w:rsidP="00463C47">
      <w:pPr>
        <w:jc w:val="center"/>
      </w:pPr>
      <w:r>
        <w:rPr>
          <w:noProof/>
        </w:rPr>
        <w:drawing>
          <wp:inline distT="0" distB="0" distL="0" distR="0" wp14:anchorId="268C892F" wp14:editId="78778831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5A515C6C-EAE9-4771-BEC7-A50A59284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FEAF66" wp14:editId="2F9BC76E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AED8B937-AD38-46D9-B4E6-D0F409466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A32296" w14:textId="582A7F13" w:rsidR="00425906" w:rsidRDefault="00425906" w:rsidP="00463C47">
      <w:pPr>
        <w:jc w:val="center"/>
      </w:pPr>
    </w:p>
    <w:p w14:paraId="7159ECD1" w14:textId="21DF03DD" w:rsidR="00B90C21" w:rsidRDefault="00B90C21" w:rsidP="00463C47">
      <w:pPr>
        <w:jc w:val="center"/>
      </w:pPr>
    </w:p>
    <w:p w14:paraId="03A40B88" w14:textId="475B1681" w:rsidR="00B90C21" w:rsidRDefault="00B90C21" w:rsidP="00463C47">
      <w:pPr>
        <w:jc w:val="center"/>
      </w:pPr>
    </w:p>
    <w:p w14:paraId="0C7B3240" w14:textId="6D437D7D" w:rsidR="00B90C21" w:rsidRDefault="00B90C21" w:rsidP="00463C47">
      <w:pPr>
        <w:jc w:val="center"/>
      </w:pPr>
    </w:p>
    <w:p w14:paraId="5132261C" w14:textId="0BECEA33" w:rsidR="00B90C21" w:rsidRDefault="00B90C21" w:rsidP="00463C47">
      <w:pPr>
        <w:jc w:val="center"/>
      </w:pPr>
    </w:p>
    <w:p w14:paraId="1AE15AD4" w14:textId="5266489D" w:rsidR="00B90C21" w:rsidRDefault="00B90C21" w:rsidP="00463C47">
      <w:pPr>
        <w:jc w:val="center"/>
      </w:pPr>
    </w:p>
    <w:p w14:paraId="38FC8175" w14:textId="77777777" w:rsidR="00B90C21" w:rsidRDefault="00B90C21" w:rsidP="00463C47">
      <w:pPr>
        <w:jc w:val="center"/>
      </w:pPr>
    </w:p>
    <w:p w14:paraId="0BD5284F" w14:textId="0B78195F" w:rsidR="00425906" w:rsidRDefault="00425906" w:rsidP="00463C47">
      <w:pPr>
        <w:jc w:val="center"/>
      </w:pPr>
    </w:p>
    <w:p w14:paraId="352058C7" w14:textId="77777777" w:rsidR="008830C2" w:rsidRDefault="008830C2" w:rsidP="00463C47">
      <w:pPr>
        <w:jc w:val="center"/>
      </w:pPr>
    </w:p>
    <w:tbl>
      <w:tblPr>
        <w:tblW w:w="5780" w:type="dxa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</w:tblGrid>
      <w:tr w:rsidR="00425906" w:rsidRPr="00C1000D" w14:paraId="0F95CF16" w14:textId="77777777" w:rsidTr="00425906">
        <w:trPr>
          <w:trHeight w:val="315"/>
          <w:jc w:val="center"/>
        </w:trPr>
        <w:tc>
          <w:tcPr>
            <w:tcW w:w="5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5052B27A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KOMISIJA ZA POVRAĆAJ I OBEŠTEĆENJE - PODGORICA</w:t>
            </w:r>
          </w:p>
        </w:tc>
      </w:tr>
      <w:tr w:rsidR="00425906" w:rsidRPr="00C1000D" w14:paraId="5E05784F" w14:textId="77777777" w:rsidTr="00282FF8">
        <w:trPr>
          <w:trHeight w:val="315"/>
          <w:jc w:val="center"/>
        </w:trPr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62D87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PODGORICA</w:t>
            </w:r>
          </w:p>
        </w:tc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D3FCE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48.376,77</w:t>
            </w:r>
          </w:p>
        </w:tc>
      </w:tr>
      <w:tr w:rsidR="00425906" w:rsidRPr="00A40D57" w14:paraId="04029C8F" w14:textId="77777777" w:rsidTr="00282FF8">
        <w:trPr>
          <w:trHeight w:val="315"/>
          <w:jc w:val="center"/>
        </w:trPr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55611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NIKŠIĆ</w:t>
            </w:r>
          </w:p>
        </w:tc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3806E" w14:textId="77777777" w:rsidR="00425906" w:rsidRPr="00A40D57" w:rsidRDefault="00425906" w:rsidP="00282F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133.383,02</w:t>
            </w:r>
          </w:p>
        </w:tc>
      </w:tr>
      <w:tr w:rsidR="00425906" w:rsidRPr="00C1000D" w14:paraId="20ED5221" w14:textId="77777777" w:rsidTr="00282FF8">
        <w:trPr>
          <w:trHeight w:val="315"/>
          <w:jc w:val="center"/>
        </w:trPr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3CCDF3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bottom"/>
          </w:tcPr>
          <w:p w14:paraId="7EB5D65B" w14:textId="77777777" w:rsidR="00425906" w:rsidRPr="00C1000D" w:rsidRDefault="00425906" w:rsidP="00282F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181.759,79</w:t>
            </w:r>
          </w:p>
        </w:tc>
      </w:tr>
      <w:tr w:rsidR="00425906" w:rsidRPr="00C1000D" w14:paraId="3106404D" w14:textId="77777777" w:rsidTr="00282FF8">
        <w:trPr>
          <w:trHeight w:val="315"/>
          <w:jc w:val="center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336" w14:textId="77777777" w:rsidR="00425906" w:rsidRPr="00C1000D" w:rsidRDefault="00425906" w:rsidP="008830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36F" w14:textId="77777777" w:rsidR="00425906" w:rsidRPr="00A40D57" w:rsidRDefault="00425906" w:rsidP="008830C2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AD8" w14:textId="77777777" w:rsidR="00425906" w:rsidRPr="00C1000D" w:rsidRDefault="00425906" w:rsidP="0088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B10" w14:textId="77777777" w:rsidR="00425906" w:rsidRPr="00C1000D" w:rsidRDefault="00425906" w:rsidP="008830C2">
            <w:pPr>
              <w:rPr>
                <w:sz w:val="20"/>
                <w:szCs w:val="20"/>
              </w:rPr>
            </w:pPr>
          </w:p>
        </w:tc>
      </w:tr>
    </w:tbl>
    <w:p w14:paraId="6B223684" w14:textId="4E726DBE" w:rsidR="00567DE2" w:rsidRDefault="00567DE2" w:rsidP="008830C2"/>
    <w:tbl>
      <w:tblPr>
        <w:tblW w:w="5780" w:type="dxa"/>
        <w:jc w:val="center"/>
        <w:tblLook w:val="04A0" w:firstRow="1" w:lastRow="0" w:firstColumn="1" w:lastColumn="0" w:noHBand="0" w:noVBand="1"/>
      </w:tblPr>
      <w:tblGrid>
        <w:gridCol w:w="2890"/>
        <w:gridCol w:w="2890"/>
      </w:tblGrid>
      <w:tr w:rsidR="001266F9" w:rsidRPr="00C1000D" w14:paraId="1DA41042" w14:textId="77777777" w:rsidTr="00DD6ECC">
        <w:trPr>
          <w:trHeight w:val="315"/>
          <w:jc w:val="center"/>
        </w:trPr>
        <w:tc>
          <w:tcPr>
            <w:tcW w:w="5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1537EDA2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KOMISIJA ZA POVRAĆAJ I OBEŠTEĆENJE - BAR</w:t>
            </w:r>
          </w:p>
        </w:tc>
      </w:tr>
      <w:tr w:rsidR="001266F9" w:rsidRPr="00C1000D" w14:paraId="707E63ED" w14:textId="77777777" w:rsidTr="00DD6ECC">
        <w:trPr>
          <w:trHeight w:val="315"/>
          <w:jc w:val="center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0747E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ULCINJ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1C850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12,543.30</w:t>
            </w:r>
          </w:p>
        </w:tc>
      </w:tr>
      <w:tr w:rsidR="001266F9" w:rsidRPr="00C1000D" w14:paraId="24E424DC" w14:textId="77777777" w:rsidTr="00DD6ECC">
        <w:trPr>
          <w:trHeight w:val="315"/>
          <w:jc w:val="center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C6426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B2AD2C2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12,543.30</w:t>
            </w:r>
          </w:p>
        </w:tc>
      </w:tr>
    </w:tbl>
    <w:p w14:paraId="16E8E9FE" w14:textId="40058685" w:rsidR="001266F9" w:rsidRDefault="001266F9" w:rsidP="00463C47">
      <w:pPr>
        <w:jc w:val="center"/>
      </w:pPr>
    </w:p>
    <w:p w14:paraId="2F06697F" w14:textId="77777777" w:rsidR="00DF3D7B" w:rsidRDefault="00DF3D7B" w:rsidP="00463C47">
      <w:pPr>
        <w:jc w:val="center"/>
      </w:pPr>
    </w:p>
    <w:tbl>
      <w:tblPr>
        <w:tblW w:w="5780" w:type="dxa"/>
        <w:jc w:val="center"/>
        <w:tblLook w:val="04A0" w:firstRow="1" w:lastRow="0" w:firstColumn="1" w:lastColumn="0" w:noHBand="0" w:noVBand="1"/>
      </w:tblPr>
      <w:tblGrid>
        <w:gridCol w:w="2890"/>
        <w:gridCol w:w="2890"/>
      </w:tblGrid>
      <w:tr w:rsidR="001266F9" w:rsidRPr="00C1000D" w14:paraId="6DA4ECC6" w14:textId="77777777" w:rsidTr="00DD6ECC">
        <w:trPr>
          <w:trHeight w:val="315"/>
          <w:jc w:val="center"/>
        </w:trPr>
        <w:tc>
          <w:tcPr>
            <w:tcW w:w="5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10D7DEE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KOMISIJA ZA POVRAĆAJ I OBEŠTEĆENJE - BIJELO POLjE</w:t>
            </w:r>
          </w:p>
        </w:tc>
      </w:tr>
      <w:tr w:rsidR="001266F9" w:rsidRPr="00C1000D" w14:paraId="6F2DB4A1" w14:textId="77777777" w:rsidTr="00DD6ECC">
        <w:trPr>
          <w:trHeight w:val="315"/>
          <w:jc w:val="center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C558C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BERANE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AD22C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1,547.52</w:t>
            </w:r>
          </w:p>
        </w:tc>
      </w:tr>
      <w:tr w:rsidR="001266F9" w:rsidRPr="00C1000D" w14:paraId="331F6B00" w14:textId="77777777" w:rsidTr="00DD6ECC">
        <w:trPr>
          <w:trHeight w:val="315"/>
          <w:jc w:val="center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76BBD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B6D1730" w14:textId="77777777" w:rsidR="001266F9" w:rsidRPr="00C1000D" w:rsidRDefault="001266F9" w:rsidP="00DD6E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1,547.52</w:t>
            </w:r>
          </w:p>
        </w:tc>
      </w:tr>
    </w:tbl>
    <w:p w14:paraId="74C4050E" w14:textId="1E35182A" w:rsidR="00567DE2" w:rsidRDefault="00567DE2" w:rsidP="00463C47">
      <w:pPr>
        <w:jc w:val="center"/>
      </w:pPr>
    </w:p>
    <w:p w14:paraId="75ECB455" w14:textId="0E0B41B6" w:rsidR="001266F9" w:rsidRDefault="00425906" w:rsidP="00463C47">
      <w:pPr>
        <w:jc w:val="center"/>
      </w:pPr>
      <w:r>
        <w:rPr>
          <w:noProof/>
        </w:rPr>
        <w:drawing>
          <wp:inline distT="0" distB="0" distL="0" distR="0" wp14:anchorId="331CD6E2" wp14:editId="746C7962">
            <wp:extent cx="4325510" cy="2743200"/>
            <wp:effectExtent l="0" t="0" r="1841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2F006B0-34A2-438B-B985-F6D2A9C3D3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E4A4C1" wp14:editId="3E915E73">
            <wp:extent cx="4325509" cy="2711395"/>
            <wp:effectExtent l="0" t="0" r="18415" b="1333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7165CED9-4885-493C-B3AB-5D7BEBB93E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DDAD7E" w14:textId="302156F3" w:rsidR="00567DE2" w:rsidRDefault="00567DE2" w:rsidP="00463C47">
      <w:pPr>
        <w:jc w:val="center"/>
      </w:pPr>
    </w:p>
    <w:p w14:paraId="0A1163B3" w14:textId="77777777" w:rsidR="00B90C21" w:rsidRDefault="00B90C21" w:rsidP="00463C47">
      <w:pPr>
        <w:jc w:val="center"/>
      </w:pPr>
    </w:p>
    <w:p w14:paraId="12357D78" w14:textId="451C37D7" w:rsidR="00567DE2" w:rsidRDefault="00567DE2" w:rsidP="00463C47">
      <w:pPr>
        <w:jc w:val="center"/>
      </w:pPr>
    </w:p>
    <w:p w14:paraId="66971BB4" w14:textId="4E0EB81C" w:rsidR="00567DE2" w:rsidRDefault="00567DE2" w:rsidP="00463C47">
      <w:pPr>
        <w:jc w:val="center"/>
      </w:pPr>
    </w:p>
    <w:p w14:paraId="25B9DD58" w14:textId="666D4445" w:rsidR="00567DE2" w:rsidRDefault="00567DE2" w:rsidP="00463C47">
      <w:pPr>
        <w:jc w:val="center"/>
      </w:pPr>
    </w:p>
    <w:p w14:paraId="0A0E6B00" w14:textId="59CBF24C" w:rsidR="006E59B5" w:rsidRDefault="006E59B5" w:rsidP="00425906"/>
    <w:p w14:paraId="080B998B" w14:textId="59490586" w:rsidR="00463C47" w:rsidRDefault="00463C47" w:rsidP="00463C47">
      <w:pPr>
        <w:ind w:left="360"/>
        <w:jc w:val="both"/>
      </w:pPr>
      <w:r w:rsidRPr="00433768">
        <w:rPr>
          <w:b/>
        </w:rPr>
        <w:t>Fond za obeštećenje je na dan 31.12.202</w:t>
      </w:r>
      <w:r w:rsidR="00A41068">
        <w:rPr>
          <w:b/>
        </w:rPr>
        <w:t>5</w:t>
      </w:r>
      <w:r w:rsidRPr="00433768">
        <w:rPr>
          <w:b/>
        </w:rPr>
        <w:t>. godine, po izvodu iz CKDD</w:t>
      </w:r>
      <w:r>
        <w:rPr>
          <w:b/>
        </w:rPr>
        <w:t>,</w:t>
      </w:r>
      <w:r>
        <w:t xml:space="preserve"> </w:t>
      </w:r>
      <w:proofErr w:type="gramStart"/>
      <w:r w:rsidRPr="00433768">
        <w:rPr>
          <w:b/>
        </w:rPr>
        <w:t>vlasnik  akcija</w:t>
      </w:r>
      <w:proofErr w:type="gramEnd"/>
      <w:r w:rsidRPr="00433768">
        <w:rPr>
          <w:b/>
        </w:rPr>
        <w:t xml:space="preserve"> u sledećim privrednim društvima:</w:t>
      </w:r>
    </w:p>
    <w:p w14:paraId="400E2357" w14:textId="07850E8F" w:rsidR="00463C47" w:rsidRDefault="00463C47" w:rsidP="00463C47">
      <w:pPr>
        <w:ind w:left="720"/>
        <w:jc w:val="both"/>
      </w:pPr>
    </w:p>
    <w:p w14:paraId="168C34F2" w14:textId="77777777" w:rsidR="006E59B5" w:rsidRDefault="006E59B5" w:rsidP="00463C47">
      <w:pPr>
        <w:ind w:left="720"/>
        <w:jc w:val="both"/>
      </w:pPr>
    </w:p>
    <w:tbl>
      <w:tblPr>
        <w:tblpPr w:leftFromText="180" w:rightFromText="180" w:vertAnchor="text" w:horzAnchor="margin" w:tblpXSpec="center" w:tblpY="126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353"/>
        <w:gridCol w:w="2142"/>
        <w:gridCol w:w="1784"/>
      </w:tblGrid>
      <w:tr w:rsidR="002C3AF0" w14:paraId="691FC5B2" w14:textId="77777777" w:rsidTr="002C3AF0">
        <w:trPr>
          <w:trHeight w:val="57"/>
        </w:trPr>
        <w:tc>
          <w:tcPr>
            <w:tcW w:w="3043" w:type="dxa"/>
            <w:shd w:val="clear" w:color="auto" w:fill="auto"/>
          </w:tcPr>
          <w:p w14:paraId="282B60C0" w14:textId="77777777" w:rsidR="002C3AF0" w:rsidRPr="00601064" w:rsidRDefault="002C3AF0" w:rsidP="002C3AF0">
            <w:pPr>
              <w:spacing w:line="360" w:lineRule="auto"/>
              <w:rPr>
                <w:caps/>
                <w:sz w:val="22"/>
                <w:szCs w:val="22"/>
              </w:rPr>
            </w:pPr>
            <w:r w:rsidRPr="004005E8">
              <w:rPr>
                <w:b/>
                <w:caps/>
                <w:sz w:val="22"/>
                <w:szCs w:val="22"/>
              </w:rPr>
              <w:t xml:space="preserve">        </w:t>
            </w:r>
            <w:r w:rsidRPr="00601064">
              <w:rPr>
                <w:caps/>
                <w:sz w:val="22"/>
                <w:szCs w:val="22"/>
              </w:rPr>
              <w:t>NAZIV EMITENTA</w:t>
            </w:r>
          </w:p>
        </w:tc>
        <w:tc>
          <w:tcPr>
            <w:tcW w:w="1353" w:type="dxa"/>
            <w:shd w:val="clear" w:color="auto" w:fill="auto"/>
          </w:tcPr>
          <w:p w14:paraId="232B5DA6" w14:textId="77777777" w:rsidR="002C3AF0" w:rsidRPr="004005E8" w:rsidRDefault="002C3AF0" w:rsidP="002C3AF0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4005E8">
              <w:rPr>
                <w:b/>
                <w:caps/>
                <w:sz w:val="22"/>
                <w:szCs w:val="22"/>
              </w:rPr>
              <w:t>KOLIČINA</w:t>
            </w:r>
          </w:p>
        </w:tc>
        <w:tc>
          <w:tcPr>
            <w:tcW w:w="2142" w:type="dxa"/>
            <w:shd w:val="clear" w:color="auto" w:fill="auto"/>
          </w:tcPr>
          <w:p w14:paraId="51B4701C" w14:textId="77777777" w:rsidR="002C3AF0" w:rsidRPr="004005E8" w:rsidRDefault="002C3AF0" w:rsidP="002C3AF0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4005E8">
              <w:rPr>
                <w:b/>
                <w:caps/>
                <w:sz w:val="22"/>
                <w:szCs w:val="22"/>
              </w:rPr>
              <w:t>NOMINALNA VRIJEDNOST</w:t>
            </w:r>
          </w:p>
        </w:tc>
        <w:tc>
          <w:tcPr>
            <w:tcW w:w="1784" w:type="dxa"/>
            <w:shd w:val="clear" w:color="auto" w:fill="auto"/>
          </w:tcPr>
          <w:p w14:paraId="123DD4F7" w14:textId="77777777" w:rsidR="002C3AF0" w:rsidRPr="004005E8" w:rsidRDefault="002C3AF0" w:rsidP="002C3AF0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4005E8">
              <w:rPr>
                <w:b/>
                <w:caps/>
                <w:sz w:val="22"/>
                <w:szCs w:val="22"/>
              </w:rPr>
              <w:t>PROCENAT UĆEŠĆA</w:t>
            </w:r>
          </w:p>
        </w:tc>
      </w:tr>
      <w:tr w:rsidR="002C3AF0" w14:paraId="4B9C4045" w14:textId="77777777" w:rsidTr="002C3AF0">
        <w:trPr>
          <w:trHeight w:val="57"/>
        </w:trPr>
        <w:tc>
          <w:tcPr>
            <w:tcW w:w="3043" w:type="dxa"/>
            <w:shd w:val="clear" w:color="auto" w:fill="auto"/>
          </w:tcPr>
          <w:p w14:paraId="02F01FD3" w14:textId="77777777" w:rsidR="002C3AF0" w:rsidRPr="00601064" w:rsidRDefault="002C3AF0" w:rsidP="002C3A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1064">
              <w:rPr>
                <w:b/>
                <w:sz w:val="22"/>
                <w:szCs w:val="22"/>
              </w:rPr>
              <w:t>HTP ULCINJSKA RIVIJERA</w:t>
            </w:r>
          </w:p>
        </w:tc>
        <w:tc>
          <w:tcPr>
            <w:tcW w:w="1353" w:type="dxa"/>
            <w:shd w:val="clear" w:color="auto" w:fill="auto"/>
          </w:tcPr>
          <w:p w14:paraId="5101932E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183.085</w:t>
            </w:r>
          </w:p>
        </w:tc>
        <w:tc>
          <w:tcPr>
            <w:tcW w:w="2142" w:type="dxa"/>
            <w:shd w:val="clear" w:color="auto" w:fill="auto"/>
          </w:tcPr>
          <w:p w14:paraId="44782806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39,5005</w:t>
            </w:r>
          </w:p>
        </w:tc>
        <w:tc>
          <w:tcPr>
            <w:tcW w:w="1784" w:type="dxa"/>
            <w:shd w:val="clear" w:color="auto" w:fill="auto"/>
          </w:tcPr>
          <w:p w14:paraId="50A456A1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12,0103 %</w:t>
            </w:r>
          </w:p>
        </w:tc>
      </w:tr>
      <w:tr w:rsidR="002C3AF0" w14:paraId="2DC97EDB" w14:textId="77777777" w:rsidTr="002C3AF0">
        <w:trPr>
          <w:trHeight w:val="57"/>
        </w:trPr>
        <w:tc>
          <w:tcPr>
            <w:tcW w:w="3043" w:type="dxa"/>
            <w:shd w:val="clear" w:color="auto" w:fill="auto"/>
          </w:tcPr>
          <w:p w14:paraId="445A727B" w14:textId="6C32735F" w:rsidR="002C3AF0" w:rsidRPr="00601064" w:rsidRDefault="002C3AF0" w:rsidP="002C3A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1064">
              <w:rPr>
                <w:b/>
                <w:sz w:val="22"/>
                <w:szCs w:val="22"/>
              </w:rPr>
              <w:t xml:space="preserve">INSTITUT CRNU METALURGIJU AD </w:t>
            </w:r>
          </w:p>
        </w:tc>
        <w:tc>
          <w:tcPr>
            <w:tcW w:w="1353" w:type="dxa"/>
            <w:shd w:val="clear" w:color="auto" w:fill="auto"/>
          </w:tcPr>
          <w:p w14:paraId="5CE6A33C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33.946</w:t>
            </w:r>
          </w:p>
        </w:tc>
        <w:tc>
          <w:tcPr>
            <w:tcW w:w="2142" w:type="dxa"/>
            <w:shd w:val="clear" w:color="auto" w:fill="auto"/>
          </w:tcPr>
          <w:p w14:paraId="17112ABD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8,1602</w:t>
            </w:r>
          </w:p>
        </w:tc>
        <w:tc>
          <w:tcPr>
            <w:tcW w:w="1784" w:type="dxa"/>
            <w:shd w:val="clear" w:color="auto" w:fill="auto"/>
          </w:tcPr>
          <w:p w14:paraId="08A14465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5,3064%</w:t>
            </w:r>
          </w:p>
        </w:tc>
      </w:tr>
      <w:tr w:rsidR="002C3AF0" w14:paraId="6253DBCF" w14:textId="77777777" w:rsidTr="002C3AF0">
        <w:trPr>
          <w:trHeight w:val="57"/>
        </w:trPr>
        <w:tc>
          <w:tcPr>
            <w:tcW w:w="3043" w:type="dxa"/>
            <w:shd w:val="clear" w:color="auto" w:fill="auto"/>
          </w:tcPr>
          <w:p w14:paraId="261458D3" w14:textId="77777777" w:rsidR="002C3AF0" w:rsidRPr="00601064" w:rsidRDefault="002C3AF0" w:rsidP="002C3A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1064">
              <w:rPr>
                <w:b/>
                <w:sz w:val="22"/>
                <w:szCs w:val="22"/>
              </w:rPr>
              <w:t>ŽELJEZNIČKI PREVOZ CRNE GORE AD</w:t>
            </w:r>
          </w:p>
        </w:tc>
        <w:tc>
          <w:tcPr>
            <w:tcW w:w="1353" w:type="dxa"/>
            <w:shd w:val="clear" w:color="auto" w:fill="auto"/>
          </w:tcPr>
          <w:p w14:paraId="75A05224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1.665</w:t>
            </w:r>
          </w:p>
        </w:tc>
        <w:tc>
          <w:tcPr>
            <w:tcW w:w="2142" w:type="dxa"/>
            <w:shd w:val="clear" w:color="auto" w:fill="auto"/>
          </w:tcPr>
          <w:p w14:paraId="227C37D3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5,2812</w:t>
            </w:r>
          </w:p>
        </w:tc>
        <w:tc>
          <w:tcPr>
            <w:tcW w:w="1784" w:type="dxa"/>
            <w:shd w:val="clear" w:color="auto" w:fill="auto"/>
          </w:tcPr>
          <w:p w14:paraId="1276602A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0,0234%</w:t>
            </w:r>
          </w:p>
        </w:tc>
      </w:tr>
      <w:tr w:rsidR="002C3AF0" w14:paraId="14C71EB5" w14:textId="77777777" w:rsidTr="002C3AF0">
        <w:trPr>
          <w:trHeight w:val="57"/>
        </w:trPr>
        <w:tc>
          <w:tcPr>
            <w:tcW w:w="3043" w:type="dxa"/>
            <w:shd w:val="clear" w:color="auto" w:fill="auto"/>
          </w:tcPr>
          <w:p w14:paraId="46248903" w14:textId="77777777" w:rsidR="002C3AF0" w:rsidRPr="00601064" w:rsidRDefault="002C3AF0" w:rsidP="002C3A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1064">
              <w:rPr>
                <w:b/>
                <w:sz w:val="22"/>
                <w:szCs w:val="22"/>
              </w:rPr>
              <w:t>ŽELJEZNIČKA INFRASTRUKTURA CG AD</w:t>
            </w:r>
          </w:p>
        </w:tc>
        <w:tc>
          <w:tcPr>
            <w:tcW w:w="1353" w:type="dxa"/>
            <w:shd w:val="clear" w:color="auto" w:fill="auto"/>
          </w:tcPr>
          <w:p w14:paraId="02A918C0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10.451</w:t>
            </w:r>
          </w:p>
        </w:tc>
        <w:tc>
          <w:tcPr>
            <w:tcW w:w="2142" w:type="dxa"/>
            <w:shd w:val="clear" w:color="auto" w:fill="auto"/>
          </w:tcPr>
          <w:p w14:paraId="2C273D5E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2,789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14:paraId="7869FACA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0,070</w:t>
            </w:r>
            <w:r>
              <w:rPr>
                <w:sz w:val="22"/>
                <w:szCs w:val="22"/>
              </w:rPr>
              <w:t>0</w:t>
            </w:r>
            <w:r w:rsidRPr="004005E8">
              <w:rPr>
                <w:sz w:val="22"/>
                <w:szCs w:val="22"/>
              </w:rPr>
              <w:t xml:space="preserve"> %</w:t>
            </w:r>
          </w:p>
        </w:tc>
      </w:tr>
      <w:tr w:rsidR="002C3AF0" w14:paraId="582775B8" w14:textId="77777777" w:rsidTr="002C3AF0">
        <w:trPr>
          <w:trHeight w:val="472"/>
        </w:trPr>
        <w:tc>
          <w:tcPr>
            <w:tcW w:w="3043" w:type="dxa"/>
            <w:shd w:val="clear" w:color="auto" w:fill="auto"/>
          </w:tcPr>
          <w:p w14:paraId="35F1BB07" w14:textId="77777777" w:rsidR="002C3AF0" w:rsidRPr="00601064" w:rsidRDefault="002C3AF0" w:rsidP="002C3A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1064">
              <w:rPr>
                <w:b/>
                <w:sz w:val="22"/>
                <w:szCs w:val="22"/>
              </w:rPr>
              <w:t>ODRŽAVANJE ŽELJEZNIČKIH VOZNIH SREDSTAVA AD</w:t>
            </w:r>
          </w:p>
        </w:tc>
        <w:tc>
          <w:tcPr>
            <w:tcW w:w="1353" w:type="dxa"/>
            <w:shd w:val="clear" w:color="auto" w:fill="auto"/>
          </w:tcPr>
          <w:p w14:paraId="15A0DB01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1.665</w:t>
            </w:r>
          </w:p>
        </w:tc>
        <w:tc>
          <w:tcPr>
            <w:tcW w:w="2142" w:type="dxa"/>
            <w:shd w:val="clear" w:color="auto" w:fill="auto"/>
          </w:tcPr>
          <w:p w14:paraId="56FE7893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4,6676</w:t>
            </w:r>
          </w:p>
        </w:tc>
        <w:tc>
          <w:tcPr>
            <w:tcW w:w="1784" w:type="dxa"/>
            <w:shd w:val="clear" w:color="auto" w:fill="auto"/>
          </w:tcPr>
          <w:p w14:paraId="7B64769E" w14:textId="77777777" w:rsidR="002C3AF0" w:rsidRPr="004005E8" w:rsidRDefault="002C3AF0" w:rsidP="002C3A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005E8">
              <w:rPr>
                <w:sz w:val="22"/>
                <w:szCs w:val="22"/>
              </w:rPr>
              <w:t>0,0369 %</w:t>
            </w:r>
          </w:p>
        </w:tc>
      </w:tr>
    </w:tbl>
    <w:p w14:paraId="796EA322" w14:textId="662BA3C8" w:rsidR="00463C47" w:rsidRDefault="00463C47" w:rsidP="00463C47">
      <w:pPr>
        <w:ind w:left="720"/>
        <w:jc w:val="both"/>
      </w:pPr>
    </w:p>
    <w:p w14:paraId="3337261E" w14:textId="77777777" w:rsidR="006E59B5" w:rsidRDefault="006E59B5" w:rsidP="00463C47">
      <w:pPr>
        <w:ind w:left="720"/>
        <w:jc w:val="both"/>
      </w:pPr>
    </w:p>
    <w:p w14:paraId="171B827B" w14:textId="396F1896" w:rsidR="00463C47" w:rsidRDefault="006E59B5" w:rsidP="00463C47">
      <w:pPr>
        <w:spacing w:line="276" w:lineRule="auto"/>
        <w:jc w:val="both"/>
      </w:pPr>
      <w:r>
        <w:t xml:space="preserve"> </w:t>
      </w:r>
      <w:r>
        <w:tab/>
        <w:t xml:space="preserve">U toku 2025. godine završen je postupak stečaja i prodaje imovine Jadranskog brodogradilišta Bijela AD u stečaju, u kojem je Fond za obeštećenje bio akcionar sa udjelom od </w:t>
      </w:r>
      <w:r w:rsidRPr="006E59B5">
        <w:t>31,6668 %</w:t>
      </w:r>
      <w:r>
        <w:t xml:space="preserve"> i po osnovu prodaje imovine navedenog preduzeća Fondu za obeštećenje je uplaćen iznos od 158.334,00 €. </w:t>
      </w:r>
    </w:p>
    <w:p w14:paraId="29AA2C46" w14:textId="01B478CD" w:rsidR="006E59B5" w:rsidRDefault="006E59B5" w:rsidP="00463C47">
      <w:pPr>
        <w:spacing w:line="276" w:lineRule="auto"/>
        <w:jc w:val="both"/>
      </w:pPr>
    </w:p>
    <w:p w14:paraId="217358D4" w14:textId="4DF62077" w:rsidR="006E59B5" w:rsidRDefault="006E59B5" w:rsidP="00463C47">
      <w:pPr>
        <w:spacing w:line="276" w:lineRule="auto"/>
        <w:jc w:val="both"/>
      </w:pPr>
    </w:p>
    <w:p w14:paraId="764854E9" w14:textId="4FEE6D1F" w:rsidR="00DF3D7B" w:rsidRDefault="00DF3D7B" w:rsidP="00463C47">
      <w:pPr>
        <w:spacing w:line="276" w:lineRule="auto"/>
        <w:jc w:val="both"/>
      </w:pPr>
    </w:p>
    <w:p w14:paraId="08DD2F7B" w14:textId="287346C5" w:rsidR="00DF3D7B" w:rsidRDefault="00DF3D7B" w:rsidP="00463C47">
      <w:pPr>
        <w:spacing w:line="276" w:lineRule="auto"/>
        <w:jc w:val="both"/>
      </w:pPr>
    </w:p>
    <w:p w14:paraId="696EB92C" w14:textId="57C2C35F" w:rsidR="00DF3D7B" w:rsidRDefault="00DF3D7B" w:rsidP="00463C47">
      <w:pPr>
        <w:spacing w:line="276" w:lineRule="auto"/>
        <w:jc w:val="both"/>
      </w:pPr>
    </w:p>
    <w:p w14:paraId="65CDED0D" w14:textId="280BE7E3" w:rsidR="00DF3D7B" w:rsidRDefault="00DF3D7B" w:rsidP="00463C47">
      <w:pPr>
        <w:spacing w:line="276" w:lineRule="auto"/>
        <w:jc w:val="both"/>
      </w:pPr>
    </w:p>
    <w:p w14:paraId="6BCBB2F9" w14:textId="009DED8D" w:rsidR="00DF3D7B" w:rsidRDefault="00DF3D7B" w:rsidP="00463C47">
      <w:pPr>
        <w:spacing w:line="276" w:lineRule="auto"/>
        <w:jc w:val="both"/>
      </w:pPr>
    </w:p>
    <w:p w14:paraId="45AEEDB3" w14:textId="62E1BDB3" w:rsidR="00DF3D7B" w:rsidRDefault="00DF3D7B" w:rsidP="00463C47">
      <w:pPr>
        <w:spacing w:line="276" w:lineRule="auto"/>
        <w:jc w:val="both"/>
      </w:pPr>
    </w:p>
    <w:p w14:paraId="093760E2" w14:textId="310F513A" w:rsidR="00DF3D7B" w:rsidRDefault="00DF3D7B" w:rsidP="00463C47">
      <w:pPr>
        <w:spacing w:line="276" w:lineRule="auto"/>
        <w:jc w:val="both"/>
      </w:pPr>
    </w:p>
    <w:p w14:paraId="33ABD9F0" w14:textId="77777777" w:rsidR="00B61E01" w:rsidRDefault="00B61E01" w:rsidP="00463C47">
      <w:pPr>
        <w:spacing w:line="276" w:lineRule="auto"/>
        <w:jc w:val="both"/>
      </w:pPr>
    </w:p>
    <w:p w14:paraId="765FDCED" w14:textId="77777777" w:rsidR="006E59B5" w:rsidRDefault="006E59B5" w:rsidP="00463C47">
      <w:pPr>
        <w:spacing w:line="276" w:lineRule="auto"/>
        <w:jc w:val="both"/>
      </w:pPr>
    </w:p>
    <w:p w14:paraId="0623E105" w14:textId="7A03E7A0" w:rsidR="00463C47" w:rsidRDefault="00463C47" w:rsidP="00C01EBF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PRIHODI I AKTIVNOST FONDA ZA OBEŠTEĆENJE U 202</w:t>
      </w:r>
      <w:r w:rsidR="009C7874">
        <w:rPr>
          <w:b/>
        </w:rPr>
        <w:t>5</w:t>
      </w:r>
      <w:r>
        <w:rPr>
          <w:b/>
        </w:rPr>
        <w:t>. GODINI</w:t>
      </w:r>
    </w:p>
    <w:p w14:paraId="02D9D4C6" w14:textId="77777777" w:rsidR="00C01EBF" w:rsidRPr="00C01EBF" w:rsidRDefault="00C01EBF" w:rsidP="00C01EBF">
      <w:pPr>
        <w:ind w:left="644"/>
        <w:rPr>
          <w:b/>
        </w:rPr>
      </w:pPr>
    </w:p>
    <w:p w14:paraId="297C24C1" w14:textId="77777777" w:rsidR="00463C47" w:rsidRDefault="00463C47" w:rsidP="00463C47">
      <w:pPr>
        <w:ind w:left="644"/>
        <w:rPr>
          <w:b/>
        </w:rPr>
      </w:pPr>
      <w:r w:rsidRPr="00601064">
        <w:rPr>
          <w:b/>
        </w:rPr>
        <w:t>3.</w:t>
      </w:r>
      <w:proofErr w:type="gramStart"/>
      <w:r w:rsidRPr="00601064">
        <w:rPr>
          <w:b/>
        </w:rPr>
        <w:t>1.Uplate</w:t>
      </w:r>
      <w:proofErr w:type="gramEnd"/>
      <w:r w:rsidRPr="00601064">
        <w:rPr>
          <w:b/>
        </w:rPr>
        <w:t xml:space="preserve"> lokalnih samouprava i drugih pravnih i fizičkih lica </w:t>
      </w:r>
    </w:p>
    <w:p w14:paraId="6294227D" w14:textId="77777777" w:rsidR="00C01EBF" w:rsidRDefault="00C01EBF" w:rsidP="00463C47">
      <w:pPr>
        <w:spacing w:line="276" w:lineRule="auto"/>
        <w:rPr>
          <w:b/>
        </w:rPr>
      </w:pPr>
    </w:p>
    <w:p w14:paraId="40972399" w14:textId="2BB53A8E" w:rsidR="00463C47" w:rsidRPr="008C08E8" w:rsidRDefault="00463C47" w:rsidP="00463C47">
      <w:pPr>
        <w:spacing w:line="276" w:lineRule="auto"/>
      </w:pPr>
      <w:r>
        <w:t xml:space="preserve">Odredbama člana 44 </w:t>
      </w:r>
      <w:r w:rsidRPr="000C676C">
        <w:t>Zakon</w:t>
      </w:r>
      <w:r>
        <w:t>a</w:t>
      </w:r>
      <w:r w:rsidRPr="000C676C">
        <w:t xml:space="preserve"> o povraćaju oduzetih imovinskih prava i obeštećenju</w:t>
      </w:r>
      <w:r>
        <w:t xml:space="preserve"> utvrđeni </w:t>
      </w:r>
      <w:proofErr w:type="gramStart"/>
      <w:r>
        <w:t>su  izvori</w:t>
      </w:r>
      <w:proofErr w:type="gramEnd"/>
      <w:r>
        <w:t xml:space="preserve"> sredstava Fonda za obeštećenje i to: </w:t>
      </w:r>
    </w:p>
    <w:p w14:paraId="1EBA380D" w14:textId="393F21A2" w:rsidR="008830C2" w:rsidRDefault="00463C47" w:rsidP="008830C2">
      <w:pPr>
        <w:numPr>
          <w:ilvl w:val="0"/>
          <w:numId w:val="1"/>
        </w:numPr>
        <w:spacing w:line="276" w:lineRule="auto"/>
        <w:jc w:val="both"/>
      </w:pPr>
      <w:r>
        <w:t>akcije koje su po propisima o privatizaciji privrede opredijeljene za obeštećenje bivših vlasnika;</w:t>
      </w:r>
    </w:p>
    <w:p w14:paraId="30445A1B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proofErr w:type="gramStart"/>
      <w:r>
        <w:t>obveznice  Crne</w:t>
      </w:r>
      <w:proofErr w:type="gramEnd"/>
      <w:r>
        <w:t xml:space="preserve"> Gore;</w:t>
      </w:r>
    </w:p>
    <w:p w14:paraId="49417ED9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sredstva iz kredita i druga sredstva koja opredijele međunarodne organizacije za ovu namjenu;</w:t>
      </w:r>
    </w:p>
    <w:p w14:paraId="70AC2348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10% od prodaje državne imovine;</w:t>
      </w:r>
    </w:p>
    <w:p w14:paraId="16D27E97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10% od prodatih akcija državnih Fondova;</w:t>
      </w:r>
    </w:p>
    <w:p w14:paraId="244F1D08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7% sredstava preduzeća ili djelova preduzeća koja se privatizuju;</w:t>
      </w:r>
    </w:p>
    <w:p w14:paraId="0A197BE6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prihodi po osnovu revalorizovanih iznosa koji plaćaju bivši vlasnici na osnovu odredaba ovog zakona;</w:t>
      </w:r>
    </w:p>
    <w:p w14:paraId="0EB2DEAE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prihodi od prodaje imovine u državnoj svojini koja je prenesena Fondu za obeštećenje, u kom slučaju će Fond za obeštećenje odlučiti da li će prodaja imovine Fonda za obeštećenje biti otvorena samo za vlasnike obveznica izdatih u skladu sa ovim zakonom ili za sva lica;</w:t>
      </w:r>
    </w:p>
    <w:p w14:paraId="7F156E8E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</w:pPr>
      <w:r>
        <w:t>ostali izvori.</w:t>
      </w:r>
    </w:p>
    <w:p w14:paraId="104E6CEB" w14:textId="67FC0B7F" w:rsidR="00C01EBF" w:rsidRDefault="00463C47" w:rsidP="00C01EBF">
      <w:pPr>
        <w:spacing w:line="276" w:lineRule="auto"/>
        <w:ind w:firstLine="360"/>
        <w:jc w:val="both"/>
      </w:pPr>
      <w:r>
        <w:t xml:space="preserve">Po osnovu naprijed navedenih izvora sredstava Fond za obeštećenje je </w:t>
      </w:r>
      <w:r w:rsidRPr="0078688E">
        <w:t xml:space="preserve">u periodu </w:t>
      </w:r>
      <w:r>
        <w:t>od 01.01.202</w:t>
      </w:r>
      <w:r w:rsidR="009C7874">
        <w:t>5</w:t>
      </w:r>
      <w:r>
        <w:t>. do 31.12.202</w:t>
      </w:r>
      <w:r w:rsidR="009C7874">
        <w:t>5</w:t>
      </w:r>
      <w:r w:rsidRPr="0078688E">
        <w:t>. god.</w:t>
      </w:r>
      <w:r w:rsidRPr="00983A01">
        <w:t xml:space="preserve"> ostvario prihod </w:t>
      </w:r>
      <w:r w:rsidRPr="005B18A9">
        <w:t>od</w:t>
      </w:r>
      <w:r>
        <w:t xml:space="preserve"> </w:t>
      </w:r>
      <w:r w:rsidR="00845479">
        <w:rPr>
          <w:b/>
        </w:rPr>
        <w:t>1.582.145,94</w:t>
      </w:r>
      <w:r>
        <w:rPr>
          <w:b/>
        </w:rPr>
        <w:t xml:space="preserve"> €</w:t>
      </w:r>
      <w:r w:rsidRPr="005B18A9">
        <w:t xml:space="preserve"> </w:t>
      </w:r>
      <w:r>
        <w:t xml:space="preserve">a navedena novčana sredstva </w:t>
      </w:r>
      <w:proofErr w:type="gramStart"/>
      <w:r>
        <w:t>su  uplaćivana</w:t>
      </w:r>
      <w:proofErr w:type="gramEnd"/>
      <w:r>
        <w:t xml:space="preserve"> na račun broj: </w:t>
      </w:r>
      <w:r w:rsidRPr="000F41E1">
        <w:rPr>
          <w:b/>
        </w:rPr>
        <w:t xml:space="preserve">832-214-40 </w:t>
      </w:r>
      <w:r w:rsidRPr="009F42F8">
        <w:t>kod</w:t>
      </w:r>
      <w:r w:rsidRPr="000F41E1">
        <w:rPr>
          <w:b/>
        </w:rPr>
        <w:t xml:space="preserve"> </w:t>
      </w:r>
      <w:r w:rsidRPr="004D5F99">
        <w:t>Centralne banke Crne Gore</w:t>
      </w:r>
      <w:r>
        <w:t>.</w:t>
      </w:r>
    </w:p>
    <w:p w14:paraId="0D712337" w14:textId="7979B348" w:rsidR="008830C2" w:rsidRPr="002C1693" w:rsidRDefault="00463C47" w:rsidP="00653620">
      <w:pPr>
        <w:spacing w:line="276" w:lineRule="auto"/>
        <w:jc w:val="both"/>
      </w:pPr>
      <w:r>
        <w:t>Struktura navedenih prihoda po opštinama i drugim pravnim i fizičkim licima za 202</w:t>
      </w:r>
      <w:r w:rsidR="009C7874">
        <w:t>5</w:t>
      </w:r>
      <w:r>
        <w:t>. godinu:</w:t>
      </w:r>
    </w:p>
    <w:tbl>
      <w:tblPr>
        <w:tblW w:w="9337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FC41A8" w:rsidRPr="00004909" w14:paraId="503EA63F" w14:textId="77777777" w:rsidTr="00DE1CB0">
        <w:trPr>
          <w:trHeight w:val="495"/>
        </w:trPr>
        <w:tc>
          <w:tcPr>
            <w:tcW w:w="47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5BCBCDB1" w14:textId="77777777" w:rsidR="00FC41A8" w:rsidRPr="00004909" w:rsidRDefault="00FC41A8" w:rsidP="00FC41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4909">
              <w:rPr>
                <w:rFonts w:ascii="Calibri" w:hAnsi="Calibri" w:cs="Calibri"/>
                <w:b/>
                <w:bCs/>
                <w:color w:val="000000"/>
              </w:rPr>
              <w:t>UPLATIOCI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349EEEDF" w14:textId="77777777" w:rsidR="00FC41A8" w:rsidRPr="00004909" w:rsidRDefault="00FC41A8" w:rsidP="00FC41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4909">
              <w:rPr>
                <w:rFonts w:ascii="Calibri" w:hAnsi="Calibri" w:cs="Calibri"/>
                <w:b/>
                <w:bCs/>
                <w:color w:val="000000"/>
              </w:rPr>
              <w:t>IZNOS U €</w:t>
            </w:r>
          </w:p>
        </w:tc>
      </w:tr>
      <w:tr w:rsidR="00FC41A8" w:rsidRPr="00004909" w14:paraId="18150A1A" w14:textId="77777777" w:rsidTr="00DE1CB0">
        <w:trPr>
          <w:trHeight w:val="3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26F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Glavni grad Podgorica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741B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86,430.72</w:t>
            </w:r>
          </w:p>
        </w:tc>
      </w:tr>
      <w:tr w:rsidR="00FC41A8" w:rsidRPr="00004909" w14:paraId="0DBBFD23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633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Tivat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98E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15,488.02</w:t>
            </w:r>
          </w:p>
        </w:tc>
      </w:tr>
      <w:tr w:rsidR="00FC41A8" w:rsidRPr="00004909" w14:paraId="4EBEAAA9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54D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Nikšić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C703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65,603.18</w:t>
            </w:r>
          </w:p>
        </w:tc>
      </w:tr>
      <w:tr w:rsidR="00FC41A8" w:rsidRPr="00004909" w14:paraId="4E8EDFD5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6E1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Herceg Novi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548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1,530.00</w:t>
            </w:r>
          </w:p>
        </w:tc>
      </w:tr>
      <w:tr w:rsidR="00FC41A8" w:rsidRPr="00004909" w14:paraId="49312802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C74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Ulcinj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252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24,553.69</w:t>
            </w:r>
          </w:p>
        </w:tc>
      </w:tr>
      <w:tr w:rsidR="00FC41A8" w:rsidRPr="00004909" w14:paraId="602068AF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4DB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Danilovgrad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377B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8,843.01</w:t>
            </w:r>
          </w:p>
        </w:tc>
      </w:tr>
      <w:tr w:rsidR="00FC41A8" w:rsidRPr="00004909" w14:paraId="2D230BAE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D48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Budva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88B9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121,383.84</w:t>
            </w:r>
          </w:p>
        </w:tc>
      </w:tr>
      <w:tr w:rsidR="00FC41A8" w:rsidRPr="00004909" w14:paraId="630F0FD9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052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Bijelo Polje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906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890.50</w:t>
            </w:r>
          </w:p>
        </w:tc>
      </w:tr>
      <w:tr w:rsidR="00FC41A8" w:rsidRPr="00004909" w14:paraId="3971EEB5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B69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Rožaje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458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16,895.15</w:t>
            </w:r>
          </w:p>
        </w:tc>
      </w:tr>
      <w:tr w:rsidR="00FC41A8" w:rsidRPr="00004909" w14:paraId="54615B13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E51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Plužine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E17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16,663.40</w:t>
            </w:r>
          </w:p>
        </w:tc>
      </w:tr>
      <w:tr w:rsidR="00FC41A8" w:rsidRPr="00004909" w14:paraId="1EAF7351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61F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Žabljak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4485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5,282.74</w:t>
            </w:r>
          </w:p>
        </w:tc>
      </w:tr>
      <w:tr w:rsidR="00FC41A8" w:rsidRPr="00004909" w14:paraId="3864F075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B77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Opština Bar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12F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53,916.74</w:t>
            </w:r>
          </w:p>
        </w:tc>
      </w:tr>
      <w:tr w:rsidR="00FC41A8" w:rsidRPr="00004909" w14:paraId="650E15ED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7DD1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Bar - Maljevik (kamata)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6F13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1,005,930.13</w:t>
            </w:r>
          </w:p>
        </w:tc>
      </w:tr>
      <w:tr w:rsidR="00FC41A8" w:rsidRPr="00004909" w14:paraId="2FED741C" w14:textId="77777777" w:rsidTr="00DE1CB0">
        <w:trPr>
          <w:trHeight w:val="30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FC2" w14:textId="2756C73A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Jadransko brodogradilište Bijela AD</w:t>
            </w:r>
            <w:r w:rsidR="006E59B5">
              <w:rPr>
                <w:rFonts w:ascii="Calibri" w:hAnsi="Calibri" w:cs="Calibri"/>
                <w:color w:val="000000"/>
              </w:rPr>
              <w:t xml:space="preserve"> u ste</w:t>
            </w:r>
            <w:r w:rsidR="006E59B5">
              <w:rPr>
                <w:rFonts w:ascii="Calibri" w:hAnsi="Calibri" w:cs="Calibri"/>
                <w:color w:val="000000"/>
                <w:lang w:val="sr-Latn-ME"/>
              </w:rPr>
              <w:t>č</w:t>
            </w:r>
            <w:r w:rsidR="006E59B5">
              <w:rPr>
                <w:rFonts w:ascii="Calibri" w:hAnsi="Calibri" w:cs="Calibri"/>
                <w:color w:val="000000"/>
              </w:rPr>
              <w:t>aju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D71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158,334.00</w:t>
            </w:r>
          </w:p>
        </w:tc>
      </w:tr>
      <w:tr w:rsidR="00FC41A8" w:rsidRPr="00004909" w14:paraId="2C14192A" w14:textId="77777777" w:rsidTr="00DE1CB0">
        <w:trPr>
          <w:trHeight w:val="3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885" w14:textId="77777777" w:rsidR="00FC41A8" w:rsidRPr="00004909" w:rsidRDefault="00FC41A8" w:rsidP="00FC41A8">
            <w:pPr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Takse i revalorizovane naknade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1B1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09">
              <w:rPr>
                <w:rFonts w:ascii="Calibri" w:hAnsi="Calibri" w:cs="Calibri"/>
                <w:color w:val="000000"/>
              </w:rPr>
              <w:t>400.82</w:t>
            </w:r>
          </w:p>
        </w:tc>
      </w:tr>
      <w:tr w:rsidR="00FC41A8" w:rsidRPr="00004909" w14:paraId="64C4E307" w14:textId="77777777" w:rsidTr="00DE1CB0">
        <w:trPr>
          <w:trHeight w:val="435"/>
        </w:trPr>
        <w:tc>
          <w:tcPr>
            <w:tcW w:w="47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1A162F76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04909">
              <w:rPr>
                <w:rFonts w:ascii="Calibri" w:hAnsi="Calibri" w:cs="Calibri"/>
                <w:b/>
                <w:bCs/>
                <w:color w:val="000000"/>
              </w:rPr>
              <w:t>Ukupno: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6027751E" w14:textId="77777777" w:rsidR="00FC41A8" w:rsidRPr="00004909" w:rsidRDefault="00FC41A8" w:rsidP="00FC41A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04909">
              <w:rPr>
                <w:rFonts w:ascii="Calibri" w:hAnsi="Calibri" w:cs="Calibri"/>
                <w:b/>
                <w:bCs/>
                <w:color w:val="000000"/>
              </w:rPr>
              <w:t>1,582,145.94</w:t>
            </w:r>
          </w:p>
        </w:tc>
      </w:tr>
    </w:tbl>
    <w:p w14:paraId="1E55AE61" w14:textId="774F1B3A" w:rsidR="00463C47" w:rsidRDefault="00463C47" w:rsidP="00463C47">
      <w:pPr>
        <w:spacing w:line="276" w:lineRule="auto"/>
        <w:jc w:val="both"/>
        <w:rPr>
          <w:b/>
        </w:rPr>
      </w:pPr>
      <w:r>
        <w:rPr>
          <w:b/>
        </w:rPr>
        <w:lastRenderedPageBreak/>
        <w:t>3.2 Fond za obeštećenje kao dio javne uprave i stranka u upravnom postupku pred regionalnim komisijama u toku 202</w:t>
      </w:r>
      <w:r w:rsidR="009C7874">
        <w:rPr>
          <w:b/>
        </w:rPr>
        <w:t>5</w:t>
      </w:r>
      <w:r>
        <w:rPr>
          <w:b/>
        </w:rPr>
        <w:t>. godine.</w:t>
      </w:r>
    </w:p>
    <w:p w14:paraId="580F9388" w14:textId="77777777" w:rsidR="00463C47" w:rsidRPr="00032887" w:rsidRDefault="00463C47" w:rsidP="00463C47">
      <w:pPr>
        <w:spacing w:line="276" w:lineRule="auto"/>
        <w:jc w:val="both"/>
        <w:rPr>
          <w:b/>
        </w:rPr>
      </w:pPr>
    </w:p>
    <w:p w14:paraId="689BAF81" w14:textId="70826514" w:rsidR="00463C47" w:rsidRDefault="00463C47" w:rsidP="00653620">
      <w:pPr>
        <w:spacing w:line="276" w:lineRule="auto"/>
        <w:ind w:firstLine="720"/>
        <w:jc w:val="both"/>
      </w:pPr>
      <w:r>
        <w:t>Fond za obeštećenje je shodno članu 31 Zakona o povraćaju oduzetih imovi</w:t>
      </w:r>
      <w:r w:rsidR="00A651F5">
        <w:t>n</w:t>
      </w:r>
      <w:r>
        <w:t xml:space="preserve">skih prava i obeštećenju </w:t>
      </w:r>
      <w:r w:rsidRPr="00A34495">
        <w:t>stranka u upravnom postupku</w:t>
      </w:r>
      <w:r>
        <w:t xml:space="preserve"> koji se vodi po zahtjevima bivših vlasnika za povraćaj oduzetog ili obeštećenje. Shodno naprijed navedenom, Fondu za obeštećenje je od strane regionalnih komisija u Podgorici, Baru i Bijelom Polju u 202</w:t>
      </w:r>
      <w:r w:rsidR="00A41068">
        <w:t>5</w:t>
      </w:r>
      <w:r>
        <w:t xml:space="preserve">. godini dostavljeno ukupno </w:t>
      </w:r>
      <w:r w:rsidR="00E45964">
        <w:rPr>
          <w:b/>
        </w:rPr>
        <w:t>100</w:t>
      </w:r>
      <w:r w:rsidRPr="00A3216D">
        <w:rPr>
          <w:b/>
        </w:rPr>
        <w:t xml:space="preserve"> </w:t>
      </w:r>
      <w:r>
        <w:t>nov</w:t>
      </w:r>
      <w:r w:rsidR="00E45964">
        <w:t>ih</w:t>
      </w:r>
      <w:r>
        <w:t xml:space="preserve"> predmeta na izjašnjenje, za iste je blagovremeno poslato izjašnjenje i izvršena provjera pravnog osnova i visine obračunatog obeštećenja.</w:t>
      </w:r>
    </w:p>
    <w:p w14:paraId="37A8E5AB" w14:textId="77777777" w:rsidR="00463C47" w:rsidRPr="00433768" w:rsidRDefault="00463C47" w:rsidP="00653620">
      <w:pPr>
        <w:spacing w:line="276" w:lineRule="auto"/>
        <w:ind w:firstLine="720"/>
        <w:jc w:val="both"/>
      </w:pPr>
      <w:r>
        <w:t>Kao stranka u postupku Fond za obeštećenje od izmjena Zakona 2007. godine aktivno učestvuje u Upravnom postupku pred regionalnim komisijama, Komisijom za Žalbe i u upravnom sporu pred Upravnim sudom Crne Gore i u slučaju potrebe pred Vrhovnim sudom Crne Gore. U navedenim postupcima Fond za obeštećenje je uz pomoć angažovanih vještaka kosultanata, kompjuterskog sistema provjere dostavljenih nalaza vještaka finansijske struke i redovnim učešćem na raspravama koje se vode pred regionalnim komisijama</w:t>
      </w:r>
      <w:r w:rsidRPr="005B18A9">
        <w:t xml:space="preserve"> </w:t>
      </w:r>
      <w:r>
        <w:t>u</w:t>
      </w:r>
      <w:r w:rsidRPr="005B18A9">
        <w:t xml:space="preserve"> saradnji sa kancelarijama Zaštitnika imovinsko-pravnih interesa Crne Gore</w:t>
      </w:r>
      <w:r>
        <w:t xml:space="preserve"> uspio da u svim postupcima obezbijedi zakonit i metodološki ispravan obračun obeštećenja i naknade bivšim vlasnicima. </w:t>
      </w:r>
    </w:p>
    <w:p w14:paraId="657FA9FC" w14:textId="651F624A" w:rsidR="00463C47" w:rsidRDefault="00463C47" w:rsidP="00463C47">
      <w:pPr>
        <w:spacing w:line="276" w:lineRule="auto"/>
        <w:jc w:val="both"/>
        <w:rPr>
          <w:rFonts w:eastAsia="Calibri"/>
          <w:lang w:val="sr-Latn-CS"/>
        </w:rPr>
      </w:pPr>
      <w:r w:rsidRPr="00840D6D">
        <w:rPr>
          <w:rFonts w:eastAsia="Calibri"/>
          <w:lang w:val="sr-Latn-CS"/>
        </w:rPr>
        <w:t>Fond za obeštećenje, kao obveznik primjene Zakona o javnim nabavkama,</w:t>
      </w:r>
      <w:r>
        <w:rPr>
          <w:rFonts w:eastAsia="Calibri"/>
          <w:lang w:val="sr-Latn-CS"/>
        </w:rPr>
        <w:t xml:space="preserve"> u 202</w:t>
      </w:r>
      <w:r w:rsidR="00A41068">
        <w:rPr>
          <w:rFonts w:eastAsia="Calibri"/>
          <w:lang w:val="sr-Latn-CS"/>
        </w:rPr>
        <w:t>5</w:t>
      </w:r>
      <w:r>
        <w:rPr>
          <w:rFonts w:eastAsia="Calibri"/>
          <w:lang w:val="sr-Latn-CS"/>
        </w:rPr>
        <w:t>.</w:t>
      </w:r>
      <w:r w:rsidRPr="00840D6D">
        <w:rPr>
          <w:rFonts w:eastAsia="Calibri"/>
          <w:lang w:val="sr-Latn-CS"/>
        </w:rPr>
        <w:t xml:space="preserve"> godini  uredno</w:t>
      </w:r>
      <w:r>
        <w:rPr>
          <w:rFonts w:eastAsia="Calibri"/>
          <w:lang w:val="sr-Latn-CS"/>
        </w:rPr>
        <w:t xml:space="preserve"> je</w:t>
      </w:r>
      <w:r w:rsidRPr="00840D6D">
        <w:rPr>
          <w:rFonts w:eastAsia="Calibri"/>
          <w:lang w:val="sr-Latn-CS"/>
        </w:rPr>
        <w:t xml:space="preserve"> izvršio sve procedure koje su zahtjevane navedenim zakonom i u skladu sa saglasnošću Ministarstva finansija donio </w:t>
      </w:r>
      <w:r>
        <w:rPr>
          <w:rFonts w:eastAsia="Calibri"/>
          <w:b/>
          <w:lang w:val="sr-Latn-CS"/>
        </w:rPr>
        <w:t>P</w:t>
      </w:r>
      <w:r w:rsidRPr="004D63FF">
        <w:rPr>
          <w:rFonts w:eastAsia="Calibri"/>
          <w:b/>
          <w:lang w:val="sr-Latn-CS"/>
        </w:rPr>
        <w:t>lan javnih nabavki</w:t>
      </w:r>
      <w:r w:rsidR="008468F5">
        <w:rPr>
          <w:rFonts w:eastAsia="Calibri"/>
          <w:lang w:val="sr-Latn-CS"/>
        </w:rPr>
        <w:t xml:space="preserve"> i </w:t>
      </w:r>
      <w:r w:rsidRPr="004457D7">
        <w:rPr>
          <w:rFonts w:eastAsia="Calibri"/>
          <w:lang w:val="sr-Latn-CS"/>
        </w:rPr>
        <w:t>s</w:t>
      </w:r>
      <w:r>
        <w:rPr>
          <w:rFonts w:eastAsia="Calibri"/>
          <w:lang w:val="sr-Latn-CS"/>
        </w:rPr>
        <w:t xml:space="preserve">proveo postupke </w:t>
      </w:r>
      <w:r w:rsidRPr="004457D7">
        <w:rPr>
          <w:rFonts w:eastAsia="Calibri"/>
          <w:lang w:val="sr-Latn-CS"/>
        </w:rPr>
        <w:t>jednostavnih na</w:t>
      </w:r>
      <w:r>
        <w:rPr>
          <w:rFonts w:eastAsia="Calibri"/>
          <w:lang w:val="sr-Latn-CS"/>
        </w:rPr>
        <w:t xml:space="preserve">bavki  o </w:t>
      </w:r>
      <w:r w:rsidR="008468F5">
        <w:rPr>
          <w:rFonts w:eastAsia="Calibri"/>
          <w:lang w:val="sr-Latn-CS"/>
        </w:rPr>
        <w:t xml:space="preserve">čemu je </w:t>
      </w:r>
      <w:r>
        <w:rPr>
          <w:rFonts w:eastAsia="Calibri"/>
          <w:lang w:val="sr-Latn-CS"/>
        </w:rPr>
        <w:t xml:space="preserve">sačinio izvještaje koji </w:t>
      </w:r>
      <w:r w:rsidR="008468F5">
        <w:rPr>
          <w:rFonts w:eastAsia="Calibri"/>
          <w:lang w:val="sr-Latn-CS"/>
        </w:rPr>
        <w:t>su</w:t>
      </w:r>
      <w:r>
        <w:rPr>
          <w:rFonts w:eastAsia="Calibri"/>
          <w:lang w:val="sr-Latn-CS"/>
        </w:rPr>
        <w:t xml:space="preserve"> dostavljeni </w:t>
      </w:r>
      <w:r w:rsidRPr="004457D7">
        <w:rPr>
          <w:rFonts w:eastAsia="Calibri"/>
          <w:lang w:val="sr-Latn-CS"/>
        </w:rPr>
        <w:t xml:space="preserve">nadležnom </w:t>
      </w:r>
      <w:r>
        <w:rPr>
          <w:rFonts w:eastAsia="Calibri"/>
          <w:lang w:val="sr-Latn-CS"/>
        </w:rPr>
        <w:t xml:space="preserve">Ministarstvu finansija -Direktoratu </w:t>
      </w:r>
      <w:r>
        <w:rPr>
          <w:rFonts w:eastAsia="Calibri"/>
          <w:lang w:val="sr-Latn-ME"/>
        </w:rPr>
        <w:t>z</w:t>
      </w:r>
      <w:r>
        <w:rPr>
          <w:rFonts w:eastAsia="Calibri"/>
          <w:lang w:val="sr-Latn-CS"/>
        </w:rPr>
        <w:t>a politiku javnih nabavki putem CEJN-a.</w:t>
      </w:r>
    </w:p>
    <w:p w14:paraId="6DA912B8" w14:textId="5641ECA1" w:rsidR="00463C47" w:rsidRPr="00840D6D" w:rsidRDefault="00463C47" w:rsidP="00653620">
      <w:pPr>
        <w:spacing w:line="276" w:lineRule="auto"/>
        <w:ind w:firstLine="720"/>
        <w:jc w:val="both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Fond za obeštećenje </w:t>
      </w:r>
      <w:r w:rsidRPr="00840D6D">
        <w:rPr>
          <w:rFonts w:eastAsia="Calibri"/>
          <w:lang w:val="hr-HR"/>
        </w:rPr>
        <w:t>je</w:t>
      </w:r>
      <w:r>
        <w:rPr>
          <w:rFonts w:eastAsia="Calibri"/>
          <w:lang w:val="hr-HR"/>
        </w:rPr>
        <w:t xml:space="preserve"> u skladu sa</w:t>
      </w:r>
      <w:r w:rsidRPr="00840D6D">
        <w:rPr>
          <w:rFonts w:eastAsia="Calibri"/>
          <w:lang w:val="hr-HR"/>
        </w:rPr>
        <w:t xml:space="preserve"> </w:t>
      </w:r>
      <w:r w:rsidRPr="004D63FF">
        <w:rPr>
          <w:rFonts w:eastAsia="Calibri"/>
          <w:b/>
          <w:lang w:val="hr-HR"/>
        </w:rPr>
        <w:t>Kadrovskim planom</w:t>
      </w:r>
      <w:r>
        <w:rPr>
          <w:rFonts w:eastAsia="Calibri"/>
          <w:lang w:val="hr-HR"/>
        </w:rPr>
        <w:t xml:space="preserve"> na koji je Minist</w:t>
      </w:r>
      <w:r w:rsidR="00A651F5">
        <w:rPr>
          <w:rFonts w:eastAsia="Calibri"/>
          <w:lang w:val="hr-HR"/>
        </w:rPr>
        <w:t>ar</w:t>
      </w:r>
      <w:r>
        <w:rPr>
          <w:rFonts w:eastAsia="Calibri"/>
          <w:lang w:val="hr-HR"/>
        </w:rPr>
        <w:t>stvo finansija dalo saglasnost sproveo proceduru javnog oglasa za radn</w:t>
      </w:r>
      <w:r w:rsidR="00C83910">
        <w:rPr>
          <w:rFonts w:eastAsia="Calibri"/>
          <w:lang w:val="hr-HR"/>
        </w:rPr>
        <w:t>o</w:t>
      </w:r>
      <w:r>
        <w:rPr>
          <w:rFonts w:eastAsia="Calibri"/>
          <w:lang w:val="hr-HR"/>
        </w:rPr>
        <w:t xml:space="preserve"> mjest</w:t>
      </w:r>
      <w:r w:rsidR="00C83910">
        <w:rPr>
          <w:rFonts w:eastAsia="Calibri"/>
          <w:lang w:val="hr-HR"/>
        </w:rPr>
        <w:t>o</w:t>
      </w:r>
      <w:r>
        <w:rPr>
          <w:rFonts w:eastAsia="Calibri"/>
          <w:lang w:val="hr-HR"/>
        </w:rPr>
        <w:t xml:space="preserve"> </w:t>
      </w:r>
      <w:r w:rsidR="008468F5">
        <w:rPr>
          <w:rFonts w:eastAsia="Calibri"/>
          <w:lang w:val="hr-HR"/>
        </w:rPr>
        <w:t xml:space="preserve">višeg </w:t>
      </w:r>
      <w:r>
        <w:rPr>
          <w:rFonts w:eastAsia="Calibri"/>
          <w:lang w:val="hr-HR"/>
        </w:rPr>
        <w:t xml:space="preserve">savjetnika III i primio u radni odnos </w:t>
      </w:r>
      <w:r w:rsidR="008468F5">
        <w:rPr>
          <w:rFonts w:eastAsia="Calibri"/>
          <w:lang w:val="hr-HR"/>
        </w:rPr>
        <w:t>jednog</w:t>
      </w:r>
      <w:r>
        <w:rPr>
          <w:rFonts w:eastAsia="Calibri"/>
          <w:lang w:val="hr-HR"/>
        </w:rPr>
        <w:t xml:space="preserve"> izršioca na neodređeno vrijeme</w:t>
      </w:r>
      <w:r w:rsidR="008468F5">
        <w:rPr>
          <w:rFonts w:eastAsia="Calibri"/>
          <w:lang w:val="hr-HR"/>
        </w:rPr>
        <w:t xml:space="preserve">. </w:t>
      </w:r>
      <w:r>
        <w:rPr>
          <w:rFonts w:eastAsia="Calibri"/>
          <w:lang w:val="hr-HR"/>
        </w:rPr>
        <w:t>U</w:t>
      </w:r>
      <w:r w:rsidRPr="00840D6D">
        <w:rPr>
          <w:rFonts w:eastAsia="Calibri"/>
          <w:lang w:val="hr-HR"/>
        </w:rPr>
        <w:t xml:space="preserve"> Fondu je zaposleno ukupno </w:t>
      </w:r>
      <w:r w:rsidR="008468F5">
        <w:rPr>
          <w:rFonts w:eastAsia="Calibri"/>
          <w:lang w:val="hr-HR"/>
        </w:rPr>
        <w:t>devet</w:t>
      </w:r>
      <w:r>
        <w:rPr>
          <w:rFonts w:eastAsia="Calibri"/>
          <w:lang w:val="hr-HR"/>
        </w:rPr>
        <w:t xml:space="preserve"> službenika </w:t>
      </w:r>
      <w:r w:rsidRPr="00840D6D">
        <w:rPr>
          <w:rFonts w:eastAsia="Calibri"/>
          <w:lang w:val="hr-HR"/>
        </w:rPr>
        <w:t>na neodređeno vrijeme i direktor</w:t>
      </w:r>
      <w:r>
        <w:rPr>
          <w:rFonts w:eastAsia="Calibri"/>
          <w:lang w:val="hr-HR"/>
        </w:rPr>
        <w:t xml:space="preserve"> koji je u mandatu</w:t>
      </w:r>
      <w:r w:rsidRPr="00840D6D">
        <w:rPr>
          <w:rFonts w:eastAsia="Calibri"/>
          <w:lang w:val="hr-HR"/>
        </w:rPr>
        <w:t>.</w:t>
      </w:r>
    </w:p>
    <w:p w14:paraId="0A400572" w14:textId="3299EF22" w:rsidR="00463C47" w:rsidRPr="00AD5E66" w:rsidRDefault="00463C47" w:rsidP="00463C47">
      <w:pPr>
        <w:spacing w:line="276" w:lineRule="auto"/>
        <w:jc w:val="both"/>
        <w:rPr>
          <w:rFonts w:eastAsia="Calibri"/>
          <w:lang w:val="hr-HR"/>
        </w:rPr>
      </w:pPr>
      <w:r w:rsidRPr="00840D6D">
        <w:rPr>
          <w:rFonts w:eastAsia="Calibri"/>
        </w:rPr>
        <w:t xml:space="preserve">Fond za obeštećenje je </w:t>
      </w:r>
      <w:r w:rsidRPr="00840D6D">
        <w:rPr>
          <w:rFonts w:eastAsia="Calibri"/>
          <w:lang w:val="hr-HR"/>
        </w:rPr>
        <w:t xml:space="preserve">u skladu sa preporukama Uprave za </w:t>
      </w:r>
      <w:r>
        <w:rPr>
          <w:rFonts w:eastAsia="Calibri"/>
          <w:lang w:val="hr-HR"/>
        </w:rPr>
        <w:t xml:space="preserve">ljudske resurse </w:t>
      </w:r>
      <w:r w:rsidRPr="00840D6D">
        <w:rPr>
          <w:rFonts w:eastAsia="Calibri"/>
          <w:lang w:val="hr-HR"/>
        </w:rPr>
        <w:t>sprovodio obuke zaposlenih shodno planu</w:t>
      </w:r>
      <w:r>
        <w:rPr>
          <w:rFonts w:eastAsia="Calibri"/>
          <w:lang w:val="hr-HR"/>
        </w:rPr>
        <w:t xml:space="preserve"> obuka za 202</w:t>
      </w:r>
      <w:r w:rsidR="00A41068">
        <w:rPr>
          <w:rFonts w:eastAsia="Calibri"/>
          <w:lang w:val="hr-HR"/>
        </w:rPr>
        <w:t>5</w:t>
      </w:r>
      <w:r>
        <w:rPr>
          <w:rFonts w:eastAsia="Calibri"/>
          <w:lang w:val="hr-HR"/>
        </w:rPr>
        <w:t>. godinu</w:t>
      </w:r>
      <w:r w:rsidRPr="00840D6D">
        <w:rPr>
          <w:rFonts w:eastAsia="Calibri"/>
          <w:lang w:val="hr-HR"/>
        </w:rPr>
        <w:t xml:space="preserve">. </w:t>
      </w:r>
    </w:p>
    <w:p w14:paraId="6EECEBBC" w14:textId="481A92BE" w:rsidR="00463C47" w:rsidRPr="008468F5" w:rsidRDefault="00463C47" w:rsidP="00653620">
      <w:pPr>
        <w:spacing w:line="276" w:lineRule="auto"/>
        <w:ind w:firstLine="720"/>
        <w:jc w:val="both"/>
        <w:rPr>
          <w:lang w:val="hr-HR"/>
        </w:rPr>
      </w:pPr>
      <w:r>
        <w:rPr>
          <w:lang w:val="en-GB"/>
        </w:rPr>
        <w:t>U toku 202</w:t>
      </w:r>
      <w:r w:rsidR="00A41068">
        <w:rPr>
          <w:lang w:val="en-GB"/>
        </w:rPr>
        <w:t>5</w:t>
      </w:r>
      <w:r>
        <w:rPr>
          <w:lang w:val="en-GB"/>
        </w:rPr>
        <w:t xml:space="preserve">. godine </w:t>
      </w:r>
      <w:r w:rsidR="00840C40">
        <w:rPr>
          <w:lang w:val="en-GB"/>
        </w:rPr>
        <w:t xml:space="preserve">Fond za obeštećenje je izvršio </w:t>
      </w:r>
      <w:r w:rsidR="00840C40" w:rsidRPr="00840C40">
        <w:rPr>
          <w:b/>
          <w:lang w:val="en-GB"/>
        </w:rPr>
        <w:t>I</w:t>
      </w:r>
      <w:r w:rsidRPr="00840C40">
        <w:rPr>
          <w:b/>
          <w:lang w:val="en-GB"/>
        </w:rPr>
        <w:t>zmijen</w:t>
      </w:r>
      <w:r w:rsidR="00840C40" w:rsidRPr="00840C40">
        <w:rPr>
          <w:b/>
          <w:lang w:val="en-GB"/>
        </w:rPr>
        <w:t>u</w:t>
      </w:r>
      <w:r w:rsidRPr="00840C40">
        <w:rPr>
          <w:b/>
          <w:lang w:val="en-GB"/>
        </w:rPr>
        <w:t xml:space="preserve"> Pravilnika o unutrašnjoj organizaciji i sistematizaciji </w:t>
      </w:r>
      <w:r>
        <w:rPr>
          <w:lang w:val="en-GB"/>
        </w:rPr>
        <w:t>Fonda</w:t>
      </w:r>
      <w:r w:rsidR="00840C40">
        <w:rPr>
          <w:lang w:val="en-GB"/>
        </w:rPr>
        <w:t xml:space="preserve">, </w:t>
      </w:r>
      <w:r>
        <w:rPr>
          <w:lang w:val="en-GB"/>
        </w:rPr>
        <w:t xml:space="preserve">koji je </w:t>
      </w:r>
      <w:r w:rsidRPr="00F3181C">
        <w:rPr>
          <w:lang w:val="en-GB"/>
        </w:rPr>
        <w:t>pripremljen u skladu sa predlozima Uprave za ljudske resurse</w:t>
      </w:r>
      <w:r w:rsidR="008468F5">
        <w:rPr>
          <w:lang w:val="en-GB"/>
        </w:rPr>
        <w:t>, a koje</w:t>
      </w:r>
      <w:r w:rsidR="00840C40">
        <w:rPr>
          <w:lang w:val="en-GB"/>
        </w:rPr>
        <w:t xml:space="preserve"> izmjene su se odn</w:t>
      </w:r>
      <w:r w:rsidR="008468F5">
        <w:rPr>
          <w:lang w:val="en-GB"/>
        </w:rPr>
        <w:t xml:space="preserve">osile </w:t>
      </w:r>
      <w:r w:rsidR="00840C40">
        <w:rPr>
          <w:lang w:val="en-GB"/>
        </w:rPr>
        <w:t>na us</w:t>
      </w:r>
      <w:r w:rsidR="008468F5">
        <w:rPr>
          <w:lang w:val="en-GB"/>
        </w:rPr>
        <w:t>kl</w:t>
      </w:r>
      <w:r w:rsidR="00840C40">
        <w:rPr>
          <w:lang w:val="en-GB"/>
        </w:rPr>
        <w:t xml:space="preserve">ađivanje sa novim </w:t>
      </w:r>
      <w:r w:rsidR="008468F5">
        <w:rPr>
          <w:lang w:val="en-GB"/>
        </w:rPr>
        <w:t>Z</w:t>
      </w:r>
      <w:r w:rsidR="00840C40">
        <w:rPr>
          <w:lang w:val="en-GB"/>
        </w:rPr>
        <w:t>akonom o državnim službenicima i namještenicima i istima nije povećan broj izvršilaca u Fondu za obeštećenje.</w:t>
      </w:r>
    </w:p>
    <w:p w14:paraId="121C7CF7" w14:textId="308C8F09" w:rsidR="00463C47" w:rsidRDefault="00463C47" w:rsidP="00653620">
      <w:pPr>
        <w:spacing w:line="276" w:lineRule="auto"/>
        <w:ind w:firstLine="720"/>
        <w:jc w:val="both"/>
        <w:rPr>
          <w:rFonts w:eastAsia="Calibri"/>
          <w:lang w:val="sr-Latn-ME"/>
        </w:rPr>
      </w:pPr>
      <w:r>
        <w:rPr>
          <w:rFonts w:eastAsia="Calibri"/>
          <w:bCs/>
          <w:lang w:val="sr-Latn-ME"/>
        </w:rPr>
        <w:t>Odlukom od 25</w:t>
      </w:r>
      <w:r w:rsidRPr="000105C8">
        <w:rPr>
          <w:rFonts w:eastAsia="Calibri"/>
          <w:bCs/>
          <w:lang w:val="sr-Latn-ME"/>
        </w:rPr>
        <w:t>.09.202</w:t>
      </w:r>
      <w:r w:rsidR="00216CE7">
        <w:rPr>
          <w:rFonts w:eastAsia="Calibri"/>
          <w:bCs/>
          <w:lang w:val="sr-Latn-ME"/>
        </w:rPr>
        <w:t>4</w:t>
      </w:r>
      <w:r>
        <w:rPr>
          <w:rFonts w:eastAsia="Calibri"/>
          <w:bCs/>
          <w:lang w:val="sr-Latn-ME"/>
        </w:rPr>
        <w:t xml:space="preserve">. godine usvojen je i stupio na snagu </w:t>
      </w:r>
      <w:r w:rsidRPr="004D63FF">
        <w:rPr>
          <w:rFonts w:eastAsia="Calibri"/>
          <w:b/>
          <w:bCs/>
          <w:lang w:val="sr-Latn-ME"/>
        </w:rPr>
        <w:t>Plan integriteta Fonda</w:t>
      </w:r>
      <w:r w:rsidRPr="000105C8">
        <w:rPr>
          <w:rFonts w:eastAsia="Calibri"/>
          <w:bCs/>
          <w:lang w:val="sr-Latn-ME"/>
        </w:rPr>
        <w:t xml:space="preserve"> za obeštećenje</w:t>
      </w:r>
      <w:r>
        <w:rPr>
          <w:rFonts w:eastAsia="Calibri"/>
          <w:bCs/>
          <w:lang w:val="sr-Latn-ME"/>
        </w:rPr>
        <w:t xml:space="preserve"> čime je ispunjena obaveza predviđena</w:t>
      </w:r>
      <w:r w:rsidRPr="001007E3">
        <w:rPr>
          <w:rFonts w:eastAsia="Calibri"/>
          <w:lang w:val="sr-Latn-ME"/>
        </w:rPr>
        <w:t xml:space="preserve"> Zakonom o sprječavanju korupcije ("Sl. list Crne Gore", br. 5</w:t>
      </w:r>
      <w:r>
        <w:rPr>
          <w:rFonts w:eastAsia="Calibri"/>
          <w:lang w:val="sr-Latn-ME"/>
        </w:rPr>
        <w:t>4</w:t>
      </w:r>
      <w:r w:rsidRPr="001007E3">
        <w:rPr>
          <w:rFonts w:eastAsia="Calibri"/>
          <w:lang w:val="sr-Latn-ME"/>
        </w:rPr>
        <w:t>/</w:t>
      </w:r>
      <w:r>
        <w:rPr>
          <w:rFonts w:eastAsia="Calibri"/>
          <w:lang w:val="sr-Latn-ME"/>
        </w:rPr>
        <w:t>2</w:t>
      </w:r>
      <w:r w:rsidRPr="001007E3">
        <w:rPr>
          <w:rFonts w:eastAsia="Calibri"/>
          <w:lang w:val="sr-Latn-ME"/>
        </w:rPr>
        <w:t>4)</w:t>
      </w:r>
      <w:r>
        <w:rPr>
          <w:rFonts w:eastAsia="Calibri"/>
          <w:lang w:val="sr-Latn-ME"/>
        </w:rPr>
        <w:t xml:space="preserve"> i preporuke Agencije za sprecavanje korupcije date u cilju unapređenja efikasnosti plana i iskustava institucije u sprovođenju istoga, a sve</w:t>
      </w:r>
      <w:r w:rsidRPr="001007E3">
        <w:rPr>
          <w:rFonts w:eastAsia="Calibri"/>
          <w:lang w:val="sr-Latn-ME"/>
        </w:rPr>
        <w:t xml:space="preserve"> u skladu sa Pravilima za izradu i sprovođenje plana integriteta, koja donosi Agencija za sprječavanje korupc</w:t>
      </w:r>
      <w:r>
        <w:rPr>
          <w:rFonts w:eastAsia="Calibri"/>
          <w:lang w:val="sr-Latn-ME"/>
        </w:rPr>
        <w:t>ije. Fond za obeštećenje redovno je  u toku 202</w:t>
      </w:r>
      <w:r w:rsidR="00840C40">
        <w:rPr>
          <w:rFonts w:eastAsia="Calibri"/>
          <w:lang w:val="sr-Latn-ME"/>
        </w:rPr>
        <w:t>5</w:t>
      </w:r>
      <w:r>
        <w:rPr>
          <w:rFonts w:eastAsia="Calibri"/>
          <w:lang w:val="sr-Latn-ME"/>
        </w:rPr>
        <w:t>. godine izvještavao Agenciju o  sprovođenju Plana integriteta.</w:t>
      </w:r>
    </w:p>
    <w:p w14:paraId="69F2D855" w14:textId="77777777" w:rsidR="00463C47" w:rsidRPr="008F5684" w:rsidRDefault="00463C47" w:rsidP="00463C47">
      <w:pPr>
        <w:spacing w:line="276" w:lineRule="auto"/>
        <w:jc w:val="both"/>
        <w:rPr>
          <w:rFonts w:eastAsia="Calibri"/>
          <w:lang w:val="sr-Latn-RS"/>
        </w:rPr>
      </w:pPr>
      <w:r>
        <w:rPr>
          <w:rFonts w:eastAsia="Calibri"/>
          <w:lang w:val="sr-Latn-RS"/>
        </w:rPr>
        <w:t>Fond</w:t>
      </w:r>
      <w:r w:rsidRPr="00AD14AD">
        <w:rPr>
          <w:rFonts w:eastAsia="Calibri"/>
          <w:lang w:val="sr-Latn-RS"/>
        </w:rPr>
        <w:t xml:space="preserve"> za obeštećenje </w:t>
      </w:r>
      <w:r>
        <w:rPr>
          <w:rFonts w:eastAsia="Calibri"/>
          <w:lang w:val="sr-Latn-RS"/>
        </w:rPr>
        <w:t>je shodno Zakonu</w:t>
      </w:r>
      <w:r w:rsidRPr="00EB5291">
        <w:rPr>
          <w:rFonts w:eastAsia="Calibri"/>
          <w:lang w:val="sr-Latn-RS"/>
        </w:rPr>
        <w:t xml:space="preserve"> o sprječavanju korupcije </w:t>
      </w:r>
      <w:r w:rsidRPr="00AD14AD">
        <w:rPr>
          <w:rFonts w:eastAsia="Calibri"/>
          <w:lang w:val="sr-Latn-RS"/>
        </w:rPr>
        <w:t xml:space="preserve">donio </w:t>
      </w:r>
      <w:r w:rsidRPr="00AD14AD">
        <w:rPr>
          <w:rFonts w:eastAsia="Calibri"/>
          <w:lang w:val="sr-Latn-ME"/>
        </w:rPr>
        <w:t>Uputstvo za postupanje po prijavi i evidenciju prijava korupcije unutar Fonda za obeštećenje, kao i zaštitu identiteta lica koje je podnijelo prijavu</w:t>
      </w:r>
      <w:r>
        <w:rPr>
          <w:rFonts w:eastAsia="Calibri"/>
          <w:lang w:val="sr-Latn-ME"/>
        </w:rPr>
        <w:t>.</w:t>
      </w:r>
    </w:p>
    <w:p w14:paraId="24623575" w14:textId="2F694151" w:rsidR="00463C47" w:rsidRPr="004342E5" w:rsidRDefault="00463C47" w:rsidP="00653620">
      <w:pPr>
        <w:spacing w:line="276" w:lineRule="auto"/>
        <w:ind w:firstLine="644"/>
        <w:jc w:val="both"/>
      </w:pPr>
      <w:r>
        <w:t>U toku 202</w:t>
      </w:r>
      <w:r w:rsidR="009C7874">
        <w:t>5</w:t>
      </w:r>
      <w:r>
        <w:t>. godine Fondu za obeštećenje dostavljeno je više zahtjeva shodno Zakonu o slobodnom pristupu informacijama, po kojima je blagovremeno postupljeno,</w:t>
      </w:r>
      <w:r w:rsidRPr="004342E5">
        <w:t xml:space="preserve"> </w:t>
      </w:r>
      <w:r>
        <w:t xml:space="preserve">kao i brojni zahtjevi </w:t>
      </w:r>
      <w:r>
        <w:lastRenderedPageBreak/>
        <w:t>korisnika prava na obeštećenje za izdavanje obveznica i potvrda o pravima o kojima evidenciju vodi Fond za obeštećenje i po kojima je postupano u najkraćem roku i o čemu su blagovremeno izdate potvrde i uvjerenja. Na postupanje Fonda u navedenim predmetima nije bilo primjedbi ni prigovora od strane podnosilaca zahtjeva kao ni prigovora shodno Etičkom kodeksu državnih službenika.</w:t>
      </w:r>
    </w:p>
    <w:p w14:paraId="250BE745" w14:textId="77777777" w:rsidR="008830C2" w:rsidRDefault="00463C47" w:rsidP="006E59B5">
      <w:pPr>
        <w:spacing w:line="276" w:lineRule="auto"/>
        <w:ind w:firstLine="644"/>
        <w:jc w:val="both"/>
      </w:pPr>
      <w:r w:rsidRPr="00042943">
        <w:t xml:space="preserve">Službenici </w:t>
      </w:r>
      <w:r>
        <w:t>Fond</w:t>
      </w:r>
      <w:r w:rsidRPr="00042943">
        <w:t xml:space="preserve">a za obeštećenje </w:t>
      </w:r>
      <w:r>
        <w:t>su</w:t>
      </w:r>
      <w:r w:rsidRPr="00042943">
        <w:t xml:space="preserve"> u prethodnom periodu </w:t>
      </w:r>
      <w:r>
        <w:t xml:space="preserve">u </w:t>
      </w:r>
      <w:r w:rsidRPr="00042943">
        <w:t>skladu sa pozivima</w:t>
      </w:r>
      <w:r>
        <w:t xml:space="preserve"> organizatora </w:t>
      </w:r>
      <w:r w:rsidRPr="00042943">
        <w:t>u c</w:t>
      </w:r>
      <w:r>
        <w:t>ilju obuke i usavršavanja u 202</w:t>
      </w:r>
      <w:r w:rsidR="009C7874">
        <w:t>5</w:t>
      </w:r>
      <w:r>
        <w:t>.</w:t>
      </w:r>
      <w:r w:rsidRPr="00042943">
        <w:t xml:space="preserve"> godini </w:t>
      </w:r>
      <w:r>
        <w:t xml:space="preserve">učestvovali u obukama koje </w:t>
      </w:r>
      <w:proofErr w:type="gramStart"/>
      <w:r>
        <w:t>je  se</w:t>
      </w:r>
      <w:proofErr w:type="gramEnd"/>
      <w:r>
        <w:t xml:space="preserve"> o</w:t>
      </w:r>
      <w:r w:rsidRPr="00042943">
        <w:t xml:space="preserve">dnose </w:t>
      </w:r>
    </w:p>
    <w:p w14:paraId="45D3B56B" w14:textId="06D4FC53" w:rsidR="00653620" w:rsidRDefault="00463C47" w:rsidP="008830C2">
      <w:pPr>
        <w:spacing w:line="276" w:lineRule="auto"/>
        <w:jc w:val="both"/>
        <w:rPr>
          <w:rFonts w:eastAsia="Calibri"/>
          <w:lang w:val="sr-Latn-CS"/>
        </w:rPr>
      </w:pPr>
      <w:r w:rsidRPr="00042943">
        <w:t>na:</w:t>
      </w:r>
      <w:r>
        <w:t xml:space="preserve"> Stvarno pravo i pravo svojine, restituciju imovine, obligacione odnose,</w:t>
      </w:r>
      <w:r>
        <w:rPr>
          <w:rFonts w:eastAsia="Calibri"/>
          <w:lang w:val="sr-Latn-CS"/>
        </w:rPr>
        <w:t xml:space="preserve"> s</w:t>
      </w:r>
      <w:r w:rsidRPr="00F370D0">
        <w:rPr>
          <w:rFonts w:eastAsia="Calibri"/>
          <w:lang w:val="sr-Latn-CS"/>
        </w:rPr>
        <w:t>istem javnih nabavki u Crnoj Gori,</w:t>
      </w:r>
      <w:r>
        <w:rPr>
          <w:rFonts w:eastAsia="Calibri"/>
          <w:lang w:val="sr-Latn-CS"/>
        </w:rPr>
        <w:t xml:space="preserve"> etika i integritet,</w:t>
      </w:r>
      <w:r w:rsidRPr="00F370D0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i</w:t>
      </w:r>
      <w:r w:rsidRPr="00F370D0">
        <w:rPr>
          <w:rFonts w:eastAsia="Calibri"/>
          <w:lang w:val="sr-Latn-CS"/>
        </w:rPr>
        <w:t>nspekcij</w:t>
      </w:r>
      <w:r>
        <w:rPr>
          <w:rFonts w:eastAsia="Calibri"/>
          <w:lang w:val="sr-Latn-CS"/>
        </w:rPr>
        <w:t>s</w:t>
      </w:r>
      <w:r w:rsidRPr="00F370D0">
        <w:rPr>
          <w:rFonts w:eastAsia="Calibri"/>
          <w:lang w:val="sr-Latn-CS"/>
        </w:rPr>
        <w:t>ki nadzor,</w:t>
      </w:r>
      <w:r>
        <w:rPr>
          <w:rFonts w:eastAsia="Calibri"/>
          <w:lang w:val="sr-Latn-CS"/>
        </w:rPr>
        <w:t xml:space="preserve"> k</w:t>
      </w:r>
      <w:r w:rsidRPr="00F370D0">
        <w:rPr>
          <w:rFonts w:eastAsia="Calibri"/>
          <w:lang w:val="sr-Latn-CS"/>
        </w:rPr>
        <w:t>ancelarijsko poslovanje</w:t>
      </w:r>
      <w:r>
        <w:rPr>
          <w:rFonts w:eastAsia="Calibri"/>
          <w:lang w:val="sr-Latn-CS"/>
        </w:rPr>
        <w:t>, z</w:t>
      </w:r>
      <w:r w:rsidRPr="00F370D0">
        <w:rPr>
          <w:rFonts w:eastAsia="Calibri"/>
          <w:lang w:val="sr-Latn-CS"/>
        </w:rPr>
        <w:t>akon o drža</w:t>
      </w:r>
      <w:r>
        <w:rPr>
          <w:rFonts w:eastAsia="Calibri"/>
          <w:lang w:val="sr-Latn-CS"/>
        </w:rPr>
        <w:t>v</w:t>
      </w:r>
      <w:r w:rsidRPr="00F370D0">
        <w:rPr>
          <w:rFonts w:eastAsia="Calibri"/>
          <w:lang w:val="sr-Latn-CS"/>
        </w:rPr>
        <w:t>nim službenicima i namještenicima</w:t>
      </w:r>
      <w:r>
        <w:rPr>
          <w:rFonts w:eastAsia="Calibri"/>
          <w:lang w:val="sr-Latn-CS"/>
        </w:rPr>
        <w:t>. Kadovskim planom i planom obuka za 202</w:t>
      </w:r>
      <w:r w:rsidR="009C7874">
        <w:rPr>
          <w:rFonts w:eastAsia="Calibri"/>
          <w:lang w:val="sr-Latn-CS"/>
        </w:rPr>
        <w:t>6</w:t>
      </w:r>
      <w:r>
        <w:rPr>
          <w:rFonts w:eastAsia="Calibri"/>
          <w:lang w:val="sr-Latn-CS"/>
        </w:rPr>
        <w:t>. godinu planira</w:t>
      </w:r>
      <w:r w:rsidRPr="00B97F90">
        <w:rPr>
          <w:rFonts w:eastAsia="Calibri"/>
          <w:lang w:val="sr-Latn-CS"/>
        </w:rPr>
        <w:t>no je da se nastavi sa obukama i stručnim usav</w:t>
      </w:r>
      <w:r>
        <w:rPr>
          <w:rFonts w:eastAsia="Calibri"/>
          <w:lang w:val="sr-Latn-CS"/>
        </w:rPr>
        <w:t>ršavanjem u navedenim oblastima kao i da se sa edukacijom i usavršavanjem nastavi i na seminarima u zemlji i regionu.</w:t>
      </w:r>
    </w:p>
    <w:p w14:paraId="7C20F5BB" w14:textId="77777777" w:rsidR="00C01EBF" w:rsidRDefault="00C01EBF" w:rsidP="006E59B5">
      <w:pPr>
        <w:spacing w:line="276" w:lineRule="auto"/>
        <w:ind w:firstLine="644"/>
        <w:jc w:val="both"/>
        <w:rPr>
          <w:rFonts w:eastAsia="Calibri"/>
          <w:lang w:val="sr-Latn-CS"/>
        </w:rPr>
      </w:pPr>
    </w:p>
    <w:p w14:paraId="3B6736F7" w14:textId="07E75198" w:rsidR="006E59B5" w:rsidRDefault="00463C47" w:rsidP="00C01EBF">
      <w:pPr>
        <w:numPr>
          <w:ilvl w:val="0"/>
          <w:numId w:val="4"/>
        </w:numPr>
        <w:spacing w:line="276" w:lineRule="auto"/>
        <w:jc w:val="both"/>
        <w:rPr>
          <w:rFonts w:eastAsia="Calibri"/>
          <w:b/>
          <w:lang w:val="sr-Latn-CS"/>
        </w:rPr>
      </w:pPr>
      <w:r w:rsidRPr="00AC09E4">
        <w:rPr>
          <w:rFonts w:eastAsia="Calibri"/>
          <w:b/>
          <w:lang w:val="sr-Latn-CS"/>
        </w:rPr>
        <w:t>OCJENA STANJA</w:t>
      </w:r>
      <w:r>
        <w:rPr>
          <w:rFonts w:eastAsia="Calibri"/>
          <w:b/>
          <w:lang w:val="sr-Latn-CS"/>
        </w:rPr>
        <w:t xml:space="preserve"> I NAPLATA PRIHODA OD STRANE LOKALNIH SAMOUPRAVA </w:t>
      </w:r>
    </w:p>
    <w:p w14:paraId="5031F58E" w14:textId="77777777" w:rsidR="00C01EBF" w:rsidRPr="00C01EBF" w:rsidRDefault="00C01EBF" w:rsidP="00C01EBF">
      <w:pPr>
        <w:spacing w:line="276" w:lineRule="auto"/>
        <w:ind w:left="644"/>
        <w:jc w:val="both"/>
        <w:rPr>
          <w:rFonts w:eastAsia="Calibri"/>
          <w:b/>
          <w:lang w:val="sr-Latn-CS"/>
        </w:rPr>
      </w:pPr>
    </w:p>
    <w:p w14:paraId="7E87D3FA" w14:textId="77777777" w:rsidR="00463C47" w:rsidRDefault="00463C47" w:rsidP="00653620">
      <w:pPr>
        <w:spacing w:line="276" w:lineRule="auto"/>
        <w:ind w:firstLine="644"/>
        <w:jc w:val="both"/>
      </w:pPr>
      <w:r>
        <w:t>Državna</w:t>
      </w:r>
      <w:r w:rsidRPr="002D11EF">
        <w:t xml:space="preserve"> revizor</w:t>
      </w:r>
      <w:r>
        <w:t>ska institucija</w:t>
      </w:r>
      <w:r w:rsidRPr="002D11EF">
        <w:t xml:space="preserve"> (DRI) </w:t>
      </w:r>
      <w:r>
        <w:t>je u Fondu za obeštećenje, kao subjektu nadzora, izvršila reviziju</w:t>
      </w:r>
      <w:r w:rsidRPr="002C058E">
        <w:t xml:space="preserve"> u skladu sa Poslovnikom Državne revizorske institucije i Međunarodnim standardima revizije za</w:t>
      </w:r>
      <w:r>
        <w:t xml:space="preserve"> javni sektor (ISSAI i EUROSAI)</w:t>
      </w:r>
      <w:r w:rsidRPr="002C058E">
        <w:t xml:space="preserve"> </w:t>
      </w:r>
      <w:r>
        <w:t xml:space="preserve">i </w:t>
      </w:r>
      <w:r w:rsidRPr="002D11EF">
        <w:t xml:space="preserve">u </w:t>
      </w:r>
      <w:r w:rsidRPr="00676255">
        <w:t>Izvještaju o reviziji godišnjeg finansijskog izvještaja Fonda za obeštećenje za 2019 godinu DRI broj: 40113/20-031-259/14 od 30.07.2020. godine</w:t>
      </w:r>
      <w:r>
        <w:t xml:space="preserve"> je navela da: </w:t>
      </w:r>
      <w:r w:rsidRPr="002C058E">
        <w:t xml:space="preserve">nije utvrđeno da postoje materijalno značajne greške ili odstupanja od zvanično prezentiranih finansijskih izvještaja. Transakcije finansiranja iskazane su u skladu sa godišnjim zakonom o budžetu, evidentirane u Glavnoj knjizi trezora, </w:t>
      </w:r>
      <w:proofErr w:type="gramStart"/>
      <w:r w:rsidRPr="002C058E">
        <w:t>a</w:t>
      </w:r>
      <w:proofErr w:type="gramEnd"/>
      <w:r w:rsidRPr="002C058E">
        <w:t xml:space="preserve"> isplate registrovane u okviru Konsolidovanog računa Državnog trezora, pa na osnovu toga, Kolegijum DRI nadležan za predmetnu reviziju izražava </w:t>
      </w:r>
      <w:r w:rsidRPr="002C058E">
        <w:rPr>
          <w:b/>
        </w:rPr>
        <w:t>pozitivno mišljenje</w:t>
      </w:r>
      <w:r w:rsidRPr="002C058E">
        <w:t xml:space="preserve">. Revizijom je, takođe, utvrđeno da Fond za obeštećenje u svojim godišnjim finansijskim izvještajima, od 2014. godine prikazuje ukupno utrošena sredstva za obeštećenje, koja su isplaćivana sa računa budžeta u korist računa poslovnih banaka, koje su prijavili korisnici obeštećenja. </w:t>
      </w:r>
      <w:r w:rsidRPr="00676255">
        <w:t xml:space="preserve">Time je ispoštovana preporuka Državne revizorske institucije iz prethodnog revizorskog izvještaja. </w:t>
      </w:r>
      <w:r>
        <w:t>T</w:t>
      </w:r>
      <w:r w:rsidRPr="002C058E">
        <w:t>akođe je</w:t>
      </w:r>
      <w:r>
        <w:rPr>
          <w:b/>
        </w:rPr>
        <w:t xml:space="preserve"> </w:t>
      </w:r>
      <w:r>
        <w:t>r</w:t>
      </w:r>
      <w:r w:rsidRPr="002C058E">
        <w:t xml:space="preserve">evizijom pravilnosti utvrđeno da </w:t>
      </w:r>
      <w:r>
        <w:t xml:space="preserve">je </w:t>
      </w:r>
      <w:r w:rsidRPr="002C058E">
        <w:t xml:space="preserve">Fond obezbijedio </w:t>
      </w:r>
      <w:r w:rsidRPr="00080B7A">
        <w:t xml:space="preserve">dosljednu i potpunu primjenu Zakona o povraćaju oduzetih imovinskih prava i obeštećenju, pa u skladu sa tim, nadležni Kolegijum DRI izražava </w:t>
      </w:r>
      <w:r w:rsidRPr="00080B7A">
        <w:rPr>
          <w:b/>
        </w:rPr>
        <w:t>pozitivno mišljenje</w:t>
      </w:r>
      <w:r>
        <w:t xml:space="preserve"> i daje preporuke da:</w:t>
      </w:r>
    </w:p>
    <w:p w14:paraId="3BDC0812" w14:textId="77777777" w:rsidR="00463C47" w:rsidRDefault="00463C47" w:rsidP="00463C47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080B7A">
        <w:t xml:space="preserve"> </w:t>
      </w:r>
      <w:r w:rsidRPr="00080B7A">
        <w:rPr>
          <w:b/>
        </w:rPr>
        <w:t xml:space="preserve">Jedinice lokalne samouprave, kao i drugi obveznici treba da postupaju u skladu sa čl. 44 Zakona o povraćaju oduzetih imovinskih prava i obeštećenju, na način što će od prihoda od prodaje državne imovine pravovremeno uplaćivati propisani iznos Fondu za obeštećenje na uplatni račun broj 832- 214-40. </w:t>
      </w:r>
    </w:p>
    <w:p w14:paraId="032E63E6" w14:textId="77777777" w:rsidR="00463C47" w:rsidRPr="00676255" w:rsidRDefault="00463C47" w:rsidP="00463C47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080B7A">
        <w:rPr>
          <w:b/>
        </w:rPr>
        <w:t xml:space="preserve"> Fond treba da nastavi sa dosadašnjom praksom da inicira naplatu namjenskih prihoda i uputi svim dužnicima opomene pred utuženje zbog nepoštovanja zakonskih propisa.</w:t>
      </w:r>
    </w:p>
    <w:p w14:paraId="25BB1B5D" w14:textId="0DD665D8" w:rsidR="00463C47" w:rsidRPr="003D2CB6" w:rsidRDefault="00463C47" w:rsidP="00E42B60">
      <w:pPr>
        <w:spacing w:line="276" w:lineRule="auto"/>
        <w:ind w:firstLine="360"/>
        <w:jc w:val="both"/>
      </w:pPr>
      <w:r>
        <w:t>Fond za obeštećenje je i u 202</w:t>
      </w:r>
      <w:r w:rsidR="009C7874">
        <w:t>5</w:t>
      </w:r>
      <w:r>
        <w:t xml:space="preserve">. godini poštovao navedene preporuke DRI i svim </w:t>
      </w:r>
      <w:r w:rsidRPr="004D63FF">
        <w:t>jedinicama lokalne samouprave, kao i drugim obveznici</w:t>
      </w:r>
      <w:r>
        <w:t xml:space="preserve">ma uputio zahtjeve za uplatu navedenih sredstava i obavještenje </w:t>
      </w:r>
      <w:r w:rsidRPr="004D63FF">
        <w:t xml:space="preserve">da postupaju u skladu sa čl. 44 Zakona o povraćaju oduzetih imovinskih prava i obeštećenju, na način što će od prihoda od prodaje državne imovine pravovremeno uplaćivati </w:t>
      </w:r>
      <w:r w:rsidRPr="004D63FF">
        <w:lastRenderedPageBreak/>
        <w:t>propisani iznos Fondu za obeštećenje na uplatni račun broj 832- 214-40</w:t>
      </w:r>
      <w:r>
        <w:t xml:space="preserve"> kod CBCG uz opomenu pred utuženje.</w:t>
      </w:r>
    </w:p>
    <w:p w14:paraId="16158A18" w14:textId="2B6FB5ED" w:rsidR="00463C47" w:rsidRDefault="00463C47" w:rsidP="00E42B60">
      <w:pPr>
        <w:spacing w:line="276" w:lineRule="auto"/>
        <w:ind w:firstLine="720"/>
        <w:jc w:val="both"/>
      </w:pPr>
      <w:r>
        <w:t>U toku 202</w:t>
      </w:r>
      <w:r w:rsidR="009C7874">
        <w:t>5</w:t>
      </w:r>
      <w:r>
        <w:t>. godine, Fond za obeštećenje je poštovao preporuke Vlade Crne Gore i</w:t>
      </w:r>
      <w:r w:rsidRPr="005554BD">
        <w:t xml:space="preserve"> praks</w:t>
      </w:r>
      <w:r>
        <w:t>u,</w:t>
      </w:r>
      <w:r w:rsidRPr="005554BD">
        <w:t xml:space="preserve"> da se u slučaju zastoja i nemogućnosti isplate u dogovoru sa lokalnim samoupravama</w:t>
      </w:r>
      <w:r>
        <w:t xml:space="preserve"> kao i drugim pravnim licima koji su obveznici primjene zakona</w:t>
      </w:r>
      <w:r w:rsidRPr="005554BD">
        <w:t>, shodno njihovim mogućnostima izmire naveden</w:t>
      </w:r>
      <w:r w:rsidRPr="002C2CE4">
        <w:t>a potraživanja</w:t>
      </w:r>
      <w:r>
        <w:t xml:space="preserve"> Fonda za obeštećenje. </w:t>
      </w:r>
    </w:p>
    <w:p w14:paraId="31C16EDC" w14:textId="77777777" w:rsidR="008830C2" w:rsidRDefault="008830C2" w:rsidP="008830C2">
      <w:pPr>
        <w:spacing w:line="276" w:lineRule="auto"/>
        <w:jc w:val="both"/>
      </w:pPr>
    </w:p>
    <w:p w14:paraId="535F73E3" w14:textId="01449FA8" w:rsidR="00463C47" w:rsidRDefault="008830C2" w:rsidP="008830C2">
      <w:pPr>
        <w:spacing w:line="276" w:lineRule="auto"/>
        <w:jc w:val="both"/>
      </w:pPr>
      <w:r>
        <w:t xml:space="preserve">          </w:t>
      </w:r>
      <w:r w:rsidR="00463C47" w:rsidRPr="00071107">
        <w:t xml:space="preserve">Fond za obeštećenje je uz prethodnu saglasnost Upravnog odbora dana 18.05.2023. godine zaključio Sporazum o izmirenju duga sa HTP Miločer doo Budva u kojem je isti obavezan da zaključno sa 20.03.2023. godine izmiri dug po pravosnažnoj </w:t>
      </w:r>
      <w:proofErr w:type="gramStart"/>
      <w:r w:rsidR="00463C47" w:rsidRPr="00071107">
        <w:t>presudi  Osnovnog</w:t>
      </w:r>
      <w:proofErr w:type="gramEnd"/>
      <w:r w:rsidR="00463C47" w:rsidRPr="00071107">
        <w:t xml:space="preserve"> suda u Kotoru Posl. br. 93/08 od 27.12.2007. godine.</w:t>
      </w:r>
      <w:r w:rsidR="00463C47">
        <w:t xml:space="preserve"> Naprijed navedeni Sporazum je zaključen u skladu sa predlogom Ministarstva ekonomskog razvoja i turizma br.018-330/23-1214/8 od 18.04.2023. godine i u cilju stvaranja uslova za poslovanje </w:t>
      </w:r>
      <w:r w:rsidR="00463C47" w:rsidRPr="006E59B5">
        <w:t>HTP “Miločer” d.o.o.,</w:t>
      </w:r>
      <w:r w:rsidR="00463C47">
        <w:t xml:space="preserve"> kojem preduzeću je Vlada Crne Gore na sjednici od 30.03.2023. godine odobrila jednokratnu pomoć od 198.000,00 eura. Nakon uplate tri rate po navedenom sporazumu, </w:t>
      </w:r>
      <w:r w:rsidR="00463C47" w:rsidRPr="00B15DF2">
        <w:t xml:space="preserve">HTP “Miločer” d.o.o. je obustavio uplate i </w:t>
      </w:r>
      <w:r w:rsidR="00463C47">
        <w:t>S</w:t>
      </w:r>
      <w:r w:rsidR="00463C47" w:rsidRPr="00B15DF2">
        <w:t xml:space="preserve">porazum je prestao da se primjenjuje zaključno sa uplatom poslednje rate </w:t>
      </w:r>
      <w:r w:rsidR="00463C47">
        <w:t xml:space="preserve">od </w:t>
      </w:r>
      <w:r w:rsidR="00463C47" w:rsidRPr="00B15DF2">
        <w:t>04.09.2023. godine. Preostali dug po ovom osnovu iznosi 102.795,81</w:t>
      </w:r>
      <w:r w:rsidR="00463C47">
        <w:t xml:space="preserve"> </w:t>
      </w:r>
      <w:r w:rsidR="00463C47" w:rsidRPr="00B15DF2">
        <w:t>€</w:t>
      </w:r>
      <w:r w:rsidR="00463C47">
        <w:t xml:space="preserve"> i po osnovu</w:t>
      </w:r>
      <w:r w:rsidR="00186AEC">
        <w:t xml:space="preserve"> </w:t>
      </w:r>
      <w:r w:rsidR="00463C47">
        <w:t>toga je izvršena blokada kod Centralne banke Crne Gore</w:t>
      </w:r>
      <w:r w:rsidR="00C24F7A">
        <w:t xml:space="preserve"> i po navedenom osnovu u toku 2025. godine nije bilo promjena.</w:t>
      </w:r>
    </w:p>
    <w:p w14:paraId="0FEDBC03" w14:textId="587B79C5" w:rsidR="00463C47" w:rsidRDefault="00463C47" w:rsidP="00E42B60">
      <w:pPr>
        <w:spacing w:line="276" w:lineRule="auto"/>
        <w:ind w:firstLine="720"/>
        <w:jc w:val="both"/>
      </w:pPr>
      <w:r w:rsidRPr="00676255">
        <w:rPr>
          <w:lang w:val="sr-Latn-CS"/>
        </w:rPr>
        <w:t xml:space="preserve">Dana 12.06.2023. godine Fond za obeštećenje je uputio Inicijativu za izmirenje duga </w:t>
      </w:r>
      <w:r w:rsidRPr="00EA6D58">
        <w:rPr>
          <w:b/>
          <w:lang w:val="sr-Latn-CS"/>
        </w:rPr>
        <w:t>Opštini Bar</w:t>
      </w:r>
      <w:r w:rsidRPr="00EA6D58">
        <w:rPr>
          <w:lang w:val="sr-Latn-CS"/>
        </w:rPr>
        <w:t xml:space="preserve">, a po osnovu preostalih obaveza po pravosnažnoj presudi Osnovnog suda u Baru P.br.742/08 od 16.11.2009. godine. U istoj smo prihvatili predlog Opštine Bar, iznesen u dopisu broj 01-018/23-935 od 28.03.2023. godine, da se kroz zaključenje sporazuma o izmirenju preostalih obaveza odloži prinudno izvršenje po osnovu pravosnažno presuđenih zateznih kamata. </w:t>
      </w:r>
      <w:r>
        <w:rPr>
          <w:lang w:val="sr-Latn-CS"/>
        </w:rPr>
        <w:t xml:space="preserve">Sporazum o dinamici izmirenja duga zaključen je dana 04.04.2024. godine i isti je </w:t>
      </w:r>
      <w:r w:rsidR="00C24F7A">
        <w:rPr>
          <w:lang w:val="sr-Latn-CS"/>
        </w:rPr>
        <w:t xml:space="preserve">u cjelosti sproveden u toku 2025. godine </w:t>
      </w:r>
      <w:r w:rsidR="00E42B60">
        <w:rPr>
          <w:lang w:val="sr-Latn-CS"/>
        </w:rPr>
        <w:t>jer je</w:t>
      </w:r>
      <w:r w:rsidR="00C24F7A">
        <w:rPr>
          <w:lang w:val="sr-Latn-CS"/>
        </w:rPr>
        <w:t xml:space="preserve"> Opština Bar je zaključno sa 21.11.2025. godin</w:t>
      </w:r>
      <w:r w:rsidR="00E42B60">
        <w:rPr>
          <w:lang w:val="sr-Latn-CS"/>
        </w:rPr>
        <w:t>e,</w:t>
      </w:r>
      <w:r w:rsidR="00C24F7A">
        <w:rPr>
          <w:lang w:val="sr-Latn-CS"/>
        </w:rPr>
        <w:t xml:space="preserve"> uplatom </w:t>
      </w:r>
      <w:r w:rsidR="00E42B60">
        <w:rPr>
          <w:lang w:val="sr-Latn-CS"/>
        </w:rPr>
        <w:t>cjelokupnog preostalog iznosa novca</w:t>
      </w:r>
      <w:r w:rsidR="00E42B60" w:rsidRPr="00E42B60">
        <w:rPr>
          <w:lang w:val="sr-Latn-CS"/>
        </w:rPr>
        <w:t xml:space="preserve"> po presudi Osnovnog suda u Baru P.br.742/08 od 16.11.2009. godine</w:t>
      </w:r>
      <w:r w:rsidR="00E42B60">
        <w:rPr>
          <w:lang w:val="sr-Latn-CS"/>
        </w:rPr>
        <w:t>,</w:t>
      </w:r>
      <w:r w:rsidR="00C24F7A">
        <w:rPr>
          <w:lang w:val="sr-Latn-CS"/>
        </w:rPr>
        <w:t xml:space="preserve"> izmirila cjelokupan dug sa pripadajućim kamatama prema Fondu za obeštećenje</w:t>
      </w:r>
      <w:r w:rsidR="00C24F7A" w:rsidRPr="00C24F7A">
        <w:rPr>
          <w:lang w:val="sr-Latn-CS"/>
        </w:rPr>
        <w:t xml:space="preserve"> </w:t>
      </w:r>
      <w:r w:rsidR="00C24F7A">
        <w:rPr>
          <w:lang w:val="sr-Latn-CS"/>
        </w:rPr>
        <w:t xml:space="preserve">u iznosu od </w:t>
      </w:r>
      <w:r w:rsidR="00C24F7A" w:rsidRPr="00C24F7A">
        <w:rPr>
          <w:b/>
          <w:lang w:val="sr-Latn-CS"/>
        </w:rPr>
        <w:t>2.011.860,13</w:t>
      </w:r>
      <w:r w:rsidR="00C24F7A">
        <w:rPr>
          <w:lang w:val="sr-Latn-CS"/>
        </w:rPr>
        <w:t xml:space="preserve"> €</w:t>
      </w:r>
      <w:r w:rsidR="00E42B60">
        <w:rPr>
          <w:lang w:val="sr-Latn-CS"/>
        </w:rPr>
        <w:t xml:space="preserve"> </w:t>
      </w:r>
    </w:p>
    <w:p w14:paraId="2AFF41FD" w14:textId="394D9694" w:rsidR="00463C47" w:rsidRPr="006E59B5" w:rsidRDefault="00463C47" w:rsidP="006E59B5">
      <w:pPr>
        <w:spacing w:line="276" w:lineRule="auto"/>
        <w:ind w:firstLine="720"/>
        <w:jc w:val="both"/>
        <w:rPr>
          <w:lang w:val="sr-Latn-CS"/>
        </w:rPr>
      </w:pPr>
      <w:r>
        <w:rPr>
          <w:lang w:val="sr-Latn-CS"/>
        </w:rPr>
        <w:t xml:space="preserve">Predloge za zaključenje sporazuma za izmirenje duga Fondu za obeštećenje su dostavili </w:t>
      </w:r>
      <w:r w:rsidRPr="00E42B60">
        <w:rPr>
          <w:b/>
          <w:lang w:val="sr-Latn-CS"/>
        </w:rPr>
        <w:t>Opština Ulcinj, Opština Danilovgrad i Opština Plav</w:t>
      </w:r>
      <w:r>
        <w:rPr>
          <w:lang w:val="sr-Latn-CS"/>
        </w:rPr>
        <w:t xml:space="preserve"> i to Opština Ulcinj predlog za zaključenje sporazuma za izmirenje duga u iznosu od 109.553,88 €</w:t>
      </w:r>
      <w:r w:rsidR="00E42B60">
        <w:rPr>
          <w:lang w:val="sr-Latn-CS"/>
        </w:rPr>
        <w:t xml:space="preserve">, </w:t>
      </w:r>
      <w:r>
        <w:rPr>
          <w:lang w:val="sr-Latn-CS"/>
        </w:rPr>
        <w:t xml:space="preserve"> Opština Plav </w:t>
      </w:r>
      <w:r w:rsidRPr="00F56EFF">
        <w:rPr>
          <w:lang w:val="sr-Latn-CS"/>
        </w:rPr>
        <w:t xml:space="preserve">predlog za zaključenje sporazuma za izmirenje duga u iznosu od </w:t>
      </w:r>
      <w:r>
        <w:rPr>
          <w:lang w:val="sr-Latn-CS"/>
        </w:rPr>
        <w:t xml:space="preserve">13.444,34 </w:t>
      </w:r>
      <w:r w:rsidRPr="00F56EFF">
        <w:rPr>
          <w:lang w:val="sr-Latn-CS"/>
        </w:rPr>
        <w:t>€</w:t>
      </w:r>
      <w:r>
        <w:rPr>
          <w:lang w:val="sr-Latn-CS"/>
        </w:rPr>
        <w:t xml:space="preserve"> i Opština Danilovgrad </w:t>
      </w:r>
      <w:r w:rsidR="00E42B60" w:rsidRPr="00E42B60">
        <w:rPr>
          <w:lang w:val="sr-Latn-CS"/>
        </w:rPr>
        <w:t xml:space="preserve">predlog za zaključenje sporazuma za izmirenje duga </w:t>
      </w:r>
      <w:r>
        <w:rPr>
          <w:lang w:val="sr-Latn-CS"/>
        </w:rPr>
        <w:t>u ukupnom iznosu od 53.058,08 €.  Nakon što</w:t>
      </w:r>
      <w:r w:rsidR="00E42B60">
        <w:rPr>
          <w:lang w:val="sr-Latn-CS"/>
        </w:rPr>
        <w:t xml:space="preserve"> je</w:t>
      </w:r>
      <w:r>
        <w:rPr>
          <w:lang w:val="sr-Latn-CS"/>
        </w:rPr>
        <w:t xml:space="preserve"> Upravni odbor Fonda za obeštećenje razmotri</w:t>
      </w:r>
      <w:r w:rsidR="00E42B60">
        <w:rPr>
          <w:lang w:val="sr-Latn-CS"/>
        </w:rPr>
        <w:t>o</w:t>
      </w:r>
      <w:r>
        <w:rPr>
          <w:lang w:val="sr-Latn-CS"/>
        </w:rPr>
        <w:t xml:space="preserve"> navedene </w:t>
      </w:r>
      <w:r w:rsidR="00E42B60">
        <w:rPr>
          <w:lang w:val="sr-Latn-CS"/>
        </w:rPr>
        <w:t xml:space="preserve">predloge </w:t>
      </w:r>
      <w:r>
        <w:rPr>
          <w:lang w:val="sr-Latn-CS"/>
        </w:rPr>
        <w:t xml:space="preserve"> da</w:t>
      </w:r>
      <w:r w:rsidR="00E42B60">
        <w:rPr>
          <w:lang w:val="sr-Latn-CS"/>
        </w:rPr>
        <w:t>o</w:t>
      </w:r>
      <w:r>
        <w:rPr>
          <w:lang w:val="sr-Latn-CS"/>
        </w:rPr>
        <w:t xml:space="preserve"> </w:t>
      </w:r>
      <w:r w:rsidR="00E42B60">
        <w:rPr>
          <w:lang w:val="sr-Latn-CS"/>
        </w:rPr>
        <w:t xml:space="preserve">je </w:t>
      </w:r>
      <w:r>
        <w:rPr>
          <w:lang w:val="sr-Latn-CS"/>
        </w:rPr>
        <w:t>saglasnost</w:t>
      </w:r>
      <w:r w:rsidR="00E42B60">
        <w:rPr>
          <w:lang w:val="sr-Latn-CS"/>
        </w:rPr>
        <w:t xml:space="preserve"> za zaključenje sporazuma pa su dana 23.09.2025. godine sa sve tri opštine zaključeni sporazumi o dinamici izmirenja duga u gore navedenim iznosima i po istima se vrši uplata neizmirenih obaveza</w:t>
      </w:r>
      <w:r w:rsidR="00840C40">
        <w:rPr>
          <w:lang w:val="sr-Latn-CS"/>
        </w:rPr>
        <w:t>.</w:t>
      </w:r>
    </w:p>
    <w:p w14:paraId="1DF4AD87" w14:textId="60843DFE" w:rsidR="00D005A2" w:rsidRDefault="00463C47" w:rsidP="00653620">
      <w:pPr>
        <w:spacing w:line="276" w:lineRule="auto"/>
        <w:ind w:firstLine="720"/>
        <w:jc w:val="both"/>
      </w:pPr>
      <w:r>
        <w:t xml:space="preserve">Zbog vremenskog perioda u kojem lokalne samouprave </w:t>
      </w:r>
      <w:r w:rsidRPr="005554BD">
        <w:t>dono</w:t>
      </w:r>
      <w:r>
        <w:t>se</w:t>
      </w:r>
      <w:r w:rsidRPr="005554BD">
        <w:t xml:space="preserve"> završn</w:t>
      </w:r>
      <w:r>
        <w:t>e</w:t>
      </w:r>
      <w:r w:rsidRPr="005554BD">
        <w:t xml:space="preserve"> račun</w:t>
      </w:r>
      <w:r>
        <w:t>e</w:t>
      </w:r>
      <w:r w:rsidRPr="005554BD">
        <w:t xml:space="preserve"> budžeta za 202</w:t>
      </w:r>
      <w:r w:rsidR="00840C40">
        <w:t>5</w:t>
      </w:r>
      <w:r w:rsidRPr="005554BD">
        <w:t>.</w:t>
      </w:r>
      <w:r>
        <w:t xml:space="preserve"> </w:t>
      </w:r>
      <w:r w:rsidRPr="005554BD">
        <w:t>godinu</w:t>
      </w:r>
      <w:r>
        <w:t xml:space="preserve"> i činjenice da lokalne samouprave po zahtjevima koje je Fond uputio nijesu još dostavile precizne informacije, </w:t>
      </w:r>
      <w:r w:rsidRPr="005554BD">
        <w:t xml:space="preserve">nije moguće utvrditi preciznu visinu obaveze koju su </w:t>
      </w:r>
      <w:r>
        <w:t xml:space="preserve">iste </w:t>
      </w:r>
      <w:r w:rsidRPr="005554BD">
        <w:t>dužn</w:t>
      </w:r>
      <w:r>
        <w:t xml:space="preserve">e </w:t>
      </w:r>
      <w:r w:rsidRPr="005554BD">
        <w:t>da uplate u korist Fonda za obeštećenje</w:t>
      </w:r>
      <w:r>
        <w:t xml:space="preserve"> na 31.12.202</w:t>
      </w:r>
      <w:r w:rsidR="00840C40">
        <w:t>5</w:t>
      </w:r>
      <w:r>
        <w:t>. godinu, zbog čega</w:t>
      </w:r>
      <w:r w:rsidRPr="005554BD">
        <w:t xml:space="preserve"> izvještaj sadrži samo podatke o stvarno uplaćenim sredstvima na račun Fonda </w:t>
      </w:r>
      <w:r>
        <w:t xml:space="preserve">i </w:t>
      </w:r>
      <w:proofErr w:type="gramStart"/>
      <w:r>
        <w:t xml:space="preserve">dugu </w:t>
      </w:r>
      <w:r w:rsidRPr="005554BD">
        <w:t xml:space="preserve"> koj</w:t>
      </w:r>
      <w:r>
        <w:t>i</w:t>
      </w:r>
      <w:proofErr w:type="gramEnd"/>
      <w:r>
        <w:t xml:space="preserve"> </w:t>
      </w:r>
      <w:r w:rsidRPr="00524EE2">
        <w:t>lokalne samouprave</w:t>
      </w:r>
      <w:r w:rsidRPr="005554BD">
        <w:t xml:space="preserve"> imaju </w:t>
      </w:r>
      <w:r>
        <w:t xml:space="preserve">po evidenciji koju vodi Fond za obeštećenje na osnovu dostupnih podataka i dospjele obaveze koje su </w:t>
      </w:r>
      <w:r w:rsidRPr="00071107">
        <w:t xml:space="preserve">lokalne samouprave </w:t>
      </w:r>
      <w:r>
        <w:t>bile dužne da uplate u korist Fonda za obeštećenje zaključno sa 31.12.202</w:t>
      </w:r>
      <w:r w:rsidR="00840C40">
        <w:t>5</w:t>
      </w:r>
      <w:r>
        <w:t xml:space="preserve">. </w:t>
      </w:r>
    </w:p>
    <w:p w14:paraId="702C5D37" w14:textId="67ED96B9" w:rsidR="001C721C" w:rsidRDefault="001C721C" w:rsidP="00653620">
      <w:pPr>
        <w:spacing w:line="276" w:lineRule="auto"/>
        <w:ind w:firstLine="720"/>
        <w:jc w:val="both"/>
      </w:pPr>
    </w:p>
    <w:p w14:paraId="20BC29D9" w14:textId="6D9E4039" w:rsidR="00C74EDB" w:rsidRDefault="00C74EDB" w:rsidP="00653620">
      <w:pPr>
        <w:spacing w:line="276" w:lineRule="auto"/>
        <w:ind w:firstLine="720"/>
        <w:jc w:val="both"/>
      </w:pPr>
    </w:p>
    <w:p w14:paraId="368F0B8D" w14:textId="77777777" w:rsidR="00C74EDB" w:rsidRDefault="00C74EDB" w:rsidP="00653620">
      <w:pPr>
        <w:spacing w:line="276" w:lineRule="auto"/>
        <w:ind w:firstLine="720"/>
        <w:jc w:val="both"/>
      </w:pPr>
    </w:p>
    <w:p w14:paraId="1839C8B8" w14:textId="77777777" w:rsidR="00D005A2" w:rsidRDefault="00D005A2" w:rsidP="00463C47">
      <w:pPr>
        <w:spacing w:line="276" w:lineRule="auto"/>
        <w:jc w:val="both"/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761"/>
        <w:gridCol w:w="4871"/>
      </w:tblGrid>
      <w:tr w:rsidR="00137E43" w:rsidRPr="00043375" w14:paraId="69EA9EF3" w14:textId="77777777" w:rsidTr="00186AEC">
        <w:trPr>
          <w:trHeight w:val="440"/>
        </w:trPr>
        <w:tc>
          <w:tcPr>
            <w:tcW w:w="1903" w:type="dxa"/>
            <w:shd w:val="clear" w:color="auto" w:fill="auto"/>
            <w:vAlign w:val="center"/>
          </w:tcPr>
          <w:p w14:paraId="63BB19CB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OPŠTINA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BD96C32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DUGOVANJE</w:t>
            </w:r>
            <w:r>
              <w:rPr>
                <w:b/>
                <w:sz w:val="22"/>
                <w:szCs w:val="22"/>
              </w:rPr>
              <w:t xml:space="preserve"> U €</w:t>
            </w:r>
            <w:r w:rsidRPr="000433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7F187FC5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NAPOMENA</w:t>
            </w:r>
          </w:p>
        </w:tc>
      </w:tr>
      <w:tr w:rsidR="00137E43" w:rsidRPr="00F50A0C" w14:paraId="11A12532" w14:textId="77777777" w:rsidTr="00186AEC">
        <w:trPr>
          <w:trHeight w:val="323"/>
        </w:trPr>
        <w:tc>
          <w:tcPr>
            <w:tcW w:w="1903" w:type="dxa"/>
            <w:shd w:val="clear" w:color="auto" w:fill="auto"/>
            <w:vAlign w:val="center"/>
          </w:tcPr>
          <w:p w14:paraId="68E0D02E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BUDVA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39F50E0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24.723,89</w:t>
            </w:r>
          </w:p>
        </w:tc>
        <w:tc>
          <w:tcPr>
            <w:tcW w:w="4871" w:type="dxa"/>
            <w:shd w:val="clear" w:color="auto" w:fill="auto"/>
          </w:tcPr>
          <w:p w14:paraId="61EE64E2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18FE488C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6E1CA2A3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KOTOR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B983F40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21.982,08</w:t>
            </w:r>
          </w:p>
        </w:tc>
        <w:tc>
          <w:tcPr>
            <w:tcW w:w="4871" w:type="dxa"/>
            <w:shd w:val="clear" w:color="auto" w:fill="auto"/>
          </w:tcPr>
          <w:p w14:paraId="7ABF53C9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65E506D1" w14:textId="77777777" w:rsidTr="00186AEC">
        <w:trPr>
          <w:trHeight w:val="359"/>
        </w:trPr>
        <w:tc>
          <w:tcPr>
            <w:tcW w:w="1903" w:type="dxa"/>
            <w:shd w:val="clear" w:color="auto" w:fill="auto"/>
            <w:vAlign w:val="center"/>
          </w:tcPr>
          <w:p w14:paraId="6E31E684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ULCINJ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B6556FC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107.266,83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49C6ACEE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1C31B9AB" w14:textId="77777777" w:rsidTr="00186AEC">
        <w:trPr>
          <w:trHeight w:val="440"/>
        </w:trPr>
        <w:tc>
          <w:tcPr>
            <w:tcW w:w="1903" w:type="dxa"/>
            <w:shd w:val="clear" w:color="auto" w:fill="auto"/>
            <w:vAlign w:val="center"/>
          </w:tcPr>
          <w:p w14:paraId="1E437065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KOLAŠIN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C3B9ED2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138.539,32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3648A6BF" w14:textId="295ACB02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76255">
              <w:rPr>
                <w:sz w:val="22"/>
                <w:szCs w:val="22"/>
              </w:rPr>
              <w:t xml:space="preserve">baveza Opštine Kolašin prema Fondu </w:t>
            </w:r>
            <w:r>
              <w:rPr>
                <w:sz w:val="22"/>
                <w:szCs w:val="22"/>
              </w:rPr>
              <w:t xml:space="preserve">u iznosu od </w:t>
            </w:r>
            <w:r w:rsidR="00C74EDB">
              <w:rPr>
                <w:sz w:val="22"/>
                <w:szCs w:val="22"/>
              </w:rPr>
              <w:t>124.508,60</w:t>
            </w:r>
            <w:r>
              <w:rPr>
                <w:sz w:val="22"/>
                <w:szCs w:val="22"/>
              </w:rPr>
              <w:t xml:space="preserve"> € </w:t>
            </w:r>
            <w:r w:rsidRPr="00676255">
              <w:rPr>
                <w:sz w:val="22"/>
                <w:szCs w:val="22"/>
              </w:rPr>
              <w:t xml:space="preserve">odnosi </w:t>
            </w:r>
            <w:r>
              <w:rPr>
                <w:sz w:val="22"/>
                <w:szCs w:val="22"/>
              </w:rPr>
              <w:t xml:space="preserve">se </w:t>
            </w:r>
            <w:r w:rsidRPr="00676255">
              <w:rPr>
                <w:sz w:val="22"/>
                <w:szCs w:val="22"/>
              </w:rPr>
              <w:t>na prodaju državne imovine u 2007</w:t>
            </w:r>
            <w:r>
              <w:rPr>
                <w:sz w:val="22"/>
                <w:szCs w:val="22"/>
              </w:rPr>
              <w:t>.</w:t>
            </w:r>
            <w:r w:rsidRPr="00676255">
              <w:rPr>
                <w:sz w:val="22"/>
                <w:szCs w:val="22"/>
              </w:rPr>
              <w:t xml:space="preserve"> godini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E43" w:rsidRPr="00F50A0C" w14:paraId="70A80542" w14:textId="77777777" w:rsidTr="00186AEC">
        <w:trPr>
          <w:trHeight w:val="368"/>
        </w:trPr>
        <w:tc>
          <w:tcPr>
            <w:tcW w:w="1903" w:type="dxa"/>
            <w:shd w:val="clear" w:color="auto" w:fill="auto"/>
            <w:vAlign w:val="center"/>
          </w:tcPr>
          <w:p w14:paraId="3AAC8527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BERANE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7CED35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121.528,17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5EA4BB08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2736D042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78DEAFA2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ŽABLJAK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204C108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0433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043375">
              <w:rPr>
                <w:sz w:val="22"/>
                <w:szCs w:val="22"/>
              </w:rPr>
              <w:t>289</w:t>
            </w:r>
            <w:r>
              <w:rPr>
                <w:sz w:val="22"/>
                <w:szCs w:val="22"/>
              </w:rPr>
              <w:t>,</w:t>
            </w:r>
            <w:r w:rsidRPr="0004337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5B6E0807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041702AD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7CE03409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PLAV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0394916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13.444,44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70B5A8BB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6C2EEE39" w14:textId="77777777" w:rsidTr="00186AEC">
        <w:trPr>
          <w:trHeight w:val="341"/>
        </w:trPr>
        <w:tc>
          <w:tcPr>
            <w:tcW w:w="1903" w:type="dxa"/>
            <w:shd w:val="clear" w:color="auto" w:fill="auto"/>
            <w:vAlign w:val="center"/>
          </w:tcPr>
          <w:p w14:paraId="01CE5A54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ROŽAJE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46BF3D3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7.539,51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1C75BF0C" w14:textId="77777777" w:rsidR="00137E43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71AC4D46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5F75E9C1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DANILOVGRAD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995846D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44.215,19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08063858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3AA6CE76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7A1D774E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375">
              <w:rPr>
                <w:b/>
                <w:sz w:val="22"/>
                <w:szCs w:val="22"/>
              </w:rPr>
              <w:t>CETINJE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776D55C" w14:textId="77777777" w:rsidR="00137E43" w:rsidRPr="00043375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9.457,05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04E4052A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24EA3DE9" w14:textId="77777777" w:rsidTr="00186AEC">
        <w:trPr>
          <w:trHeight w:val="359"/>
        </w:trPr>
        <w:tc>
          <w:tcPr>
            <w:tcW w:w="1903" w:type="dxa"/>
            <w:shd w:val="clear" w:color="auto" w:fill="auto"/>
            <w:vAlign w:val="center"/>
          </w:tcPr>
          <w:p w14:paraId="2C4B532B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HERCEG NOVI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C26B57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3.474,00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1D9CD6D4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6E6AC72B" w14:textId="77777777" w:rsidTr="00186AEC">
        <w:trPr>
          <w:trHeight w:val="341"/>
        </w:trPr>
        <w:tc>
          <w:tcPr>
            <w:tcW w:w="1903" w:type="dxa"/>
            <w:shd w:val="clear" w:color="auto" w:fill="auto"/>
            <w:vAlign w:val="center"/>
          </w:tcPr>
          <w:p w14:paraId="4955E4A4" w14:textId="77777777" w:rsidR="00137E43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BIJELO POLJE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F314EFA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21AFC023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4639E2CD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1167AF44" w14:textId="77777777" w:rsidR="00137E43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PLJEVLJA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1BB73E2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5.383,47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1F597713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634C0517" w14:textId="77777777" w:rsidTr="00186AEC">
        <w:trPr>
          <w:trHeight w:val="350"/>
        </w:trPr>
        <w:tc>
          <w:tcPr>
            <w:tcW w:w="1903" w:type="dxa"/>
            <w:shd w:val="clear" w:color="auto" w:fill="auto"/>
            <w:vAlign w:val="center"/>
          </w:tcPr>
          <w:p w14:paraId="35BEB694" w14:textId="77777777" w:rsidR="00137E43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MOJKOVAC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06F1904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745,03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711F92B4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4DB8491D" w14:textId="77777777" w:rsidTr="00186AEC">
        <w:trPr>
          <w:trHeight w:val="359"/>
        </w:trPr>
        <w:tc>
          <w:tcPr>
            <w:tcW w:w="1903" w:type="dxa"/>
            <w:shd w:val="clear" w:color="auto" w:fill="auto"/>
            <w:vAlign w:val="center"/>
          </w:tcPr>
          <w:p w14:paraId="766C2D60" w14:textId="77777777" w:rsidR="00137E43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F15BCE7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2.687,29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6FFCBBAA" w14:textId="77777777" w:rsidR="00137E43" w:rsidRPr="00043375" w:rsidRDefault="00137E43" w:rsidP="00E06A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7E43" w:rsidRPr="00F50A0C" w14:paraId="75700E1D" w14:textId="77777777" w:rsidTr="00186AEC">
        <w:trPr>
          <w:trHeight w:val="341"/>
        </w:trPr>
        <w:tc>
          <w:tcPr>
            <w:tcW w:w="1903" w:type="dxa"/>
            <w:shd w:val="clear" w:color="auto" w:fill="auto"/>
            <w:vAlign w:val="center"/>
          </w:tcPr>
          <w:p w14:paraId="31D9CE27" w14:textId="77777777" w:rsidR="00137E43" w:rsidRPr="00043375" w:rsidRDefault="00137E43" w:rsidP="00E06A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HTP MILOČER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BC6883C" w14:textId="77777777" w:rsidR="00137E43" w:rsidRDefault="00137E43" w:rsidP="00E06A9A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102.795,81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5A652602" w14:textId="77777777" w:rsidR="00137E43" w:rsidRDefault="00137E43" w:rsidP="00E06A9A">
            <w:pPr>
              <w:spacing w:line="276" w:lineRule="auto"/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137E43" w:rsidRPr="00F50A0C" w14:paraId="41469ACC" w14:textId="77777777" w:rsidTr="00186AEC">
        <w:trPr>
          <w:trHeight w:val="440"/>
        </w:trPr>
        <w:tc>
          <w:tcPr>
            <w:tcW w:w="1903" w:type="dxa"/>
            <w:shd w:val="clear" w:color="auto" w:fill="auto"/>
            <w:vAlign w:val="center"/>
          </w:tcPr>
          <w:p w14:paraId="66DA643F" w14:textId="77777777" w:rsidR="00137E43" w:rsidRPr="004E0D7C" w:rsidRDefault="00137E43" w:rsidP="005617CA">
            <w:pPr>
              <w:spacing w:line="276" w:lineRule="auto"/>
              <w:rPr>
                <w:b/>
                <w:szCs w:val="22"/>
              </w:rPr>
            </w:pPr>
            <w:r w:rsidRPr="004E0D7C">
              <w:rPr>
                <w:b/>
                <w:szCs w:val="22"/>
              </w:rPr>
              <w:t>Ukupno: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344AC83" w14:textId="77777777" w:rsidR="00137E43" w:rsidRPr="004E0D7C" w:rsidRDefault="00137E43" w:rsidP="00E06A9A">
            <w:pPr>
              <w:spacing w:line="276" w:lineRule="auto"/>
              <w:jc w:val="right"/>
              <w:rPr>
                <w:b/>
                <w:szCs w:val="22"/>
              </w:rPr>
            </w:pPr>
            <w:r w:rsidRPr="004E0D7C">
              <w:rPr>
                <w:b/>
                <w:szCs w:val="22"/>
              </w:rPr>
              <w:t>605.151,87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5C9AFF72" w14:textId="77777777" w:rsidR="00137E43" w:rsidRPr="00043375" w:rsidRDefault="00137E43" w:rsidP="00E06A9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70D773E" w14:textId="77777777" w:rsidR="00463C47" w:rsidRDefault="00463C47" w:rsidP="00463C47"/>
    <w:p w14:paraId="7784F9AE" w14:textId="27A6316A" w:rsidR="00463C47" w:rsidRPr="00C01EBF" w:rsidRDefault="00463C47" w:rsidP="00C01EBF">
      <w:pPr>
        <w:spacing w:line="276" w:lineRule="auto"/>
        <w:ind w:firstLine="720"/>
        <w:jc w:val="both"/>
        <w:rPr>
          <w:lang w:val="sr-Latn-CS"/>
        </w:rPr>
      </w:pPr>
      <w:r w:rsidRPr="00630A2E">
        <w:t xml:space="preserve">U prethodnom periodu od strane lokalnih samouprava </w:t>
      </w:r>
      <w:r w:rsidRPr="00840C40">
        <w:t>bilo je zastoja u plaćanju</w:t>
      </w:r>
      <w:r w:rsidRPr="00630A2E">
        <w:t xml:space="preserve"> navedenih </w:t>
      </w:r>
      <w:r>
        <w:t xml:space="preserve">sredstava </w:t>
      </w:r>
      <w:r w:rsidRPr="00630A2E">
        <w:t xml:space="preserve">u korist Fonda za obeštećenje, zbog čega je Fond bio primoran da kod nadležnih sudova pokrene postupke utvrđivanja i prinudne naplate ovih prihoda. Iako blagovremeno podnijete, inicijative za naplatu </w:t>
      </w:r>
      <w:r>
        <w:t xml:space="preserve">duga su </w:t>
      </w:r>
      <w:r w:rsidRPr="00630A2E">
        <w:t>od strane</w:t>
      </w:r>
      <w:r>
        <w:t xml:space="preserve"> </w:t>
      </w:r>
      <w:r w:rsidRPr="00630A2E">
        <w:t>nadležnih sudova cijenjene na različite načine u procesnom smislu</w:t>
      </w:r>
      <w:r>
        <w:t xml:space="preserve">, </w:t>
      </w:r>
      <w:r w:rsidRPr="00630A2E">
        <w:t>zbog čega naplata prihoda prinudnim putem nije išla planiranom dinamikom ili je bila onem</w:t>
      </w:r>
      <w:r>
        <w:t>o</w:t>
      </w:r>
      <w:r w:rsidRPr="00630A2E">
        <w:t>gućena</w:t>
      </w:r>
      <w:r>
        <w:t xml:space="preserve">. Navedeno je stvorilo problem u naplati </w:t>
      </w:r>
      <w:r w:rsidRPr="00F50A0C">
        <w:rPr>
          <w:b/>
        </w:rPr>
        <w:t xml:space="preserve">duga Opštine Kolašin u iznosu od </w:t>
      </w:r>
      <w:r>
        <w:rPr>
          <w:b/>
        </w:rPr>
        <w:t>124.508,60</w:t>
      </w:r>
      <w:r w:rsidRPr="00F50A0C">
        <w:rPr>
          <w:b/>
        </w:rPr>
        <w:t xml:space="preserve"> €</w:t>
      </w:r>
      <w:r>
        <w:t xml:space="preserve"> nastalog kao </w:t>
      </w:r>
      <w:bookmarkStart w:id="2" w:name="OLE_LINK1"/>
      <w:r>
        <w:t>neizmirena obaveza Opštine Kolašin prema Fondu a koji se odnosi na</w:t>
      </w:r>
      <w:r w:rsidRPr="00630A2E">
        <w:t xml:space="preserve"> prodaju</w:t>
      </w:r>
      <w:r>
        <w:t xml:space="preserve"> državne</w:t>
      </w:r>
      <w:r w:rsidRPr="00630A2E">
        <w:t xml:space="preserve"> imovine u </w:t>
      </w:r>
      <w:r>
        <w:t xml:space="preserve">opštine u </w:t>
      </w:r>
      <w:r w:rsidRPr="00630A2E">
        <w:t>2007 godini</w:t>
      </w:r>
      <w:r>
        <w:t>,</w:t>
      </w:r>
      <w:r w:rsidRPr="00630A2E">
        <w:t xml:space="preserve"> koji Fond za obeštećenje nije u mogućnosti prinudno da naplati, </w:t>
      </w:r>
      <w:proofErr w:type="gramStart"/>
      <w:r w:rsidRPr="00630A2E">
        <w:t>a</w:t>
      </w:r>
      <w:proofErr w:type="gramEnd"/>
      <w:r w:rsidRPr="00630A2E">
        <w:t xml:space="preserve"> isti </w:t>
      </w:r>
      <w:r w:rsidRPr="00440758">
        <w:rPr>
          <w:b/>
        </w:rPr>
        <w:t>Opština Kolašin nije budžetskim izvršenjem uplatila Fondu za obeštećenje</w:t>
      </w:r>
      <w:r w:rsidRPr="00630A2E">
        <w:t xml:space="preserve">. </w:t>
      </w:r>
      <w:r>
        <w:t>Zbog naprijed navedenog predlažemo da Vlada Crne Gore i Ministrastvo finansija nalože i obavežu Opštinu Kolašin da navedeni dug izmiri u 202</w:t>
      </w:r>
      <w:r w:rsidR="00840C40">
        <w:t>6</w:t>
      </w:r>
      <w:r>
        <w:t>. godini, jer se radi o namjenskim sredstvima za isplatu obeštećenja.</w:t>
      </w:r>
      <w:r w:rsidRPr="00676255">
        <w:rPr>
          <w:rFonts w:ascii="Arial" w:hAnsi="Arial" w:cs="Arial"/>
          <w:sz w:val="22"/>
          <w:szCs w:val="22"/>
          <w:lang w:val="sr-Latn-CS"/>
        </w:rPr>
        <w:t xml:space="preserve"> </w:t>
      </w:r>
    </w:p>
    <w:bookmarkEnd w:id="2"/>
    <w:p w14:paraId="436B7FF2" w14:textId="500D044B" w:rsidR="00463C47" w:rsidRDefault="00463C47" w:rsidP="00653620">
      <w:pPr>
        <w:spacing w:line="276" w:lineRule="auto"/>
        <w:ind w:firstLine="644"/>
        <w:jc w:val="both"/>
      </w:pPr>
      <w:r>
        <w:t>Z</w:t>
      </w:r>
      <w:r w:rsidRPr="005554BD">
        <w:t>bog</w:t>
      </w:r>
      <w:r>
        <w:t xml:space="preserve"> naprijed navedene</w:t>
      </w:r>
      <w:r w:rsidRPr="005554BD">
        <w:t xml:space="preserve"> različite sudske prakse u </w:t>
      </w:r>
      <w:r>
        <w:t xml:space="preserve">procesu prinudne </w:t>
      </w:r>
      <w:r w:rsidRPr="005554BD">
        <w:t>naplat</w:t>
      </w:r>
      <w:r>
        <w:t xml:space="preserve">e </w:t>
      </w:r>
      <w:proofErr w:type="gramStart"/>
      <w:r>
        <w:t xml:space="preserve">zakonskih </w:t>
      </w:r>
      <w:r w:rsidRPr="005554BD">
        <w:t xml:space="preserve"> prihoda</w:t>
      </w:r>
      <w:proofErr w:type="gramEnd"/>
      <w:r w:rsidRPr="005554BD">
        <w:t xml:space="preserve"> Fonda</w:t>
      </w:r>
      <w:r>
        <w:t>,</w:t>
      </w:r>
      <w:r w:rsidRPr="005554BD">
        <w:t xml:space="preserve"> javljaju </w:t>
      </w:r>
      <w:r>
        <w:t xml:space="preserve">se </w:t>
      </w:r>
      <w:r w:rsidRPr="005554BD">
        <w:t xml:space="preserve">problemi u </w:t>
      </w:r>
      <w:r>
        <w:t xml:space="preserve">blagovremenoj </w:t>
      </w:r>
      <w:r w:rsidRPr="005554BD">
        <w:t>naplati i realizaciji obaveza od strane lokalnih samouprava</w:t>
      </w:r>
      <w:r>
        <w:t xml:space="preserve"> </w:t>
      </w:r>
      <w:r>
        <w:rPr>
          <w:lang w:val="sr-Latn-ME"/>
        </w:rPr>
        <w:t>zbog čega je</w:t>
      </w:r>
      <w:r w:rsidRPr="005554BD">
        <w:t xml:space="preserve"> Fond za obeštećenje u toku 202</w:t>
      </w:r>
      <w:r w:rsidR="005A7A4D">
        <w:t>5</w:t>
      </w:r>
      <w:r w:rsidRPr="005554BD">
        <w:t>. godine uputi</w:t>
      </w:r>
      <w:r>
        <w:t>o</w:t>
      </w:r>
      <w:r w:rsidRPr="005554BD">
        <w:t xml:space="preserve"> inicijativu </w:t>
      </w:r>
      <w:r w:rsidRPr="005554BD">
        <w:lastRenderedPageBreak/>
        <w:t>prema Ministarstvu finansija</w:t>
      </w:r>
      <w:r>
        <w:t xml:space="preserve"> i Vladi Crne Gore</w:t>
      </w:r>
      <w:r w:rsidRPr="005554BD">
        <w:t xml:space="preserve"> da uz </w:t>
      </w:r>
      <w:r>
        <w:t>saglasnost</w:t>
      </w:r>
      <w:r w:rsidRPr="005554BD">
        <w:t xml:space="preserve"> za prodaju imovine koju Ministarstvo daje opštinama, utvrdi obavez</w:t>
      </w:r>
      <w:r>
        <w:t>u</w:t>
      </w:r>
      <w:r w:rsidRPr="005554BD">
        <w:t xml:space="preserve"> lokalnih samouprava da zakonski dio prihoda koje pripadaju Fondu za obeštećenje prilikom prodaje</w:t>
      </w:r>
      <w:r w:rsidR="00840C40">
        <w:t>,</w:t>
      </w:r>
      <w:r w:rsidRPr="005554BD">
        <w:t xml:space="preserve"> blagovremeno uplaćuju na račun Fonda i o tome dostave obavještenje nadležnoj službi Fonda</w:t>
      </w:r>
      <w:r>
        <w:t>,</w:t>
      </w:r>
      <w:r w:rsidRPr="005554BD">
        <w:t xml:space="preserve"> kako bi</w:t>
      </w:r>
      <w:r>
        <w:t xml:space="preserve"> prihodi Fonda u narednom periodu bili sigurni i omogućili blagovremenu isplatu obeštećenja svim korisnicima, a</w:t>
      </w:r>
      <w:r w:rsidRPr="005554BD">
        <w:t xml:space="preserve"> evidencije prihoda bile ažurne i transparentne.</w:t>
      </w:r>
    </w:p>
    <w:p w14:paraId="0E184AF2" w14:textId="77777777" w:rsidR="00463C47" w:rsidRPr="00F746A2" w:rsidRDefault="00463C47" w:rsidP="00463C47">
      <w:pPr>
        <w:spacing w:line="276" w:lineRule="auto"/>
        <w:jc w:val="both"/>
      </w:pPr>
    </w:p>
    <w:p w14:paraId="54FFEC32" w14:textId="77777777" w:rsidR="00463C47" w:rsidRPr="001059B9" w:rsidRDefault="00463C47" w:rsidP="00463C47">
      <w:pPr>
        <w:numPr>
          <w:ilvl w:val="0"/>
          <w:numId w:val="4"/>
        </w:numPr>
        <w:spacing w:line="276" w:lineRule="auto"/>
        <w:jc w:val="both"/>
      </w:pPr>
      <w:r w:rsidRPr="00B33B6F">
        <w:rPr>
          <w:b/>
          <w:lang w:val="sr-Latn-CS"/>
        </w:rPr>
        <w:t>REALIZACIJ</w:t>
      </w:r>
      <w:r>
        <w:rPr>
          <w:b/>
          <w:lang w:val="sr-Latn-CS"/>
        </w:rPr>
        <w:t>A</w:t>
      </w:r>
      <w:r w:rsidRPr="00B33B6F">
        <w:rPr>
          <w:b/>
          <w:lang w:val="sr-Latn-CS"/>
        </w:rPr>
        <w:t xml:space="preserve"> PLANIRANIH AKTIVNOSTI</w:t>
      </w:r>
    </w:p>
    <w:p w14:paraId="79152289" w14:textId="77777777" w:rsidR="00463C47" w:rsidRDefault="00463C47" w:rsidP="00463C47">
      <w:pPr>
        <w:spacing w:line="276" w:lineRule="auto"/>
        <w:ind w:left="644"/>
        <w:jc w:val="both"/>
      </w:pPr>
    </w:p>
    <w:p w14:paraId="3ADAE2F2" w14:textId="77777777" w:rsidR="00463C47" w:rsidRDefault="00463C47" w:rsidP="00653620">
      <w:pPr>
        <w:spacing w:line="276" w:lineRule="auto"/>
        <w:ind w:firstLine="644"/>
        <w:jc w:val="both"/>
      </w:pPr>
      <w:r>
        <w:t>Fond za obeštećenje je u cjelosti realizovao aktivnosti, koje su zakonima i podzakonskim aktima utvrđene kao obaveza Fonda.</w:t>
      </w:r>
    </w:p>
    <w:p w14:paraId="33DF2EF5" w14:textId="47FD1382" w:rsidR="00463C47" w:rsidRPr="005611DD" w:rsidRDefault="00463C47" w:rsidP="00FF0DA1">
      <w:pPr>
        <w:spacing w:line="276" w:lineRule="auto"/>
        <w:ind w:firstLine="720"/>
        <w:jc w:val="both"/>
        <w:rPr>
          <w:b/>
        </w:rPr>
      </w:pPr>
      <w:r>
        <w:t>U cjelini su realizovane obaveze planirane za 202</w:t>
      </w:r>
      <w:r w:rsidR="00CA5C13">
        <w:t>5</w:t>
      </w:r>
      <w:r>
        <w:t>. godinu, koje se ogledaju u prioritetnoj obavezi isplate obeštećenja bivšim vlasnicima shodno</w:t>
      </w:r>
      <w:r w:rsidRPr="0063543B">
        <w:rPr>
          <w:b/>
        </w:rPr>
        <w:t xml:space="preserve"> </w:t>
      </w:r>
      <w:r w:rsidRPr="0063543B">
        <w:t>Uredbi o utvrđivanju isplate obeštećenja bivšim vlasnicima oduzetih imovinskih prava u novčanim sredstvima za 202</w:t>
      </w:r>
      <w:r w:rsidR="00CA5C13">
        <w:t>5</w:t>
      </w:r>
      <w:r w:rsidRPr="0063543B">
        <w:t>. godinu</w:t>
      </w:r>
      <w:r w:rsidRPr="0063543B">
        <w:rPr>
          <w:b/>
        </w:rPr>
        <w:t xml:space="preserve"> </w:t>
      </w:r>
      <w:r w:rsidRPr="0063543B">
        <w:t>(Sl. list CG br.</w:t>
      </w:r>
      <w:r w:rsidRPr="0063543B">
        <w:rPr>
          <w:lang w:val="sr-Latn-BA"/>
        </w:rPr>
        <w:t xml:space="preserve"> </w:t>
      </w:r>
      <w:r>
        <w:rPr>
          <w:lang w:val="sr-Latn-BA"/>
        </w:rPr>
        <w:t>7</w:t>
      </w:r>
      <w:r w:rsidR="00CE1949">
        <w:rPr>
          <w:lang w:val="sr-Latn-BA"/>
        </w:rPr>
        <w:t>0</w:t>
      </w:r>
      <w:r w:rsidRPr="0063543B">
        <w:rPr>
          <w:lang w:val="sr-Latn-BA"/>
        </w:rPr>
        <w:t>/2</w:t>
      </w:r>
      <w:r w:rsidR="00CE1949">
        <w:rPr>
          <w:lang w:val="sr-Latn-BA"/>
        </w:rPr>
        <w:t>5</w:t>
      </w:r>
      <w:r w:rsidRPr="0063543B">
        <w:rPr>
          <w:lang w:val="sr-Latn-BA"/>
        </w:rPr>
        <w:t xml:space="preserve"> od </w:t>
      </w:r>
      <w:r w:rsidR="00CE1949">
        <w:rPr>
          <w:lang w:val="sr-Latn-BA"/>
        </w:rPr>
        <w:t>04</w:t>
      </w:r>
      <w:r w:rsidRPr="0063543B">
        <w:rPr>
          <w:lang w:val="sr-Latn-BA"/>
        </w:rPr>
        <w:t>.07.202</w:t>
      </w:r>
      <w:r w:rsidR="00CE1949">
        <w:rPr>
          <w:lang w:val="sr-Latn-BA"/>
        </w:rPr>
        <w:t>5</w:t>
      </w:r>
      <w:r>
        <w:t xml:space="preserve">) na osnovu koje je Fond za obeštećenje izvršio isplatu godišnjih rata za </w:t>
      </w:r>
      <w:r w:rsidRPr="00004977">
        <w:t>20</w:t>
      </w:r>
      <w:r>
        <w:t>2</w:t>
      </w:r>
      <w:r w:rsidR="00CA5C13">
        <w:t>5</w:t>
      </w:r>
      <w:r>
        <w:t>.</w:t>
      </w:r>
      <w:r w:rsidRPr="00004977">
        <w:t xml:space="preserve"> godinu</w:t>
      </w:r>
      <w:r w:rsidRPr="00BC3C79">
        <w:t xml:space="preserve"> kao i dospjelih rata iz prethodnih godina za koja su naknadno dostavljena rješenja o nasleđivanju</w:t>
      </w:r>
      <w:r>
        <w:t xml:space="preserve"> u iznosu od </w:t>
      </w:r>
      <w:r w:rsidR="002D015E">
        <w:rPr>
          <w:b/>
        </w:rPr>
        <w:t>8.541.664,32</w:t>
      </w:r>
      <w:r w:rsidRPr="003D2CB6">
        <w:rPr>
          <w:b/>
        </w:rPr>
        <w:t>€.</w:t>
      </w:r>
    </w:p>
    <w:p w14:paraId="14194041" w14:textId="3FC2D918" w:rsidR="00463C47" w:rsidRPr="00F76A63" w:rsidRDefault="00463C47" w:rsidP="00653620">
      <w:pPr>
        <w:spacing w:line="276" w:lineRule="auto"/>
        <w:ind w:firstLine="720"/>
        <w:jc w:val="both"/>
      </w:pPr>
      <w:r w:rsidRPr="005D3112">
        <w:t>Realizacijom navedene Uredb</w:t>
      </w:r>
      <w:r>
        <w:t>e i isplatom obeštećenja za 202</w:t>
      </w:r>
      <w:r w:rsidR="00D826C5">
        <w:t>5</w:t>
      </w:r>
      <w:r>
        <w:t>.</w:t>
      </w:r>
      <w:r w:rsidRPr="005D3112">
        <w:t xml:space="preserve"> godinu ukupan dug prema bivšim vlasnicima po svim konačnim rješen</w:t>
      </w:r>
      <w:r>
        <w:t>j</w:t>
      </w:r>
      <w:r w:rsidRPr="005D3112">
        <w:t>ima koja su dostavljena Fondu za obeštećenje od početka primjene Zakona, umanjen je za</w:t>
      </w:r>
      <w:r>
        <w:t xml:space="preserve"> </w:t>
      </w:r>
      <w:r w:rsidR="00D826C5">
        <w:rPr>
          <w:b/>
        </w:rPr>
        <w:t>187.059.343,33</w:t>
      </w:r>
      <w:r w:rsidRPr="003D2CB6">
        <w:rPr>
          <w:b/>
        </w:rPr>
        <w:t xml:space="preserve"> €</w:t>
      </w:r>
      <w:r>
        <w:rPr>
          <w:b/>
        </w:rPr>
        <w:t>,</w:t>
      </w:r>
      <w:r w:rsidRPr="005D3112">
        <w:t xml:space="preserve"> </w:t>
      </w:r>
      <w:r>
        <w:t>odnosno na 31.12.202</w:t>
      </w:r>
      <w:r w:rsidR="00D826C5">
        <w:t>5</w:t>
      </w:r>
      <w:r w:rsidRPr="005D3112">
        <w:t xml:space="preserve">. godine </w:t>
      </w:r>
      <w:r w:rsidRPr="003D2CB6">
        <w:rPr>
          <w:b/>
        </w:rPr>
        <w:t>ukupan dug iznosi</w:t>
      </w:r>
      <w:r w:rsidRPr="003D2CB6">
        <w:t xml:space="preserve"> </w:t>
      </w:r>
      <w:r w:rsidR="00D826C5">
        <w:rPr>
          <w:b/>
        </w:rPr>
        <w:t>60.</w:t>
      </w:r>
      <w:r w:rsidR="00B61E01">
        <w:rPr>
          <w:b/>
        </w:rPr>
        <w:t>867</w:t>
      </w:r>
      <w:r w:rsidR="00D826C5">
        <w:rPr>
          <w:b/>
        </w:rPr>
        <w:t>.</w:t>
      </w:r>
      <w:r w:rsidR="00B61E01">
        <w:rPr>
          <w:b/>
        </w:rPr>
        <w:t>755</w:t>
      </w:r>
      <w:r w:rsidR="00D826C5">
        <w:rPr>
          <w:b/>
        </w:rPr>
        <w:t>,</w:t>
      </w:r>
      <w:r w:rsidR="00B61E01">
        <w:rPr>
          <w:b/>
        </w:rPr>
        <w:t>86</w:t>
      </w:r>
      <w:r w:rsidRPr="003D2CB6">
        <w:rPr>
          <w:b/>
        </w:rPr>
        <w:t xml:space="preserve"> € dok je na 31.12.202</w:t>
      </w:r>
      <w:r w:rsidR="00D826C5">
        <w:rPr>
          <w:b/>
        </w:rPr>
        <w:t>4</w:t>
      </w:r>
      <w:r w:rsidRPr="003D2CB6">
        <w:rPr>
          <w:b/>
        </w:rPr>
        <w:t xml:space="preserve">. godine isti iznosio </w:t>
      </w:r>
      <w:r w:rsidR="00D826C5">
        <w:rPr>
          <w:b/>
        </w:rPr>
        <w:t>75.912.378,09</w:t>
      </w:r>
      <w:r w:rsidRPr="003D2CB6">
        <w:rPr>
          <w:b/>
        </w:rPr>
        <w:t xml:space="preserve"> €</w:t>
      </w:r>
      <w:r>
        <w:rPr>
          <w:b/>
        </w:rPr>
        <w:t xml:space="preserve"> što predstavlja </w:t>
      </w:r>
      <w:r w:rsidR="00D826C5">
        <w:rPr>
          <w:b/>
        </w:rPr>
        <w:t>umanjenje</w:t>
      </w:r>
      <w:r>
        <w:rPr>
          <w:b/>
        </w:rPr>
        <w:t xml:space="preserve"> duga za </w:t>
      </w:r>
      <w:r w:rsidR="00D826C5">
        <w:rPr>
          <w:b/>
        </w:rPr>
        <w:t>19,8</w:t>
      </w:r>
      <w:r w:rsidR="00B61E01">
        <w:rPr>
          <w:b/>
        </w:rPr>
        <w:t>0</w:t>
      </w:r>
      <w:r>
        <w:rPr>
          <w:b/>
        </w:rPr>
        <w:t>%.</w:t>
      </w:r>
    </w:p>
    <w:p w14:paraId="403F3322" w14:textId="5F2DB9F4" w:rsidR="00840C40" w:rsidRPr="008468F5" w:rsidRDefault="00463C47" w:rsidP="00653620">
      <w:pPr>
        <w:spacing w:line="276" w:lineRule="auto"/>
        <w:ind w:firstLine="720"/>
        <w:jc w:val="both"/>
        <w:rPr>
          <w:lang w:val="en-GB"/>
        </w:rPr>
      </w:pPr>
      <w:r>
        <w:t>Posebnu pažnju Fond za obeštećenje je posvetio postupcima koji su u toku pred regionalnim komisijama i uz pomoć angažovanih vještaka kosultanata, sistema provjere dostavljenih nalaza vještaka finansijske struke i redovnim učešćem na raspravama uspio je da kroz prigovore koje je isticao u dokaznom postupku obezbijedi zakonit i metodološki ispravan obračun obeštećenja i naknade bivšim vlasnicima, što je sve doprinijelo efikasnijem i ekonomičnijem radu komisija.</w:t>
      </w:r>
      <w:r w:rsidR="00840C40" w:rsidRPr="00840C40">
        <w:rPr>
          <w:rFonts w:eastAsiaTheme="minorHAnsi"/>
        </w:rPr>
        <w:t xml:space="preserve"> </w:t>
      </w:r>
      <w:r w:rsidR="00840C40" w:rsidRPr="00840C40">
        <w:rPr>
          <w:lang w:val="en-GB"/>
        </w:rPr>
        <w:t xml:space="preserve">Takođe treba istaći i činjenicu da, iako nedovoljno kadrovski i budžetski osposobljen za postupanje u upravnom sporu pred Upravnim sudom Crne Gore i po vanrednim pravnim ljekovima pred Vrhovnim sudom Crne Gore, Fond za obeštećenje je blagovremenim i angažovanim pristupom  u prethodnoj godini uspio da ishoduje povoljnu odluku pred Vrhovnim sudom Crne Gore u predmetu Jovašević i dr. čija je vrijednost po odluci Upravnog suda iznosila ukupno </w:t>
      </w:r>
      <w:r w:rsidR="00840C40" w:rsidRPr="00840C40">
        <w:rPr>
          <w:b/>
          <w:lang w:val="en-GB"/>
        </w:rPr>
        <w:t xml:space="preserve">5.109,624,70 € </w:t>
      </w:r>
      <w:r w:rsidR="00840C40" w:rsidRPr="00840C40">
        <w:rPr>
          <w:lang w:val="en-GB"/>
        </w:rPr>
        <w:t>i koji je kao izvršni predmet i obaveza Države i Fonda bio zaveden dana 15.04.2024. godine. Naime, Vrhovni sud je presudom Uvp.br.501/24 od 18.03.2025. godine usvojio Zahtjev za ispitivanje sudske odluke Fonda za obeštećenje i vratio navedeni predmet Upravnom sudu na ponovno odlučivanje čime je i ukinuta klauzula pravosnažnosti. U ponovnom postupku Upravni sud je prihvatio argumentaciju koju smo tokom cijelog postupka isticali i promijenio pravnu kvalifikaciju provedenih dokaza, koju je zauzeo prilikom donošenja prve presude i vratio navedeni predmet komisijama u postupku za povraćaj i obeštećenje na ponovno odlučivanje uz uput da se navedeni obračun umanji za preko 90% zbog neadekvatnog obračuna.</w:t>
      </w:r>
      <w:r w:rsidR="008468F5">
        <w:rPr>
          <w:lang w:val="en-GB"/>
        </w:rPr>
        <w:t xml:space="preserve"> </w:t>
      </w:r>
      <w:r w:rsidR="00840C40" w:rsidRPr="00840C40">
        <w:t xml:space="preserve">Kako je u sporu pred Vrhovnim sudom Crne Gore, a nakon toga i u nekoliko ročišta pred Upravnim sudom Crne Gore bilo dosta procesnih opstrukcija, koje se javljaju zbog velikog broja stranaka u postupku i velikog broja zainteresovanih lica kao različitih adresa kancelarija Zaštitnika </w:t>
      </w:r>
      <w:r w:rsidR="00840C40" w:rsidRPr="00840C40">
        <w:lastRenderedPageBreak/>
        <w:t xml:space="preserve">imovinsko-pravnih ineteresa nadležnih za postupanje u ovim predmetima, Fond je uspješno izašao iz navedene situacije i obezbijedio ponovno preispitivanje osnovanosti navedenog zahtjeva prije svega zahvaljući predanom radu </w:t>
      </w:r>
      <w:r w:rsidR="00840C40">
        <w:rPr>
          <w:lang w:val="hr-HR"/>
        </w:rPr>
        <w:t xml:space="preserve">službenika </w:t>
      </w:r>
      <w:r w:rsidR="00840C40" w:rsidRPr="00840C40">
        <w:rPr>
          <w:lang w:val="hr-HR"/>
        </w:rPr>
        <w:t xml:space="preserve">Fonda za obeštećenje, koji </w:t>
      </w:r>
      <w:r w:rsidR="00840C40">
        <w:rPr>
          <w:lang w:val="hr-HR"/>
        </w:rPr>
        <w:t>su</w:t>
      </w:r>
      <w:r w:rsidR="00840C40" w:rsidRPr="00840C40">
        <w:rPr>
          <w:lang w:val="hr-HR"/>
        </w:rPr>
        <w:t xml:space="preserve"> u koordinaciji sa zamjenicima i  Zaštinikom imovinsko-pravih interesa Crne Gore u navedenom predmetu usp</w:t>
      </w:r>
      <w:r w:rsidR="00840C40">
        <w:rPr>
          <w:lang w:val="hr-HR"/>
        </w:rPr>
        <w:t>jeli</w:t>
      </w:r>
      <w:r w:rsidR="00840C40" w:rsidRPr="00840C40">
        <w:rPr>
          <w:lang w:val="hr-HR"/>
        </w:rPr>
        <w:t xml:space="preserve"> da ostva</w:t>
      </w:r>
      <w:r w:rsidR="00840C40">
        <w:rPr>
          <w:lang w:val="hr-HR"/>
        </w:rPr>
        <w:t>re</w:t>
      </w:r>
      <w:r w:rsidR="00840C40" w:rsidRPr="00840C40">
        <w:rPr>
          <w:lang w:val="hr-HR"/>
        </w:rPr>
        <w:t xml:space="preserve"> povoljan ishod postupka za Fond i Državu i značajno umanj</w:t>
      </w:r>
      <w:r w:rsidR="00840C40">
        <w:rPr>
          <w:lang w:val="hr-HR"/>
        </w:rPr>
        <w:t>e</w:t>
      </w:r>
      <w:r w:rsidR="00840C40" w:rsidRPr="00840C40">
        <w:rPr>
          <w:lang w:val="hr-HR"/>
        </w:rPr>
        <w:t xml:space="preserve"> iznos dospjele obaveze za obeštećenje.</w:t>
      </w:r>
    </w:p>
    <w:p w14:paraId="27C2A986" w14:textId="77777777" w:rsidR="00463C47" w:rsidRDefault="00463C47" w:rsidP="00463C47">
      <w:pPr>
        <w:spacing w:line="276" w:lineRule="auto"/>
        <w:jc w:val="both"/>
      </w:pPr>
    </w:p>
    <w:p w14:paraId="71EE3E16" w14:textId="123CC063" w:rsidR="00463C47" w:rsidRDefault="00463C47" w:rsidP="00653620">
      <w:pPr>
        <w:spacing w:line="276" w:lineRule="auto"/>
        <w:ind w:firstLine="644"/>
        <w:jc w:val="both"/>
        <w:rPr>
          <w:lang w:val="hr-HR"/>
        </w:rPr>
      </w:pPr>
      <w:r w:rsidRPr="0097521E">
        <w:rPr>
          <w:lang w:val="hr-HR"/>
        </w:rPr>
        <w:t>U cilju racionalizacije i povećanja efikasnosti državne uprave Fond za obeštećenje je u cj</w:t>
      </w:r>
      <w:r>
        <w:rPr>
          <w:lang w:val="hr-HR"/>
        </w:rPr>
        <w:t>el</w:t>
      </w:r>
      <w:r w:rsidRPr="0097521E">
        <w:rPr>
          <w:lang w:val="hr-HR"/>
        </w:rPr>
        <w:t>osti postupio po preporukama Vlade i Ministarstva finansija</w:t>
      </w:r>
      <w:r>
        <w:rPr>
          <w:lang w:val="hr-HR"/>
        </w:rPr>
        <w:t xml:space="preserve"> </w:t>
      </w:r>
      <w:r w:rsidR="00C142E2">
        <w:rPr>
          <w:lang w:val="hr-HR"/>
        </w:rPr>
        <w:t xml:space="preserve">i u toku 2025. godine izvršio </w:t>
      </w:r>
      <w:r w:rsidRPr="0097521E">
        <w:rPr>
          <w:lang w:val="hr-HR"/>
        </w:rPr>
        <w:t>z</w:t>
      </w:r>
      <w:r>
        <w:rPr>
          <w:lang w:val="hr-HR"/>
        </w:rPr>
        <w:t>apošljavanje nov</w:t>
      </w:r>
      <w:r w:rsidR="00C142E2">
        <w:rPr>
          <w:lang w:val="hr-HR"/>
        </w:rPr>
        <w:t>og</w:t>
      </w:r>
      <w:r>
        <w:rPr>
          <w:lang w:val="hr-HR"/>
        </w:rPr>
        <w:t xml:space="preserve"> službenika shodno usvojenom i odobrenom Kadrovskom planu.</w:t>
      </w:r>
    </w:p>
    <w:p w14:paraId="4AF065E6" w14:textId="77777777" w:rsidR="00463C47" w:rsidRDefault="00463C47" w:rsidP="00463C47">
      <w:pPr>
        <w:spacing w:line="276" w:lineRule="auto"/>
      </w:pPr>
    </w:p>
    <w:p w14:paraId="0381F3A3" w14:textId="7BE85E69" w:rsidR="00463C47" w:rsidRDefault="00463C47" w:rsidP="00463C47">
      <w:pPr>
        <w:numPr>
          <w:ilvl w:val="0"/>
          <w:numId w:val="4"/>
        </w:numPr>
        <w:tabs>
          <w:tab w:val="left" w:pos="750"/>
        </w:tabs>
        <w:spacing w:line="276" w:lineRule="auto"/>
        <w:rPr>
          <w:b/>
        </w:rPr>
      </w:pPr>
      <w:r w:rsidRPr="002C4CFC">
        <w:rPr>
          <w:b/>
        </w:rPr>
        <w:t>P</w:t>
      </w:r>
      <w:r>
        <w:rPr>
          <w:b/>
        </w:rPr>
        <w:t>RIORITETI U 202</w:t>
      </w:r>
      <w:r w:rsidR="00E06A9A">
        <w:rPr>
          <w:b/>
        </w:rPr>
        <w:t>6</w:t>
      </w:r>
      <w:r>
        <w:rPr>
          <w:b/>
        </w:rPr>
        <w:t xml:space="preserve">. </w:t>
      </w:r>
      <w:r w:rsidRPr="002C4CFC">
        <w:rPr>
          <w:b/>
        </w:rPr>
        <w:t>GODINI</w:t>
      </w:r>
    </w:p>
    <w:p w14:paraId="2B6C67D8" w14:textId="77777777" w:rsidR="00463C47" w:rsidRPr="00F746A2" w:rsidRDefault="00463C47" w:rsidP="00463C47">
      <w:pPr>
        <w:tabs>
          <w:tab w:val="left" w:pos="750"/>
        </w:tabs>
        <w:spacing w:line="276" w:lineRule="auto"/>
        <w:ind w:left="644"/>
        <w:rPr>
          <w:b/>
        </w:rPr>
      </w:pPr>
    </w:p>
    <w:p w14:paraId="251B77A1" w14:textId="0A8535AB" w:rsidR="00463C47" w:rsidRDefault="00463C47" w:rsidP="00C01EBF">
      <w:pPr>
        <w:spacing w:line="276" w:lineRule="auto"/>
        <w:ind w:firstLine="644"/>
        <w:jc w:val="both"/>
      </w:pPr>
      <w:r>
        <w:t>Prioriteti u 202</w:t>
      </w:r>
      <w:r w:rsidR="00E06A9A">
        <w:t>6</w:t>
      </w:r>
      <w:r>
        <w:t>. godini odnose se prije svega na:</w:t>
      </w:r>
    </w:p>
    <w:p w14:paraId="29C92A8A" w14:textId="7BF666AF" w:rsidR="00463C47" w:rsidRDefault="00463C47" w:rsidP="00C01EBF">
      <w:pPr>
        <w:spacing w:line="276" w:lineRule="auto"/>
        <w:jc w:val="both"/>
      </w:pPr>
      <w:r w:rsidRPr="00BA1635">
        <w:rPr>
          <w:b/>
        </w:rPr>
        <w:t>Isplat</w:t>
      </w:r>
      <w:r>
        <w:rPr>
          <w:b/>
        </w:rPr>
        <w:t>u</w:t>
      </w:r>
      <w:r w:rsidRPr="00BA1635">
        <w:rPr>
          <w:b/>
        </w:rPr>
        <w:t xml:space="preserve"> godišnjih rata za 202</w:t>
      </w:r>
      <w:r w:rsidR="00E06A9A">
        <w:rPr>
          <w:b/>
        </w:rPr>
        <w:t>6</w:t>
      </w:r>
      <w:r>
        <w:rPr>
          <w:b/>
        </w:rPr>
        <w:t>.</w:t>
      </w:r>
      <w:r w:rsidRPr="00BA1635">
        <w:rPr>
          <w:b/>
        </w:rPr>
        <w:t xml:space="preserve"> godinu</w:t>
      </w:r>
      <w:r>
        <w:t>, koja će shodno planiranom Budžetu za 202</w:t>
      </w:r>
      <w:r w:rsidR="00C142E2">
        <w:t>6</w:t>
      </w:r>
      <w:r>
        <w:t xml:space="preserve">. godinu omogućiti smanjenje duga prema bivšim vlasnicima </w:t>
      </w:r>
      <w:r w:rsidRPr="00C142E2">
        <w:t xml:space="preserve">od oko </w:t>
      </w:r>
      <w:r w:rsidRPr="00C142E2">
        <w:rPr>
          <w:b/>
        </w:rPr>
        <w:t>15% od preostalog duga</w:t>
      </w:r>
      <w:r>
        <w:t xml:space="preserve">, ako se shodno čl.22 Zakona o povraćaju oduzetih imovinskih prava i obeštećenju i </w:t>
      </w:r>
      <w:r w:rsidRPr="00C142E2">
        <w:t>uredbi o isplati,</w:t>
      </w:r>
      <w:r>
        <w:t xml:space="preserve"> koju donosi Vlada Crne Gore, plan isplate realizuje u cjelosti. Navedenim planom isplate i realizacijom Budžeta za 202</w:t>
      </w:r>
      <w:r w:rsidR="000B364E">
        <w:t>6</w:t>
      </w:r>
      <w:r>
        <w:t xml:space="preserve">. godinu Fond za obeštećenje bi procenat isplate i realizacije obaveza prema bivšim vlasnicima </w:t>
      </w:r>
      <w:r w:rsidRPr="00645338">
        <w:t>zadržao na</w:t>
      </w:r>
      <w:r>
        <w:rPr>
          <w:b/>
        </w:rPr>
        <w:t xml:space="preserve"> </w:t>
      </w:r>
      <w:r w:rsidRPr="00C142E2">
        <w:t>nivou iz 202</w:t>
      </w:r>
      <w:r w:rsidR="007A0C72" w:rsidRPr="00C142E2">
        <w:t>5</w:t>
      </w:r>
      <w:r w:rsidRPr="00C142E2">
        <w:t>. godine,</w:t>
      </w:r>
      <w:r>
        <w:rPr>
          <w:b/>
        </w:rPr>
        <w:t xml:space="preserve"> </w:t>
      </w:r>
      <w:r w:rsidRPr="00645338">
        <w:t>a znatno premašio iznose godišnjih rata iz perioda 2007-2022. godine</w:t>
      </w:r>
      <w:r>
        <w:rPr>
          <w:b/>
        </w:rPr>
        <w:t xml:space="preserve"> </w:t>
      </w:r>
      <w:r w:rsidRPr="00645338">
        <w:t>koji su iznosili</w:t>
      </w:r>
      <w:r>
        <w:rPr>
          <w:b/>
        </w:rPr>
        <w:t xml:space="preserve"> 3% od </w:t>
      </w:r>
      <w:r w:rsidRPr="00645338">
        <w:rPr>
          <w:b/>
        </w:rPr>
        <w:t>preostalog duga</w:t>
      </w:r>
      <w:r>
        <w:t xml:space="preserve"> godišnje i što će značajno umanjiti ukupne obaveze Države prema korisnicima prava na obeštećenje i omogućiti mnogo bržu naplatu utvrđenog obeštećenja od očekivane.</w:t>
      </w:r>
    </w:p>
    <w:p w14:paraId="2571BBD0" w14:textId="46EC1D40" w:rsidR="00463C47" w:rsidRDefault="00463C47" w:rsidP="00463C47">
      <w:pPr>
        <w:spacing w:line="276" w:lineRule="auto"/>
        <w:jc w:val="both"/>
      </w:pPr>
      <w:r>
        <w:t xml:space="preserve"> </w:t>
      </w:r>
      <w:r>
        <w:tab/>
        <w:t>U toku 202</w:t>
      </w:r>
      <w:r w:rsidR="007A0C72">
        <w:t>6</w:t>
      </w:r>
      <w:r>
        <w:t>. godine Fond za obeštećenje će nastaviti sa i</w:t>
      </w:r>
      <w:r w:rsidRPr="00BA1635">
        <w:t>spunjavanje</w:t>
      </w:r>
      <w:r>
        <w:t>m</w:t>
      </w:r>
      <w:r w:rsidRPr="00BA1635">
        <w:t xml:space="preserve"> obaveza propisanih Zakonom o povraćaju oduzetih imovinskih prava i obeštećenju koj</w:t>
      </w:r>
      <w:r>
        <w:t>e</w:t>
      </w:r>
      <w:r w:rsidRPr="00BA1635">
        <w:t xml:space="preserve"> se prvenstveno odnose na postupanje po zahtjevima bivših vlasnika za </w:t>
      </w:r>
      <w:r w:rsidRPr="006C43FF">
        <w:t>izdavanje i realizaciju obveznica</w:t>
      </w:r>
      <w:r w:rsidRPr="00BA1635">
        <w:t xml:space="preserve"> kao i </w:t>
      </w:r>
      <w:r w:rsidRPr="006C43FF">
        <w:t>ažurno vođenje evidencija i izvještavanje</w:t>
      </w:r>
      <w:r w:rsidR="00EC6A8F">
        <w:t>.</w:t>
      </w:r>
    </w:p>
    <w:p w14:paraId="173EDF93" w14:textId="77777777" w:rsidR="00463C47" w:rsidRDefault="00463C47" w:rsidP="00463C47">
      <w:pPr>
        <w:spacing w:line="276" w:lineRule="auto"/>
        <w:ind w:firstLine="720"/>
        <w:jc w:val="both"/>
      </w:pPr>
      <w:r>
        <w:t xml:space="preserve">Aktivno </w:t>
      </w:r>
      <w:r w:rsidRPr="003D2CB6">
        <w:t>učešće u postupcima pred regionalnim komisijama</w:t>
      </w:r>
      <w:r>
        <w:t xml:space="preserve"> u Bijelom Polju, Baru i Podgorici i saradnja sa kancelarijama Zaštitnika imovinsko-pravnih interesa Crne Gore u cilju kvalitetnijeg sprovođenja procedura predviđenih Zakonom o upravnom postupku i Upravnom sporu u postupcima povraćaja i obeštećenja.</w:t>
      </w:r>
    </w:p>
    <w:p w14:paraId="04F71693" w14:textId="3368A575" w:rsidR="00C01EBF" w:rsidRDefault="00463C47" w:rsidP="00C01EBF">
      <w:pPr>
        <w:spacing w:line="276" w:lineRule="auto"/>
        <w:ind w:firstLine="644"/>
        <w:jc w:val="both"/>
      </w:pPr>
      <w:r>
        <w:tab/>
        <w:t xml:space="preserve">Upućivanje inicijativa za naplatu zakonskih prihoda </w:t>
      </w:r>
      <w:r w:rsidRPr="005554BD">
        <w:t>svim</w:t>
      </w:r>
      <w:r>
        <w:t xml:space="preserve"> </w:t>
      </w:r>
      <w:r w:rsidRPr="005554BD">
        <w:t>jedinicama lokalne samouprave, kao i drugim obveznicima i obavještenje da postupaju u skladu sa čl. 44 Zakona o povraćaju oduzetih imovinskih prava i obeštećenju</w:t>
      </w:r>
      <w:r>
        <w:t xml:space="preserve"> uz ažurno vođenje evidencije o navedenom postupanju.</w:t>
      </w:r>
    </w:p>
    <w:p w14:paraId="57B517C8" w14:textId="77777777" w:rsidR="00C01EBF" w:rsidRDefault="00C01EBF" w:rsidP="00463C47">
      <w:pPr>
        <w:spacing w:line="276" w:lineRule="auto"/>
        <w:ind w:firstLine="644"/>
        <w:jc w:val="both"/>
      </w:pPr>
    </w:p>
    <w:p w14:paraId="295E613F" w14:textId="77777777" w:rsidR="00463C47" w:rsidRPr="00BD5968" w:rsidRDefault="00463C47" w:rsidP="00463C47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C16275">
        <w:rPr>
          <w:b/>
        </w:rPr>
        <w:t>PREDLOG MJERA</w:t>
      </w:r>
    </w:p>
    <w:p w14:paraId="24C56735" w14:textId="77777777" w:rsidR="00463C47" w:rsidRDefault="00463C47" w:rsidP="00463C47">
      <w:pPr>
        <w:spacing w:line="276" w:lineRule="auto"/>
        <w:jc w:val="both"/>
        <w:rPr>
          <w:b/>
        </w:rPr>
      </w:pPr>
    </w:p>
    <w:p w14:paraId="4415345F" w14:textId="77777777" w:rsidR="00463C47" w:rsidRDefault="00463C47" w:rsidP="00653620">
      <w:pPr>
        <w:spacing w:line="276" w:lineRule="auto"/>
        <w:ind w:firstLine="644"/>
        <w:jc w:val="both"/>
      </w:pPr>
      <w:r>
        <w:t xml:space="preserve">U toku </w:t>
      </w:r>
      <w:proofErr w:type="gramStart"/>
      <w:r>
        <w:t>iz</w:t>
      </w:r>
      <w:r w:rsidRPr="004B3AEE">
        <w:t>vješ</w:t>
      </w:r>
      <w:r>
        <w:t xml:space="preserve">tajnog </w:t>
      </w:r>
      <w:r w:rsidRPr="004B3AEE">
        <w:t xml:space="preserve"> peri</w:t>
      </w:r>
      <w:r>
        <w:t>o</w:t>
      </w:r>
      <w:r w:rsidRPr="004B3AEE">
        <w:t>da</w:t>
      </w:r>
      <w:proofErr w:type="gramEnd"/>
      <w:r w:rsidRPr="004B3AEE">
        <w:t xml:space="preserve"> evidentan je napredak u procentu naplate potraživanja </w:t>
      </w:r>
      <w:r>
        <w:t>od prihoda ostvarenih prodajom državne imovine</w:t>
      </w:r>
      <w:r w:rsidRPr="004B3AEE">
        <w:t xml:space="preserve"> </w:t>
      </w:r>
      <w:r>
        <w:t>koje</w:t>
      </w:r>
      <w:r w:rsidRPr="004B3AEE">
        <w:t xml:space="preserve"> Fond </w:t>
      </w:r>
      <w:r>
        <w:t>z</w:t>
      </w:r>
      <w:r w:rsidRPr="004B3AEE">
        <w:t xml:space="preserve">a obeštećenje ima prema lokalnim samoupravama </w:t>
      </w:r>
      <w:r>
        <w:t xml:space="preserve">shodno članu 44 </w:t>
      </w:r>
      <w:r w:rsidRPr="000C676C">
        <w:t>Zakon</w:t>
      </w:r>
      <w:r>
        <w:t>a</w:t>
      </w:r>
      <w:r w:rsidRPr="000C676C">
        <w:t xml:space="preserve"> o povraćaju oduzetih imovinskih prava i obeštećenju</w:t>
      </w:r>
      <w:r>
        <w:t>.</w:t>
      </w:r>
    </w:p>
    <w:p w14:paraId="7C86EB5D" w14:textId="77777777" w:rsidR="00463C47" w:rsidRDefault="00463C47" w:rsidP="00463C47">
      <w:pPr>
        <w:spacing w:line="276" w:lineRule="auto"/>
        <w:jc w:val="both"/>
      </w:pPr>
      <w:r>
        <w:t xml:space="preserve">Shodno naprijed navedenom, kao i </w:t>
      </w:r>
      <w:r w:rsidRPr="00C142E2">
        <w:t>preporukama Državne revizorske institucije (DRI)</w:t>
      </w:r>
      <w:r>
        <w:t xml:space="preserve"> koje su date u poslednjem Izvještaju o reviziji godišnjeg finansijskog izvještaja Fonda za obeštećenje, </w:t>
      </w:r>
      <w:r w:rsidRPr="00C142E2">
        <w:t>potrebno je nastaviti sa mjerama</w:t>
      </w:r>
      <w:r>
        <w:t xml:space="preserve"> kojima bi se poboljšala naplata navedenih prihoda i </w:t>
      </w:r>
      <w:proofErr w:type="gramStart"/>
      <w:r>
        <w:t>kojima  Ministarstvo</w:t>
      </w:r>
      <w:proofErr w:type="gramEnd"/>
      <w:r>
        <w:t xml:space="preserve"> </w:t>
      </w:r>
      <w:r>
        <w:lastRenderedPageBreak/>
        <w:t>finansija uz saglasnosti za prodaju imovine, koje daje lokalnim samoupravama, obavezuje iste da postupaju u skladu sa čl. 44</w:t>
      </w:r>
      <w:r w:rsidRPr="00BB0681">
        <w:t xml:space="preserve"> </w:t>
      </w:r>
      <w:r w:rsidRPr="000C676C">
        <w:t>Zakon</w:t>
      </w:r>
      <w:r>
        <w:t>a</w:t>
      </w:r>
      <w:r w:rsidRPr="000C676C">
        <w:t xml:space="preserve"> o povraćaju oduzetih imovinskih prava i obeštećenju</w:t>
      </w:r>
      <w:r>
        <w:t xml:space="preserve">, tako što će od prihoda od prodaje imovine pravovremeno uplaćivati propisani iznos Fondu za obeštećenje na uplatni račun broj 832-214-40 kod Centralne banke Crne Gore. </w:t>
      </w:r>
    </w:p>
    <w:p w14:paraId="5F003A3B" w14:textId="77777777" w:rsidR="00463C47" w:rsidRDefault="00463C47" w:rsidP="00653620">
      <w:pPr>
        <w:spacing w:line="276" w:lineRule="auto"/>
        <w:ind w:firstLine="720"/>
        <w:jc w:val="both"/>
      </w:pPr>
      <w:r>
        <w:t xml:space="preserve">Naprijed navedene mjere su neophodne u cilju racionalizacije potrošnje i smanjenja sudskih troškova po osnovu naplate namjenskih prihoda i izbjegavanja sudskih postupaka koji bi uvećavali troškove lokalnim samoupravama i ostalim obveznicima koji postupaju po ovom zakonu. </w:t>
      </w:r>
    </w:p>
    <w:p w14:paraId="26C6D58F" w14:textId="77777777" w:rsidR="00463C47" w:rsidRPr="000F519A" w:rsidRDefault="00463C47" w:rsidP="00653620">
      <w:pPr>
        <w:spacing w:line="276" w:lineRule="auto"/>
        <w:ind w:firstLine="720"/>
        <w:jc w:val="both"/>
      </w:pPr>
      <w:r>
        <w:t>Fond za obeštećenje je s</w:t>
      </w:r>
      <w:r w:rsidRPr="000F519A">
        <w:t xml:space="preserve">hodno izvještaju DRI obavezan i da shodno čl. 25 st. 2 i stav 5 Zakona o povraćaju oduzetih imovinskih prava i obeštećenju zahtijeva od Komisija za povraćaj i obeštećenje da u što kraćem roku izvrše procjenu vrijednosti imovine čiji se povraćaj traži da bi se utvrdile obaveze države prema imaocima prava na povraćaj i obeštećenje. </w:t>
      </w:r>
    </w:p>
    <w:p w14:paraId="34FB868C" w14:textId="41E21A9C" w:rsidR="00463C47" w:rsidRDefault="00463C47" w:rsidP="00186AEC">
      <w:pPr>
        <w:spacing w:line="276" w:lineRule="auto"/>
        <w:ind w:firstLine="720"/>
        <w:jc w:val="both"/>
      </w:pPr>
      <w:r>
        <w:t>N</w:t>
      </w:r>
      <w:r w:rsidRPr="00161BBB">
        <w:t>a</w:t>
      </w:r>
      <w:r>
        <w:t xml:space="preserve"> </w:t>
      </w:r>
      <w:r w:rsidRPr="00161BBB">
        <w:t>zahtjev</w:t>
      </w:r>
      <w:r>
        <w:t>e</w:t>
      </w:r>
      <w:r w:rsidRPr="00161BBB">
        <w:t xml:space="preserve"> Fonda za obeštećenje za dostavljanje informacije o</w:t>
      </w:r>
      <w:r w:rsidR="00186AEC">
        <w:t xml:space="preserve"> </w:t>
      </w:r>
      <w:r w:rsidRPr="00161BBB">
        <w:t>procjen</w:t>
      </w:r>
      <w:r>
        <w:t>i</w:t>
      </w:r>
      <w:r w:rsidRPr="00161BBB">
        <w:t xml:space="preserve"> vrijednosti imovine čiji se povraćaj traži</w:t>
      </w:r>
      <w:r>
        <w:t xml:space="preserve">, regionalne </w:t>
      </w:r>
      <w:proofErr w:type="gramStart"/>
      <w:r>
        <w:t>komisije  su</w:t>
      </w:r>
      <w:proofErr w:type="gramEnd"/>
      <w:r>
        <w:t xml:space="preserve"> </w:t>
      </w:r>
      <w:r w:rsidRPr="00161BBB">
        <w:t>u svojim dopisima navel</w:t>
      </w:r>
      <w:r>
        <w:t>e</w:t>
      </w:r>
      <w:r w:rsidRPr="00161BBB">
        <w:t xml:space="preserve"> da zbog složenosti postupka u preos</w:t>
      </w:r>
      <w:r>
        <w:t>talim nezavršenim predmetima na</w:t>
      </w:r>
      <w:r w:rsidRPr="00161BBB">
        <w:t>vedenu procjenu ne mogu</w:t>
      </w:r>
      <w:r>
        <w:t xml:space="preserve"> precizno </w:t>
      </w:r>
      <w:r w:rsidRPr="00161BBB">
        <w:t>izvršiti</w:t>
      </w:r>
      <w:r>
        <w:t xml:space="preserve"> za sve predmete koji su u radu, već su dali procjenu vrijednosti obeštećenja na način što je  Komisija za povaćaj i obeštećenje Podgorica u dopisu od </w:t>
      </w:r>
      <w:r w:rsidR="00A4350A">
        <w:t>26</w:t>
      </w:r>
      <w:r>
        <w:t>.</w:t>
      </w:r>
      <w:r w:rsidR="00A4350A">
        <w:t>03</w:t>
      </w:r>
      <w:r>
        <w:t>.202</w:t>
      </w:r>
      <w:r w:rsidR="00A4350A">
        <w:t>5</w:t>
      </w:r>
      <w:r>
        <w:t xml:space="preserve">. godine na osnovu uvida u spise </w:t>
      </w:r>
      <w:r w:rsidR="00A4350A">
        <w:t>85</w:t>
      </w:r>
      <w:r>
        <w:t xml:space="preserve"> predmeta koji su trenutno u radu navela da procjena približne vrijednosti imovine iznosi 1</w:t>
      </w:r>
      <w:r w:rsidR="00A4350A">
        <w:t>4</w:t>
      </w:r>
      <w:r>
        <w:t>.</w:t>
      </w:r>
      <w:r w:rsidR="00A4350A">
        <w:t>123.567,20</w:t>
      </w:r>
      <w:r>
        <w:t xml:space="preserve"> €, Komisija</w:t>
      </w:r>
      <w:r w:rsidRPr="004D5E17">
        <w:t xml:space="preserve"> za povaćaj i obeštećenje</w:t>
      </w:r>
      <w:r>
        <w:t xml:space="preserve"> Bijelo Polje je u dopisu od 26.0</w:t>
      </w:r>
      <w:r w:rsidR="00F1360E">
        <w:t>2</w:t>
      </w:r>
      <w:r>
        <w:t>.202</w:t>
      </w:r>
      <w:r w:rsidR="00F1360E">
        <w:t>5</w:t>
      </w:r>
      <w:r>
        <w:t xml:space="preserve">. godine navela da ukupan iznos obeštećenja </w:t>
      </w:r>
      <w:r w:rsidRPr="00DA757E">
        <w:t>za predmete</w:t>
      </w:r>
      <w:r w:rsidR="00A4350A">
        <w:t xml:space="preserve"> u kojima su izvršena vještačenja i planirano je donijeti rješenja iznosi približno 1.500.000,</w:t>
      </w:r>
      <w:proofErr w:type="gramStart"/>
      <w:r w:rsidR="00A4350A">
        <w:t>00</w:t>
      </w:r>
      <w:r w:rsidRPr="00DA757E">
        <w:t xml:space="preserve"> </w:t>
      </w:r>
      <w:r>
        <w:t xml:space="preserve"> €</w:t>
      </w:r>
      <w:proofErr w:type="gramEnd"/>
      <w:r>
        <w:t>, dok je</w:t>
      </w:r>
      <w:r w:rsidRPr="00DA757E">
        <w:t xml:space="preserve"> </w:t>
      </w:r>
      <w:r>
        <w:t>K</w:t>
      </w:r>
      <w:r w:rsidRPr="00DA757E">
        <w:t>omisija za pov</w:t>
      </w:r>
      <w:r>
        <w:t>r</w:t>
      </w:r>
      <w:r w:rsidRPr="00DA757E">
        <w:t>aćaj i obeštećenje</w:t>
      </w:r>
      <w:r>
        <w:t xml:space="preserve"> Bar </w:t>
      </w:r>
      <w:r w:rsidR="00A4350A">
        <w:t xml:space="preserve">i pored zahtjeva koji smo joj uputili u toku 2025 nije dostavila odgovor, tako da je jedini podatak koji je po ovom osnovu upućen Fondu sadržan u </w:t>
      </w:r>
      <w:r>
        <w:t xml:space="preserve">dopisu od 02.11.2023. godine </w:t>
      </w:r>
      <w:r w:rsidR="00A4350A">
        <w:t xml:space="preserve">gdje je navedeno </w:t>
      </w:r>
      <w:r>
        <w:t>da na osnovu podataka kojima raspolažu, a koji su dati na osnovu završenih vještačenja, ukupna vrijednost obeštećenja okvirno iznosi 51.357.386,22 €.  Kako se na osnovu dostavljenih procjena ne može utvrditi ukupna vrijednost imovine koja se potražuje kao ni visina obaveze koju će Fond za obeštećenje u narednim godinama biti dužan da isplati bivšim vlasnicima, Fond će u 202</w:t>
      </w:r>
      <w:r w:rsidR="00A4350A">
        <w:t>6</w:t>
      </w:r>
      <w:r>
        <w:t>. godini obnoviti zahtjeve prem</w:t>
      </w:r>
      <w:r w:rsidR="00A4350A">
        <w:t xml:space="preserve">a </w:t>
      </w:r>
      <w:r>
        <w:t xml:space="preserve">regionalnim komisijama za procjenu vrijednosti imovine koja se potražuje </w:t>
      </w:r>
      <w:r w:rsidR="00A4350A">
        <w:t>a u dopisu koji smo dostavili na</w:t>
      </w:r>
      <w:r>
        <w:t>dležno</w:t>
      </w:r>
      <w:r w:rsidR="00A4350A">
        <w:t>m</w:t>
      </w:r>
      <w:r>
        <w:t xml:space="preserve"> Ministarstv</w:t>
      </w:r>
      <w:r w:rsidR="00A4350A">
        <w:t>u smo naveli da isto</w:t>
      </w:r>
      <w:r>
        <w:t xml:space="preserve"> kod komisija</w:t>
      </w:r>
      <w:r w:rsidRPr="003005D9">
        <w:t xml:space="preserve"> inicira</w:t>
      </w:r>
      <w:r>
        <w:t xml:space="preserve"> postupanje po navedenoj inicijativi Fonda, kako bi ispunili zakonsku obavezu evidencije duga Države prema bivšim vlasnicima i visine sredstava koja isti potražuju, shodno Zakonu koji je u primjeni,  da bi se Fondu za obeštećenje omogućilo da blagovremeno planira isplatu, opredijeli sredstva, kao i da svoju strategiju realizacije obaveza propisanih zakonom može utvrditi u nekom srednjoročnom periodu i o istome blagovremeno i precizno izvještavati Vladu Crne Gore.</w:t>
      </w:r>
      <w:r>
        <w:tab/>
      </w:r>
    </w:p>
    <w:p w14:paraId="30657A28" w14:textId="77777777" w:rsidR="00463C47" w:rsidRDefault="00463C47" w:rsidP="00463C47">
      <w:pPr>
        <w:spacing w:line="276" w:lineRule="auto"/>
        <w:jc w:val="both"/>
      </w:pPr>
    </w:p>
    <w:p w14:paraId="400C2D71" w14:textId="77777777" w:rsidR="00463C47" w:rsidRPr="00D96D1A" w:rsidRDefault="00463C47" w:rsidP="00463C47">
      <w:pPr>
        <w:rPr>
          <w:b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     </w:t>
      </w:r>
      <w:r w:rsidRPr="00D96D1A">
        <w:rPr>
          <w:b/>
          <w:lang w:val="sr-Latn-CS"/>
        </w:rPr>
        <w:t>DIREKTOR</w:t>
      </w:r>
    </w:p>
    <w:p w14:paraId="2E382AE2" w14:textId="77777777" w:rsidR="00463C47" w:rsidRDefault="00463C47" w:rsidP="00463C47">
      <w:pPr>
        <w:rPr>
          <w:b/>
          <w:lang w:val="sr-Latn-CS"/>
        </w:rPr>
      </w:pPr>
      <w:r w:rsidRPr="00D96D1A">
        <w:rPr>
          <w:b/>
          <w:lang w:val="sr-Latn-CS"/>
        </w:rPr>
        <w:t xml:space="preserve">                                                                                  </w:t>
      </w:r>
      <w:r>
        <w:rPr>
          <w:b/>
          <w:lang w:val="sr-Latn-CS"/>
        </w:rPr>
        <w:t xml:space="preserve">            </w:t>
      </w:r>
      <w:r w:rsidRPr="00D96D1A">
        <w:rPr>
          <w:b/>
          <w:lang w:val="sr-Latn-CS"/>
        </w:rPr>
        <w:t xml:space="preserve">    </w:t>
      </w:r>
      <w:r>
        <w:rPr>
          <w:b/>
          <w:lang w:val="sr-Latn-CS"/>
        </w:rPr>
        <w:t xml:space="preserve">  Elmir Kurtagić</w:t>
      </w:r>
    </w:p>
    <w:p w14:paraId="3BD1E9FB" w14:textId="77777777" w:rsidR="00463C47" w:rsidRPr="0097507C" w:rsidRDefault="00463C47" w:rsidP="00463C47">
      <w:pPr>
        <w:tabs>
          <w:tab w:val="left" w:pos="5814"/>
        </w:tabs>
        <w:rPr>
          <w:lang w:val="sr-Latn-CS"/>
        </w:rPr>
      </w:pPr>
      <w:r>
        <w:rPr>
          <w:lang w:val="sr-Latn-CS"/>
        </w:rPr>
        <w:tab/>
        <w:t>_________________</w:t>
      </w:r>
    </w:p>
    <w:p w14:paraId="62D9A950" w14:textId="77777777" w:rsidR="007F04E3" w:rsidRDefault="007F04E3"/>
    <w:sectPr w:rsidR="007F04E3" w:rsidSect="006716BD">
      <w:footerReference w:type="default" r:id="rId13"/>
      <w:pgSz w:w="12240" w:h="15840"/>
      <w:pgMar w:top="72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6FA0" w14:textId="77777777" w:rsidR="0024378B" w:rsidRDefault="0024378B" w:rsidP="006455FF">
      <w:r>
        <w:separator/>
      </w:r>
    </w:p>
  </w:endnote>
  <w:endnote w:type="continuationSeparator" w:id="0">
    <w:p w14:paraId="0499B0BE" w14:textId="77777777" w:rsidR="0024378B" w:rsidRDefault="0024378B" w:rsidP="0064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922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B70B4" w14:textId="5B5DFDC7" w:rsidR="00831E43" w:rsidRDefault="00831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D56CA" w14:textId="77777777" w:rsidR="00831E43" w:rsidRDefault="0083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51D60" w14:textId="77777777" w:rsidR="0024378B" w:rsidRDefault="0024378B" w:rsidP="006455FF">
      <w:r>
        <w:separator/>
      </w:r>
    </w:p>
  </w:footnote>
  <w:footnote w:type="continuationSeparator" w:id="0">
    <w:p w14:paraId="68836125" w14:textId="77777777" w:rsidR="0024378B" w:rsidRDefault="0024378B" w:rsidP="0064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2AE"/>
    <w:multiLevelType w:val="hybridMultilevel"/>
    <w:tmpl w:val="EE7C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643"/>
    <w:multiLevelType w:val="hybridMultilevel"/>
    <w:tmpl w:val="9580BD8E"/>
    <w:lvl w:ilvl="0" w:tplc="27B6C5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4EF2"/>
    <w:multiLevelType w:val="hybridMultilevel"/>
    <w:tmpl w:val="98FC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C69"/>
    <w:multiLevelType w:val="hybridMultilevel"/>
    <w:tmpl w:val="E5BA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5A81"/>
    <w:multiLevelType w:val="hybridMultilevel"/>
    <w:tmpl w:val="7B12CF3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70DA5"/>
    <w:multiLevelType w:val="hybridMultilevel"/>
    <w:tmpl w:val="A3206A58"/>
    <w:lvl w:ilvl="0" w:tplc="7B947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10FC"/>
    <w:multiLevelType w:val="multilevel"/>
    <w:tmpl w:val="4D54DF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6D7A98"/>
    <w:multiLevelType w:val="hybridMultilevel"/>
    <w:tmpl w:val="F822B59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D8F"/>
    <w:multiLevelType w:val="hybridMultilevel"/>
    <w:tmpl w:val="A142EBC8"/>
    <w:lvl w:ilvl="0" w:tplc="27B6C5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D51F8"/>
    <w:multiLevelType w:val="hybridMultilevel"/>
    <w:tmpl w:val="C6507074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35692C"/>
    <w:multiLevelType w:val="hybridMultilevel"/>
    <w:tmpl w:val="FE0C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81B0E"/>
    <w:multiLevelType w:val="hybridMultilevel"/>
    <w:tmpl w:val="8452A99E"/>
    <w:lvl w:ilvl="0" w:tplc="27B6C5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02F8"/>
    <w:multiLevelType w:val="hybridMultilevel"/>
    <w:tmpl w:val="08EEF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84DFD"/>
    <w:multiLevelType w:val="hybridMultilevel"/>
    <w:tmpl w:val="3D60F08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20A50"/>
    <w:multiLevelType w:val="hybridMultilevel"/>
    <w:tmpl w:val="4EE2C83C"/>
    <w:lvl w:ilvl="0" w:tplc="6A582C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61C6E"/>
    <w:multiLevelType w:val="hybridMultilevel"/>
    <w:tmpl w:val="BAD0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20D5E"/>
    <w:multiLevelType w:val="hybridMultilevel"/>
    <w:tmpl w:val="839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14DA6"/>
    <w:multiLevelType w:val="hybridMultilevel"/>
    <w:tmpl w:val="148214F4"/>
    <w:lvl w:ilvl="0" w:tplc="8B26B9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03898"/>
    <w:multiLevelType w:val="hybridMultilevel"/>
    <w:tmpl w:val="A30EC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561181"/>
    <w:multiLevelType w:val="hybridMultilevel"/>
    <w:tmpl w:val="52FADBEE"/>
    <w:lvl w:ilvl="0" w:tplc="27B6C5C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6"/>
  </w:num>
  <w:num w:numId="5">
    <w:abstractNumId w:val="14"/>
  </w:num>
  <w:num w:numId="6">
    <w:abstractNumId w:val="1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19"/>
  </w:num>
  <w:num w:numId="15">
    <w:abstractNumId w:val="1"/>
  </w:num>
  <w:num w:numId="16">
    <w:abstractNumId w:val="9"/>
  </w:num>
  <w:num w:numId="17">
    <w:abstractNumId w:val="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9B"/>
    <w:rsid w:val="00001A61"/>
    <w:rsid w:val="0002786B"/>
    <w:rsid w:val="000A42C3"/>
    <w:rsid w:val="000B364E"/>
    <w:rsid w:val="00105434"/>
    <w:rsid w:val="001266F9"/>
    <w:rsid w:val="00127D88"/>
    <w:rsid w:val="00137E43"/>
    <w:rsid w:val="00142ED8"/>
    <w:rsid w:val="00186AEC"/>
    <w:rsid w:val="001B5D9F"/>
    <w:rsid w:val="001C721C"/>
    <w:rsid w:val="00216CE7"/>
    <w:rsid w:val="0024378B"/>
    <w:rsid w:val="002747FD"/>
    <w:rsid w:val="002852D5"/>
    <w:rsid w:val="00285D18"/>
    <w:rsid w:val="002C3AF0"/>
    <w:rsid w:val="002D015E"/>
    <w:rsid w:val="00301EDF"/>
    <w:rsid w:val="00311BCE"/>
    <w:rsid w:val="003418AC"/>
    <w:rsid w:val="0036542D"/>
    <w:rsid w:val="003866EC"/>
    <w:rsid w:val="003E5C3C"/>
    <w:rsid w:val="003F4BCB"/>
    <w:rsid w:val="0040099B"/>
    <w:rsid w:val="00425906"/>
    <w:rsid w:val="004427DA"/>
    <w:rsid w:val="00463C47"/>
    <w:rsid w:val="004B0C65"/>
    <w:rsid w:val="004E5475"/>
    <w:rsid w:val="0053191C"/>
    <w:rsid w:val="005617CA"/>
    <w:rsid w:val="00567DE2"/>
    <w:rsid w:val="005727CB"/>
    <w:rsid w:val="005A7A4D"/>
    <w:rsid w:val="005E4409"/>
    <w:rsid w:val="006455FF"/>
    <w:rsid w:val="00653620"/>
    <w:rsid w:val="006716BD"/>
    <w:rsid w:val="00677BEA"/>
    <w:rsid w:val="006E59B5"/>
    <w:rsid w:val="007A0C72"/>
    <w:rsid w:val="007F04E3"/>
    <w:rsid w:val="007F3BA4"/>
    <w:rsid w:val="00831E43"/>
    <w:rsid w:val="00840C40"/>
    <w:rsid w:val="00845479"/>
    <w:rsid w:val="008468F5"/>
    <w:rsid w:val="00863AB9"/>
    <w:rsid w:val="008711B1"/>
    <w:rsid w:val="00877BC2"/>
    <w:rsid w:val="008830C2"/>
    <w:rsid w:val="009503D8"/>
    <w:rsid w:val="00963D6F"/>
    <w:rsid w:val="009A7918"/>
    <w:rsid w:val="009C525F"/>
    <w:rsid w:val="009C7874"/>
    <w:rsid w:val="009D1B81"/>
    <w:rsid w:val="009E61EE"/>
    <w:rsid w:val="00A3571E"/>
    <w:rsid w:val="00A41068"/>
    <w:rsid w:val="00A4350A"/>
    <w:rsid w:val="00A651F5"/>
    <w:rsid w:val="00B20DA3"/>
    <w:rsid w:val="00B45849"/>
    <w:rsid w:val="00B61E01"/>
    <w:rsid w:val="00B76C59"/>
    <w:rsid w:val="00B90C21"/>
    <w:rsid w:val="00BE1D29"/>
    <w:rsid w:val="00BF0CF2"/>
    <w:rsid w:val="00C01EBF"/>
    <w:rsid w:val="00C142E2"/>
    <w:rsid w:val="00C24F7A"/>
    <w:rsid w:val="00C6384C"/>
    <w:rsid w:val="00C74EDB"/>
    <w:rsid w:val="00C83910"/>
    <w:rsid w:val="00CA200F"/>
    <w:rsid w:val="00CA5C13"/>
    <w:rsid w:val="00CC79C1"/>
    <w:rsid w:val="00CE1949"/>
    <w:rsid w:val="00D005A2"/>
    <w:rsid w:val="00D44849"/>
    <w:rsid w:val="00D826C5"/>
    <w:rsid w:val="00DC23C3"/>
    <w:rsid w:val="00DD1E43"/>
    <w:rsid w:val="00DD592A"/>
    <w:rsid w:val="00DD6ECC"/>
    <w:rsid w:val="00DE1CB0"/>
    <w:rsid w:val="00DE2FA6"/>
    <w:rsid w:val="00DE382E"/>
    <w:rsid w:val="00DF3D7B"/>
    <w:rsid w:val="00E06A9A"/>
    <w:rsid w:val="00E42B60"/>
    <w:rsid w:val="00E45964"/>
    <w:rsid w:val="00E86366"/>
    <w:rsid w:val="00EC6A8F"/>
    <w:rsid w:val="00ED7EBA"/>
    <w:rsid w:val="00F1360E"/>
    <w:rsid w:val="00F32E4E"/>
    <w:rsid w:val="00F513C1"/>
    <w:rsid w:val="00F7281D"/>
    <w:rsid w:val="00FC41A8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1DC6B"/>
  <w15:chartTrackingRefBased/>
  <w15:docId w15:val="{6CA310C2-B3C3-40E8-80B5-18E6C39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63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C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63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3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C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Columns3">
    <w:name w:val="Table Columns 3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463C47"/>
    <w:rPr>
      <w:sz w:val="28"/>
      <w:lang w:val="hr-HR"/>
    </w:rPr>
  </w:style>
  <w:style w:type="character" w:customStyle="1" w:styleId="BodyTextChar">
    <w:name w:val="Body Text Char"/>
    <w:basedOn w:val="DefaultParagraphFont"/>
    <w:link w:val="BodyText"/>
    <w:rsid w:val="00463C47"/>
    <w:rPr>
      <w:rFonts w:ascii="Times New Roman" w:eastAsia="Times New Roman" w:hAnsi="Times New Roman" w:cs="Times New Roman"/>
      <w:sz w:val="28"/>
      <w:szCs w:val="24"/>
      <w:lang w:val="hr-HR"/>
    </w:rPr>
  </w:style>
  <w:style w:type="table" w:styleId="TableWeb1">
    <w:name w:val="Table Web 1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basedOn w:val="TableNormal"/>
    <w:uiPriority w:val="49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Simple2">
    <w:name w:val="Table Simple 2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7">
    <w:name w:val="Table Grid 7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6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840C4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nela.cehovic\Desktop\SANELA%20NOVI\FOND\IZVJESTAJ%20O%20RADU%20FONDA\za%202025\Dijagram%20-%20opsti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nela.cehovic\Desktop\SANELA%20NOVI\FOND\IZVJESTAJ%20O%20RADU%20FONDA\za%202025\Dijagram%20-%20opstin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nela.cehovic\Desktop\SANELA%20NOVI\FOND\IZVJESTAJ%20O%20RADU%20FONDA\za%202025\Dijagram%20-%20opstin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nela.cehovic\Desktop\SANELA%20NOVI\FOND\IZVJESTAJ%20O%20RADU%20FONDA\za%202025\Dijagram%20-%20opstin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200"/>
              <a:t>STRUKTURA IZVRŠNIH RJEŠENjA PO KOMISIJAMA ZA POVRAĆAJ I OBEŠTEĆENjE ZA</a:t>
            </a:r>
            <a:r>
              <a:rPr lang="sr-Latn-ME" sz="1200" baseline="0"/>
              <a:t> 2025</a:t>
            </a:r>
            <a:endParaRPr lang="sr-Latn-ME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84-4986-AAF2-631C10E819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84-4986-AAF2-631C10E819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84-4986-AAF2-631C10E819FE}"/>
              </c:ext>
            </c:extLst>
          </c:dPt>
          <c:cat>
            <c:strRef>
              <c:f>Sheet1!$P$4:$P$6</c:f>
              <c:strCache>
                <c:ptCount val="3"/>
                <c:pt idx="0">
                  <c:v>Podgorica</c:v>
                </c:pt>
                <c:pt idx="1">
                  <c:v>Bar</c:v>
                </c:pt>
                <c:pt idx="2">
                  <c:v>Bijelo polje</c:v>
                </c:pt>
              </c:strCache>
            </c:strRef>
          </c:cat>
          <c:val>
            <c:numRef>
              <c:f>Sheet1!$Q$4:$Q$6</c:f>
              <c:numCache>
                <c:formatCode>#,##0.00_);[Red]\(#,##0.00\)</c:formatCode>
                <c:ptCount val="3"/>
                <c:pt idx="0">
                  <c:v>181759.79</c:v>
                </c:pt>
                <c:pt idx="1">
                  <c:v>12543.3</c:v>
                </c:pt>
                <c:pt idx="2">
                  <c:v>1547.52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84-4986-AAF2-631C10E81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200" b="0" i="0" baseline="0">
                <a:effectLst/>
              </a:rPr>
              <a:t>STRUKTURA IZVRŠNIH RJEŠENjA PO KOMISIJAMA ZA POVRAĆAJ I OBEŠTEĆENjE ZA 2025</a:t>
            </a:r>
            <a:endParaRPr lang="en-US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Sheet1!$P$4:$P$6</c:f>
              <c:strCache>
                <c:ptCount val="3"/>
                <c:pt idx="0">
                  <c:v>Podgorica</c:v>
                </c:pt>
                <c:pt idx="1">
                  <c:v>Bar</c:v>
                </c:pt>
                <c:pt idx="2">
                  <c:v>Bijelo polje</c:v>
                </c:pt>
              </c:strCache>
            </c:strRef>
          </c:cat>
          <c:val>
            <c:numRef>
              <c:f>Sheet1!$Q$4:$Q$6</c:f>
              <c:numCache>
                <c:formatCode>#,##0.00_);[Red]\(#,##0.00\)</c:formatCode>
                <c:ptCount val="3"/>
                <c:pt idx="0">
                  <c:v>181759.79</c:v>
                </c:pt>
                <c:pt idx="1">
                  <c:v>12543.3</c:v>
                </c:pt>
                <c:pt idx="2">
                  <c:v>1547.52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C-4ACB-8515-E9A62A247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9729967"/>
        <c:axId val="632607279"/>
      </c:barChart>
      <c:catAx>
        <c:axId val="2089729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607279"/>
        <c:crosses val="autoZero"/>
        <c:auto val="1"/>
        <c:lblAlgn val="ctr"/>
        <c:lblOffset val="100"/>
        <c:noMultiLvlLbl val="0"/>
      </c:catAx>
      <c:valAx>
        <c:axId val="63260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);[Red]\(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9729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IZVRŠNA RJEŠENjA</a:t>
            </a:r>
            <a:r>
              <a:rPr lang="sr-Latn-ME" baseline="0"/>
              <a:t> PO OPŠTINAMA ZA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41-4A19-99E3-B0B672AA22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41-4A19-99E3-B0B672AA22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041-4A19-99E3-B0B672AA22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041-4A19-99E3-B0B672AA22A9}"/>
              </c:ext>
            </c:extLst>
          </c:dPt>
          <c:cat>
            <c:strRef>
              <c:f>Sheet1!$B$75:$B$78</c:f>
              <c:strCache>
                <c:ptCount val="4"/>
                <c:pt idx="0">
                  <c:v>Podgorica</c:v>
                </c:pt>
                <c:pt idx="1">
                  <c:v>Nikšić</c:v>
                </c:pt>
                <c:pt idx="2">
                  <c:v>Ulcinj</c:v>
                </c:pt>
                <c:pt idx="3">
                  <c:v>Berane</c:v>
                </c:pt>
              </c:strCache>
            </c:strRef>
          </c:cat>
          <c:val>
            <c:numRef>
              <c:f>Sheet1!$C$75:$C$78</c:f>
              <c:numCache>
                <c:formatCode>#,##0.00_);[Red]\(#,##0.00\)</c:formatCode>
                <c:ptCount val="4"/>
                <c:pt idx="0">
                  <c:v>48376.77</c:v>
                </c:pt>
                <c:pt idx="1">
                  <c:v>133383.01999999999</c:v>
                </c:pt>
                <c:pt idx="2">
                  <c:v>12543.3</c:v>
                </c:pt>
                <c:pt idx="3">
                  <c:v>1547.52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41-4A19-99E3-B0B672AA2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400" b="0" i="0" baseline="0">
                <a:effectLst/>
              </a:rPr>
              <a:t>IZVRŠNA RJEŠENjA PO OPŠTINAMA 2025</a:t>
            </a:r>
            <a:endParaRPr lang="en-US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Sheet1!$B$75:$B$78</c:f>
              <c:strCache>
                <c:ptCount val="4"/>
                <c:pt idx="0">
                  <c:v>Podgorica</c:v>
                </c:pt>
                <c:pt idx="1">
                  <c:v>Nikšić</c:v>
                </c:pt>
                <c:pt idx="2">
                  <c:v>Ulcinj</c:v>
                </c:pt>
                <c:pt idx="3">
                  <c:v>Berane</c:v>
                </c:pt>
              </c:strCache>
            </c:strRef>
          </c:cat>
          <c:val>
            <c:numRef>
              <c:f>Sheet1!$C$75:$C$78</c:f>
              <c:numCache>
                <c:formatCode>#,##0.00_);[Red]\(#,##0.00\)</c:formatCode>
                <c:ptCount val="4"/>
                <c:pt idx="0">
                  <c:v>48376.77</c:v>
                </c:pt>
                <c:pt idx="1">
                  <c:v>133383.01999999999</c:v>
                </c:pt>
                <c:pt idx="2">
                  <c:v>12543.3</c:v>
                </c:pt>
                <c:pt idx="3">
                  <c:v>1547.52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C3-4D27-93C6-445B252E6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14806415"/>
        <c:axId val="914877151"/>
      </c:barChart>
      <c:catAx>
        <c:axId val="914806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4877151"/>
        <c:crosses val="autoZero"/>
        <c:auto val="1"/>
        <c:lblAlgn val="ctr"/>
        <c:lblOffset val="100"/>
        <c:noMultiLvlLbl val="0"/>
      </c:catAx>
      <c:valAx>
        <c:axId val="914877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);[Red]\(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4806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1334-C818-48CD-A4EA-AE85D58B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5424</Words>
  <Characters>30921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Kurtagic</dc:creator>
  <cp:keywords/>
  <dc:description/>
  <cp:lastModifiedBy>Aldin Kurtagic</cp:lastModifiedBy>
  <cp:revision>13</cp:revision>
  <cp:lastPrinted>2026-02-12T08:44:00Z</cp:lastPrinted>
  <dcterms:created xsi:type="dcterms:W3CDTF">2026-02-12T08:43:00Z</dcterms:created>
  <dcterms:modified xsi:type="dcterms:W3CDTF">2026-02-25T08:44:00Z</dcterms:modified>
</cp:coreProperties>
</file>