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C2FFF" w:rsidRDefault="00C71B76">
      <w:pPr>
        <w:pStyle w:val="Heading1"/>
      </w:pPr>
      <w:bookmarkStart w:id="0" w:name="_GoBack"/>
      <w:bookmarkEnd w:id="0"/>
      <w:r>
        <w:t>Smjernice za očuvanje zaštićenih prirodnih dobara, OECM-ova i restauraciju (SC 2 i OC 1.2.)</w:t>
      </w:r>
    </w:p>
    <w:p w14:paraId="00000002" w14:textId="77777777" w:rsidR="004C2FFF" w:rsidRDefault="00C71B76">
      <w:r>
        <w:t>Ana Katnić, 20-02-2026</w:t>
      </w:r>
    </w:p>
    <w:p w14:paraId="00000003" w14:textId="77777777" w:rsidR="004C2FFF" w:rsidRDefault="004C2FFF"/>
    <w:p w14:paraId="00000004" w14:textId="77777777" w:rsidR="004C2FFF" w:rsidRDefault="00C71B76">
      <w:r>
        <w:t xml:space="preserve">Prema EUBD Strategiji sva zaštićena područja moraju imati jasno definisane </w:t>
      </w:r>
      <w:r>
        <w:rPr>
          <w:b/>
          <w:bCs/>
        </w:rPr>
        <w:t>ciljeve i mere očuvanja</w:t>
      </w:r>
      <w:r>
        <w:t>. Ukoliko se države članice oslanjaju na OECM-ove, prilagođeni ciljevi i mere bili bi neophodni i za OECM-ove. Potreba za jasnim ciljevima očuvanja specifičnim za lokaciju i mjerama za sva područja Natura 2000 je EU zakonski zahtjev koji se i dalje primenj</w:t>
      </w:r>
      <w:r>
        <w:t>uje. Izrađene su smjernice o postavljanju ciljeva zaštite i uspostavljanju mera zaštite za područja Natura 2000. Strogo zaštićena područja moraju takođe imati jasne ciljeve očuvanja specifične za određeno područje. Neophodno je korektno primjenjivati term</w:t>
      </w:r>
      <w:r>
        <w:t>inologiju za ciljeve očuvanja (uključujući i primjenu u Zakonu o zaštiti prirode): “ciljevi očuvanja” umjesto “ciljevi zaštite” (</w:t>
      </w:r>
      <w:r>
        <w:rPr>
          <w:i/>
          <w:iCs/>
        </w:rPr>
        <w:t>instead of “objectives of protection” there should be “conservation objectives”</w:t>
      </w:r>
      <w:r>
        <w:t>).</w:t>
      </w:r>
    </w:p>
    <w:p w14:paraId="00000005" w14:textId="77777777" w:rsidR="004C2FFF" w:rsidRDefault="00C71B76">
      <w:pPr>
        <w:spacing w:after="0" w:line="276" w:lineRule="auto"/>
      </w:pPr>
      <w:r>
        <w:rPr>
          <w:b/>
          <w:bCs/>
        </w:rPr>
        <w:t>Područja od posebnog značaja za biodiverzitet</w:t>
      </w:r>
      <w:r>
        <w:t xml:space="preserve"> uključuju zone sa visokim bogatstvom vrsta ili prisustvom ugroženih vrsta, ugrožene biome i staništa, područja sa naročito važnim tipovima staništa, kao i zone koje su ključne za kontinuirano pružanje ekosistemskih funkcija i usluga. Zaštita ovih područja</w:t>
      </w:r>
      <w:r>
        <w:t xml:space="preserve"> treba biti prioritet u ostvarivanju ciljeva.</w:t>
      </w:r>
    </w:p>
    <w:p w14:paraId="00000006" w14:textId="77777777" w:rsidR="004C2FFF" w:rsidRDefault="004C2FFF">
      <w:pPr>
        <w:spacing w:after="0" w:line="276" w:lineRule="auto"/>
      </w:pPr>
    </w:p>
    <w:p w14:paraId="00000007" w14:textId="77777777" w:rsidR="004C2FFF" w:rsidRDefault="00C71B76">
      <w:pPr>
        <w:spacing w:after="0" w:line="276" w:lineRule="auto"/>
      </w:pPr>
      <w:r>
        <w:t xml:space="preserve">U okviru šireg fokusa na </w:t>
      </w:r>
      <w:r>
        <w:rPr>
          <w:b/>
          <w:bCs/>
        </w:rPr>
        <w:t>strogu zaštitu</w:t>
      </w:r>
      <w:r>
        <w:t>, potrebno je definisati, mapirati, pratiti i strogo zaštititi sve preostale primarne i prašumske šume. Države treba da obezbijede da ne dođe do pogoršanja njihovog stanj</w:t>
      </w:r>
      <w:r>
        <w:t>a prije uspostavljanja i sprovođenja režima zaštite.</w:t>
      </w:r>
    </w:p>
    <w:p w14:paraId="00000008" w14:textId="77777777" w:rsidR="004C2FFF" w:rsidRDefault="00C71B76">
      <w:pPr>
        <w:spacing w:after="0" w:line="276" w:lineRule="auto"/>
      </w:pPr>
      <w:r>
        <w:t>Značajne površine drugih ekosistema bogatih ugljenikom – kao što su tresetišta, travnjaci, močvare, i livade morskih cvjetnica – takođe treba staviti pod strogu zaštitu, uzimajući u obzir očekivane promj</w:t>
      </w:r>
      <w:r>
        <w:t>ene vegetacionih zona usljed klimatskih promjena.</w:t>
      </w:r>
    </w:p>
    <w:p w14:paraId="00000009" w14:textId="77777777" w:rsidR="004C2FFF" w:rsidRDefault="004C2FFF">
      <w:pPr>
        <w:spacing w:after="0" w:line="276" w:lineRule="auto"/>
      </w:pPr>
    </w:p>
    <w:p w14:paraId="0000000A" w14:textId="77777777" w:rsidR="004C2FFF" w:rsidRDefault="00C71B76">
      <w:pPr>
        <w:spacing w:after="0"/>
      </w:pPr>
      <w:r>
        <w:rPr>
          <w:b/>
          <w:bCs/>
        </w:rPr>
        <w:t>OECM područja</w:t>
      </w:r>
      <w:r>
        <w:t xml:space="preserve"> mogu uključivati i zone koje imaju određeni oblik pravne zaštite, ali ne nužno radi očuvanja staništa i vrsta (npr. zone za zaštitu voda, područja za kontrolu poplava, agrošumski pejzaži, voj</w:t>
      </w:r>
      <w:r>
        <w:t xml:space="preserve">ni prostori sa ograničenim pristupom). </w:t>
      </w:r>
      <w:r>
        <w:t xml:space="preserve">Dodatne oblasti koje se mogu staviti u službu OECM pristupa su staništa divljih oprašivača poput poluprirodnih travnjaka, dodatne oblasti zaštite morskih područja, ribolovna zaštitna područja, brakične vode, zone oko </w:t>
      </w:r>
      <w:r>
        <w:t>podvodnih kablova, agro-ekološke područja i koridori sa konzervacionim mjerama.</w:t>
      </w:r>
    </w:p>
    <w:p w14:paraId="0000000B" w14:textId="77777777" w:rsidR="004C2FFF" w:rsidRDefault="004C2FFF">
      <w:pPr>
        <w:spacing w:after="0"/>
      </w:pPr>
    </w:p>
    <w:p w14:paraId="0000000C" w14:textId="77777777" w:rsidR="004C2FFF" w:rsidRDefault="00C71B76">
      <w:pPr>
        <w:spacing w:after="0" w:line="276" w:lineRule="auto"/>
      </w:pPr>
      <w:r>
        <w:t xml:space="preserve">Zaštićena područja i OECM treba da obuhvate </w:t>
      </w:r>
      <w:r>
        <w:rPr>
          <w:b/>
          <w:bCs/>
        </w:rPr>
        <w:t>reprezentativne uzorke cjelokupnog spektra postojećih ekosistema</w:t>
      </w:r>
      <w:r>
        <w:t>, ekoloških procesa i biogeografskih regiona. Potrebno je uporediti</w:t>
      </w:r>
      <w:r>
        <w:t xml:space="preserve"> postojeće podatke o reprezentativnosti zaštićenih područja sa širim nacionalnim ili </w:t>
      </w:r>
      <w:r>
        <w:lastRenderedPageBreak/>
        <w:t>globalnim kartama pokrivenosti zemljišta (npr. globalnim mapama bioma) kako bi se identifikovali sistemi ili ekosistemi koji su nedovoljno zastupljeni ili potpuno izostavl</w:t>
      </w:r>
      <w:r>
        <w:t>jeni.</w:t>
      </w:r>
    </w:p>
    <w:p w14:paraId="0000000D" w14:textId="77777777" w:rsidR="004C2FFF" w:rsidRDefault="004C2FFF">
      <w:pPr>
        <w:spacing w:after="0" w:line="276" w:lineRule="auto"/>
      </w:pPr>
    </w:p>
    <w:p w14:paraId="0000000E" w14:textId="77777777" w:rsidR="004C2FFF" w:rsidRDefault="00C71B76">
      <w:pPr>
        <w:spacing w:after="0" w:line="276" w:lineRule="auto"/>
      </w:pPr>
      <w:r>
        <w:t xml:space="preserve">U </w:t>
      </w:r>
      <w:r>
        <w:rPr>
          <w:b/>
          <w:bCs/>
        </w:rPr>
        <w:t>koherentnoj mreži</w:t>
      </w:r>
      <w:r>
        <w:t>, zaštićena područja ne treba posmatrati izolovano, već ih treba razmatrati zajedno sa ekološkim koridorima koji pomažu u sprečavanju genetske izolacije, omogućavaju migraciju vrsta, olakšavaju prilagođavanje klimatskim promena</w:t>
      </w:r>
      <w:r>
        <w:t>ma i, generalno, održavaju i unapređuju zdrave ekosisteme. Obezbeđivanje prostora za prirodu u poljoprivrednim područjima vraćanjem najmanje 10% poljoprivrednog područja pod karakteristike predjela visoke raznolikosti treba da doprinese koherentnosti mrež</w:t>
      </w:r>
      <w:r>
        <w:t xml:space="preserve">e. Pored toga, za slatku vodu, Okvirna direktiva o vodama uključuje kontinuitet rijeka kao element podrške za ekološki status vodnih tela, čime se utvrđuju zahtjevi za mjere za održavanje ili ponovno uspostavljanje povezanosti. </w:t>
      </w:r>
    </w:p>
    <w:p w14:paraId="0000000F" w14:textId="77777777" w:rsidR="004C2FFF" w:rsidRDefault="004C2FFF">
      <w:pPr>
        <w:spacing w:after="0" w:line="276" w:lineRule="auto"/>
      </w:pPr>
    </w:p>
    <w:p w14:paraId="00000010" w14:textId="77777777" w:rsidR="004C2FFF" w:rsidRDefault="00C71B76">
      <w:pPr>
        <w:spacing w:after="0" w:line="276" w:lineRule="auto"/>
      </w:pPr>
      <w:r>
        <w:t xml:space="preserve">Zaštićena područja i OECM </w:t>
      </w:r>
      <w:r>
        <w:t xml:space="preserve">treba da budu </w:t>
      </w:r>
      <w:r>
        <w:rPr>
          <w:b/>
          <w:bCs/>
        </w:rPr>
        <w:t>povezani koridorima</w:t>
      </w:r>
      <w:r>
        <w:t xml:space="preserve"> i integrisani u šire pejzaže, morske akvatorijume i okeane. Ovo je ključni element izgradnje funkcionalnih sistema i mreža zaštićenih i očuvanih područja koje mogu obezbijediti dugoročne </w:t>
      </w:r>
      <w:r>
        <w:rPr>
          <w:i/>
          <w:iCs/>
        </w:rPr>
        <w:t>in-situ</w:t>
      </w:r>
      <w:r>
        <w:t xml:space="preserve"> rezultate očuvanja i izdrža</w:t>
      </w:r>
      <w:r>
        <w:t xml:space="preserve">ti pritiske i poremećaje, uključujući uticaje klimatskih promjena. </w:t>
      </w:r>
    </w:p>
    <w:p w14:paraId="00000011" w14:textId="77777777" w:rsidR="004C2FFF" w:rsidRDefault="004C2FFF">
      <w:pPr>
        <w:spacing w:after="0" w:line="276" w:lineRule="auto"/>
      </w:pPr>
    </w:p>
    <w:p w14:paraId="00000012" w14:textId="77777777" w:rsidR="004C2FFF" w:rsidRDefault="00C71B76">
      <w:pPr>
        <w:spacing w:after="0" w:line="276" w:lineRule="auto"/>
      </w:pPr>
      <w:r>
        <w:t xml:space="preserve">Klimatske promjene predstavljaju </w:t>
      </w:r>
      <w:r>
        <w:rPr>
          <w:b/>
          <w:bCs/>
        </w:rPr>
        <w:t>novu prijetnju</w:t>
      </w:r>
      <w:r>
        <w:t xml:space="preserve"> za zaštićena područja. Bez adekvatnih mjera adaptacije, očekuje se dalje slabljenje efikasnosti sadašnje mreže zaštićenih područja.</w:t>
      </w:r>
    </w:p>
    <w:p w14:paraId="00000013" w14:textId="77777777" w:rsidR="004C2FFF" w:rsidRDefault="004C2FFF">
      <w:pPr>
        <w:spacing w:after="0" w:line="276" w:lineRule="auto"/>
      </w:pPr>
    </w:p>
    <w:p w14:paraId="00000014" w14:textId="77777777" w:rsidR="004C2FFF" w:rsidRDefault="00C71B76">
      <w:pPr>
        <w:spacing w:after="0" w:line="240" w:lineRule="auto"/>
      </w:pPr>
      <w:r>
        <w:rPr>
          <w:b/>
          <w:bCs/>
        </w:rPr>
        <w:t>Priori</w:t>
      </w:r>
      <w:r>
        <w:rPr>
          <w:b/>
          <w:bCs/>
        </w:rPr>
        <w:t>tetne oblasti za restauraciju</w:t>
      </w:r>
      <w:r>
        <w:t xml:space="preserve"> neophodno je identifikovati na osnovu ekološkog značaja, povezanosti sa zaštićenim područjima i potencijala za obnovu ekosistemskih funkcija i usluga.</w:t>
      </w:r>
    </w:p>
    <w:p w14:paraId="00000015" w14:textId="77777777" w:rsidR="004C2FFF" w:rsidRDefault="004C2FFF">
      <w:pPr>
        <w:spacing w:after="0" w:line="240" w:lineRule="auto"/>
      </w:pPr>
    </w:p>
    <w:p w14:paraId="00000016" w14:textId="77777777" w:rsidR="004C2FFF" w:rsidRDefault="00C71B76">
      <w:pPr>
        <w:spacing w:after="0"/>
      </w:pPr>
      <w:r>
        <w:t>Restauraciju degradiranih ekosistema neophodno je sprovoditi u skladu sa p</w:t>
      </w:r>
      <w:r>
        <w:t xml:space="preserve">rincipima </w:t>
      </w:r>
      <w:r>
        <w:rPr>
          <w:b/>
          <w:bCs/>
        </w:rPr>
        <w:t>rješenja zasnovanih na prirodi (Nature-based Solutions)</w:t>
      </w:r>
      <w:r>
        <w:t>, i prirodne sukcesije.</w:t>
      </w:r>
    </w:p>
    <w:p w14:paraId="00000017" w14:textId="77777777" w:rsidR="004C2FFF" w:rsidRDefault="004C2FFF">
      <w:pPr>
        <w:spacing w:after="0"/>
      </w:pPr>
    </w:p>
    <w:p w14:paraId="00000018" w14:textId="77777777" w:rsidR="004C2FFF" w:rsidRDefault="00C71B76">
      <w:r>
        <w:t xml:space="preserve">Sistem </w:t>
      </w:r>
      <w:r>
        <w:rPr>
          <w:b/>
          <w:bCs/>
        </w:rPr>
        <w:t>monitoringa efekata restauracije</w:t>
      </w:r>
      <w:r>
        <w:t>, usmjeriti na polinatore, pesticide, poljoprivredu viskokih biodiverzitetskih vrijednosti i agro-ekološke prakse, smanjenje za</w:t>
      </w:r>
      <w:r>
        <w:t>gađena zemljišta, obezbjeđivanje slobodnog protoka rijeka i revitalizaciju šuma, prateći ekološke principe.</w:t>
      </w:r>
    </w:p>
    <w:p w14:paraId="00000019" w14:textId="77777777" w:rsidR="004C2FFF" w:rsidRDefault="00C71B76">
      <w:r>
        <w:rPr>
          <w:b/>
          <w:bCs/>
        </w:rPr>
        <w:t>Baza podataka o zaštićenim područjima</w:t>
      </w:r>
      <w:r>
        <w:t xml:space="preserve"> treba biti redovno ažurirana (postoje nedoslednosti kod georeferenciranih podataka, nedostajući podaci, itd.).</w:t>
      </w:r>
      <w:r>
        <w:t xml:space="preserve"> Neophodno je unaprijediti sistem dostavljanja podataka ka internacionalnim tijelima i bazama podataka (podaci nisu adekvatno unijeti u svjetsku bazu podataka: </w:t>
      </w:r>
      <w:hyperlink r:id="rId6">
        <w:r>
          <w:rPr>
            <w:color w:val="0563C1"/>
            <w:u w:val="single"/>
          </w:rPr>
          <w:t>https://www.p</w:t>
        </w:r>
        <w:r>
          <w:rPr>
            <w:color w:val="0563C1"/>
            <w:u w:val="single"/>
          </w:rPr>
          <w:t>rotectedplanet.net/en/thematic-areas/wdpa?tab=WDPA</w:t>
        </w:r>
      </w:hyperlink>
      <w:r>
        <w:t>). Ažurirati mape za potencijalna zaštićena područja. Dodati podatke o Emerald mreži, UNESCO područjima, Ramsar, KBA oblastima, u bazu o ZP.</w:t>
      </w:r>
    </w:p>
    <w:p w14:paraId="0000001A" w14:textId="77777777" w:rsidR="004C2FFF" w:rsidRDefault="00C71B76">
      <w:pPr>
        <w:spacing w:after="0"/>
      </w:pPr>
      <w:r>
        <w:t>Medjusektorsko radno tijelo za koordinaciju na vise nivoa uključu</w:t>
      </w:r>
      <w:r>
        <w:t>jući nacionalni i lokalni za planiranje</w:t>
      </w:r>
      <w:r>
        <w:t xml:space="preserve"> zaštićenih, Natura 2000 i OECM područja, treba najmanje da uključuje sektore ekologije, klime, voda, šumarstva, poljoprivrede, ribarstva, energetike, saobraćaja, turizma, </w:t>
      </w:r>
      <w:r>
        <w:lastRenderedPageBreak/>
        <w:t>privrede, finansija, zdravlja, edukacije, ist</w:t>
      </w:r>
      <w:r>
        <w:t xml:space="preserve">raživanja, i različite aktere, uključujući ministarstva, opštine, agancije, civilni sektor, udruženja, lokalne zajednice, eksperte, itd. </w:t>
      </w:r>
    </w:p>
    <w:p w14:paraId="0000001B" w14:textId="77777777" w:rsidR="004C2FFF" w:rsidRDefault="004C2FFF">
      <w:pPr>
        <w:spacing w:after="0"/>
      </w:pPr>
    </w:p>
    <w:p w14:paraId="0000001C" w14:textId="77777777" w:rsidR="004C2FFF" w:rsidRDefault="00C71B76">
      <w:pPr>
        <w:spacing w:after="0" w:line="276" w:lineRule="auto"/>
      </w:pPr>
      <w:r>
        <w:t xml:space="preserve">Najčešće korišćeni alati za procjenu efektivnosti upravljanja su </w:t>
      </w:r>
      <w:r>
        <w:rPr>
          <w:b/>
          <w:bCs/>
        </w:rPr>
        <w:t>RAPPAM</w:t>
      </w:r>
      <w:r>
        <w:t xml:space="preserve"> (</w:t>
      </w:r>
      <w:r>
        <w:rPr>
          <w:i/>
          <w:iCs/>
        </w:rPr>
        <w:t>Rapid Assessment and Prioritisation of Protected Area Management</w:t>
      </w:r>
      <w:r>
        <w:t xml:space="preserve">) i </w:t>
      </w:r>
      <w:r>
        <w:rPr>
          <w:b/>
          <w:bCs/>
        </w:rPr>
        <w:t>METT</w:t>
      </w:r>
      <w:r>
        <w:t xml:space="preserve"> (</w:t>
      </w:r>
      <w:r>
        <w:rPr>
          <w:i/>
          <w:iCs/>
        </w:rPr>
        <w:t>Management Effectiveness Tracking Tool</w:t>
      </w:r>
      <w:r>
        <w:t xml:space="preserve">). Oba alata povremeno koriste pojedine države članice EU za procjenu upravljanja Natura 2000 područjima ili nacionalnim zaštićenim područjima. </w:t>
      </w:r>
      <w:r>
        <w:t>Preporučuje se njihova šira i redovna primjena.</w:t>
      </w:r>
    </w:p>
    <w:p w14:paraId="0000001D" w14:textId="77777777" w:rsidR="004C2FFF" w:rsidRDefault="004C2FFF">
      <w:pPr>
        <w:spacing w:after="0" w:line="276" w:lineRule="auto"/>
        <w:rPr>
          <w:b/>
          <w:bCs/>
          <w:color w:val="EE0000"/>
        </w:rPr>
      </w:pPr>
    </w:p>
    <w:p w14:paraId="0000001E" w14:textId="77777777" w:rsidR="004C2FFF" w:rsidRDefault="00C71B76">
      <w:pPr>
        <w:spacing w:after="0" w:line="276" w:lineRule="auto"/>
      </w:pPr>
      <w:r>
        <w:rPr>
          <w:b/>
          <w:bCs/>
        </w:rPr>
        <w:t>Edukacija, podizanje kapacitieta i komunikacija</w:t>
      </w:r>
      <w:r>
        <w:t xml:space="preserve"> moraju biti sastavni dio sistema zaštićenih područja i očuvanja biodiverziteta.</w:t>
      </w:r>
    </w:p>
    <w:p w14:paraId="0000001F" w14:textId="77777777" w:rsidR="004C2FFF" w:rsidRDefault="004C2FFF">
      <w:pPr>
        <w:spacing w:after="0" w:line="276" w:lineRule="auto"/>
      </w:pPr>
    </w:p>
    <w:p w14:paraId="00000020" w14:textId="77777777" w:rsidR="004C2FFF" w:rsidRDefault="00C71B76">
      <w:pPr>
        <w:spacing w:after="0" w:line="276" w:lineRule="auto"/>
      </w:pPr>
      <w:r>
        <w:t>Radi integrisanja biodiverziteta i ekosistema u formalno obrazovanje i stručnu</w:t>
      </w:r>
      <w:r>
        <w:t xml:space="preserve"> obuku, Evropska komisija će predložiti </w:t>
      </w:r>
      <w:r>
        <w:rPr>
          <w:b/>
          <w:bCs/>
        </w:rPr>
        <w:t>Preporuku Savjeta o saradnji u obrazovanju za održivost životne sredine</w:t>
      </w:r>
      <w:r>
        <w:t xml:space="preserve"> koje je neophodno sagledati u kontekstu predloženih aktivnosti.</w:t>
      </w:r>
    </w:p>
    <w:p w14:paraId="00000021" w14:textId="77777777" w:rsidR="004C2FFF" w:rsidRDefault="004C2FFF">
      <w:pPr>
        <w:spacing w:after="0"/>
        <w:rPr>
          <w:b/>
          <w:bCs/>
        </w:rPr>
      </w:pPr>
    </w:p>
    <w:p w14:paraId="00000022" w14:textId="77777777" w:rsidR="004C2FFF" w:rsidRDefault="00C71B76">
      <w:pPr>
        <w:spacing w:after="0"/>
      </w:pPr>
      <w:r>
        <w:rPr>
          <w:b/>
          <w:bCs/>
        </w:rPr>
        <w:t>Saradnja, mapiranje i uključivanje zainteresovanih strana</w:t>
      </w:r>
      <w:r>
        <w:t xml:space="preserve"> treba da se zasniva na principima, transparentnosti, inkluzivnosti i pravičnosti, sa posebnim fokusom na žene, ranjive grupe i mlade.</w:t>
      </w:r>
    </w:p>
    <w:p w14:paraId="00000023" w14:textId="77777777" w:rsidR="004C2FFF" w:rsidRDefault="004C2FFF">
      <w:pPr>
        <w:spacing w:after="0" w:line="276" w:lineRule="auto"/>
        <w:rPr>
          <w:color w:val="000000"/>
        </w:rPr>
      </w:pPr>
    </w:p>
    <w:p w14:paraId="00000024" w14:textId="77777777" w:rsidR="004C2FFF" w:rsidRDefault="004C2FFF">
      <w:pPr>
        <w:spacing w:after="0" w:line="276" w:lineRule="auto"/>
        <w:rPr>
          <w:color w:val="000000"/>
        </w:rPr>
      </w:pPr>
    </w:p>
    <w:p w14:paraId="00000025" w14:textId="77777777" w:rsidR="004C2FFF" w:rsidRDefault="00C71B76">
      <w:pPr>
        <w:spacing w:after="0" w:line="276" w:lineRule="auto"/>
        <w:rPr>
          <w:color w:val="000000"/>
        </w:rPr>
      </w:pPr>
      <w:r>
        <w:rPr>
          <w:color w:val="000000"/>
        </w:rPr>
        <w:t>GEF7 projekat izradio je sledeće smjernice za zaštićena područja:</w:t>
      </w:r>
    </w:p>
    <w:p w14:paraId="00000026" w14:textId="77777777" w:rsidR="004C2FFF" w:rsidRDefault="004C2FFF">
      <w:pPr>
        <w:spacing w:after="0" w:line="276" w:lineRule="auto"/>
        <w:rPr>
          <w:color w:val="000000"/>
        </w:rPr>
      </w:pPr>
    </w:p>
    <w:p w14:paraId="00000027" w14:textId="77777777" w:rsidR="004C2FFF" w:rsidRDefault="00C71B76">
      <w:pPr>
        <w:numPr>
          <w:ilvl w:val="0"/>
          <w:numId w:val="1"/>
        </w:numPr>
        <w:spacing w:after="0"/>
      </w:pPr>
      <w:r>
        <w:t>SMJERNICE ZA PLANOVE UPRAVLJANJA ZAŠTIĆENIM PODRUČJI</w:t>
      </w:r>
      <w:r>
        <w:t xml:space="preserve">MA </w:t>
      </w:r>
    </w:p>
    <w:p w14:paraId="00000028" w14:textId="77777777" w:rsidR="004C2FFF" w:rsidRDefault="00C71B76">
      <w:pPr>
        <w:numPr>
          <w:ilvl w:val="0"/>
          <w:numId w:val="1"/>
        </w:numPr>
        <w:spacing w:after="0"/>
      </w:pPr>
      <w:r>
        <w:t xml:space="preserve">SMJERNICE ZA GODIŠNJE PROGRAME UPRAVLJANJA ZAŠTIĆENIM PODRUČJEM </w:t>
      </w:r>
    </w:p>
    <w:p w14:paraId="00000029" w14:textId="77777777" w:rsidR="004C2FFF" w:rsidRDefault="00C71B76">
      <w:pPr>
        <w:numPr>
          <w:ilvl w:val="0"/>
          <w:numId w:val="1"/>
        </w:numPr>
        <w:spacing w:after="0"/>
      </w:pPr>
      <w:r>
        <w:t xml:space="preserve">SMJERNICE ZA PARTICIPATIVNO I TRANSPARENTNO UPRAVLJANJE ZAŠTIĆENIM PODRUČJIMA </w:t>
      </w:r>
    </w:p>
    <w:p w14:paraId="0000002A" w14:textId="77777777" w:rsidR="004C2FFF" w:rsidRDefault="00C71B76">
      <w:pPr>
        <w:numPr>
          <w:ilvl w:val="0"/>
          <w:numId w:val="1"/>
        </w:numPr>
        <w:spacing w:after="0"/>
      </w:pPr>
      <w:r>
        <w:t>SMJERNICE ZA UPRAVLJANJE PODACIMA O ZAŠTIĆENIM PODRUČJIMA</w:t>
      </w:r>
    </w:p>
    <w:p w14:paraId="0000002B" w14:textId="77777777" w:rsidR="004C2FFF" w:rsidRDefault="00C71B76">
      <w:pPr>
        <w:numPr>
          <w:ilvl w:val="0"/>
          <w:numId w:val="1"/>
        </w:numPr>
        <w:spacing w:after="0"/>
      </w:pPr>
      <w:r>
        <w:t xml:space="preserve">SMJERNICE O UPRAVLJANJU POSJETIOCIMA U ZAŠTIĆENIM </w:t>
      </w:r>
      <w:r>
        <w:t>PODRUČJIMA</w:t>
      </w:r>
    </w:p>
    <w:p w14:paraId="0000002C" w14:textId="77777777" w:rsidR="004C2FFF" w:rsidRDefault="00C71B76">
      <w:pPr>
        <w:numPr>
          <w:ilvl w:val="0"/>
          <w:numId w:val="1"/>
        </w:numPr>
        <w:spacing w:after="0"/>
      </w:pPr>
      <w:r>
        <w:t>SMJERNICE O PRILAGOĐAVANJU NA KLIMATSKE PROMJENE U ZAŠTIĆENIM PODRUČJIMA</w:t>
      </w:r>
    </w:p>
    <w:p w14:paraId="0000002D" w14:textId="77777777" w:rsidR="004C2FFF" w:rsidRDefault="00C71B76">
      <w:pPr>
        <w:numPr>
          <w:ilvl w:val="0"/>
          <w:numId w:val="1"/>
        </w:numPr>
        <w:spacing w:after="0"/>
      </w:pPr>
      <w:r>
        <w:t>SMJERNICE O ODRŽIVOM FINANSIRANJU ZAŠTIĆENIH PODRUČJA</w:t>
      </w:r>
    </w:p>
    <w:p w14:paraId="0000002E" w14:textId="77777777" w:rsidR="004C2FFF" w:rsidRDefault="00C71B76">
      <w:pPr>
        <w:numPr>
          <w:ilvl w:val="0"/>
          <w:numId w:val="1"/>
        </w:numPr>
        <w:spacing w:after="0"/>
      </w:pPr>
      <w:r>
        <w:t>SMJERNICE O PROCJENI EFIKTIVNOSTI UPRAVLJANJA ZAŠTIĆENIM PODRUČJIMA</w:t>
      </w:r>
    </w:p>
    <w:p w14:paraId="0000002F" w14:textId="77777777" w:rsidR="004C2FFF" w:rsidRDefault="00C71B76">
      <w:pPr>
        <w:numPr>
          <w:ilvl w:val="0"/>
          <w:numId w:val="1"/>
        </w:numPr>
        <w:spacing w:after="0"/>
      </w:pPr>
      <w:r>
        <w:t>SMJERNICE ZA UKLJUČIVANJE UPRAVLJANJA EKOLOŠKIM MR</w:t>
      </w:r>
      <w:r>
        <w:t>EŽAMA I MEĐUNARODNIM ZAŠTIĆENIM PODRUČJIMA</w:t>
      </w:r>
    </w:p>
    <w:p w14:paraId="00000030" w14:textId="77777777" w:rsidR="004C2FFF" w:rsidRDefault="004C2FFF">
      <w:pPr>
        <w:rPr>
          <w:color w:val="EE0000"/>
        </w:rPr>
      </w:pPr>
    </w:p>
    <w:p w14:paraId="00000031" w14:textId="77777777" w:rsidR="004C2FFF" w:rsidRDefault="004C2FFF">
      <w:pPr>
        <w:rPr>
          <w:color w:val="2F5496"/>
          <w:sz w:val="32"/>
          <w:szCs w:val="32"/>
        </w:rPr>
      </w:pPr>
    </w:p>
    <w:p w14:paraId="00000032" w14:textId="77777777" w:rsidR="004C2FFF" w:rsidRDefault="004C2FFF"/>
    <w:sectPr w:rsidR="004C2FF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5A3332-5EA0-4A9B-A1DB-A151F380683C}"/>
    <w:embedBold r:id="rId2" w:fontKey="{630C80C1-08C8-4AF0-9AC3-33AE18DE98B7}"/>
    <w:embedItalic r:id="rId3" w:fontKey="{8AED1BAB-07BA-4015-B2AB-118155FD9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ED9B03A-EB1D-44D2-8724-51202E60D58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EF72C8"/>
    <w:multiLevelType w:val="multilevel"/>
    <w:tmpl w:val="71E012A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FFF"/>
    <w:rsid w:val="004C2FFF"/>
    <w:rsid w:val="00C7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6DB1B3-65B6-4E4C-A11B-0694AEF7B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sr-Latn-ME" w:eastAsia="sr-Latn-M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62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62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62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F62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2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62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622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622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2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62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62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62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F62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F62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62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62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62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622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62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622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622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F622B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protectedplanet.net/en/thematic-areas/wdpa?tab=WDP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MWrvEAT+75SdoaobUgTEQDmLsg==">CgMxLjA4AHIhMW94ZFV5M1ItUHBTM3dHUlVqX1E4TUdscDM4NTAxUWZ6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Aneta Kankaras</cp:lastModifiedBy>
  <cp:revision>2</cp:revision>
  <dcterms:created xsi:type="dcterms:W3CDTF">2026-02-23T15:08:00Z</dcterms:created>
  <dcterms:modified xsi:type="dcterms:W3CDTF">2026-02-23T15:08:00Z</dcterms:modified>
</cp:coreProperties>
</file>