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61" w:rsidRPr="003962B6" w:rsidRDefault="00AB1EEE" w:rsidP="00686368">
      <w:pPr>
        <w:spacing w:after="120"/>
        <w:jc w:val="center"/>
        <w:rPr>
          <w:rFonts w:ascii="Century Gothic" w:hAnsi="Century Gothic"/>
          <w:sz w:val="22"/>
          <w:szCs w:val="22"/>
        </w:rPr>
      </w:pPr>
      <w:bookmarkStart w:id="0" w:name="_Toc289784007"/>
      <w:r w:rsidRPr="003962B6">
        <w:rPr>
          <w:rFonts w:ascii="Century Gothic" w:hAnsi="Century Gothic"/>
          <w:b/>
          <w:sz w:val="22"/>
          <w:szCs w:val="22"/>
        </w:rPr>
        <w:t>Spisak jediničnih cijena za isporuku i ugradnju energetski efikasne fasadne stolarije</w:t>
      </w:r>
      <w:r w:rsidR="00686368" w:rsidRPr="003962B6">
        <w:rPr>
          <w:rFonts w:ascii="Century Gothic" w:hAnsi="Century Gothic"/>
          <w:b/>
          <w:sz w:val="22"/>
          <w:szCs w:val="22"/>
        </w:rPr>
        <w:t xml:space="preserve"> u okviru programa "Energetski efikasan </w:t>
      </w:r>
      <w:proofErr w:type="gramStart"/>
      <w:r w:rsidR="00686368" w:rsidRPr="003962B6">
        <w:rPr>
          <w:rFonts w:ascii="Century Gothic" w:hAnsi="Century Gothic"/>
          <w:b/>
          <w:sz w:val="22"/>
          <w:szCs w:val="22"/>
        </w:rPr>
        <w:t>dom</w:t>
      </w:r>
      <w:proofErr w:type="gramEnd"/>
      <w:r w:rsidR="00686368" w:rsidRPr="003962B6">
        <w:rPr>
          <w:rFonts w:ascii="Century Gothic" w:hAnsi="Century Gothic"/>
          <w:b/>
          <w:sz w:val="22"/>
          <w:szCs w:val="22"/>
        </w:rPr>
        <w:t>"</w:t>
      </w:r>
    </w:p>
    <w:tbl>
      <w:tblPr>
        <w:tblW w:w="14454" w:type="dxa"/>
        <w:tblLayout w:type="fixed"/>
        <w:tblLook w:val="04A0" w:firstRow="1" w:lastRow="0" w:firstColumn="1" w:lastColumn="0" w:noHBand="0" w:noVBand="1"/>
      </w:tblPr>
      <w:tblGrid>
        <w:gridCol w:w="409"/>
        <w:gridCol w:w="5653"/>
        <w:gridCol w:w="3544"/>
        <w:gridCol w:w="1134"/>
        <w:gridCol w:w="992"/>
        <w:gridCol w:w="1304"/>
        <w:gridCol w:w="1418"/>
      </w:tblGrid>
      <w:tr w:rsidR="005206EF" w:rsidRPr="003962B6" w:rsidTr="00641BBE">
        <w:trPr>
          <w:trHeight w:val="1180"/>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5206EF" w:rsidRPr="003962B6" w:rsidRDefault="005206EF">
            <w:pPr>
              <w:rPr>
                <w:rFonts w:ascii="Century Gothic" w:hAnsi="Century Gothic" w:cs="Arial"/>
                <w:sz w:val="22"/>
                <w:szCs w:val="22"/>
              </w:rPr>
            </w:pPr>
            <w:r w:rsidRPr="003962B6">
              <w:rPr>
                <w:rFonts w:ascii="Century Gothic" w:hAnsi="Century Gothic" w:cs="Arial"/>
                <w:sz w:val="22"/>
                <w:szCs w:val="22"/>
              </w:rPr>
              <w:t>Br</w:t>
            </w: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06EF" w:rsidRPr="003962B6" w:rsidRDefault="005206EF">
            <w:pPr>
              <w:rPr>
                <w:rFonts w:ascii="Century Gothic" w:hAnsi="Century Gothic" w:cs="Arial"/>
                <w:sz w:val="22"/>
                <w:szCs w:val="22"/>
              </w:rPr>
            </w:pPr>
            <w:r w:rsidRPr="003962B6">
              <w:rPr>
                <w:rFonts w:ascii="Century Gothic" w:hAnsi="Century Gothic" w:cs="Arial"/>
                <w:sz w:val="22"/>
                <w:szCs w:val="22"/>
              </w:rPr>
              <w:t>Stavka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206EF" w:rsidRPr="003962B6" w:rsidRDefault="005206EF">
            <w:pPr>
              <w:jc w:val="center"/>
              <w:rPr>
                <w:rFonts w:ascii="Century Gothic" w:hAnsi="Century Gothic" w:cs="Arial"/>
                <w:sz w:val="20"/>
                <w:szCs w:val="20"/>
              </w:rPr>
            </w:pPr>
            <w:r w:rsidRPr="003962B6">
              <w:rPr>
                <w:rFonts w:ascii="Century Gothic" w:hAnsi="Century Gothic" w:cs="Arial"/>
                <w:sz w:val="20"/>
                <w:szCs w:val="20"/>
              </w:rPr>
              <w:t>Jedinica mjere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206EF" w:rsidRPr="003962B6" w:rsidRDefault="005206EF">
            <w:pPr>
              <w:jc w:val="center"/>
              <w:rPr>
                <w:rFonts w:ascii="Century Gothic" w:hAnsi="Century Gothic" w:cs="Arial"/>
                <w:sz w:val="20"/>
                <w:szCs w:val="20"/>
              </w:rPr>
            </w:pPr>
            <w:r w:rsidRPr="003962B6">
              <w:rPr>
                <w:rFonts w:ascii="Century Gothic" w:hAnsi="Century Gothic" w:cs="Arial"/>
                <w:sz w:val="20"/>
                <w:szCs w:val="20"/>
              </w:rPr>
              <w:t>Količina</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206EF" w:rsidRPr="003962B6" w:rsidRDefault="005206EF">
            <w:pPr>
              <w:jc w:val="center"/>
              <w:rPr>
                <w:rFonts w:ascii="Century Gothic" w:hAnsi="Century Gothic" w:cs="Arial"/>
                <w:sz w:val="22"/>
                <w:szCs w:val="22"/>
              </w:rPr>
            </w:pPr>
            <w:r w:rsidRPr="003962B6">
              <w:rPr>
                <w:rFonts w:ascii="Century Gothic" w:hAnsi="Century Gothic" w:cs="Arial"/>
                <w:sz w:val="22"/>
                <w:szCs w:val="22"/>
              </w:rPr>
              <w:t>Jed. Cijena sa PDV-om</w:t>
            </w:r>
          </w:p>
          <w:p w:rsidR="002E12C7" w:rsidRPr="003962B6" w:rsidRDefault="002E12C7">
            <w:pPr>
              <w:jc w:val="center"/>
              <w:rPr>
                <w:rFonts w:ascii="Century Gothic" w:hAnsi="Century Gothic" w:cs="Arial"/>
                <w:sz w:val="22"/>
                <w:szCs w:val="22"/>
              </w:rPr>
            </w:pPr>
            <w:r w:rsidRPr="003962B6">
              <w:rPr>
                <w:rFonts w:ascii="Century Gothic" w:hAnsi="Century Gothic" w:cs="Arial"/>
                <w:sz w:val="22"/>
                <w:szCs w:val="22"/>
              </w:rPr>
              <w:t>21%</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5206EF" w:rsidRPr="003962B6" w:rsidRDefault="005206EF">
            <w:pPr>
              <w:jc w:val="center"/>
              <w:rPr>
                <w:rFonts w:ascii="Century Gothic" w:hAnsi="Century Gothic" w:cs="Arial"/>
                <w:sz w:val="22"/>
                <w:szCs w:val="22"/>
              </w:rPr>
            </w:pPr>
            <w:r w:rsidRPr="003962B6">
              <w:rPr>
                <w:rFonts w:ascii="Century Gothic" w:hAnsi="Century Gothic" w:cs="Arial"/>
                <w:sz w:val="22"/>
                <w:szCs w:val="22"/>
              </w:rPr>
              <w:t>Jed. Cijena sa PDV-om</w:t>
            </w:r>
          </w:p>
          <w:p w:rsidR="002E12C7" w:rsidRPr="003962B6" w:rsidRDefault="002E12C7">
            <w:pPr>
              <w:jc w:val="center"/>
              <w:rPr>
                <w:rFonts w:ascii="Century Gothic" w:hAnsi="Century Gothic" w:cs="Arial"/>
                <w:sz w:val="22"/>
                <w:szCs w:val="22"/>
              </w:rPr>
            </w:pPr>
            <w:r w:rsidRPr="003962B6">
              <w:rPr>
                <w:rFonts w:ascii="Century Gothic" w:hAnsi="Century Gothic" w:cs="Arial"/>
                <w:sz w:val="22"/>
                <w:szCs w:val="22"/>
              </w:rPr>
              <w:t>21%</w:t>
            </w:r>
          </w:p>
        </w:tc>
      </w:tr>
      <w:tr w:rsidR="005206EF" w:rsidRPr="003962B6" w:rsidTr="00641BBE">
        <w:trPr>
          <w:trHeight w:val="210"/>
        </w:trPr>
        <w:tc>
          <w:tcPr>
            <w:tcW w:w="409" w:type="dxa"/>
            <w:tcBorders>
              <w:top w:val="single" w:sz="4" w:space="0" w:color="auto"/>
              <w:left w:val="single" w:sz="4" w:space="0" w:color="auto"/>
              <w:bottom w:val="single" w:sz="4" w:space="0" w:color="auto"/>
              <w:right w:val="single" w:sz="4" w:space="0" w:color="auto"/>
            </w:tcBorders>
            <w:shd w:val="clear" w:color="auto" w:fill="auto"/>
            <w:vAlign w:val="bottom"/>
          </w:tcPr>
          <w:p w:rsidR="005206EF" w:rsidRPr="003962B6" w:rsidRDefault="005206EF">
            <w:pPr>
              <w:jc w:val="cente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06EF" w:rsidRPr="001E7C0B" w:rsidRDefault="001E7C0B" w:rsidP="001E7C0B">
            <w:pPr>
              <w:jc w:val="center"/>
              <w:rPr>
                <w:rFonts w:ascii="Century Gothic" w:hAnsi="Century Gothic"/>
                <w:b/>
                <w:sz w:val="20"/>
                <w:szCs w:val="20"/>
              </w:rPr>
            </w:pPr>
            <w:r w:rsidRPr="001E7C0B">
              <w:rPr>
                <w:rFonts w:ascii="Century Gothic" w:hAnsi="Century Gothic"/>
                <w:b/>
                <w:sz w:val="20"/>
                <w:szCs w:val="20"/>
              </w:rPr>
              <w:t>IZVOĐAČI RADOVA</w:t>
            </w:r>
            <w:bookmarkStart w:id="1" w:name="_GoBack"/>
            <w:bookmarkEnd w:id="1"/>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206EF" w:rsidRPr="003962B6" w:rsidRDefault="005206EF">
            <w:pPr>
              <w:rPr>
                <w:rFonts w:ascii="Century Gothic" w:hAnsi="Century Gothic"/>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206EF" w:rsidRPr="003962B6" w:rsidRDefault="005206EF">
            <w:pPr>
              <w:rPr>
                <w:rFonts w:ascii="Century Gothic" w:hAnsi="Century Gothic"/>
                <w:sz w:val="20"/>
                <w:szCs w:val="20"/>
              </w:rPr>
            </w:pP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206EF" w:rsidRPr="003962B6" w:rsidRDefault="005206EF">
            <w:pPr>
              <w:rPr>
                <w:rFonts w:ascii="Century Gothic" w:hAnsi="Century Gothic"/>
                <w:sz w:val="20"/>
                <w:szCs w:val="20"/>
              </w:rPr>
            </w:pPr>
            <w:r w:rsidRPr="003962B6">
              <w:rPr>
                <w:rFonts w:ascii="Century Gothic" w:hAnsi="Century Gothic"/>
                <w:sz w:val="20"/>
                <w:szCs w:val="20"/>
              </w:rPr>
              <w:t>Mikromont d.o.o</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rsidR="005206EF" w:rsidRPr="003962B6" w:rsidRDefault="005206EF">
            <w:pPr>
              <w:rPr>
                <w:rFonts w:ascii="Century Gothic" w:hAnsi="Century Gothic"/>
                <w:sz w:val="20"/>
                <w:szCs w:val="20"/>
              </w:rPr>
            </w:pPr>
            <w:r w:rsidRPr="003962B6">
              <w:rPr>
                <w:rFonts w:ascii="Century Gothic" w:hAnsi="Century Gothic"/>
                <w:sz w:val="20"/>
                <w:szCs w:val="20"/>
              </w:rPr>
              <w:t>Roaming Montenegro d.o.o</w:t>
            </w:r>
          </w:p>
        </w:tc>
      </w:tr>
      <w:tr w:rsidR="00686368" w:rsidRPr="003962B6" w:rsidTr="00641BBE">
        <w:trPr>
          <w:gridAfter w:val="5"/>
          <w:wAfter w:w="8392" w:type="dxa"/>
          <w:trHeight w:val="315"/>
        </w:trPr>
        <w:tc>
          <w:tcPr>
            <w:tcW w:w="409" w:type="dxa"/>
            <w:tcBorders>
              <w:top w:val="single" w:sz="4" w:space="0" w:color="auto"/>
              <w:left w:val="single" w:sz="4" w:space="0" w:color="auto"/>
              <w:bottom w:val="single" w:sz="4" w:space="0" w:color="auto"/>
              <w:right w:val="single" w:sz="4" w:space="0" w:color="auto"/>
            </w:tcBorders>
            <w:shd w:val="clear" w:color="auto" w:fill="auto"/>
            <w:vAlign w:val="bottom"/>
          </w:tcPr>
          <w:p w:rsidR="00686368" w:rsidRPr="003962B6" w:rsidRDefault="00686368">
            <w:pPr>
              <w:jc w:val="center"/>
              <w:rPr>
                <w:rFonts w:ascii="Century Gothic" w:hAnsi="Century Gothic" w:cs="Arial"/>
                <w:b/>
                <w:bCs/>
                <w:sz w:val="22"/>
                <w:szCs w:val="22"/>
              </w:rPr>
            </w:pPr>
            <w:r w:rsidRPr="003962B6">
              <w:rPr>
                <w:rFonts w:ascii="Century Gothic" w:hAnsi="Century Gothic" w:cs="Arial"/>
                <w:b/>
                <w:bCs/>
                <w:sz w:val="22"/>
                <w:szCs w:val="22"/>
              </w:rPr>
              <w:t>I</w:t>
            </w:r>
          </w:p>
        </w:tc>
        <w:tc>
          <w:tcPr>
            <w:tcW w:w="5653" w:type="dxa"/>
            <w:tcBorders>
              <w:top w:val="single" w:sz="4" w:space="0" w:color="auto"/>
              <w:left w:val="single" w:sz="4" w:space="0" w:color="auto"/>
              <w:bottom w:val="single" w:sz="4" w:space="0" w:color="auto"/>
              <w:right w:val="single" w:sz="4" w:space="0" w:color="auto"/>
            </w:tcBorders>
            <w:shd w:val="clear" w:color="auto" w:fill="auto"/>
            <w:vAlign w:val="bottom"/>
          </w:tcPr>
          <w:p w:rsidR="00686368" w:rsidRPr="003962B6" w:rsidRDefault="00686368">
            <w:pPr>
              <w:rPr>
                <w:rFonts w:ascii="Century Gothic" w:hAnsi="Century Gothic"/>
                <w:b/>
                <w:sz w:val="20"/>
                <w:szCs w:val="20"/>
              </w:rPr>
            </w:pPr>
            <w:r w:rsidRPr="003962B6">
              <w:rPr>
                <w:rFonts w:ascii="Century Gothic" w:hAnsi="Century Gothic"/>
                <w:b/>
                <w:sz w:val="20"/>
                <w:szCs w:val="20"/>
              </w:rPr>
              <w:t>PRIPREMNI RADOVI I RADOVI NA DEMONTAŽI</w:t>
            </w:r>
          </w:p>
        </w:tc>
      </w:tr>
      <w:tr w:rsidR="005206EF" w:rsidRPr="003962B6" w:rsidTr="00641BBE">
        <w:trPr>
          <w:trHeight w:val="255"/>
        </w:trPr>
        <w:tc>
          <w:tcPr>
            <w:tcW w:w="409" w:type="dxa"/>
            <w:tcBorders>
              <w:top w:val="single" w:sz="4" w:space="0" w:color="auto"/>
              <w:left w:val="single" w:sz="4" w:space="0" w:color="auto"/>
              <w:bottom w:val="single" w:sz="4" w:space="0" w:color="auto"/>
              <w:right w:val="single" w:sz="4" w:space="0" w:color="auto"/>
            </w:tcBorders>
            <w:shd w:val="clear" w:color="auto" w:fill="auto"/>
            <w:vAlign w:val="bottom"/>
          </w:tcPr>
          <w:p w:rsidR="005206EF" w:rsidRPr="003962B6" w:rsidRDefault="005206EF">
            <w:pPr>
              <w:rPr>
                <w:rFonts w:ascii="Century Gothic" w:hAnsi="Century Gothic"/>
                <w:sz w:val="20"/>
                <w:szCs w:val="20"/>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206EF" w:rsidRPr="003962B6" w:rsidRDefault="005206EF">
            <w:pPr>
              <w:rPr>
                <w:rFonts w:ascii="Century Gothic" w:hAnsi="Century Gothic"/>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5206EF" w:rsidRPr="003962B6" w:rsidRDefault="005206EF">
            <w:pPr>
              <w:rPr>
                <w:rFonts w:ascii="Century Gothic" w:hAnsi="Century Gothic"/>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206EF" w:rsidRPr="003962B6" w:rsidRDefault="005206EF">
            <w:pPr>
              <w:jc w:val="right"/>
              <w:rPr>
                <w:rFonts w:ascii="Century Gothic" w:hAnsi="Century Gothic"/>
                <w:sz w:val="20"/>
                <w:szCs w:val="20"/>
              </w:rPr>
            </w:pPr>
          </w:p>
        </w:tc>
        <w:tc>
          <w:tcPr>
            <w:tcW w:w="1304" w:type="dxa"/>
            <w:tcBorders>
              <w:top w:val="single" w:sz="4" w:space="0" w:color="auto"/>
              <w:left w:val="single" w:sz="4" w:space="0" w:color="auto"/>
              <w:bottom w:val="single" w:sz="4" w:space="0" w:color="auto"/>
              <w:right w:val="single" w:sz="4" w:space="0" w:color="auto"/>
            </w:tcBorders>
          </w:tcPr>
          <w:p w:rsidR="005206EF" w:rsidRPr="003962B6" w:rsidRDefault="005206EF">
            <w:pPr>
              <w:rPr>
                <w:rFonts w:ascii="Century Gothic" w:hAnsi="Century Gothic"/>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206EF" w:rsidRPr="003962B6" w:rsidRDefault="005206EF">
            <w:pPr>
              <w:rPr>
                <w:rFonts w:ascii="Century Gothic" w:hAnsi="Century Gothic"/>
                <w:sz w:val="20"/>
                <w:szCs w:val="20"/>
              </w:rPr>
            </w:pPr>
          </w:p>
        </w:tc>
      </w:tr>
      <w:tr w:rsidR="005206EF" w:rsidRPr="003962B6" w:rsidTr="00641BBE">
        <w:trPr>
          <w:trHeight w:val="1560"/>
        </w:trPr>
        <w:tc>
          <w:tcPr>
            <w:tcW w:w="409" w:type="dxa"/>
            <w:tcBorders>
              <w:top w:val="single" w:sz="4" w:space="0" w:color="auto"/>
              <w:left w:val="single" w:sz="4" w:space="0" w:color="auto"/>
              <w:bottom w:val="single" w:sz="4" w:space="0" w:color="auto"/>
              <w:right w:val="single" w:sz="4" w:space="0" w:color="auto"/>
            </w:tcBorders>
            <w:shd w:val="clear" w:color="auto" w:fill="auto"/>
          </w:tcPr>
          <w:p w:rsidR="005206EF" w:rsidRPr="003962B6" w:rsidRDefault="005206EF">
            <w:pPr>
              <w:jc w:val="center"/>
              <w:rPr>
                <w:rFonts w:ascii="Century Gothic" w:hAnsi="Century Gothic" w:cs="Arial"/>
                <w:sz w:val="22"/>
                <w:szCs w:val="22"/>
              </w:rPr>
            </w:pPr>
            <w:r w:rsidRPr="003962B6">
              <w:rPr>
                <w:rFonts w:ascii="Century Gothic" w:hAnsi="Century Gothic" w:cs="Arial"/>
                <w:sz w:val="22"/>
                <w:szCs w:val="22"/>
              </w:rPr>
              <w:t>1</w:t>
            </w: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tcPr>
          <w:p w:rsidR="005206EF" w:rsidRPr="003962B6" w:rsidRDefault="005206EF">
            <w:pPr>
              <w:rPr>
                <w:rFonts w:ascii="Century Gothic" w:hAnsi="Century Gothic" w:cs="Arial"/>
                <w:sz w:val="22"/>
                <w:szCs w:val="22"/>
              </w:rPr>
            </w:pPr>
            <w:r w:rsidRPr="003962B6">
              <w:rPr>
                <w:rFonts w:ascii="Century Gothic" w:hAnsi="Century Gothic" w:cs="Arial"/>
                <w:b/>
                <w:bCs/>
                <w:sz w:val="22"/>
                <w:szCs w:val="22"/>
              </w:rPr>
              <w:t>Pažljiva demontaža postojeće fasadne stolarije</w:t>
            </w:r>
            <w:r w:rsidRPr="003962B6">
              <w:rPr>
                <w:rFonts w:ascii="Century Gothic" w:hAnsi="Century Gothic" w:cs="Arial"/>
                <w:sz w:val="22"/>
                <w:szCs w:val="22"/>
              </w:rPr>
              <w:t xml:space="preserve"> u svemu prema tehničkom opisu pozicije. Stolarija se uklanja u </w:t>
            </w:r>
            <w:proofErr w:type="gramStart"/>
            <w:r w:rsidRPr="003962B6">
              <w:rPr>
                <w:rFonts w:ascii="Century Gothic" w:hAnsi="Century Gothic" w:cs="Arial"/>
                <w:sz w:val="22"/>
                <w:szCs w:val="22"/>
              </w:rPr>
              <w:t>cjelosti .</w:t>
            </w:r>
            <w:proofErr w:type="gramEnd"/>
            <w:r w:rsidRPr="003962B6">
              <w:rPr>
                <w:rFonts w:ascii="Century Gothic" w:hAnsi="Century Gothic" w:cs="Arial"/>
                <w:sz w:val="22"/>
                <w:szCs w:val="22"/>
              </w:rPr>
              <w:t xml:space="preserve"> Stolariju odložiti na pogodno mjesto radi kasnijeg utovara u pogodno transportno sredstvo i odvoženja na gradsku deponiju do 15km </w:t>
            </w:r>
            <w:proofErr w:type="gramStart"/>
            <w:r w:rsidRPr="003962B6">
              <w:rPr>
                <w:rFonts w:ascii="Century Gothic" w:hAnsi="Century Gothic" w:cs="Arial"/>
                <w:sz w:val="22"/>
                <w:szCs w:val="22"/>
              </w:rPr>
              <w:t>udaljenosti .</w:t>
            </w:r>
            <w:proofErr w:type="gramEnd"/>
            <w:r w:rsidRPr="003962B6">
              <w:rPr>
                <w:rFonts w:ascii="Century Gothic" w:hAnsi="Century Gothic" w:cs="Arial"/>
                <w:sz w:val="22"/>
                <w:szCs w:val="22"/>
              </w:rPr>
              <w:t xml:space="preserve"> </w:t>
            </w:r>
            <w:r w:rsidRPr="003962B6">
              <w:rPr>
                <w:rFonts w:ascii="Century Gothic" w:hAnsi="Century Gothic" w:cs="Arial"/>
                <w:sz w:val="22"/>
                <w:szCs w:val="22"/>
                <w:u w:val="single"/>
              </w:rPr>
              <w:t>Obračun po komadu uklonjene pozicije u zavisnosti od dimenzije.</w:t>
            </w:r>
            <w:r w:rsidRPr="003962B6">
              <w:rPr>
                <w:rFonts w:ascii="Century Gothic" w:hAnsi="Century Gothic" w:cs="Arial"/>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5206EF" w:rsidRPr="003962B6" w:rsidRDefault="005206EF">
            <w:pPr>
              <w:rPr>
                <w:rFonts w:ascii="Century Gothic" w:hAnsi="Century Gothic"/>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206EF" w:rsidRPr="003962B6" w:rsidRDefault="005206EF">
            <w:pPr>
              <w:jc w:val="right"/>
              <w:rPr>
                <w:rFonts w:ascii="Century Gothic" w:hAnsi="Century Gothic"/>
                <w:sz w:val="20"/>
                <w:szCs w:val="20"/>
              </w:rPr>
            </w:pPr>
          </w:p>
        </w:tc>
        <w:tc>
          <w:tcPr>
            <w:tcW w:w="1304" w:type="dxa"/>
            <w:tcBorders>
              <w:top w:val="single" w:sz="4" w:space="0" w:color="auto"/>
              <w:left w:val="single" w:sz="4" w:space="0" w:color="auto"/>
              <w:bottom w:val="single" w:sz="4" w:space="0" w:color="auto"/>
              <w:right w:val="single" w:sz="4" w:space="0" w:color="auto"/>
            </w:tcBorders>
          </w:tcPr>
          <w:p w:rsidR="005206EF" w:rsidRPr="003962B6" w:rsidRDefault="005206EF">
            <w:pPr>
              <w:rPr>
                <w:rFonts w:ascii="Century Gothic" w:hAnsi="Century Gothic"/>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206EF" w:rsidRPr="003962B6" w:rsidRDefault="005206EF">
            <w:pPr>
              <w:rPr>
                <w:rFonts w:ascii="Century Gothic" w:hAnsi="Century Gothic"/>
                <w:sz w:val="20"/>
                <w:szCs w:val="20"/>
              </w:rPr>
            </w:pPr>
          </w:p>
        </w:tc>
      </w:tr>
      <w:tr w:rsidR="00686368" w:rsidRPr="003962B6" w:rsidTr="00641BBE">
        <w:trPr>
          <w:trHeight w:val="375"/>
        </w:trPr>
        <w:tc>
          <w:tcPr>
            <w:tcW w:w="409" w:type="dxa"/>
            <w:tcBorders>
              <w:top w:val="single" w:sz="4" w:space="0" w:color="auto"/>
              <w:left w:val="single" w:sz="4" w:space="0" w:color="auto"/>
              <w:bottom w:val="single" w:sz="4" w:space="0" w:color="auto"/>
              <w:right w:val="single" w:sz="4" w:space="0" w:color="auto"/>
            </w:tcBorders>
            <w:shd w:val="clear" w:color="auto" w:fill="auto"/>
          </w:tcPr>
          <w:p w:rsidR="00686368" w:rsidRPr="003962B6" w:rsidRDefault="00686368" w:rsidP="00686368">
            <w:pPr>
              <w:rPr>
                <w:rFonts w:ascii="Century Gothic" w:hAnsi="Century Gothic"/>
                <w:sz w:val="20"/>
                <w:szCs w:val="20"/>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Otvori preko 5m2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 36,30</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lang w:val="sr-Latn-ME"/>
              </w:rPr>
              <w:t>48,40</w:t>
            </w:r>
            <w:r w:rsidRPr="003962B6">
              <w:rPr>
                <w:rFonts w:ascii="Century Gothic" w:hAnsi="Century Gothic" w:cs="Arial"/>
                <w:sz w:val="22"/>
                <w:szCs w:val="22"/>
              </w:rPr>
              <w:t> </w:t>
            </w:r>
          </w:p>
        </w:tc>
      </w:tr>
      <w:tr w:rsidR="00686368" w:rsidRPr="003962B6" w:rsidTr="00641BBE">
        <w:trPr>
          <w:trHeight w:val="375"/>
        </w:trPr>
        <w:tc>
          <w:tcPr>
            <w:tcW w:w="409" w:type="dxa"/>
            <w:tcBorders>
              <w:top w:val="single" w:sz="4" w:space="0" w:color="auto"/>
              <w:left w:val="single" w:sz="4" w:space="0" w:color="auto"/>
              <w:bottom w:val="single" w:sz="4" w:space="0" w:color="auto"/>
              <w:right w:val="single" w:sz="4" w:space="0" w:color="auto"/>
            </w:tcBorders>
            <w:shd w:val="clear" w:color="auto" w:fill="auto"/>
          </w:tcPr>
          <w:p w:rsidR="00686368" w:rsidRPr="003962B6" w:rsidRDefault="00686368" w:rsidP="00686368">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Otvori od 3m2 do 5m2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 30,25</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lang w:val="sr-Latn-ME"/>
              </w:rPr>
              <w:t>38,72</w:t>
            </w:r>
            <w:r w:rsidRPr="003962B6">
              <w:rPr>
                <w:rFonts w:ascii="Century Gothic" w:hAnsi="Century Gothic" w:cs="Arial"/>
                <w:sz w:val="22"/>
                <w:szCs w:val="22"/>
              </w:rPr>
              <w:t> </w:t>
            </w:r>
          </w:p>
        </w:tc>
      </w:tr>
      <w:tr w:rsidR="00686368" w:rsidRPr="003962B6" w:rsidTr="00641BBE">
        <w:trPr>
          <w:trHeight w:val="375"/>
        </w:trPr>
        <w:tc>
          <w:tcPr>
            <w:tcW w:w="409" w:type="dxa"/>
            <w:tcBorders>
              <w:top w:val="single" w:sz="4" w:space="0" w:color="auto"/>
              <w:left w:val="single" w:sz="4" w:space="0" w:color="auto"/>
              <w:bottom w:val="single" w:sz="4" w:space="0" w:color="auto"/>
              <w:right w:val="single" w:sz="4" w:space="0" w:color="auto"/>
            </w:tcBorders>
            <w:shd w:val="clear" w:color="auto" w:fill="auto"/>
          </w:tcPr>
          <w:p w:rsidR="00686368" w:rsidRPr="003962B6" w:rsidRDefault="00686368" w:rsidP="00686368">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Otvori od 1.5m2 do 3m2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 24,20</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lang w:val="sr-Latn-ME"/>
              </w:rPr>
              <w:t>21,78</w:t>
            </w:r>
            <w:r w:rsidRPr="003962B6">
              <w:rPr>
                <w:rFonts w:ascii="Century Gothic" w:hAnsi="Century Gothic" w:cs="Arial"/>
                <w:sz w:val="22"/>
                <w:szCs w:val="22"/>
              </w:rPr>
              <w:t> </w:t>
            </w:r>
          </w:p>
        </w:tc>
      </w:tr>
      <w:tr w:rsidR="00686368" w:rsidRPr="003962B6" w:rsidTr="00641BBE">
        <w:trPr>
          <w:trHeight w:val="375"/>
        </w:trPr>
        <w:tc>
          <w:tcPr>
            <w:tcW w:w="409" w:type="dxa"/>
            <w:tcBorders>
              <w:top w:val="single" w:sz="4" w:space="0" w:color="auto"/>
              <w:left w:val="single" w:sz="4" w:space="0" w:color="auto"/>
              <w:bottom w:val="single" w:sz="4" w:space="0" w:color="auto"/>
              <w:right w:val="single" w:sz="4" w:space="0" w:color="auto"/>
            </w:tcBorders>
            <w:shd w:val="clear" w:color="auto" w:fill="auto"/>
          </w:tcPr>
          <w:p w:rsidR="00686368" w:rsidRPr="003962B6" w:rsidRDefault="00686368" w:rsidP="00686368">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Otvori do 1,5m2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 18,15</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lang w:val="sr-Latn-ME"/>
              </w:rPr>
              <w:t>14,52</w:t>
            </w:r>
            <w:r w:rsidRPr="003962B6">
              <w:rPr>
                <w:rFonts w:ascii="Century Gothic" w:hAnsi="Century Gothic" w:cs="Arial"/>
                <w:sz w:val="22"/>
                <w:szCs w:val="22"/>
              </w:rPr>
              <w:t> </w:t>
            </w:r>
          </w:p>
        </w:tc>
      </w:tr>
      <w:tr w:rsidR="00686368" w:rsidRPr="003962B6" w:rsidTr="00641BBE">
        <w:trPr>
          <w:trHeight w:val="210"/>
        </w:trPr>
        <w:tc>
          <w:tcPr>
            <w:tcW w:w="409" w:type="dxa"/>
            <w:tcBorders>
              <w:top w:val="single" w:sz="4" w:space="0" w:color="auto"/>
              <w:left w:val="single" w:sz="4" w:space="0" w:color="auto"/>
              <w:bottom w:val="single" w:sz="4" w:space="0" w:color="auto"/>
              <w:right w:val="single" w:sz="4" w:space="0" w:color="auto"/>
            </w:tcBorders>
            <w:shd w:val="clear" w:color="auto" w:fill="auto"/>
          </w:tcPr>
          <w:p w:rsidR="00686368" w:rsidRPr="003962B6" w:rsidRDefault="00686368" w:rsidP="00686368">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jc w:val="center"/>
              <w:rPr>
                <w:rFonts w:ascii="Century Gothic" w:hAnsi="Century Gothic"/>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jc w:val="right"/>
              <w:rPr>
                <w:rFonts w:ascii="Century Gothic" w:hAnsi="Century Gothic"/>
                <w:sz w:val="20"/>
                <w:szCs w:val="20"/>
              </w:rPr>
            </w:pPr>
          </w:p>
        </w:tc>
        <w:tc>
          <w:tcPr>
            <w:tcW w:w="1304" w:type="dxa"/>
            <w:tcBorders>
              <w:top w:val="single" w:sz="4" w:space="0" w:color="auto"/>
              <w:left w:val="single" w:sz="4" w:space="0" w:color="auto"/>
              <w:bottom w:val="single" w:sz="4" w:space="0" w:color="auto"/>
              <w:right w:val="single" w:sz="4" w:space="0" w:color="auto"/>
            </w:tcBorders>
          </w:tcPr>
          <w:p w:rsidR="00686368" w:rsidRPr="003962B6" w:rsidRDefault="00686368" w:rsidP="00686368">
            <w:pPr>
              <w:rPr>
                <w:rFonts w:ascii="Century Gothic" w:hAnsi="Century Gothic"/>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686368" w:rsidRPr="003962B6" w:rsidRDefault="00686368" w:rsidP="00686368">
            <w:pPr>
              <w:rPr>
                <w:rFonts w:ascii="Century Gothic" w:hAnsi="Century Gothic"/>
                <w:sz w:val="20"/>
                <w:szCs w:val="20"/>
              </w:rPr>
            </w:pPr>
          </w:p>
        </w:tc>
      </w:tr>
      <w:tr w:rsidR="00686368" w:rsidRPr="003962B6" w:rsidTr="00641BBE">
        <w:trPr>
          <w:gridAfter w:val="5"/>
          <w:wAfter w:w="8392" w:type="dxa"/>
          <w:trHeight w:val="280"/>
        </w:trPr>
        <w:tc>
          <w:tcPr>
            <w:tcW w:w="409" w:type="dxa"/>
            <w:tcBorders>
              <w:top w:val="single" w:sz="4" w:space="0" w:color="auto"/>
              <w:left w:val="single" w:sz="4" w:space="0" w:color="auto"/>
              <w:bottom w:val="single" w:sz="4" w:space="0" w:color="auto"/>
              <w:right w:val="single" w:sz="4" w:space="0" w:color="auto"/>
            </w:tcBorders>
            <w:shd w:val="clear" w:color="auto" w:fill="auto"/>
          </w:tcPr>
          <w:p w:rsidR="00686368" w:rsidRPr="003962B6" w:rsidRDefault="00686368" w:rsidP="00686368">
            <w:pPr>
              <w:jc w:val="center"/>
              <w:rPr>
                <w:rFonts w:ascii="Century Gothic" w:hAnsi="Century Gothic" w:cs="Arial"/>
                <w:b/>
                <w:bCs/>
                <w:sz w:val="22"/>
                <w:szCs w:val="22"/>
              </w:rPr>
            </w:pPr>
            <w:r w:rsidRPr="003962B6">
              <w:rPr>
                <w:rFonts w:ascii="Century Gothic" w:hAnsi="Century Gothic" w:cs="Arial"/>
                <w:b/>
                <w:bCs/>
                <w:sz w:val="22"/>
                <w:szCs w:val="22"/>
              </w:rPr>
              <w:t>II</w:t>
            </w:r>
          </w:p>
        </w:tc>
        <w:tc>
          <w:tcPr>
            <w:tcW w:w="5653"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b/>
                <w:sz w:val="20"/>
                <w:szCs w:val="20"/>
              </w:rPr>
            </w:pPr>
            <w:r w:rsidRPr="003962B6">
              <w:rPr>
                <w:rFonts w:ascii="Century Gothic" w:hAnsi="Century Gothic"/>
                <w:b/>
                <w:sz w:val="20"/>
                <w:szCs w:val="20"/>
              </w:rPr>
              <w:t>STOLARSKO-BRAVARSKI RADOVI - fasadna Al stolarija</w:t>
            </w:r>
          </w:p>
        </w:tc>
      </w:tr>
      <w:tr w:rsidR="00686368" w:rsidRPr="003962B6" w:rsidTr="00641BBE">
        <w:trPr>
          <w:trHeight w:val="225"/>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sz w:val="20"/>
                <w:szCs w:val="20"/>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jc w:val="right"/>
              <w:rPr>
                <w:rFonts w:ascii="Century Gothic" w:hAnsi="Century Gothic"/>
                <w:sz w:val="20"/>
                <w:szCs w:val="20"/>
              </w:rPr>
            </w:pPr>
          </w:p>
        </w:tc>
        <w:tc>
          <w:tcPr>
            <w:tcW w:w="1304" w:type="dxa"/>
            <w:tcBorders>
              <w:top w:val="single" w:sz="4" w:space="0" w:color="auto"/>
              <w:left w:val="single" w:sz="4" w:space="0" w:color="auto"/>
              <w:bottom w:val="single" w:sz="4" w:space="0" w:color="auto"/>
              <w:right w:val="single" w:sz="4" w:space="0" w:color="auto"/>
            </w:tcBorders>
          </w:tcPr>
          <w:p w:rsidR="00686368" w:rsidRPr="003962B6" w:rsidRDefault="00686368" w:rsidP="00686368">
            <w:pPr>
              <w:rPr>
                <w:rFonts w:ascii="Century Gothic" w:hAnsi="Century Gothic"/>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686368" w:rsidRPr="003962B6" w:rsidRDefault="00686368" w:rsidP="00686368">
            <w:pPr>
              <w:rPr>
                <w:rFonts w:ascii="Century Gothic" w:hAnsi="Century Gothic"/>
                <w:sz w:val="20"/>
                <w:szCs w:val="20"/>
              </w:rPr>
            </w:pPr>
          </w:p>
        </w:tc>
      </w:tr>
      <w:tr w:rsidR="00686368" w:rsidRPr="003962B6" w:rsidTr="00641BBE">
        <w:trPr>
          <w:trHeight w:val="3369"/>
        </w:trPr>
        <w:tc>
          <w:tcPr>
            <w:tcW w:w="409" w:type="dxa"/>
            <w:tcBorders>
              <w:top w:val="single" w:sz="4" w:space="0" w:color="auto"/>
              <w:left w:val="single" w:sz="4" w:space="0" w:color="auto"/>
              <w:bottom w:val="single" w:sz="4" w:space="0" w:color="auto"/>
              <w:right w:val="single" w:sz="4" w:space="0" w:color="auto"/>
            </w:tcBorders>
            <w:shd w:val="clear" w:color="auto" w:fill="auto"/>
          </w:tcPr>
          <w:p w:rsidR="00686368" w:rsidRPr="003962B6" w:rsidRDefault="00686368" w:rsidP="00686368">
            <w:pPr>
              <w:jc w:val="center"/>
              <w:rPr>
                <w:rFonts w:ascii="Century Gothic" w:hAnsi="Century Gothic" w:cs="Arial"/>
                <w:sz w:val="22"/>
                <w:szCs w:val="22"/>
              </w:rPr>
            </w:pPr>
            <w:r w:rsidRPr="003962B6">
              <w:rPr>
                <w:rFonts w:ascii="Century Gothic" w:hAnsi="Century Gothic" w:cs="Arial"/>
                <w:sz w:val="22"/>
                <w:szCs w:val="22"/>
              </w:rPr>
              <w:lastRenderedPageBreak/>
              <w:t>1</w:t>
            </w: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Nabavka i ugradnja fasadne stolarije - vrata i prozora. Vrata i prozori su planirani od aluminijumskih profila (završna obrada profila je plastifikacija u boji po izboru Investitora) sa termo-prekidom i zastakljenjem 4-16-4, čiji je Umax = 2</w:t>
            </w:r>
            <w:proofErr w:type="gramStart"/>
            <w:r w:rsidRPr="003962B6">
              <w:rPr>
                <w:rFonts w:ascii="Century Gothic" w:hAnsi="Century Gothic" w:cs="Arial"/>
                <w:sz w:val="22"/>
                <w:szCs w:val="22"/>
              </w:rPr>
              <w:t>,9</w:t>
            </w:r>
            <w:proofErr w:type="gramEnd"/>
            <w:r w:rsidRPr="003962B6">
              <w:rPr>
                <w:rFonts w:ascii="Century Gothic" w:hAnsi="Century Gothic" w:cs="Arial"/>
                <w:sz w:val="22"/>
                <w:szCs w:val="22"/>
              </w:rPr>
              <w:t xml:space="preserve"> W/m2K.</w:t>
            </w:r>
            <w:r w:rsidRPr="003962B6">
              <w:rPr>
                <w:rFonts w:ascii="Century Gothic" w:hAnsi="Century Gothic" w:cs="Arial"/>
                <w:sz w:val="22"/>
                <w:szCs w:val="22"/>
              </w:rPr>
              <w:br w:type="page"/>
              <w:t xml:space="preserve"> Staklo paket je od dvostrukog stakla ukupne debljine 23 mm. Spoljašnje staklo je sa premazom za redukciju dobitaka toplote od sunčeve svjetlosti (druga površina gledano spolja) a unutrašnje staklo je ravno (float). </w:t>
            </w:r>
            <w:r w:rsidRPr="003962B6">
              <w:rPr>
                <w:rFonts w:ascii="Century Gothic" w:hAnsi="Century Gothic" w:cs="Arial"/>
                <w:sz w:val="22"/>
                <w:szCs w:val="22"/>
              </w:rPr>
              <w:br w:type="page"/>
              <w:t xml:space="preserve">Dihtovanje je epoksidnom gumom (prema EN410 i EN 673). </w:t>
            </w:r>
            <w:r w:rsidRPr="003962B6">
              <w:rPr>
                <w:rFonts w:ascii="Century Gothic" w:hAnsi="Century Gothic" w:cs="Arial"/>
                <w:sz w:val="22"/>
                <w:szCs w:val="22"/>
              </w:rPr>
              <w:br w:type="page"/>
              <w:t>Pozicija obuhvata izradu i montažu sistema AL konstrukcije, sa termoprekidom, koeficijent prolaza toplote Umax = 2</w:t>
            </w:r>
            <w:proofErr w:type="gramStart"/>
            <w:r w:rsidRPr="003962B6">
              <w:rPr>
                <w:rFonts w:ascii="Century Gothic" w:hAnsi="Century Gothic" w:cs="Arial"/>
                <w:sz w:val="22"/>
                <w:szCs w:val="22"/>
              </w:rPr>
              <w:t>,9</w:t>
            </w:r>
            <w:proofErr w:type="gramEnd"/>
            <w:r w:rsidRPr="003962B6">
              <w:rPr>
                <w:rFonts w:ascii="Century Gothic" w:hAnsi="Century Gothic" w:cs="Arial"/>
                <w:sz w:val="22"/>
                <w:szCs w:val="22"/>
              </w:rPr>
              <w:t xml:space="preserve">  W/m²K, okov, potreban komplet za vješanje i zatvaranje. Način otvaranja, prema grafičkom prilogu-šeme stolarije. </w:t>
            </w:r>
            <w:r w:rsidRPr="003962B6">
              <w:rPr>
                <w:rFonts w:ascii="Century Gothic" w:hAnsi="Century Gothic" w:cs="Arial"/>
                <w:sz w:val="22"/>
                <w:szCs w:val="22"/>
              </w:rPr>
              <w:br w:type="page"/>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86368" w:rsidRPr="003962B6" w:rsidRDefault="00686368" w:rsidP="00686368">
            <w:pPr>
              <w:rPr>
                <w:rFonts w:ascii="Century Gothic" w:hAnsi="Century Gothic"/>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686368" w:rsidRPr="003962B6" w:rsidRDefault="00686368" w:rsidP="00686368">
            <w:pPr>
              <w:jc w:val="right"/>
              <w:rPr>
                <w:rFonts w:ascii="Century Gothic" w:hAnsi="Century Gothic"/>
                <w:sz w:val="20"/>
                <w:szCs w:val="20"/>
              </w:rPr>
            </w:pPr>
          </w:p>
        </w:tc>
        <w:tc>
          <w:tcPr>
            <w:tcW w:w="1304" w:type="dxa"/>
            <w:tcBorders>
              <w:top w:val="single" w:sz="4" w:space="0" w:color="auto"/>
              <w:left w:val="single" w:sz="4" w:space="0" w:color="auto"/>
              <w:bottom w:val="single" w:sz="4" w:space="0" w:color="auto"/>
              <w:right w:val="single" w:sz="4" w:space="0" w:color="auto"/>
            </w:tcBorders>
          </w:tcPr>
          <w:p w:rsidR="00686368" w:rsidRPr="003962B6" w:rsidRDefault="00686368" w:rsidP="00686368">
            <w:pPr>
              <w:rPr>
                <w:rFonts w:ascii="Century Gothic" w:hAnsi="Century Gothic"/>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686368" w:rsidRPr="003962B6" w:rsidRDefault="00686368" w:rsidP="00686368">
            <w:pPr>
              <w:rPr>
                <w:rFonts w:ascii="Century Gothic" w:hAnsi="Century Gothic"/>
                <w:sz w:val="20"/>
                <w:szCs w:val="20"/>
              </w:rPr>
            </w:pPr>
          </w:p>
        </w:tc>
      </w:tr>
      <w:tr w:rsidR="00686368" w:rsidRPr="003962B6" w:rsidTr="00641BBE">
        <w:trPr>
          <w:trHeight w:val="2740"/>
        </w:trPr>
        <w:tc>
          <w:tcPr>
            <w:tcW w:w="409" w:type="dxa"/>
            <w:tcBorders>
              <w:top w:val="single" w:sz="4" w:space="0" w:color="auto"/>
              <w:left w:val="single" w:sz="4" w:space="0" w:color="auto"/>
              <w:bottom w:val="single" w:sz="4" w:space="0" w:color="auto"/>
              <w:right w:val="single" w:sz="4" w:space="0" w:color="auto"/>
            </w:tcBorders>
            <w:shd w:val="clear" w:color="auto" w:fill="auto"/>
          </w:tcPr>
          <w:p w:rsidR="00686368" w:rsidRPr="003962B6" w:rsidRDefault="00686368" w:rsidP="00686368">
            <w:pPr>
              <w:rPr>
                <w:rFonts w:ascii="Century Gothic" w:hAnsi="Century Gothic"/>
                <w:sz w:val="20"/>
                <w:szCs w:val="20"/>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 xml:space="preserve"> Staklo paket ima minimalne sledeće karakteristike:</w:t>
            </w:r>
            <w:r w:rsidRPr="003962B6">
              <w:rPr>
                <w:rFonts w:ascii="Century Gothic" w:hAnsi="Century Gothic" w:cs="Arial"/>
                <w:sz w:val="22"/>
                <w:szCs w:val="22"/>
              </w:rPr>
              <w:br/>
              <w:t>-Struktura 4mm staklo + premaz za redukciju dobitaka toplote od sunčeve svjetlosti +15mm međuprostor +4mm ravno (float) staklo</w:t>
            </w:r>
            <w:r w:rsidRPr="003962B6">
              <w:rPr>
                <w:rFonts w:ascii="Century Gothic" w:hAnsi="Century Gothic" w:cs="Arial"/>
                <w:sz w:val="22"/>
                <w:szCs w:val="22"/>
              </w:rPr>
              <w:br/>
              <w:t>-Staklo paket je neutralan iznutra (Neutral from inside),</w:t>
            </w:r>
            <w:r w:rsidRPr="003962B6">
              <w:rPr>
                <w:rFonts w:ascii="Century Gothic" w:hAnsi="Century Gothic" w:cs="Arial"/>
                <w:sz w:val="22"/>
                <w:szCs w:val="22"/>
              </w:rPr>
              <w:br/>
              <w:t>-Solarni faktor dobitaka toplote (Solar Heat Gain Coefficient, SHGC) prema EN 410:  &lt;45%;</w:t>
            </w:r>
            <w:r w:rsidRPr="003962B6">
              <w:rPr>
                <w:rFonts w:ascii="Century Gothic" w:hAnsi="Century Gothic" w:cs="Arial"/>
                <w:sz w:val="22"/>
                <w:szCs w:val="22"/>
              </w:rPr>
              <w:br/>
              <w:t>-Propusnost vidljive svjetlosti (Visible Light Transmission, VT): &gt;=60%;</w:t>
            </w:r>
            <w:r w:rsidRPr="003962B6">
              <w:rPr>
                <w:rFonts w:ascii="Century Gothic" w:hAnsi="Century Gothic" w:cs="Arial"/>
                <w:sz w:val="22"/>
                <w:szCs w:val="22"/>
              </w:rPr>
              <w:br/>
              <w:t>-Index sličnosti prirodnom svijetlu (Colour Rendering Index): &gt; 90%;</w:t>
            </w:r>
            <w:r w:rsidRPr="003962B6">
              <w:rPr>
                <w:rFonts w:ascii="Century Gothic" w:hAnsi="Century Gothic" w:cs="Arial"/>
                <w:sz w:val="22"/>
                <w:szCs w:val="22"/>
              </w:rPr>
              <w:br/>
              <w:t>-Koeficient prelaza toplote (U value) prema EN 673: &lt; 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86368" w:rsidRPr="003962B6" w:rsidRDefault="00686368" w:rsidP="00686368">
            <w:pPr>
              <w:rPr>
                <w:rFonts w:ascii="Century Gothic" w:hAnsi="Century Gothic"/>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686368" w:rsidRPr="003962B6" w:rsidRDefault="00686368" w:rsidP="00686368">
            <w:pPr>
              <w:jc w:val="right"/>
              <w:rPr>
                <w:rFonts w:ascii="Century Gothic" w:hAnsi="Century Gothic"/>
                <w:sz w:val="20"/>
                <w:szCs w:val="20"/>
              </w:rPr>
            </w:pPr>
          </w:p>
        </w:tc>
        <w:tc>
          <w:tcPr>
            <w:tcW w:w="1304" w:type="dxa"/>
            <w:tcBorders>
              <w:top w:val="single" w:sz="4" w:space="0" w:color="auto"/>
              <w:left w:val="single" w:sz="4" w:space="0" w:color="auto"/>
              <w:bottom w:val="single" w:sz="4" w:space="0" w:color="auto"/>
              <w:right w:val="single" w:sz="4" w:space="0" w:color="auto"/>
            </w:tcBorders>
          </w:tcPr>
          <w:p w:rsidR="00686368" w:rsidRPr="003962B6" w:rsidRDefault="00686368" w:rsidP="00686368">
            <w:pPr>
              <w:rPr>
                <w:rFonts w:ascii="Century Gothic" w:hAnsi="Century Gothic"/>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686368" w:rsidRPr="003962B6" w:rsidRDefault="00686368" w:rsidP="00686368">
            <w:pPr>
              <w:rPr>
                <w:rFonts w:ascii="Century Gothic" w:hAnsi="Century Gothic"/>
                <w:sz w:val="20"/>
                <w:szCs w:val="20"/>
              </w:rPr>
            </w:pPr>
          </w:p>
        </w:tc>
      </w:tr>
      <w:tr w:rsidR="00686368" w:rsidRPr="003962B6" w:rsidTr="00641BBE">
        <w:trPr>
          <w:trHeight w:val="1095"/>
        </w:trPr>
        <w:tc>
          <w:tcPr>
            <w:tcW w:w="409" w:type="dxa"/>
            <w:tcBorders>
              <w:top w:val="single" w:sz="4" w:space="0" w:color="auto"/>
              <w:left w:val="single" w:sz="4" w:space="0" w:color="auto"/>
              <w:bottom w:val="single" w:sz="4" w:space="0" w:color="auto"/>
              <w:right w:val="single" w:sz="4" w:space="0" w:color="auto"/>
            </w:tcBorders>
            <w:shd w:val="clear" w:color="auto" w:fill="auto"/>
          </w:tcPr>
          <w:p w:rsidR="00686368" w:rsidRPr="003962B6" w:rsidRDefault="00686368" w:rsidP="00686368">
            <w:pPr>
              <w:rPr>
                <w:rFonts w:ascii="Century Gothic" w:hAnsi="Century Gothic"/>
                <w:sz w:val="20"/>
                <w:szCs w:val="20"/>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DETALJAN OPIS POZICIJE JE DAT U TEHNIČKIM USLOVIMA IZVOĐENJA RADOVA I SVAKA STAVKA TOG OPISA MORA BITI U POTPUNOSTI ISPOŠTOVANA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86368" w:rsidRPr="003962B6" w:rsidRDefault="00686368" w:rsidP="00686368">
            <w:pPr>
              <w:rPr>
                <w:rFonts w:ascii="Century Gothic" w:hAnsi="Century Gothic"/>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686368" w:rsidRPr="003962B6" w:rsidRDefault="00686368" w:rsidP="00686368">
            <w:pPr>
              <w:jc w:val="right"/>
              <w:rPr>
                <w:rFonts w:ascii="Century Gothic" w:hAnsi="Century Gothic"/>
                <w:sz w:val="20"/>
                <w:szCs w:val="20"/>
              </w:rPr>
            </w:pPr>
          </w:p>
        </w:tc>
        <w:tc>
          <w:tcPr>
            <w:tcW w:w="1304" w:type="dxa"/>
            <w:tcBorders>
              <w:top w:val="single" w:sz="4" w:space="0" w:color="auto"/>
              <w:left w:val="single" w:sz="4" w:space="0" w:color="auto"/>
              <w:bottom w:val="single" w:sz="4" w:space="0" w:color="auto"/>
              <w:right w:val="single" w:sz="4" w:space="0" w:color="auto"/>
            </w:tcBorders>
          </w:tcPr>
          <w:p w:rsidR="00686368" w:rsidRPr="003962B6" w:rsidRDefault="00686368" w:rsidP="00686368">
            <w:pPr>
              <w:rPr>
                <w:rFonts w:ascii="Century Gothic" w:hAnsi="Century Gothic"/>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686368" w:rsidRPr="003962B6" w:rsidRDefault="00686368" w:rsidP="00686368">
            <w:pPr>
              <w:rPr>
                <w:rFonts w:ascii="Century Gothic" w:hAnsi="Century Gothic"/>
                <w:sz w:val="20"/>
                <w:szCs w:val="20"/>
              </w:rPr>
            </w:pPr>
          </w:p>
        </w:tc>
      </w:tr>
      <w:tr w:rsidR="00686368" w:rsidRPr="003962B6" w:rsidTr="00641BBE">
        <w:trPr>
          <w:trHeight w:val="4640"/>
        </w:trPr>
        <w:tc>
          <w:tcPr>
            <w:tcW w:w="409" w:type="dxa"/>
            <w:tcBorders>
              <w:top w:val="single" w:sz="4" w:space="0" w:color="auto"/>
              <w:left w:val="single" w:sz="4" w:space="0" w:color="auto"/>
              <w:bottom w:val="single" w:sz="4" w:space="0" w:color="auto"/>
              <w:right w:val="single" w:sz="4" w:space="0" w:color="auto"/>
            </w:tcBorders>
            <w:shd w:val="clear" w:color="auto" w:fill="auto"/>
          </w:tcPr>
          <w:p w:rsidR="00686368" w:rsidRPr="003962B6" w:rsidRDefault="00686368" w:rsidP="00686368">
            <w:pPr>
              <w:rPr>
                <w:rFonts w:ascii="Century Gothic" w:hAnsi="Century Gothic"/>
                <w:sz w:val="20"/>
                <w:szCs w:val="20"/>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 xml:space="preserve">Pozicija obuhvata i nabavku materijala i obradu špaletni malterisanjem nakon ugradnje planiranih pozicija fasadne PVC i Al stolarije, cementnim malterom 1:3. Cijena uključuje sve potrebne predradnje, malterisanje špaletni (iznutra) uz zaštitu same stolarije i staklenih površina od dejstva maltera. Malterisanje vršiti u potrebnom broju slojeva - do postizanja potpune ravnosti i glatkoće površine koja se obrađuje. Voditi računa da se prilikom obrade ivica dobije ravna i oštra linija. U obračun ulazi i obrada donje špaletne prozora (parapetne klupice). </w:t>
            </w:r>
            <w:r w:rsidRPr="003962B6">
              <w:rPr>
                <w:rFonts w:ascii="Century Gothic" w:hAnsi="Century Gothic" w:cs="Arial"/>
                <w:sz w:val="22"/>
                <w:szCs w:val="22"/>
                <w:u w:val="single"/>
              </w:rPr>
              <w:t>Prosječna širina špaletne iznosi 15-</w:t>
            </w:r>
            <w:proofErr w:type="gramStart"/>
            <w:r w:rsidRPr="003962B6">
              <w:rPr>
                <w:rFonts w:ascii="Century Gothic" w:hAnsi="Century Gothic" w:cs="Arial"/>
                <w:sz w:val="22"/>
                <w:szCs w:val="22"/>
                <w:u w:val="single"/>
              </w:rPr>
              <w:t>25cm .</w:t>
            </w:r>
            <w:proofErr w:type="gramEnd"/>
            <w:r w:rsidRPr="003962B6">
              <w:rPr>
                <w:rFonts w:ascii="Century Gothic" w:hAnsi="Century Gothic" w:cs="Arial"/>
                <w:sz w:val="22"/>
                <w:szCs w:val="22"/>
                <w:u w:val="single"/>
              </w:rPr>
              <w:t xml:space="preserve"> U tehničkim uslovima izvođenja radova je dat detaljniji opis pozicije koji predviđa i neke druge načine obrade špaletni (lijepilom i mrežicom, gipsom ili rigips tablama sa potrebnom podkonstrukcijom), zavisno od stepena oštećenja nakon postavljanja planirane stolarije. Za svaku pozicuju usvojiti jedan od načina sanacije uz prethodnu potvrdu nadzornog organa. Obavezno se držati svih stavki navedenih u tehničkom opisu.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86368" w:rsidRPr="003962B6" w:rsidRDefault="00686368" w:rsidP="00686368">
            <w:pPr>
              <w:rPr>
                <w:rFonts w:ascii="Century Gothic" w:hAnsi="Century Gothic"/>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686368" w:rsidRPr="003962B6" w:rsidRDefault="00686368" w:rsidP="00686368">
            <w:pPr>
              <w:jc w:val="right"/>
              <w:rPr>
                <w:rFonts w:ascii="Century Gothic" w:hAnsi="Century Gothic"/>
                <w:sz w:val="20"/>
                <w:szCs w:val="20"/>
              </w:rPr>
            </w:pPr>
          </w:p>
        </w:tc>
        <w:tc>
          <w:tcPr>
            <w:tcW w:w="1304" w:type="dxa"/>
            <w:tcBorders>
              <w:top w:val="single" w:sz="4" w:space="0" w:color="auto"/>
              <w:left w:val="single" w:sz="4" w:space="0" w:color="auto"/>
              <w:bottom w:val="single" w:sz="4" w:space="0" w:color="auto"/>
              <w:right w:val="single" w:sz="4" w:space="0" w:color="auto"/>
            </w:tcBorders>
          </w:tcPr>
          <w:p w:rsidR="00686368" w:rsidRPr="003962B6" w:rsidRDefault="00686368" w:rsidP="00686368">
            <w:pPr>
              <w:rPr>
                <w:rFonts w:ascii="Century Gothic" w:hAnsi="Century Gothic"/>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686368" w:rsidRPr="003962B6" w:rsidRDefault="00686368" w:rsidP="00686368">
            <w:pPr>
              <w:rPr>
                <w:rFonts w:ascii="Century Gothic" w:hAnsi="Century Gothic"/>
                <w:sz w:val="20"/>
                <w:szCs w:val="20"/>
              </w:rPr>
            </w:pPr>
          </w:p>
        </w:tc>
      </w:tr>
      <w:tr w:rsidR="00686368" w:rsidRPr="003962B6" w:rsidTr="00641BBE">
        <w:trPr>
          <w:trHeight w:val="4200"/>
        </w:trPr>
        <w:tc>
          <w:tcPr>
            <w:tcW w:w="409" w:type="dxa"/>
            <w:tcBorders>
              <w:top w:val="single" w:sz="4" w:space="0" w:color="auto"/>
              <w:left w:val="single" w:sz="4" w:space="0" w:color="auto"/>
              <w:bottom w:val="single" w:sz="4" w:space="0" w:color="auto"/>
              <w:right w:val="single" w:sz="4" w:space="0" w:color="auto"/>
            </w:tcBorders>
            <w:shd w:val="clear" w:color="auto" w:fill="auto"/>
          </w:tcPr>
          <w:p w:rsidR="00686368" w:rsidRPr="003962B6" w:rsidRDefault="00686368" w:rsidP="00686368">
            <w:pPr>
              <w:rPr>
                <w:rFonts w:ascii="Century Gothic" w:hAnsi="Century Gothic"/>
                <w:sz w:val="20"/>
                <w:szCs w:val="20"/>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 xml:space="preserve">U jediničnu cijenu uračunati i nabavku materijala i gletovanje svih </w:t>
            </w:r>
            <w:r w:rsidRPr="003962B6">
              <w:rPr>
                <w:rFonts w:ascii="Century Gothic" w:hAnsi="Century Gothic" w:cs="Arial"/>
                <w:sz w:val="22"/>
                <w:szCs w:val="22"/>
                <w:u w:val="single"/>
              </w:rPr>
              <w:t xml:space="preserve">omalterisanih djelova zidova i </w:t>
            </w:r>
            <w:proofErr w:type="gramStart"/>
            <w:r w:rsidRPr="003962B6">
              <w:rPr>
                <w:rFonts w:ascii="Century Gothic" w:hAnsi="Century Gothic" w:cs="Arial"/>
                <w:sz w:val="22"/>
                <w:szCs w:val="22"/>
                <w:u w:val="single"/>
              </w:rPr>
              <w:t>unutrašnjih  špaletni</w:t>
            </w:r>
            <w:proofErr w:type="gramEnd"/>
            <w:r w:rsidRPr="003962B6">
              <w:rPr>
                <w:rFonts w:ascii="Century Gothic" w:hAnsi="Century Gothic" w:cs="Arial"/>
                <w:sz w:val="22"/>
                <w:szCs w:val="22"/>
                <w:u w:val="single"/>
              </w:rPr>
              <w:t xml:space="preserve"> oko novopostavljenih prozora i vrata</w:t>
            </w:r>
            <w:r w:rsidRPr="003962B6">
              <w:rPr>
                <w:rFonts w:ascii="Century Gothic" w:hAnsi="Century Gothic" w:cs="Arial"/>
                <w:i/>
                <w:iCs/>
                <w:color w:val="000000"/>
                <w:sz w:val="22"/>
                <w:szCs w:val="22"/>
              </w:rPr>
              <w:t xml:space="preserve">. </w:t>
            </w:r>
            <w:r w:rsidRPr="003962B6">
              <w:rPr>
                <w:rFonts w:ascii="Century Gothic" w:hAnsi="Century Gothic" w:cs="Arial"/>
                <w:color w:val="000000"/>
                <w:sz w:val="22"/>
                <w:szCs w:val="22"/>
              </w:rPr>
              <w:t>Prosječna širina špaletne iznosi 15-25cm. Sve površine se obrađuju glet masom do potpune ravnosti i glatkoće. Sve grube neravnine treba prvo izbrusiti i uravnati jednim od poznatih postupaka, očistiti od prašine, a zatim gletovati do potrebne ravnosti i glatkoće glet masom. Nakon gletovanja predviđena je i nabavka materijala i bojenje svih špaletni koje su obrađene gletovanjem, poludisperizivnom bojom. Sve površine oko novopostavljenih prozora i vrata finalno bojiti poludisperzivnom bojom ujednačenim tonom po izboru investitora i Nadyora. U cijenu ulaze sve potrebne predradnje, priprema i saniranje eventualnih pukotina u prethodnom gletu ili boji, kao i troškovi za zaštitu gotovih finalnih površina (prozora, vrata i ostalog)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86368" w:rsidRPr="003962B6" w:rsidRDefault="00686368" w:rsidP="00686368">
            <w:pPr>
              <w:rPr>
                <w:rFonts w:ascii="Century Gothic" w:hAnsi="Century Gothic"/>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686368" w:rsidRPr="003962B6" w:rsidRDefault="00686368" w:rsidP="00686368">
            <w:pPr>
              <w:jc w:val="right"/>
              <w:rPr>
                <w:rFonts w:ascii="Century Gothic" w:hAnsi="Century Gothic"/>
                <w:sz w:val="20"/>
                <w:szCs w:val="20"/>
              </w:rPr>
            </w:pPr>
          </w:p>
        </w:tc>
        <w:tc>
          <w:tcPr>
            <w:tcW w:w="1304" w:type="dxa"/>
            <w:tcBorders>
              <w:top w:val="single" w:sz="4" w:space="0" w:color="auto"/>
              <w:left w:val="single" w:sz="4" w:space="0" w:color="auto"/>
              <w:bottom w:val="single" w:sz="4" w:space="0" w:color="auto"/>
              <w:right w:val="single" w:sz="4" w:space="0" w:color="auto"/>
            </w:tcBorders>
          </w:tcPr>
          <w:p w:rsidR="00686368" w:rsidRPr="003962B6" w:rsidRDefault="00686368" w:rsidP="00686368">
            <w:pPr>
              <w:rPr>
                <w:rFonts w:ascii="Century Gothic" w:hAnsi="Century Gothic"/>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686368" w:rsidRPr="003962B6" w:rsidRDefault="00686368" w:rsidP="00686368">
            <w:pPr>
              <w:rPr>
                <w:rFonts w:ascii="Century Gothic" w:hAnsi="Century Gothic"/>
                <w:sz w:val="20"/>
                <w:szCs w:val="20"/>
              </w:rPr>
            </w:pPr>
          </w:p>
        </w:tc>
      </w:tr>
      <w:tr w:rsidR="00686368" w:rsidRPr="003962B6" w:rsidTr="00641BBE">
        <w:trPr>
          <w:trHeight w:val="1800"/>
        </w:trPr>
        <w:tc>
          <w:tcPr>
            <w:tcW w:w="409" w:type="dxa"/>
            <w:tcBorders>
              <w:top w:val="single" w:sz="4" w:space="0" w:color="auto"/>
              <w:left w:val="single" w:sz="4" w:space="0" w:color="auto"/>
              <w:bottom w:val="single" w:sz="4" w:space="0" w:color="auto"/>
              <w:right w:val="single" w:sz="4" w:space="0" w:color="auto"/>
            </w:tcBorders>
            <w:shd w:val="clear" w:color="auto" w:fill="auto"/>
          </w:tcPr>
          <w:p w:rsidR="00686368" w:rsidRPr="003962B6" w:rsidRDefault="00686368" w:rsidP="00686368">
            <w:pPr>
              <w:rPr>
                <w:rFonts w:ascii="Century Gothic" w:hAnsi="Century Gothic"/>
                <w:sz w:val="20"/>
                <w:szCs w:val="20"/>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tcPr>
          <w:p w:rsidR="00686368" w:rsidRPr="003962B6" w:rsidRDefault="00686368" w:rsidP="00686368">
            <w:pPr>
              <w:rPr>
                <w:rFonts w:ascii="Century Gothic" w:hAnsi="Century Gothic" w:cs="Arial"/>
                <w:b/>
                <w:bCs/>
                <w:sz w:val="22"/>
                <w:szCs w:val="22"/>
              </w:rPr>
            </w:pPr>
            <w:r w:rsidRPr="003962B6">
              <w:rPr>
                <w:rFonts w:ascii="Century Gothic" w:hAnsi="Century Gothic" w:cs="Arial"/>
                <w:b/>
                <w:bCs/>
                <w:sz w:val="22"/>
                <w:szCs w:val="22"/>
              </w:rPr>
              <w:t xml:space="preserve">SVE MJERE PROZORA I VRATA ZA SVAKU POJEDINU STAVKU PRIJE IZRADE I UGRADNJE PROVJERITI NA LICU </w:t>
            </w:r>
            <w:proofErr w:type="gramStart"/>
            <w:r w:rsidRPr="003962B6">
              <w:rPr>
                <w:rFonts w:ascii="Century Gothic" w:hAnsi="Century Gothic" w:cs="Arial"/>
                <w:b/>
                <w:bCs/>
                <w:sz w:val="22"/>
                <w:szCs w:val="22"/>
              </w:rPr>
              <w:t>MJESTA !</w:t>
            </w:r>
            <w:proofErr w:type="gramEnd"/>
            <w:r w:rsidRPr="003962B6">
              <w:rPr>
                <w:rFonts w:ascii="Century Gothic" w:hAnsi="Century Gothic" w:cs="Arial"/>
                <w:b/>
                <w:bCs/>
                <w:sz w:val="22"/>
                <w:szCs w:val="22"/>
              </w:rPr>
              <w:br w:type="page"/>
            </w:r>
            <w:r w:rsidRPr="003962B6">
              <w:rPr>
                <w:rFonts w:ascii="Century Gothic" w:hAnsi="Century Gothic" w:cs="Arial"/>
                <w:b/>
                <w:bCs/>
                <w:sz w:val="22"/>
                <w:szCs w:val="22"/>
              </w:rPr>
              <w:br w:type="page"/>
              <w:t>*Ako situacija na licu mjesta ne odgovara projektovanom, prilagoditi fasadnu bravariju licu mjesta a sve u cilju normalnog funkcionisanja novougrađenih fasadnih pregrada.</w:t>
            </w:r>
            <w:r w:rsidRPr="003962B6">
              <w:rPr>
                <w:rFonts w:ascii="Century Gothic" w:hAnsi="Century Gothic" w:cs="Arial"/>
                <w:b/>
                <w:bCs/>
                <w:sz w:val="22"/>
                <w:szCs w:val="22"/>
              </w:rPr>
              <w:br w:type="page"/>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86368" w:rsidRPr="003962B6" w:rsidRDefault="00686368" w:rsidP="00686368">
            <w:pPr>
              <w:rPr>
                <w:rFonts w:ascii="Century Gothic" w:hAnsi="Century Gothic"/>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686368" w:rsidRPr="003962B6" w:rsidRDefault="00686368" w:rsidP="00686368">
            <w:pPr>
              <w:jc w:val="right"/>
              <w:rPr>
                <w:rFonts w:ascii="Century Gothic" w:hAnsi="Century Gothic"/>
                <w:sz w:val="20"/>
                <w:szCs w:val="20"/>
              </w:rPr>
            </w:pPr>
          </w:p>
        </w:tc>
        <w:tc>
          <w:tcPr>
            <w:tcW w:w="1304" w:type="dxa"/>
            <w:tcBorders>
              <w:top w:val="single" w:sz="4" w:space="0" w:color="auto"/>
              <w:left w:val="single" w:sz="4" w:space="0" w:color="auto"/>
              <w:bottom w:val="single" w:sz="4" w:space="0" w:color="auto"/>
              <w:right w:val="single" w:sz="4" w:space="0" w:color="auto"/>
            </w:tcBorders>
          </w:tcPr>
          <w:p w:rsidR="00686368" w:rsidRPr="003962B6" w:rsidRDefault="00686368" w:rsidP="00686368">
            <w:pPr>
              <w:rPr>
                <w:rFonts w:ascii="Century Gothic" w:hAnsi="Century Gothic"/>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686368" w:rsidRPr="003962B6" w:rsidRDefault="00686368" w:rsidP="00686368">
            <w:pPr>
              <w:rPr>
                <w:rFonts w:ascii="Century Gothic" w:hAnsi="Century Gothic"/>
                <w:sz w:val="20"/>
                <w:szCs w:val="20"/>
              </w:rPr>
            </w:pPr>
          </w:p>
        </w:tc>
      </w:tr>
      <w:tr w:rsidR="004E54A0" w:rsidRPr="003962B6" w:rsidTr="00641BBE">
        <w:trPr>
          <w:trHeight w:val="520"/>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sz w:val="20"/>
                <w:szCs w:val="20"/>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JEDNOKRILNA VRATA   (Š)80-100cm x (V)200-220cm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544,50 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lang w:val="sr-Latn-ME"/>
              </w:rPr>
              <w:t>477,95</w:t>
            </w:r>
            <w:r w:rsidRPr="003962B6">
              <w:rPr>
                <w:rFonts w:ascii="Century Gothic" w:hAnsi="Century Gothic" w:cs="Arial"/>
                <w:sz w:val="22"/>
                <w:szCs w:val="22"/>
              </w:rPr>
              <w:t> </w:t>
            </w:r>
          </w:p>
        </w:tc>
      </w:tr>
      <w:tr w:rsidR="004E54A0" w:rsidRPr="003962B6" w:rsidTr="00641BBE">
        <w:trPr>
          <w:trHeight w:val="520"/>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JEDNOKRILNA VRATA SA NADSVJETLOM  (Š)80-100cm x (V)220-300cm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641,30 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lang w:val="sr-Latn-ME"/>
              </w:rPr>
              <w:t>588,06</w:t>
            </w:r>
            <w:r w:rsidRPr="003962B6">
              <w:rPr>
                <w:rFonts w:ascii="Century Gothic" w:hAnsi="Century Gothic" w:cs="Arial"/>
                <w:sz w:val="22"/>
                <w:szCs w:val="22"/>
              </w:rPr>
              <w:t> </w:t>
            </w:r>
          </w:p>
        </w:tc>
      </w:tr>
      <w:tr w:rsidR="004E54A0" w:rsidRPr="003962B6" w:rsidTr="00641BBE">
        <w:trPr>
          <w:trHeight w:val="520"/>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DVOKRILNA VRATA  (Š)120-150cm x (V)200-220cm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762,30 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lang w:val="sr-Latn-ME"/>
              </w:rPr>
              <w:t>726,00</w:t>
            </w:r>
            <w:r w:rsidRPr="003962B6">
              <w:rPr>
                <w:rFonts w:ascii="Century Gothic" w:hAnsi="Century Gothic" w:cs="Arial"/>
                <w:sz w:val="22"/>
                <w:szCs w:val="22"/>
              </w:rPr>
              <w:t> </w:t>
            </w:r>
          </w:p>
        </w:tc>
      </w:tr>
      <w:tr w:rsidR="004E54A0" w:rsidRPr="003962B6" w:rsidTr="00641BBE">
        <w:trPr>
          <w:trHeight w:val="520"/>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DVOKRILNA VRATA  (Š)150-180cm x (V)200-220cm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907,50 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lang w:val="sr-Latn-ME"/>
              </w:rPr>
              <w:t>859,10</w:t>
            </w:r>
            <w:r w:rsidRPr="003962B6">
              <w:rPr>
                <w:rFonts w:ascii="Century Gothic" w:hAnsi="Century Gothic" w:cs="Arial"/>
                <w:sz w:val="22"/>
                <w:szCs w:val="22"/>
              </w:rPr>
              <w:t> </w:t>
            </w:r>
          </w:p>
        </w:tc>
      </w:tr>
      <w:tr w:rsidR="004E54A0" w:rsidRPr="003962B6" w:rsidTr="00641BBE">
        <w:trPr>
          <w:trHeight w:val="520"/>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DVOKRILNA VRATA   (Š)180-200cm x (V)200-220cm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992,20 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lang w:val="sr-Latn-ME"/>
              </w:rPr>
              <w:t>968,00</w:t>
            </w:r>
            <w:r w:rsidRPr="003962B6">
              <w:rPr>
                <w:rFonts w:ascii="Century Gothic" w:hAnsi="Century Gothic" w:cs="Arial"/>
                <w:sz w:val="22"/>
                <w:szCs w:val="22"/>
              </w:rPr>
              <w:t> </w:t>
            </w:r>
          </w:p>
        </w:tc>
      </w:tr>
      <w:tr w:rsidR="004E54A0" w:rsidRPr="003962B6" w:rsidTr="00641BBE">
        <w:trPr>
          <w:trHeight w:val="520"/>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DVOKRILNA VRATA  SA NADSVJETLOM  (Š)120-150cm x (V)220-300cm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955,90 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lang w:val="sr-Latn-ME"/>
              </w:rPr>
              <w:t>955,90</w:t>
            </w:r>
          </w:p>
        </w:tc>
      </w:tr>
      <w:tr w:rsidR="004E54A0" w:rsidRPr="003962B6" w:rsidTr="00641BBE">
        <w:trPr>
          <w:trHeight w:val="520"/>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DVOKRILNA VRATA  SA NADSVJETLOM  (Š)150-180cm x (V)220-300cm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1125,30 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lang w:val="sr-Latn-ME"/>
              </w:rPr>
              <w:t>1052,70</w:t>
            </w:r>
            <w:r w:rsidRPr="003962B6">
              <w:rPr>
                <w:rFonts w:ascii="Century Gothic" w:hAnsi="Century Gothic" w:cs="Arial"/>
                <w:sz w:val="22"/>
                <w:szCs w:val="22"/>
              </w:rPr>
              <w:t> </w:t>
            </w:r>
          </w:p>
        </w:tc>
      </w:tr>
      <w:tr w:rsidR="004E54A0" w:rsidRPr="003962B6" w:rsidTr="00641BBE">
        <w:trPr>
          <w:trHeight w:val="520"/>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DVOKRILNA VRATA SA NADSVJETLOM  (Š)180-200cm x (V)220-300cm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1234,20 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lang w:val="sr-Latn-ME"/>
              </w:rPr>
              <w:t>1113,20</w:t>
            </w:r>
            <w:r w:rsidRPr="003962B6">
              <w:rPr>
                <w:rFonts w:ascii="Century Gothic" w:hAnsi="Century Gothic" w:cs="Arial"/>
                <w:sz w:val="22"/>
                <w:szCs w:val="22"/>
              </w:rPr>
              <w:t> </w:t>
            </w:r>
          </w:p>
        </w:tc>
      </w:tr>
      <w:tr w:rsidR="004E54A0" w:rsidRPr="003962B6" w:rsidTr="00641BBE">
        <w:trPr>
          <w:trHeight w:val="520"/>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JEDNOKRILNI FIX (Š)80-100 x (V) 200-220cm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423,50 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lang w:val="sr-Latn-ME"/>
              </w:rPr>
              <w:t>266,20</w:t>
            </w:r>
            <w:r w:rsidRPr="003962B6">
              <w:rPr>
                <w:rFonts w:ascii="Century Gothic" w:hAnsi="Century Gothic" w:cs="Arial"/>
                <w:sz w:val="22"/>
                <w:szCs w:val="22"/>
              </w:rPr>
              <w:t> </w:t>
            </w:r>
          </w:p>
        </w:tc>
      </w:tr>
      <w:tr w:rsidR="004E54A0" w:rsidRPr="003962B6" w:rsidTr="00641BBE">
        <w:trPr>
          <w:trHeight w:val="520"/>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JEDNOKRILNI FIX   (Š)100-140 x (V) 200-220cm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544,50 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lang w:val="sr-Latn-ME"/>
              </w:rPr>
              <w:t>350,90</w:t>
            </w:r>
            <w:r w:rsidRPr="003962B6">
              <w:rPr>
                <w:rFonts w:ascii="Century Gothic" w:hAnsi="Century Gothic" w:cs="Arial"/>
                <w:sz w:val="22"/>
                <w:szCs w:val="22"/>
              </w:rPr>
              <w:t> </w:t>
            </w:r>
          </w:p>
        </w:tc>
      </w:tr>
      <w:tr w:rsidR="004E54A0" w:rsidRPr="003962B6" w:rsidTr="00641BBE">
        <w:trPr>
          <w:trHeight w:val="520"/>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JEDNOKRILNI FIX    (Š)140-180 x (V) 200-220cm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689,70 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lang w:val="sr-Latn-ME"/>
              </w:rPr>
              <w:t>423,50</w:t>
            </w:r>
            <w:r w:rsidRPr="003962B6">
              <w:rPr>
                <w:rFonts w:ascii="Century Gothic" w:hAnsi="Century Gothic" w:cs="Arial"/>
                <w:sz w:val="22"/>
                <w:szCs w:val="22"/>
              </w:rPr>
              <w:t> </w:t>
            </w:r>
          </w:p>
        </w:tc>
      </w:tr>
      <w:tr w:rsidR="004E54A0" w:rsidRPr="003962B6" w:rsidTr="00641BBE">
        <w:trPr>
          <w:trHeight w:val="930"/>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JEDNOKRILNI FIX  SA NADSJETLOM koje se otvara na "ventus"  (Š)80-100 x (V) 220-300cm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580,80 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lang w:val="sr-Latn-ME"/>
              </w:rPr>
              <w:t>326,70</w:t>
            </w:r>
            <w:r w:rsidRPr="003962B6">
              <w:rPr>
                <w:rFonts w:ascii="Century Gothic" w:hAnsi="Century Gothic" w:cs="Arial"/>
                <w:sz w:val="22"/>
                <w:szCs w:val="22"/>
              </w:rPr>
              <w:t> </w:t>
            </w:r>
          </w:p>
        </w:tc>
      </w:tr>
      <w:tr w:rsidR="004E54A0" w:rsidRPr="003962B6" w:rsidTr="00641BBE">
        <w:trPr>
          <w:trHeight w:val="855"/>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JEDNOKRILNI FIX SA NADSJETLOM koje se otvara na "ventus"  (Š)100-140 x (V) 220-300cm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834,90 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lang w:val="sr-Latn-ME"/>
              </w:rPr>
              <w:t>423,50</w:t>
            </w:r>
            <w:r w:rsidRPr="003962B6">
              <w:rPr>
                <w:rFonts w:ascii="Century Gothic" w:hAnsi="Century Gothic" w:cs="Arial"/>
                <w:sz w:val="22"/>
                <w:szCs w:val="22"/>
              </w:rPr>
              <w:t> </w:t>
            </w:r>
          </w:p>
        </w:tc>
      </w:tr>
      <w:tr w:rsidR="004E54A0" w:rsidRPr="003962B6" w:rsidTr="00641BBE">
        <w:trPr>
          <w:trHeight w:val="855"/>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JEDNOKRILNI FIX  SA NADSJETLOM koje se otvara na "ventus"  (Š)140-180 x (V) 220-300cm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1076,90 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lang w:val="sr-Latn-ME"/>
              </w:rPr>
              <w:t>544,50</w:t>
            </w:r>
            <w:r w:rsidRPr="003962B6">
              <w:rPr>
                <w:rFonts w:ascii="Century Gothic" w:hAnsi="Century Gothic" w:cs="Arial"/>
                <w:sz w:val="22"/>
                <w:szCs w:val="22"/>
              </w:rPr>
              <w:t> </w:t>
            </w:r>
          </w:p>
        </w:tc>
      </w:tr>
      <w:tr w:rsidR="00686368" w:rsidRPr="003962B6" w:rsidTr="00641BBE">
        <w:trPr>
          <w:trHeight w:val="930"/>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JEDNOKRILNI PROZOR sa obrtno nagibnim mehanizmom. Površina otvora 0-0.5m2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242,00 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lang w:val="sr-Latn-ME"/>
              </w:rPr>
              <w:t>205,70</w:t>
            </w:r>
            <w:r w:rsidRPr="003962B6">
              <w:rPr>
                <w:rFonts w:ascii="Century Gothic" w:hAnsi="Century Gothic" w:cs="Arial"/>
                <w:sz w:val="22"/>
                <w:szCs w:val="22"/>
              </w:rPr>
              <w:t> </w:t>
            </w:r>
          </w:p>
        </w:tc>
      </w:tr>
      <w:tr w:rsidR="00686368" w:rsidRPr="003962B6" w:rsidTr="00641BBE">
        <w:trPr>
          <w:trHeight w:val="855"/>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JEDNOKRILNI PROZOR sa obrtno nagibnim mehanizmom                                                            Površina otvora 0.5-1.0m2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266,20 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lang w:val="sr-Latn-ME"/>
              </w:rPr>
              <w:t>278,30</w:t>
            </w:r>
            <w:r w:rsidRPr="003962B6">
              <w:rPr>
                <w:rFonts w:ascii="Century Gothic" w:hAnsi="Century Gothic" w:cs="Arial"/>
                <w:sz w:val="22"/>
                <w:szCs w:val="22"/>
              </w:rPr>
              <w:t> </w:t>
            </w:r>
          </w:p>
        </w:tc>
      </w:tr>
      <w:tr w:rsidR="00686368" w:rsidRPr="003962B6" w:rsidTr="00641BBE">
        <w:trPr>
          <w:trHeight w:val="855"/>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JEDNOKRILNI PROZOR sa obrtno nagibnim mehanizmom                                                            Površina otvora 1.0-1.5m2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363,00 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lang w:val="sr-Latn-ME"/>
              </w:rPr>
              <w:t>338,80</w:t>
            </w:r>
            <w:r w:rsidRPr="003962B6">
              <w:rPr>
                <w:rFonts w:ascii="Century Gothic" w:hAnsi="Century Gothic" w:cs="Arial"/>
                <w:sz w:val="22"/>
                <w:szCs w:val="22"/>
              </w:rPr>
              <w:t> </w:t>
            </w:r>
          </w:p>
        </w:tc>
      </w:tr>
      <w:tr w:rsidR="00686368" w:rsidRPr="003962B6" w:rsidTr="00641BBE">
        <w:trPr>
          <w:trHeight w:val="855"/>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JEDNOKRILNI PROZOR sa obrtno nagibnim mehanizmom                                                            Površina otvora 1.5-2.0m2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471,90 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lang w:val="sr-Latn-ME"/>
              </w:rPr>
              <w:t>429,55</w:t>
            </w:r>
            <w:r w:rsidRPr="003962B6">
              <w:rPr>
                <w:rFonts w:ascii="Century Gothic" w:hAnsi="Century Gothic" w:cs="Arial"/>
                <w:sz w:val="22"/>
                <w:szCs w:val="22"/>
              </w:rPr>
              <w:t> </w:t>
            </w:r>
          </w:p>
        </w:tc>
      </w:tr>
      <w:tr w:rsidR="00686368" w:rsidRPr="003962B6" w:rsidTr="00641BBE">
        <w:trPr>
          <w:trHeight w:val="930"/>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JEDNOKRILNI PROZOR sa obrtno nagibnim mehanizmom  + roletna                                                          Površina otvora 0-0.5m2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308,55 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lang w:val="sr-Latn-ME"/>
              </w:rPr>
              <w:t>266,20</w:t>
            </w:r>
            <w:r w:rsidRPr="003962B6">
              <w:rPr>
                <w:rFonts w:ascii="Century Gothic" w:hAnsi="Century Gothic" w:cs="Arial"/>
                <w:sz w:val="22"/>
                <w:szCs w:val="22"/>
              </w:rPr>
              <w:t> </w:t>
            </w:r>
          </w:p>
        </w:tc>
      </w:tr>
      <w:tr w:rsidR="00686368" w:rsidRPr="003962B6" w:rsidTr="00641BBE">
        <w:trPr>
          <w:trHeight w:val="855"/>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JEDNOKRILNI PROZOR sa obrtno nagibnim mehanizmom   + roletna                                                         Površina otvora 0.5-1.0m2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332,75 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lang w:val="sr-Latn-ME"/>
              </w:rPr>
              <w:t>350,90</w:t>
            </w:r>
            <w:r w:rsidRPr="003962B6">
              <w:rPr>
                <w:rFonts w:ascii="Century Gothic" w:hAnsi="Century Gothic" w:cs="Arial"/>
                <w:sz w:val="22"/>
                <w:szCs w:val="22"/>
              </w:rPr>
              <w:t> </w:t>
            </w:r>
          </w:p>
        </w:tc>
      </w:tr>
      <w:tr w:rsidR="00686368" w:rsidRPr="003962B6" w:rsidTr="00641BBE">
        <w:trPr>
          <w:trHeight w:val="855"/>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JEDNOKRILNI PROZOR sa obrtno nagibnim mehanizmom   + roletna                                                        Površina otvora 1.0-1.5m2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453,75 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lang w:val="sr-Latn-ME"/>
              </w:rPr>
              <w:t>435,60</w:t>
            </w:r>
            <w:r w:rsidRPr="003962B6">
              <w:rPr>
                <w:rFonts w:ascii="Century Gothic" w:hAnsi="Century Gothic" w:cs="Arial"/>
                <w:sz w:val="22"/>
                <w:szCs w:val="22"/>
              </w:rPr>
              <w:t> </w:t>
            </w:r>
          </w:p>
        </w:tc>
      </w:tr>
      <w:tr w:rsidR="00686368" w:rsidRPr="003962B6" w:rsidTr="00641BBE">
        <w:trPr>
          <w:trHeight w:val="855"/>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JEDNOKRILNI PROZOR sa obrtno nagibnim mehanizmom    + roletna                                                        Površina otvora 1.5-2.0m2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592,90 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lang w:val="sr-Latn-ME"/>
              </w:rPr>
              <w:t>544,50</w:t>
            </w:r>
            <w:r w:rsidRPr="003962B6">
              <w:rPr>
                <w:rFonts w:ascii="Century Gothic" w:hAnsi="Century Gothic" w:cs="Arial"/>
                <w:sz w:val="22"/>
                <w:szCs w:val="22"/>
              </w:rPr>
              <w:t> </w:t>
            </w:r>
          </w:p>
        </w:tc>
      </w:tr>
      <w:tr w:rsidR="00686368" w:rsidRPr="003962B6" w:rsidTr="00641BBE">
        <w:trPr>
          <w:trHeight w:val="930"/>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DVOKRILNI PROZOR od kojih je jedno krilo sa obrtno nagibnim mehanizmom. Površina otvora 1.0-1.5m2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411,40 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lang w:val="sr-Latn-ME"/>
              </w:rPr>
              <w:t>459,80</w:t>
            </w:r>
            <w:r w:rsidRPr="003962B6">
              <w:rPr>
                <w:rFonts w:ascii="Century Gothic" w:hAnsi="Century Gothic" w:cs="Arial"/>
                <w:sz w:val="22"/>
                <w:szCs w:val="22"/>
              </w:rPr>
              <w:t> </w:t>
            </w:r>
          </w:p>
        </w:tc>
      </w:tr>
      <w:tr w:rsidR="00686368" w:rsidRPr="003962B6" w:rsidTr="00641BBE">
        <w:trPr>
          <w:trHeight w:val="855"/>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DVOKRILNI PROZOR od kojih je jedno krilo sa obrtno nagibnim mehanizmom. Površina otvora 1.5-2.0m2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544,50 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lang w:val="sr-Latn-ME"/>
              </w:rPr>
              <w:t>532,40</w:t>
            </w:r>
            <w:r w:rsidRPr="003962B6">
              <w:rPr>
                <w:rFonts w:ascii="Century Gothic" w:hAnsi="Century Gothic" w:cs="Arial"/>
                <w:sz w:val="22"/>
                <w:szCs w:val="22"/>
              </w:rPr>
              <w:t> </w:t>
            </w:r>
          </w:p>
        </w:tc>
      </w:tr>
      <w:tr w:rsidR="00686368" w:rsidRPr="003962B6" w:rsidTr="00641BBE">
        <w:trPr>
          <w:trHeight w:val="855"/>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DVOKRILNI PROZOR od kojih je jedno krilo sa obrtno nagibnim mehanizmom. Površina otvora 2.0-2.5m2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641,30 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lang w:val="sr-Latn-ME"/>
              </w:rPr>
              <w:t>665,50</w:t>
            </w:r>
            <w:r w:rsidRPr="003962B6">
              <w:rPr>
                <w:rFonts w:ascii="Century Gothic" w:hAnsi="Century Gothic" w:cs="Arial"/>
                <w:sz w:val="22"/>
                <w:szCs w:val="22"/>
              </w:rPr>
              <w:t> </w:t>
            </w:r>
          </w:p>
        </w:tc>
      </w:tr>
      <w:tr w:rsidR="00686368" w:rsidRPr="003962B6" w:rsidTr="00641BBE">
        <w:trPr>
          <w:trHeight w:val="855"/>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 xml:space="preserve">DVOKRILNI PROZOR od kojih je jedno krilo sa obrtno nagibnim </w:t>
            </w:r>
            <w:proofErr w:type="gramStart"/>
            <w:r w:rsidRPr="003962B6">
              <w:rPr>
                <w:rFonts w:ascii="Century Gothic" w:hAnsi="Century Gothic" w:cs="Arial"/>
                <w:sz w:val="22"/>
                <w:szCs w:val="22"/>
              </w:rPr>
              <w:t>mehanizmom .</w:t>
            </w:r>
            <w:proofErr w:type="gramEnd"/>
            <w:r w:rsidRPr="003962B6">
              <w:rPr>
                <w:rFonts w:ascii="Century Gothic" w:hAnsi="Century Gothic" w:cs="Arial"/>
                <w:sz w:val="22"/>
                <w:szCs w:val="22"/>
              </w:rPr>
              <w:t xml:space="preserve"> Površina otvora 2.5-3.0m2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750,20 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lang w:val="sr-Latn-ME"/>
              </w:rPr>
              <w:t>798,60</w:t>
            </w:r>
            <w:r w:rsidRPr="003962B6">
              <w:rPr>
                <w:rFonts w:ascii="Century Gothic" w:hAnsi="Century Gothic" w:cs="Arial"/>
                <w:sz w:val="22"/>
                <w:szCs w:val="22"/>
              </w:rPr>
              <w:t> </w:t>
            </w:r>
          </w:p>
        </w:tc>
      </w:tr>
      <w:tr w:rsidR="00686368" w:rsidRPr="003962B6" w:rsidTr="00641BBE">
        <w:trPr>
          <w:trHeight w:val="930"/>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DVOKRILNI PROZOR od kojih je jedno krilo sa obrtno nagibnim mehanizmom   + roletna. Površina otvora 1.0-1.5m2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623,15 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lang w:val="sr-Latn-ME"/>
              </w:rPr>
              <w:t>580,80</w:t>
            </w:r>
            <w:r w:rsidRPr="003962B6">
              <w:rPr>
                <w:rFonts w:ascii="Century Gothic" w:hAnsi="Century Gothic" w:cs="Arial"/>
                <w:sz w:val="22"/>
                <w:szCs w:val="22"/>
              </w:rPr>
              <w:t> </w:t>
            </w:r>
          </w:p>
        </w:tc>
      </w:tr>
      <w:tr w:rsidR="00686368" w:rsidRPr="003962B6" w:rsidTr="00641BBE">
        <w:trPr>
          <w:trHeight w:val="855"/>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 xml:space="preserve">DVOKRILNI PROZOR od kojih je jedno krilo sa obrtno nagibnim mehanizmom   + </w:t>
            </w:r>
            <w:proofErr w:type="gramStart"/>
            <w:r w:rsidRPr="003962B6">
              <w:rPr>
                <w:rFonts w:ascii="Century Gothic" w:hAnsi="Century Gothic" w:cs="Arial"/>
                <w:sz w:val="22"/>
                <w:szCs w:val="22"/>
              </w:rPr>
              <w:t>roletna .</w:t>
            </w:r>
            <w:proofErr w:type="gramEnd"/>
            <w:r w:rsidRPr="003962B6">
              <w:rPr>
                <w:rFonts w:ascii="Century Gothic" w:hAnsi="Century Gothic" w:cs="Arial"/>
                <w:sz w:val="22"/>
                <w:szCs w:val="22"/>
              </w:rPr>
              <w:t xml:space="preserve"> Površina otvora 1.5-2.0m2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653,40 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lang w:val="sr-Latn-ME"/>
              </w:rPr>
              <w:t>653,40</w:t>
            </w:r>
            <w:r w:rsidRPr="003962B6">
              <w:rPr>
                <w:rFonts w:ascii="Century Gothic" w:hAnsi="Century Gothic" w:cs="Arial"/>
                <w:sz w:val="22"/>
                <w:szCs w:val="22"/>
              </w:rPr>
              <w:t> </w:t>
            </w:r>
          </w:p>
        </w:tc>
      </w:tr>
      <w:tr w:rsidR="00686368" w:rsidRPr="003962B6" w:rsidTr="00641BBE">
        <w:trPr>
          <w:trHeight w:val="855"/>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 xml:space="preserve">DVOKRILNI PROZOR od kojih je jedno krilo sa obrtno nagibnim </w:t>
            </w:r>
            <w:proofErr w:type="gramStart"/>
            <w:r w:rsidRPr="003962B6">
              <w:rPr>
                <w:rFonts w:ascii="Century Gothic" w:hAnsi="Century Gothic" w:cs="Arial"/>
                <w:sz w:val="22"/>
                <w:szCs w:val="22"/>
              </w:rPr>
              <w:t>mehanizmom  +</w:t>
            </w:r>
            <w:proofErr w:type="gramEnd"/>
            <w:r w:rsidRPr="003962B6">
              <w:rPr>
                <w:rFonts w:ascii="Century Gothic" w:hAnsi="Century Gothic" w:cs="Arial"/>
                <w:sz w:val="22"/>
                <w:szCs w:val="22"/>
              </w:rPr>
              <w:t xml:space="preserve"> roletna. Površina otvora 2.0-2.5m2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665,50 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lang w:val="sr-Latn-ME"/>
              </w:rPr>
              <w:t>786,50</w:t>
            </w:r>
            <w:r w:rsidRPr="003962B6">
              <w:rPr>
                <w:rFonts w:ascii="Century Gothic" w:hAnsi="Century Gothic" w:cs="Arial"/>
                <w:sz w:val="22"/>
                <w:szCs w:val="22"/>
              </w:rPr>
              <w:t> </w:t>
            </w:r>
          </w:p>
        </w:tc>
      </w:tr>
      <w:tr w:rsidR="00686368" w:rsidRPr="003962B6" w:rsidTr="00641BBE">
        <w:trPr>
          <w:trHeight w:val="855"/>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DVOKRILNI PROZOR od kojih je jedno krilo sa obrtno nagibnim mehanizmom   + roletna. Površina otvora 2.5-3.0m2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955,90 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lang w:val="sr-Latn-ME"/>
              </w:rPr>
              <w:t>943,80</w:t>
            </w:r>
            <w:r w:rsidRPr="003962B6">
              <w:rPr>
                <w:rFonts w:ascii="Century Gothic" w:hAnsi="Century Gothic" w:cs="Arial"/>
                <w:sz w:val="22"/>
                <w:szCs w:val="22"/>
              </w:rPr>
              <w:t> </w:t>
            </w:r>
          </w:p>
        </w:tc>
      </w:tr>
      <w:tr w:rsidR="00686368" w:rsidRPr="003962B6" w:rsidTr="00641BBE">
        <w:trPr>
          <w:trHeight w:val="255"/>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jc w:val="right"/>
              <w:rPr>
                <w:rFonts w:ascii="Century Gothic" w:hAnsi="Century Gothic"/>
                <w:sz w:val="20"/>
                <w:szCs w:val="20"/>
              </w:rPr>
            </w:pPr>
          </w:p>
        </w:tc>
        <w:tc>
          <w:tcPr>
            <w:tcW w:w="1304" w:type="dxa"/>
            <w:tcBorders>
              <w:top w:val="single" w:sz="4" w:space="0" w:color="auto"/>
              <w:left w:val="single" w:sz="4" w:space="0" w:color="auto"/>
              <w:bottom w:val="single" w:sz="4" w:space="0" w:color="auto"/>
              <w:right w:val="single" w:sz="4" w:space="0" w:color="auto"/>
            </w:tcBorders>
          </w:tcPr>
          <w:p w:rsidR="00686368" w:rsidRPr="003962B6" w:rsidRDefault="00686368" w:rsidP="00686368">
            <w:pPr>
              <w:rPr>
                <w:rFonts w:ascii="Century Gothic" w:hAnsi="Century Gothic"/>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686368" w:rsidRPr="003962B6" w:rsidRDefault="00686368" w:rsidP="00686368">
            <w:pPr>
              <w:rPr>
                <w:rFonts w:ascii="Century Gothic" w:hAnsi="Century Gothic"/>
                <w:sz w:val="20"/>
                <w:szCs w:val="20"/>
              </w:rPr>
            </w:pPr>
          </w:p>
        </w:tc>
      </w:tr>
      <w:tr w:rsidR="004E54A0" w:rsidRPr="003962B6" w:rsidTr="00641BBE">
        <w:trPr>
          <w:gridAfter w:val="5"/>
          <w:wAfter w:w="8392" w:type="dxa"/>
          <w:trHeight w:val="375"/>
        </w:trPr>
        <w:tc>
          <w:tcPr>
            <w:tcW w:w="409" w:type="dxa"/>
            <w:tcBorders>
              <w:top w:val="single" w:sz="4" w:space="0" w:color="auto"/>
              <w:left w:val="single" w:sz="4" w:space="0" w:color="auto"/>
              <w:bottom w:val="single" w:sz="4" w:space="0" w:color="auto"/>
              <w:right w:val="single" w:sz="4" w:space="0" w:color="auto"/>
            </w:tcBorders>
            <w:shd w:val="clear" w:color="auto" w:fill="auto"/>
          </w:tcPr>
          <w:p w:rsidR="004E54A0" w:rsidRPr="003962B6" w:rsidRDefault="004E54A0" w:rsidP="00686368">
            <w:pPr>
              <w:jc w:val="center"/>
              <w:rPr>
                <w:rFonts w:ascii="Century Gothic" w:hAnsi="Century Gothic" w:cs="Arial"/>
                <w:b/>
                <w:bCs/>
                <w:sz w:val="22"/>
                <w:szCs w:val="22"/>
              </w:rPr>
            </w:pPr>
            <w:r w:rsidRPr="003962B6">
              <w:rPr>
                <w:rFonts w:ascii="Century Gothic" w:hAnsi="Century Gothic" w:cs="Arial"/>
                <w:b/>
                <w:bCs/>
                <w:sz w:val="22"/>
                <w:szCs w:val="22"/>
              </w:rPr>
              <w:t>III</w:t>
            </w:r>
          </w:p>
        </w:tc>
        <w:tc>
          <w:tcPr>
            <w:tcW w:w="5653" w:type="dxa"/>
            <w:tcBorders>
              <w:top w:val="single" w:sz="4" w:space="0" w:color="auto"/>
              <w:left w:val="single" w:sz="4" w:space="0" w:color="auto"/>
              <w:bottom w:val="single" w:sz="4" w:space="0" w:color="auto"/>
              <w:right w:val="single" w:sz="4" w:space="0" w:color="auto"/>
            </w:tcBorders>
            <w:shd w:val="clear" w:color="auto" w:fill="auto"/>
            <w:vAlign w:val="center"/>
          </w:tcPr>
          <w:p w:rsidR="004E54A0" w:rsidRPr="003962B6" w:rsidRDefault="004E54A0" w:rsidP="004E54A0">
            <w:pPr>
              <w:rPr>
                <w:rFonts w:ascii="Century Gothic" w:hAnsi="Century Gothic"/>
                <w:sz w:val="20"/>
                <w:szCs w:val="20"/>
              </w:rPr>
            </w:pPr>
            <w:r w:rsidRPr="003962B6">
              <w:rPr>
                <w:rFonts w:ascii="Century Gothic" w:hAnsi="Century Gothic"/>
                <w:b/>
                <w:sz w:val="20"/>
                <w:szCs w:val="20"/>
              </w:rPr>
              <w:t>STOLARSKO-BRAVARSKI RADOVI - fasadna PVC stolarija</w:t>
            </w:r>
          </w:p>
        </w:tc>
      </w:tr>
      <w:tr w:rsidR="00686368" w:rsidRPr="003962B6" w:rsidTr="00641BBE">
        <w:trPr>
          <w:trHeight w:val="426"/>
        </w:trPr>
        <w:tc>
          <w:tcPr>
            <w:tcW w:w="409" w:type="dxa"/>
            <w:tcBorders>
              <w:top w:val="single" w:sz="4" w:space="0" w:color="auto"/>
              <w:left w:val="single" w:sz="4" w:space="0" w:color="auto"/>
              <w:bottom w:val="single" w:sz="4" w:space="0" w:color="auto"/>
              <w:right w:val="single" w:sz="4" w:space="0" w:color="auto"/>
            </w:tcBorders>
            <w:shd w:val="clear" w:color="auto" w:fill="auto"/>
          </w:tcPr>
          <w:p w:rsidR="00686368" w:rsidRPr="003962B6" w:rsidRDefault="00686368" w:rsidP="00686368">
            <w:pPr>
              <w:jc w:val="center"/>
              <w:rPr>
                <w:rFonts w:ascii="Century Gothic" w:hAnsi="Century Gothic" w:cs="Arial"/>
                <w:sz w:val="22"/>
                <w:szCs w:val="22"/>
              </w:rPr>
            </w:pPr>
            <w:r w:rsidRPr="003962B6">
              <w:rPr>
                <w:rFonts w:ascii="Century Gothic" w:hAnsi="Century Gothic" w:cs="Arial"/>
                <w:sz w:val="22"/>
                <w:szCs w:val="22"/>
              </w:rPr>
              <w:t>1</w:t>
            </w: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 xml:space="preserve">Nabavka i ugradnja fasadne stolarije - vrata i prozori. </w:t>
            </w:r>
            <w:proofErr w:type="gramStart"/>
            <w:r w:rsidRPr="003962B6">
              <w:rPr>
                <w:rFonts w:ascii="Century Gothic" w:hAnsi="Century Gothic" w:cs="Arial"/>
                <w:sz w:val="22"/>
                <w:szCs w:val="22"/>
              </w:rPr>
              <w:t>Ramovi i krila treba da budu od višekomornih (najmanje šestokomorni) PVC profila (profili u bijeloj boji RAL 9010) sa termoprekidom (debljina stijenke profila min. 3,5 mm), minimalne širine profila 70mm, visoke tvrdoće, otpornosti na UV zračenje, prskanje, uvijanje i druge deformacije, sa nerđajućim čeličim profilima odgovarajuće debljine kao ukrućenjem i ojačanjem, te ojačanjem svih uglova i veza za trajno očuvanje zadate geometrije prozora.</w:t>
            </w:r>
            <w:proofErr w:type="gramEnd"/>
            <w:r w:rsidRPr="003962B6">
              <w:rPr>
                <w:rFonts w:ascii="Century Gothic" w:hAnsi="Century Gothic" w:cs="Arial"/>
                <w:sz w:val="22"/>
                <w:szCs w:val="22"/>
              </w:rPr>
              <w:t xml:space="preserve"> Sirovina za proizvodnju PVC profila ne smije biti od recikliranih materijala. Profil u svemu prema standardu kvaliteta RAL A. Fasadne prozore uraditi prema šemama</w:t>
            </w:r>
            <w:proofErr w:type="gramStart"/>
            <w:r w:rsidRPr="003962B6">
              <w:rPr>
                <w:rFonts w:ascii="Century Gothic" w:hAnsi="Century Gothic" w:cs="Arial"/>
                <w:sz w:val="22"/>
                <w:szCs w:val="22"/>
              </w:rPr>
              <w:t>,  sve</w:t>
            </w:r>
            <w:proofErr w:type="gramEnd"/>
            <w:r w:rsidRPr="003962B6">
              <w:rPr>
                <w:rFonts w:ascii="Century Gothic" w:hAnsi="Century Gothic" w:cs="Arial"/>
                <w:sz w:val="22"/>
                <w:szCs w:val="22"/>
              </w:rPr>
              <w:t xml:space="preserve"> od PVC profila sa dvostrukim staklenim paketom, ukupnog koeficijenta prolaza toplote najviše 1,4 W/m²K.  </w:t>
            </w:r>
            <w:r w:rsidRPr="003962B6">
              <w:rPr>
                <w:rFonts w:ascii="Century Gothic" w:hAnsi="Century Gothic" w:cs="Arial"/>
                <w:sz w:val="22"/>
                <w:szCs w:val="22"/>
              </w:rPr>
              <w:br/>
            </w:r>
            <w:r w:rsidRPr="003962B6">
              <w:rPr>
                <w:rFonts w:ascii="Century Gothic" w:hAnsi="Century Gothic" w:cs="Arial"/>
                <w:sz w:val="22"/>
                <w:szCs w:val="22"/>
              </w:rPr>
              <w:lastRenderedPageBreak/>
              <w:t>Cijena obuhvata i postavljanje Al solbanka sa vanjske strane kao i PVC klupice sa unutrašnje strane.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86368" w:rsidRPr="003962B6" w:rsidRDefault="00686368" w:rsidP="00686368">
            <w:pPr>
              <w:rPr>
                <w:rFonts w:ascii="Century Gothic" w:hAnsi="Century Gothic"/>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686368" w:rsidRPr="003962B6" w:rsidRDefault="00686368" w:rsidP="00686368">
            <w:pPr>
              <w:jc w:val="right"/>
              <w:rPr>
                <w:rFonts w:ascii="Century Gothic" w:hAnsi="Century Gothic"/>
                <w:sz w:val="20"/>
                <w:szCs w:val="20"/>
              </w:rPr>
            </w:pPr>
          </w:p>
        </w:tc>
        <w:tc>
          <w:tcPr>
            <w:tcW w:w="1304" w:type="dxa"/>
            <w:tcBorders>
              <w:top w:val="single" w:sz="4" w:space="0" w:color="auto"/>
              <w:left w:val="single" w:sz="4" w:space="0" w:color="auto"/>
              <w:bottom w:val="single" w:sz="4" w:space="0" w:color="auto"/>
              <w:right w:val="single" w:sz="4" w:space="0" w:color="auto"/>
            </w:tcBorders>
          </w:tcPr>
          <w:p w:rsidR="00686368" w:rsidRPr="003962B6" w:rsidRDefault="00686368" w:rsidP="00686368">
            <w:pPr>
              <w:rPr>
                <w:rFonts w:ascii="Century Gothic" w:hAnsi="Century Gothic"/>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686368" w:rsidRPr="003962B6" w:rsidRDefault="00686368" w:rsidP="00686368">
            <w:pPr>
              <w:rPr>
                <w:rFonts w:ascii="Century Gothic" w:hAnsi="Century Gothic"/>
                <w:sz w:val="20"/>
                <w:szCs w:val="20"/>
              </w:rPr>
            </w:pPr>
          </w:p>
        </w:tc>
      </w:tr>
      <w:tr w:rsidR="00686368" w:rsidRPr="003962B6" w:rsidTr="00641BBE">
        <w:trPr>
          <w:trHeight w:val="3410"/>
        </w:trPr>
        <w:tc>
          <w:tcPr>
            <w:tcW w:w="409" w:type="dxa"/>
            <w:tcBorders>
              <w:top w:val="single" w:sz="4" w:space="0" w:color="auto"/>
              <w:left w:val="single" w:sz="4" w:space="0" w:color="auto"/>
              <w:bottom w:val="single" w:sz="4" w:space="0" w:color="auto"/>
              <w:right w:val="single" w:sz="4" w:space="0" w:color="auto"/>
            </w:tcBorders>
            <w:shd w:val="clear" w:color="auto" w:fill="auto"/>
          </w:tcPr>
          <w:p w:rsidR="00686368" w:rsidRPr="003962B6" w:rsidRDefault="00686368" w:rsidP="00686368">
            <w:pPr>
              <w:rPr>
                <w:rFonts w:ascii="Century Gothic" w:hAnsi="Century Gothic"/>
                <w:sz w:val="20"/>
                <w:szCs w:val="20"/>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Staklo paket je od dvostrukog stakla, ukupne debljine 24(4+16+4</w:t>
            </w:r>
            <w:proofErr w:type="gramStart"/>
            <w:r w:rsidRPr="003962B6">
              <w:rPr>
                <w:rFonts w:ascii="Century Gothic" w:hAnsi="Century Gothic" w:cs="Arial"/>
                <w:sz w:val="22"/>
                <w:szCs w:val="22"/>
              </w:rPr>
              <w:t>)mm</w:t>
            </w:r>
            <w:proofErr w:type="gramEnd"/>
            <w:r w:rsidRPr="003962B6">
              <w:rPr>
                <w:rFonts w:ascii="Century Gothic" w:hAnsi="Century Gothic" w:cs="Arial"/>
                <w:sz w:val="22"/>
                <w:szCs w:val="22"/>
              </w:rPr>
              <w:t xml:space="preserve">. Spoljašnje staklo je sa premazom za redukciju dobitaka toplote od sunčeve svjetlosti (druga površina gledano spolja) a unutrašnje staklo je ravno (float). </w:t>
            </w:r>
            <w:proofErr w:type="gramStart"/>
            <w:r w:rsidRPr="003962B6">
              <w:rPr>
                <w:rFonts w:ascii="Century Gothic" w:hAnsi="Century Gothic" w:cs="Arial"/>
                <w:sz w:val="22"/>
                <w:szCs w:val="22"/>
              </w:rPr>
              <w:t>Staklo paket ima minimalne sledeće karakteristike:</w:t>
            </w:r>
            <w:r w:rsidRPr="003962B6">
              <w:rPr>
                <w:rFonts w:ascii="Century Gothic" w:hAnsi="Century Gothic" w:cs="Arial"/>
                <w:sz w:val="22"/>
                <w:szCs w:val="22"/>
              </w:rPr>
              <w:br w:type="page"/>
              <w:t>-Struktura 4mm staklo + premaz za redukciju dobitaka toplote od sunčeve svjetlosti +16mm međuprostor +4mm ravno (float) staklo</w:t>
            </w:r>
            <w:r w:rsidRPr="003962B6">
              <w:rPr>
                <w:rFonts w:ascii="Century Gothic" w:hAnsi="Century Gothic" w:cs="Arial"/>
                <w:sz w:val="22"/>
                <w:szCs w:val="22"/>
              </w:rPr>
              <w:br w:type="page"/>
              <w:t>-Staklo paket je neutralan iznutra (Neutral from inside),</w:t>
            </w:r>
            <w:r w:rsidRPr="003962B6">
              <w:rPr>
                <w:rFonts w:ascii="Century Gothic" w:hAnsi="Century Gothic" w:cs="Arial"/>
                <w:sz w:val="22"/>
                <w:szCs w:val="22"/>
              </w:rPr>
              <w:br w:type="page"/>
              <w:t>-Solarni faktor dobitaka toplote (Solar Heat Gain Coefficient, SHGC) prema EN 410:  &lt;45%;</w:t>
            </w:r>
            <w:r w:rsidRPr="003962B6">
              <w:rPr>
                <w:rFonts w:ascii="Century Gothic" w:hAnsi="Century Gothic" w:cs="Arial"/>
                <w:sz w:val="22"/>
                <w:szCs w:val="22"/>
              </w:rPr>
              <w:br w:type="page"/>
              <w:t>-Propusnost vidljive svjetlosti (Visible Light Transmission, VT): &gt;=60%;</w:t>
            </w:r>
            <w:r w:rsidRPr="003962B6">
              <w:rPr>
                <w:rFonts w:ascii="Century Gothic" w:hAnsi="Century Gothic" w:cs="Arial"/>
                <w:sz w:val="22"/>
                <w:szCs w:val="22"/>
              </w:rPr>
              <w:br w:type="page"/>
              <w:t>-Index sličnosti prirodnom svijetlu (Colour Rendering Index): &gt; 90%;</w:t>
            </w:r>
            <w:r w:rsidRPr="003962B6">
              <w:rPr>
                <w:rFonts w:ascii="Century Gothic" w:hAnsi="Century Gothic" w:cs="Arial"/>
                <w:sz w:val="22"/>
                <w:szCs w:val="22"/>
              </w:rPr>
              <w:br w:type="page"/>
              <w:t>-Koeficient prelaza toplote (U value) prema EN 673: &lt; 1.6;</w:t>
            </w:r>
            <w:r w:rsidRPr="003962B6">
              <w:rPr>
                <w:rFonts w:ascii="Century Gothic" w:hAnsi="Century Gothic" w:cs="Arial"/>
                <w:sz w:val="22"/>
                <w:szCs w:val="22"/>
              </w:rPr>
              <w:br w:type="page"/>
              <w:t>Dihtovanje je epoksidnom gumom (prema EN410 i EN 673).</w:t>
            </w:r>
            <w:proofErr w:type="gramEnd"/>
            <w:r w:rsidRPr="003962B6">
              <w:rPr>
                <w:rFonts w:ascii="Century Gothic" w:hAnsi="Century Gothic" w:cs="Arial"/>
                <w:sz w:val="22"/>
                <w:szCs w:val="22"/>
              </w:rPr>
              <w:t xml:space="preserve"> </w:t>
            </w:r>
            <w:r w:rsidRPr="003962B6">
              <w:rPr>
                <w:rFonts w:ascii="Century Gothic" w:hAnsi="Century Gothic" w:cs="Arial"/>
                <w:sz w:val="22"/>
                <w:szCs w:val="22"/>
              </w:rPr>
              <w:br w:type="page"/>
            </w:r>
            <w:r w:rsidRPr="003962B6">
              <w:rPr>
                <w:rFonts w:ascii="Century Gothic" w:hAnsi="Century Gothic" w:cs="Arial"/>
                <w:sz w:val="22"/>
                <w:szCs w:val="22"/>
              </w:rPr>
              <w:br w:type="page"/>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86368" w:rsidRPr="003962B6" w:rsidRDefault="00686368" w:rsidP="00686368">
            <w:pPr>
              <w:rPr>
                <w:rFonts w:ascii="Century Gothic" w:hAnsi="Century Gothic"/>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686368" w:rsidRPr="003962B6" w:rsidRDefault="00686368" w:rsidP="00686368">
            <w:pPr>
              <w:jc w:val="right"/>
              <w:rPr>
                <w:rFonts w:ascii="Century Gothic" w:hAnsi="Century Gothic"/>
                <w:sz w:val="20"/>
                <w:szCs w:val="20"/>
              </w:rPr>
            </w:pPr>
          </w:p>
        </w:tc>
        <w:tc>
          <w:tcPr>
            <w:tcW w:w="1304" w:type="dxa"/>
            <w:tcBorders>
              <w:top w:val="single" w:sz="4" w:space="0" w:color="auto"/>
              <w:left w:val="single" w:sz="4" w:space="0" w:color="auto"/>
              <w:bottom w:val="single" w:sz="4" w:space="0" w:color="auto"/>
              <w:right w:val="single" w:sz="4" w:space="0" w:color="auto"/>
            </w:tcBorders>
          </w:tcPr>
          <w:p w:rsidR="00686368" w:rsidRPr="003962B6" w:rsidRDefault="00686368" w:rsidP="00686368">
            <w:pPr>
              <w:rPr>
                <w:rFonts w:ascii="Century Gothic" w:hAnsi="Century Gothic"/>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686368" w:rsidRPr="003962B6" w:rsidRDefault="00686368" w:rsidP="00686368">
            <w:pPr>
              <w:rPr>
                <w:rFonts w:ascii="Century Gothic" w:hAnsi="Century Gothic"/>
                <w:sz w:val="20"/>
                <w:szCs w:val="20"/>
              </w:rPr>
            </w:pPr>
          </w:p>
        </w:tc>
      </w:tr>
      <w:tr w:rsidR="00686368" w:rsidRPr="003962B6" w:rsidTr="00641BBE">
        <w:trPr>
          <w:trHeight w:val="1743"/>
        </w:trPr>
        <w:tc>
          <w:tcPr>
            <w:tcW w:w="409" w:type="dxa"/>
            <w:tcBorders>
              <w:top w:val="single" w:sz="4" w:space="0" w:color="auto"/>
              <w:left w:val="single" w:sz="4" w:space="0" w:color="auto"/>
              <w:bottom w:val="single" w:sz="4" w:space="0" w:color="auto"/>
              <w:right w:val="single" w:sz="4" w:space="0" w:color="auto"/>
            </w:tcBorders>
            <w:shd w:val="clear" w:color="auto" w:fill="auto"/>
            <w:vAlign w:val="bottom"/>
          </w:tcPr>
          <w:p w:rsidR="00686368" w:rsidRPr="003962B6" w:rsidRDefault="00686368" w:rsidP="00686368">
            <w:pPr>
              <w:rPr>
                <w:rFonts w:ascii="Century Gothic" w:hAnsi="Century Gothic"/>
                <w:sz w:val="20"/>
                <w:szCs w:val="20"/>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 xml:space="preserve">Stolariju snabdjeti visokokvalitetnim izmjenjivim dihtunzima, visokokvalitetnim okovima na bazi nikla i AL- </w:t>
            </w:r>
            <w:proofErr w:type="gramStart"/>
            <w:r w:rsidRPr="003962B6">
              <w:rPr>
                <w:rFonts w:ascii="Century Gothic" w:hAnsi="Century Gothic" w:cs="Arial"/>
                <w:sz w:val="22"/>
                <w:szCs w:val="22"/>
              </w:rPr>
              <w:t>legura ,</w:t>
            </w:r>
            <w:proofErr w:type="gramEnd"/>
            <w:r w:rsidRPr="003962B6">
              <w:rPr>
                <w:rFonts w:ascii="Century Gothic" w:hAnsi="Century Gothic" w:cs="Arial"/>
                <w:sz w:val="22"/>
                <w:szCs w:val="22"/>
              </w:rPr>
              <w:t xml:space="preserve"> ručkama, odnosno bravama i ključevima. Predvidjeti minimalno dvije zaptivne gumene trake po obimu ramova i krila. Obavezno je za sve prozorske otvore da okov bude sa kočnicom protiv pogrešnog rukovanja i naglog udara vjetra.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86368" w:rsidRPr="003962B6" w:rsidRDefault="00686368" w:rsidP="00686368">
            <w:pPr>
              <w:rPr>
                <w:rFonts w:ascii="Century Gothic" w:hAnsi="Century Gothic"/>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686368" w:rsidRPr="003962B6" w:rsidRDefault="00686368" w:rsidP="00686368">
            <w:pPr>
              <w:jc w:val="right"/>
              <w:rPr>
                <w:rFonts w:ascii="Century Gothic" w:hAnsi="Century Gothic"/>
                <w:sz w:val="20"/>
                <w:szCs w:val="20"/>
              </w:rPr>
            </w:pPr>
          </w:p>
        </w:tc>
        <w:tc>
          <w:tcPr>
            <w:tcW w:w="1304" w:type="dxa"/>
            <w:tcBorders>
              <w:top w:val="single" w:sz="4" w:space="0" w:color="auto"/>
              <w:left w:val="single" w:sz="4" w:space="0" w:color="auto"/>
              <w:bottom w:val="single" w:sz="4" w:space="0" w:color="auto"/>
              <w:right w:val="single" w:sz="4" w:space="0" w:color="auto"/>
            </w:tcBorders>
          </w:tcPr>
          <w:p w:rsidR="00686368" w:rsidRPr="003962B6" w:rsidRDefault="00686368" w:rsidP="00686368">
            <w:pPr>
              <w:rPr>
                <w:rFonts w:ascii="Century Gothic" w:hAnsi="Century Gothic"/>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686368" w:rsidRPr="003962B6" w:rsidRDefault="00686368" w:rsidP="00686368">
            <w:pPr>
              <w:rPr>
                <w:rFonts w:ascii="Century Gothic" w:hAnsi="Century Gothic"/>
                <w:sz w:val="20"/>
                <w:szCs w:val="20"/>
              </w:rPr>
            </w:pPr>
          </w:p>
        </w:tc>
      </w:tr>
      <w:tr w:rsidR="00686368" w:rsidRPr="003962B6" w:rsidTr="00641BBE">
        <w:trPr>
          <w:trHeight w:val="960"/>
        </w:trPr>
        <w:tc>
          <w:tcPr>
            <w:tcW w:w="409" w:type="dxa"/>
            <w:tcBorders>
              <w:top w:val="single" w:sz="4" w:space="0" w:color="auto"/>
              <w:left w:val="single" w:sz="4" w:space="0" w:color="auto"/>
              <w:bottom w:val="single" w:sz="4" w:space="0" w:color="auto"/>
              <w:right w:val="single" w:sz="4" w:space="0" w:color="auto"/>
            </w:tcBorders>
            <w:shd w:val="clear" w:color="auto" w:fill="auto"/>
          </w:tcPr>
          <w:p w:rsidR="00686368" w:rsidRPr="003962B6" w:rsidRDefault="00686368" w:rsidP="00686368">
            <w:pPr>
              <w:rPr>
                <w:rFonts w:ascii="Century Gothic" w:hAnsi="Century Gothic"/>
                <w:sz w:val="20"/>
                <w:szCs w:val="20"/>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DETALJAN OPIS POZICIJE JE DAT U TEHNIČKIM USLOVIMA IZVOĐENJA RADOVA I SVAKA STAVKA TOG OPISA MORA BITI U POTPUNOSTI ISPOŠTOVANA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86368" w:rsidRPr="003962B6" w:rsidRDefault="00686368" w:rsidP="00686368">
            <w:pPr>
              <w:rPr>
                <w:rFonts w:ascii="Century Gothic" w:hAnsi="Century Gothic"/>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686368" w:rsidRPr="003962B6" w:rsidRDefault="00686368" w:rsidP="00686368">
            <w:pPr>
              <w:jc w:val="right"/>
              <w:rPr>
                <w:rFonts w:ascii="Century Gothic" w:hAnsi="Century Gothic"/>
                <w:sz w:val="20"/>
                <w:szCs w:val="20"/>
              </w:rPr>
            </w:pPr>
          </w:p>
        </w:tc>
        <w:tc>
          <w:tcPr>
            <w:tcW w:w="1304" w:type="dxa"/>
            <w:tcBorders>
              <w:top w:val="single" w:sz="4" w:space="0" w:color="auto"/>
              <w:left w:val="single" w:sz="4" w:space="0" w:color="auto"/>
              <w:bottom w:val="single" w:sz="4" w:space="0" w:color="auto"/>
              <w:right w:val="single" w:sz="4" w:space="0" w:color="auto"/>
            </w:tcBorders>
          </w:tcPr>
          <w:p w:rsidR="00686368" w:rsidRPr="003962B6" w:rsidRDefault="00686368" w:rsidP="00686368">
            <w:pPr>
              <w:rPr>
                <w:rFonts w:ascii="Century Gothic" w:hAnsi="Century Gothic"/>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686368" w:rsidRPr="003962B6" w:rsidRDefault="00686368" w:rsidP="00686368">
            <w:pPr>
              <w:rPr>
                <w:rFonts w:ascii="Century Gothic" w:hAnsi="Century Gothic"/>
                <w:sz w:val="20"/>
                <w:szCs w:val="20"/>
              </w:rPr>
            </w:pPr>
          </w:p>
        </w:tc>
      </w:tr>
      <w:tr w:rsidR="00686368" w:rsidRPr="003962B6" w:rsidTr="00641BBE">
        <w:trPr>
          <w:trHeight w:val="4207"/>
        </w:trPr>
        <w:tc>
          <w:tcPr>
            <w:tcW w:w="409" w:type="dxa"/>
            <w:tcBorders>
              <w:top w:val="single" w:sz="4" w:space="0" w:color="auto"/>
              <w:left w:val="single" w:sz="4" w:space="0" w:color="auto"/>
              <w:bottom w:val="single" w:sz="4" w:space="0" w:color="auto"/>
              <w:right w:val="single" w:sz="4" w:space="0" w:color="auto"/>
            </w:tcBorders>
            <w:shd w:val="clear" w:color="auto" w:fill="auto"/>
          </w:tcPr>
          <w:p w:rsidR="00686368" w:rsidRPr="003962B6" w:rsidRDefault="00686368" w:rsidP="00686368">
            <w:pPr>
              <w:rPr>
                <w:rFonts w:ascii="Century Gothic" w:hAnsi="Century Gothic"/>
                <w:sz w:val="20"/>
                <w:szCs w:val="20"/>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 xml:space="preserve">Pozicija obuhvata i nabavku materijala i obradu špaletni malterisanjem nakon ugradnje planiranih pozicija fasadne PVC i Al stolarije, cementnim malterom 1:3. Cijena uključuje sve potrebne predradnje, malterisanje špaletni (iznutra) uz zaštitu same stolarije i staklenih površina od dejstva maltera, kao i montažu i demontažu potrebne skele. Malterisanje vršiti u potrebnom broju slojeva - do postizanja potpune ravnosti i glatkoće površine koja se obrađuje. Voditi računa da se prilikom obrade ivica dobije ravna i oštra linija. U obračun ulazi i obrada donje špaletne prozora (parapetne klupice). </w:t>
            </w:r>
            <w:r w:rsidRPr="003962B6">
              <w:rPr>
                <w:rFonts w:ascii="Century Gothic" w:hAnsi="Century Gothic" w:cs="Arial"/>
                <w:sz w:val="22"/>
                <w:szCs w:val="22"/>
                <w:u w:val="single"/>
              </w:rPr>
              <w:t>Prosječna širina špaletne iznosi 15-</w:t>
            </w:r>
            <w:proofErr w:type="gramStart"/>
            <w:r w:rsidRPr="003962B6">
              <w:rPr>
                <w:rFonts w:ascii="Century Gothic" w:hAnsi="Century Gothic" w:cs="Arial"/>
                <w:sz w:val="22"/>
                <w:szCs w:val="22"/>
                <w:u w:val="single"/>
              </w:rPr>
              <w:t>25cm .</w:t>
            </w:r>
            <w:proofErr w:type="gramEnd"/>
            <w:r w:rsidRPr="003962B6">
              <w:rPr>
                <w:rFonts w:ascii="Century Gothic" w:hAnsi="Century Gothic" w:cs="Arial"/>
                <w:sz w:val="22"/>
                <w:szCs w:val="22"/>
                <w:u w:val="single"/>
              </w:rPr>
              <w:t xml:space="preserve"> Moguže usvojiti i neke druge druge načine obrade špaletni (lijepilom i mrežicom, gipsom ili rigips tablama sa potrebnom podkonstrukcijom), zavisno od stepena oštećenja nakon postavljanja planirane stolarije. Za svaku pozicuju usvojiti jedan od načina sanacije uz prethodnu potvrdu Investitora. Obavezno se držati svih stavki navedenih u opštim uslovima izvođenja radova.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86368" w:rsidRPr="003962B6" w:rsidRDefault="00686368" w:rsidP="00686368">
            <w:pPr>
              <w:rPr>
                <w:rFonts w:ascii="Century Gothic" w:hAnsi="Century Gothic"/>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686368" w:rsidRPr="003962B6" w:rsidRDefault="00686368" w:rsidP="00686368">
            <w:pPr>
              <w:jc w:val="right"/>
              <w:rPr>
                <w:rFonts w:ascii="Century Gothic" w:hAnsi="Century Gothic"/>
                <w:sz w:val="20"/>
                <w:szCs w:val="20"/>
              </w:rPr>
            </w:pPr>
          </w:p>
        </w:tc>
        <w:tc>
          <w:tcPr>
            <w:tcW w:w="1304" w:type="dxa"/>
            <w:tcBorders>
              <w:top w:val="single" w:sz="4" w:space="0" w:color="auto"/>
              <w:left w:val="single" w:sz="4" w:space="0" w:color="auto"/>
              <w:bottom w:val="single" w:sz="4" w:space="0" w:color="auto"/>
              <w:right w:val="single" w:sz="4" w:space="0" w:color="auto"/>
            </w:tcBorders>
          </w:tcPr>
          <w:p w:rsidR="00686368" w:rsidRPr="003962B6" w:rsidRDefault="00686368" w:rsidP="00686368">
            <w:pPr>
              <w:rPr>
                <w:rFonts w:ascii="Century Gothic" w:hAnsi="Century Gothic"/>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686368" w:rsidRPr="003962B6" w:rsidRDefault="00686368" w:rsidP="00686368">
            <w:pPr>
              <w:rPr>
                <w:rFonts w:ascii="Century Gothic" w:hAnsi="Century Gothic"/>
                <w:sz w:val="20"/>
                <w:szCs w:val="20"/>
              </w:rPr>
            </w:pPr>
          </w:p>
        </w:tc>
      </w:tr>
      <w:tr w:rsidR="00686368" w:rsidRPr="003962B6" w:rsidTr="00641BBE">
        <w:trPr>
          <w:trHeight w:val="3980"/>
        </w:trPr>
        <w:tc>
          <w:tcPr>
            <w:tcW w:w="409" w:type="dxa"/>
            <w:tcBorders>
              <w:top w:val="single" w:sz="4" w:space="0" w:color="auto"/>
              <w:left w:val="single" w:sz="4" w:space="0" w:color="auto"/>
              <w:bottom w:val="single" w:sz="4" w:space="0" w:color="auto"/>
              <w:right w:val="single" w:sz="4" w:space="0" w:color="auto"/>
            </w:tcBorders>
            <w:shd w:val="clear" w:color="auto" w:fill="auto"/>
          </w:tcPr>
          <w:p w:rsidR="00686368" w:rsidRPr="003962B6" w:rsidRDefault="00686368" w:rsidP="00686368">
            <w:pPr>
              <w:rPr>
                <w:rFonts w:ascii="Century Gothic" w:hAnsi="Century Gothic"/>
                <w:sz w:val="20"/>
                <w:szCs w:val="20"/>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 xml:space="preserve">U jediničnu cijenu uračunati i nabavku materijala i gletovanje svih omalterisanih djelova zidova i </w:t>
            </w:r>
            <w:proofErr w:type="gramStart"/>
            <w:r w:rsidRPr="003962B6">
              <w:rPr>
                <w:rFonts w:ascii="Century Gothic" w:hAnsi="Century Gothic" w:cs="Arial"/>
                <w:sz w:val="22"/>
                <w:szCs w:val="22"/>
              </w:rPr>
              <w:t>unutrašnjih  špaletni</w:t>
            </w:r>
            <w:proofErr w:type="gramEnd"/>
            <w:r w:rsidRPr="003962B6">
              <w:rPr>
                <w:rFonts w:ascii="Century Gothic" w:hAnsi="Century Gothic" w:cs="Arial"/>
                <w:sz w:val="22"/>
                <w:szCs w:val="22"/>
              </w:rPr>
              <w:t xml:space="preserve"> oko novopostavljenih prozora i vrata. Prosječna širina špaletne iznosi 15-25cm. Sve površine se obrađuju glet masom do potpune ravnosti i glatkoće. Sve grube neravnine treba prvo izbrusiti i uravnati jednim od poznatih postupaka, očistiti od prašine, a zatim gletovati do potrebne ravnosti i glatkoće glet masom. Nakon gletovanja predviđena je i nabavka materijala i bojenje svih špaletni koje su obrađene gletovanjem, poludisperzivnom bojom. Sve površine oko novopostavljenih prozora i vrata finalno bojiti poludisperzivnom bojom ujednačenim tonom po izboru projektanta. U cijenu ulaze sve potrebne predradnje, priprema i saniranje eventualnih pukotina u prethodnom gletu ili boji, kao i troškovi za zaštitu gotovih finalnih površina (prozora, vrata i ostalog)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86368" w:rsidRPr="003962B6" w:rsidRDefault="00686368" w:rsidP="00686368">
            <w:pPr>
              <w:rPr>
                <w:rFonts w:ascii="Century Gothic" w:hAnsi="Century Gothic"/>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686368" w:rsidRPr="003962B6" w:rsidRDefault="00686368" w:rsidP="00686368">
            <w:pPr>
              <w:jc w:val="right"/>
              <w:rPr>
                <w:rFonts w:ascii="Century Gothic" w:hAnsi="Century Gothic"/>
                <w:sz w:val="20"/>
                <w:szCs w:val="20"/>
              </w:rPr>
            </w:pPr>
          </w:p>
        </w:tc>
        <w:tc>
          <w:tcPr>
            <w:tcW w:w="1304" w:type="dxa"/>
            <w:tcBorders>
              <w:top w:val="single" w:sz="4" w:space="0" w:color="auto"/>
              <w:left w:val="single" w:sz="4" w:space="0" w:color="auto"/>
              <w:bottom w:val="single" w:sz="4" w:space="0" w:color="auto"/>
              <w:right w:val="single" w:sz="4" w:space="0" w:color="auto"/>
            </w:tcBorders>
          </w:tcPr>
          <w:p w:rsidR="00686368" w:rsidRPr="003962B6" w:rsidRDefault="00686368" w:rsidP="00686368">
            <w:pPr>
              <w:rPr>
                <w:rFonts w:ascii="Century Gothic" w:hAnsi="Century Gothic"/>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686368" w:rsidRPr="003962B6" w:rsidRDefault="00686368" w:rsidP="00686368">
            <w:pPr>
              <w:rPr>
                <w:rFonts w:ascii="Century Gothic" w:hAnsi="Century Gothic"/>
                <w:sz w:val="20"/>
                <w:szCs w:val="20"/>
              </w:rPr>
            </w:pPr>
          </w:p>
        </w:tc>
      </w:tr>
      <w:tr w:rsidR="00686368" w:rsidRPr="003962B6" w:rsidTr="00641BBE">
        <w:trPr>
          <w:trHeight w:val="1560"/>
        </w:trPr>
        <w:tc>
          <w:tcPr>
            <w:tcW w:w="409" w:type="dxa"/>
            <w:tcBorders>
              <w:top w:val="single" w:sz="4" w:space="0" w:color="auto"/>
              <w:left w:val="single" w:sz="4" w:space="0" w:color="auto"/>
              <w:bottom w:val="single" w:sz="4" w:space="0" w:color="auto"/>
              <w:right w:val="single" w:sz="4" w:space="0" w:color="auto"/>
            </w:tcBorders>
            <w:shd w:val="clear" w:color="auto" w:fill="auto"/>
          </w:tcPr>
          <w:p w:rsidR="00686368" w:rsidRPr="003962B6" w:rsidRDefault="00686368" w:rsidP="00686368">
            <w:pPr>
              <w:rPr>
                <w:rFonts w:ascii="Century Gothic" w:hAnsi="Century Gothic"/>
                <w:sz w:val="20"/>
                <w:szCs w:val="20"/>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tcPr>
          <w:p w:rsidR="00686368" w:rsidRPr="003962B6" w:rsidRDefault="00686368" w:rsidP="00686368">
            <w:pPr>
              <w:rPr>
                <w:rFonts w:ascii="Century Gothic" w:hAnsi="Century Gothic" w:cs="Arial"/>
                <w:b/>
                <w:bCs/>
                <w:sz w:val="22"/>
                <w:szCs w:val="22"/>
              </w:rPr>
            </w:pPr>
            <w:r w:rsidRPr="003962B6">
              <w:rPr>
                <w:rFonts w:ascii="Century Gothic" w:hAnsi="Century Gothic" w:cs="Arial"/>
                <w:b/>
                <w:bCs/>
                <w:sz w:val="22"/>
                <w:szCs w:val="22"/>
              </w:rPr>
              <w:t xml:space="preserve">SVE MJERE PROZORA I VRATA ZA SVAKU POJEDINU STAVKU PRIJE IZRADE I UGRADNJE PROVJERITI NA LICU </w:t>
            </w:r>
            <w:proofErr w:type="gramStart"/>
            <w:r w:rsidRPr="003962B6">
              <w:rPr>
                <w:rFonts w:ascii="Century Gothic" w:hAnsi="Century Gothic" w:cs="Arial"/>
                <w:b/>
                <w:bCs/>
                <w:sz w:val="22"/>
                <w:szCs w:val="22"/>
              </w:rPr>
              <w:t>MJESTA !</w:t>
            </w:r>
            <w:proofErr w:type="gramEnd"/>
            <w:r w:rsidRPr="003962B6">
              <w:rPr>
                <w:rFonts w:ascii="Century Gothic" w:hAnsi="Century Gothic" w:cs="Arial"/>
                <w:b/>
                <w:bCs/>
                <w:sz w:val="22"/>
                <w:szCs w:val="22"/>
              </w:rPr>
              <w:br w:type="page"/>
              <w:t>*Ako situacija na licu mjesta ne odgovara projektovanom, prilagoditi fasadnu bravariju licu mjesta a sve u cilju normalnog funkcionisanja novougrađenih fasadnih pregrada.</w:t>
            </w:r>
            <w:r w:rsidRPr="003962B6">
              <w:rPr>
                <w:rFonts w:ascii="Century Gothic" w:hAnsi="Century Gothic" w:cs="Arial"/>
                <w:b/>
                <w:bCs/>
                <w:sz w:val="22"/>
                <w:szCs w:val="22"/>
              </w:rPr>
              <w:br w:type="page"/>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86368" w:rsidRPr="003962B6" w:rsidRDefault="00686368" w:rsidP="00686368">
            <w:pPr>
              <w:rPr>
                <w:rFonts w:ascii="Century Gothic" w:hAnsi="Century Gothic"/>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686368" w:rsidRPr="003962B6" w:rsidRDefault="00686368" w:rsidP="00686368">
            <w:pPr>
              <w:jc w:val="right"/>
              <w:rPr>
                <w:rFonts w:ascii="Century Gothic" w:hAnsi="Century Gothic"/>
                <w:sz w:val="20"/>
                <w:szCs w:val="20"/>
              </w:rPr>
            </w:pPr>
          </w:p>
        </w:tc>
        <w:tc>
          <w:tcPr>
            <w:tcW w:w="1304" w:type="dxa"/>
            <w:tcBorders>
              <w:top w:val="single" w:sz="4" w:space="0" w:color="auto"/>
              <w:left w:val="single" w:sz="4" w:space="0" w:color="auto"/>
              <w:bottom w:val="single" w:sz="4" w:space="0" w:color="auto"/>
              <w:right w:val="single" w:sz="4" w:space="0" w:color="auto"/>
            </w:tcBorders>
          </w:tcPr>
          <w:p w:rsidR="00686368" w:rsidRPr="003962B6" w:rsidRDefault="00686368" w:rsidP="00686368">
            <w:pPr>
              <w:rPr>
                <w:rFonts w:ascii="Century Gothic" w:hAnsi="Century Gothic"/>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686368" w:rsidRPr="003962B6" w:rsidRDefault="00686368" w:rsidP="00686368">
            <w:pPr>
              <w:rPr>
                <w:rFonts w:ascii="Century Gothic" w:hAnsi="Century Gothic"/>
                <w:sz w:val="20"/>
                <w:szCs w:val="20"/>
              </w:rPr>
            </w:pPr>
          </w:p>
        </w:tc>
      </w:tr>
      <w:tr w:rsidR="00686368" w:rsidRPr="003962B6" w:rsidTr="00641BBE">
        <w:trPr>
          <w:trHeight w:val="1540"/>
        </w:trPr>
        <w:tc>
          <w:tcPr>
            <w:tcW w:w="409" w:type="dxa"/>
            <w:tcBorders>
              <w:top w:val="single" w:sz="4" w:space="0" w:color="auto"/>
              <w:left w:val="single" w:sz="4" w:space="0" w:color="auto"/>
              <w:bottom w:val="single" w:sz="4" w:space="0" w:color="auto"/>
              <w:right w:val="single" w:sz="4" w:space="0" w:color="auto"/>
            </w:tcBorders>
            <w:shd w:val="clear" w:color="auto" w:fill="auto"/>
          </w:tcPr>
          <w:p w:rsidR="00686368" w:rsidRPr="003962B6" w:rsidRDefault="00686368" w:rsidP="00686368">
            <w:pPr>
              <w:rPr>
                <w:rFonts w:ascii="Century Gothic" w:hAnsi="Century Gothic"/>
                <w:sz w:val="20"/>
                <w:szCs w:val="20"/>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tcPr>
          <w:p w:rsidR="00686368" w:rsidRPr="003962B6" w:rsidRDefault="00686368" w:rsidP="00686368">
            <w:pPr>
              <w:rPr>
                <w:rFonts w:ascii="Century Gothic" w:hAnsi="Century Gothic" w:cs="Arial"/>
                <w:b/>
                <w:bCs/>
                <w:sz w:val="22"/>
                <w:szCs w:val="22"/>
              </w:rPr>
            </w:pPr>
            <w:r w:rsidRPr="003962B6">
              <w:rPr>
                <w:rFonts w:ascii="Century Gothic" w:hAnsi="Century Gothic" w:cs="Arial"/>
                <w:b/>
                <w:bCs/>
                <w:sz w:val="22"/>
                <w:szCs w:val="22"/>
              </w:rPr>
              <w:t>Boja profila je osnovna - bijela. NAPOMENA: Sve pozicije prozora uključuju nabavku i montažu aluminijumskih solbanka (u dimenzijama postojećih parapetnih betonskih solbanka) i PVC parapetnih klupica (sa unutrašnje strane).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86368" w:rsidRPr="003962B6" w:rsidRDefault="00686368" w:rsidP="00686368">
            <w:pPr>
              <w:rPr>
                <w:rFonts w:ascii="Century Gothic" w:hAnsi="Century Gothic"/>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686368" w:rsidRPr="003962B6" w:rsidRDefault="00686368" w:rsidP="00686368">
            <w:pPr>
              <w:jc w:val="right"/>
              <w:rPr>
                <w:rFonts w:ascii="Century Gothic" w:hAnsi="Century Gothic"/>
                <w:sz w:val="20"/>
                <w:szCs w:val="20"/>
              </w:rPr>
            </w:pPr>
          </w:p>
        </w:tc>
        <w:tc>
          <w:tcPr>
            <w:tcW w:w="1304" w:type="dxa"/>
            <w:tcBorders>
              <w:top w:val="single" w:sz="4" w:space="0" w:color="auto"/>
              <w:left w:val="single" w:sz="4" w:space="0" w:color="auto"/>
              <w:bottom w:val="single" w:sz="4" w:space="0" w:color="auto"/>
              <w:right w:val="single" w:sz="4" w:space="0" w:color="auto"/>
            </w:tcBorders>
          </w:tcPr>
          <w:p w:rsidR="00686368" w:rsidRPr="003962B6" w:rsidRDefault="00686368" w:rsidP="00686368">
            <w:pPr>
              <w:rPr>
                <w:rFonts w:ascii="Century Gothic" w:hAnsi="Century Gothic"/>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686368" w:rsidRPr="003962B6" w:rsidRDefault="00686368" w:rsidP="00686368">
            <w:pPr>
              <w:rPr>
                <w:rFonts w:ascii="Century Gothic" w:hAnsi="Century Gothic"/>
                <w:sz w:val="20"/>
                <w:szCs w:val="20"/>
              </w:rPr>
            </w:pPr>
          </w:p>
        </w:tc>
      </w:tr>
      <w:tr w:rsidR="00686368" w:rsidRPr="003962B6" w:rsidTr="00641BBE">
        <w:trPr>
          <w:trHeight w:val="360"/>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sz w:val="20"/>
                <w:szCs w:val="20"/>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JEDNOKRILNA VRATA (Š)80-100cm x (V)200-220cm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363,00 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lang w:val="sr-Latn-ME"/>
              </w:rPr>
              <w:t>467,06</w:t>
            </w:r>
            <w:r w:rsidRPr="003962B6">
              <w:rPr>
                <w:rFonts w:ascii="Century Gothic" w:hAnsi="Century Gothic" w:cs="Arial"/>
                <w:sz w:val="22"/>
                <w:szCs w:val="22"/>
              </w:rPr>
              <w:t> </w:t>
            </w:r>
          </w:p>
        </w:tc>
      </w:tr>
      <w:tr w:rsidR="00686368" w:rsidRPr="003962B6" w:rsidTr="00641BBE">
        <w:trPr>
          <w:trHeight w:val="360"/>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JEDNOKRILNA VRATA SA ROLETNOM  (Š)80-100cm x (V)220-240cm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423,50 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lang w:val="sr-Latn-ME"/>
              </w:rPr>
              <w:t>411,40</w:t>
            </w:r>
            <w:r w:rsidRPr="003962B6">
              <w:rPr>
                <w:rFonts w:ascii="Century Gothic" w:hAnsi="Century Gothic" w:cs="Arial"/>
                <w:sz w:val="22"/>
                <w:szCs w:val="22"/>
              </w:rPr>
              <w:t> </w:t>
            </w:r>
          </w:p>
        </w:tc>
      </w:tr>
      <w:tr w:rsidR="00686368" w:rsidRPr="003962B6" w:rsidTr="00641BBE">
        <w:trPr>
          <w:trHeight w:val="360"/>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JEDNOKRILNA VRATA SA NADSVJETLOM (Š)80-100cm x (V)220-300cm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447,70 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lang w:val="sr-Latn-ME"/>
              </w:rPr>
              <w:t>592,90</w:t>
            </w:r>
            <w:r w:rsidRPr="003962B6">
              <w:rPr>
                <w:rFonts w:ascii="Century Gothic" w:hAnsi="Century Gothic" w:cs="Arial"/>
                <w:sz w:val="22"/>
                <w:szCs w:val="22"/>
              </w:rPr>
              <w:t> </w:t>
            </w:r>
          </w:p>
        </w:tc>
      </w:tr>
      <w:tr w:rsidR="00686368" w:rsidRPr="003962B6" w:rsidTr="00641BBE">
        <w:trPr>
          <w:trHeight w:val="360"/>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DVOKRILNA VRATA   (Š)120-150cm x (V)200-220cm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544,50 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lang w:val="sr-Latn-ME"/>
              </w:rPr>
              <w:t>762,30</w:t>
            </w:r>
            <w:r w:rsidRPr="003962B6">
              <w:rPr>
                <w:rFonts w:ascii="Century Gothic" w:hAnsi="Century Gothic" w:cs="Arial"/>
                <w:sz w:val="22"/>
                <w:szCs w:val="22"/>
              </w:rPr>
              <w:t> </w:t>
            </w:r>
          </w:p>
        </w:tc>
      </w:tr>
      <w:tr w:rsidR="00686368" w:rsidRPr="003962B6" w:rsidTr="00641BBE">
        <w:trPr>
          <w:trHeight w:val="360"/>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DVOKRILNA VRATA   (Š)150-180cm x (V)200-220cm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605,00 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lang w:val="sr-Latn-ME"/>
              </w:rPr>
              <w:t>847,00</w:t>
            </w:r>
            <w:r w:rsidRPr="003962B6">
              <w:rPr>
                <w:rFonts w:ascii="Century Gothic" w:hAnsi="Century Gothic" w:cs="Arial"/>
                <w:sz w:val="22"/>
                <w:szCs w:val="22"/>
              </w:rPr>
              <w:t> </w:t>
            </w:r>
          </w:p>
        </w:tc>
      </w:tr>
      <w:tr w:rsidR="00686368" w:rsidRPr="003962B6" w:rsidTr="00641BBE">
        <w:trPr>
          <w:trHeight w:val="360"/>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DVOKRILNA VRATA  (Š)180-200cm x (V)200-220cm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726,00 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lang w:val="sr-Latn-ME"/>
              </w:rPr>
              <w:t>931,70</w:t>
            </w:r>
            <w:r w:rsidRPr="003962B6">
              <w:rPr>
                <w:rFonts w:ascii="Century Gothic" w:hAnsi="Century Gothic" w:cs="Arial"/>
                <w:sz w:val="22"/>
                <w:szCs w:val="22"/>
              </w:rPr>
              <w:t> </w:t>
            </w:r>
          </w:p>
        </w:tc>
      </w:tr>
      <w:tr w:rsidR="00686368" w:rsidRPr="003962B6" w:rsidTr="00641BBE">
        <w:trPr>
          <w:trHeight w:val="360"/>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DVOKRILNA VRATA SA ROLETNOM   (Š)120-150cm x (V)220-240cm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368" w:rsidRPr="003962B6" w:rsidRDefault="00686368" w:rsidP="00686368">
            <w:pPr>
              <w:jc w:val="center"/>
              <w:rPr>
                <w:rFonts w:ascii="Century Gothic" w:hAnsi="Century Gothic" w:cs="Arial"/>
                <w:sz w:val="22"/>
                <w:szCs w:val="22"/>
              </w:rPr>
            </w:pPr>
            <w:r w:rsidRPr="003962B6">
              <w:rPr>
                <w:rFonts w:ascii="Century Gothic" w:hAnsi="Century Gothic" w:cs="Arial"/>
                <w:sz w:val="22"/>
                <w:szCs w:val="22"/>
              </w:rPr>
              <w:t xml:space="preserve">      750,20</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lang w:val="sr-Latn-ME"/>
              </w:rPr>
              <w:t>605,00</w:t>
            </w:r>
            <w:r w:rsidRPr="003962B6">
              <w:rPr>
                <w:rFonts w:ascii="Century Gothic" w:hAnsi="Century Gothic" w:cs="Arial"/>
                <w:sz w:val="22"/>
                <w:szCs w:val="22"/>
              </w:rPr>
              <w:t> </w:t>
            </w:r>
          </w:p>
        </w:tc>
      </w:tr>
      <w:tr w:rsidR="00686368" w:rsidRPr="003962B6" w:rsidTr="00641BBE">
        <w:trPr>
          <w:trHeight w:val="360"/>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DVOKRILNA VRATA SA ROLETNOM  (Š)150-180cm x (V)220-240cm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 847,00</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lang w:val="sr-Latn-ME"/>
              </w:rPr>
              <w:t>689,70</w:t>
            </w:r>
            <w:r w:rsidRPr="003962B6">
              <w:rPr>
                <w:rFonts w:ascii="Century Gothic" w:hAnsi="Century Gothic" w:cs="Arial"/>
                <w:sz w:val="22"/>
                <w:szCs w:val="22"/>
              </w:rPr>
              <w:t> </w:t>
            </w:r>
          </w:p>
        </w:tc>
      </w:tr>
      <w:tr w:rsidR="00686368" w:rsidRPr="003962B6" w:rsidTr="00641BBE">
        <w:trPr>
          <w:trHeight w:val="360"/>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DVOKRILNA VRATA SA ROLETNOM   (Š)180-200cm x (V)220-240cm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1028,50 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lang w:val="sr-Latn-ME"/>
              </w:rPr>
              <w:t>774,40</w:t>
            </w:r>
            <w:r w:rsidRPr="003962B6">
              <w:rPr>
                <w:rFonts w:ascii="Century Gothic" w:hAnsi="Century Gothic" w:cs="Arial"/>
                <w:sz w:val="22"/>
                <w:szCs w:val="22"/>
              </w:rPr>
              <w:t> </w:t>
            </w:r>
          </w:p>
        </w:tc>
      </w:tr>
      <w:tr w:rsidR="00686368" w:rsidRPr="003962B6" w:rsidTr="00641BBE">
        <w:trPr>
          <w:trHeight w:val="360"/>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DVOKRILNA VRATA  SA NADSVJETLOM  (Š)120-150cm x (V)220-300cm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665,50 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lang w:val="sr-Latn-ME"/>
              </w:rPr>
              <w:t>798,60</w:t>
            </w:r>
            <w:r w:rsidRPr="003962B6">
              <w:rPr>
                <w:rFonts w:ascii="Century Gothic" w:hAnsi="Century Gothic" w:cs="Arial"/>
                <w:sz w:val="22"/>
                <w:szCs w:val="22"/>
              </w:rPr>
              <w:t> </w:t>
            </w:r>
          </w:p>
        </w:tc>
      </w:tr>
      <w:tr w:rsidR="00686368" w:rsidRPr="003962B6" w:rsidTr="00641BBE">
        <w:trPr>
          <w:trHeight w:val="360"/>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DVOKRILNA VRATA  SA NADSVJETLOM  (Š)150-180cm x (V)220-300cm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726,00 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lang w:val="sr-Latn-ME"/>
              </w:rPr>
              <w:t>883,30</w:t>
            </w:r>
            <w:r w:rsidRPr="003962B6">
              <w:rPr>
                <w:rFonts w:ascii="Century Gothic" w:hAnsi="Century Gothic" w:cs="Arial"/>
                <w:sz w:val="22"/>
                <w:szCs w:val="22"/>
              </w:rPr>
              <w:t> </w:t>
            </w:r>
          </w:p>
        </w:tc>
      </w:tr>
      <w:tr w:rsidR="00686368" w:rsidRPr="003962B6" w:rsidTr="00641BBE">
        <w:trPr>
          <w:trHeight w:val="360"/>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DVOKRILNA VRATA SA NADSVJETLOM (Š)180-200cm x (V)220-300cm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810,70 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lang w:val="sr-Latn-ME"/>
              </w:rPr>
              <w:t>968,00</w:t>
            </w:r>
            <w:r w:rsidRPr="003962B6">
              <w:rPr>
                <w:rFonts w:ascii="Century Gothic" w:hAnsi="Century Gothic" w:cs="Arial"/>
                <w:sz w:val="22"/>
                <w:szCs w:val="22"/>
              </w:rPr>
              <w:t> </w:t>
            </w:r>
          </w:p>
        </w:tc>
      </w:tr>
      <w:tr w:rsidR="00686368" w:rsidRPr="003962B6" w:rsidTr="00641BBE">
        <w:trPr>
          <w:trHeight w:val="360"/>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JEDNOKRILNI FIX  (Š)80-100 x (V) 200-220cm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235,95 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lang w:val="sr-Latn-ME"/>
              </w:rPr>
              <w:t>181,50</w:t>
            </w:r>
            <w:r w:rsidRPr="003962B6">
              <w:rPr>
                <w:rFonts w:ascii="Century Gothic" w:hAnsi="Century Gothic" w:cs="Arial"/>
                <w:sz w:val="22"/>
                <w:szCs w:val="22"/>
              </w:rPr>
              <w:t> </w:t>
            </w:r>
          </w:p>
        </w:tc>
      </w:tr>
      <w:tr w:rsidR="00686368" w:rsidRPr="003962B6" w:rsidTr="00641BBE">
        <w:trPr>
          <w:trHeight w:val="360"/>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JEDNOKRILNI FIX   (Š)100-140 x (V) 200-220cm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290,40 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lang w:val="sr-Latn-ME"/>
              </w:rPr>
              <w:t>229,90</w:t>
            </w:r>
            <w:r w:rsidRPr="003962B6">
              <w:rPr>
                <w:rFonts w:ascii="Century Gothic" w:hAnsi="Century Gothic" w:cs="Arial"/>
                <w:sz w:val="22"/>
                <w:szCs w:val="22"/>
              </w:rPr>
              <w:t> </w:t>
            </w:r>
          </w:p>
        </w:tc>
      </w:tr>
      <w:tr w:rsidR="00686368" w:rsidRPr="003962B6" w:rsidTr="00641BBE">
        <w:trPr>
          <w:trHeight w:val="360"/>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JEDNOKRILNI FIX   (Š)140-180 x (V) 200-220cm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344,85 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lang w:val="sr-Latn-ME"/>
              </w:rPr>
              <w:t>278,30</w:t>
            </w:r>
            <w:r w:rsidRPr="003962B6">
              <w:rPr>
                <w:rFonts w:ascii="Century Gothic" w:hAnsi="Century Gothic" w:cs="Arial"/>
                <w:sz w:val="22"/>
                <w:szCs w:val="22"/>
              </w:rPr>
              <w:t> </w:t>
            </w:r>
          </w:p>
        </w:tc>
      </w:tr>
      <w:tr w:rsidR="00686368" w:rsidRPr="003962B6" w:rsidTr="00641BBE">
        <w:trPr>
          <w:trHeight w:val="360"/>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JEDNOKRILNI FIX SA ROLETNOM  (Š)80-100 x (V) 220-240cm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459,80 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lang w:val="sr-Latn-ME"/>
              </w:rPr>
              <w:t>333,96</w:t>
            </w:r>
            <w:r w:rsidRPr="003962B6">
              <w:rPr>
                <w:rFonts w:ascii="Century Gothic" w:hAnsi="Century Gothic" w:cs="Arial"/>
                <w:sz w:val="22"/>
                <w:szCs w:val="22"/>
              </w:rPr>
              <w:t> </w:t>
            </w:r>
          </w:p>
        </w:tc>
      </w:tr>
      <w:tr w:rsidR="00686368" w:rsidRPr="003962B6" w:rsidTr="00641BBE">
        <w:trPr>
          <w:trHeight w:val="360"/>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JEDNOKRILNI FIX SA ROLETNOM   (Š)100-140 x (V) 220-240cm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471,90 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lang w:val="sr-Latn-ME"/>
              </w:rPr>
              <w:t>399,30</w:t>
            </w:r>
            <w:r w:rsidRPr="003962B6">
              <w:rPr>
                <w:rFonts w:ascii="Century Gothic" w:hAnsi="Century Gothic" w:cs="Arial"/>
                <w:sz w:val="22"/>
                <w:szCs w:val="22"/>
              </w:rPr>
              <w:t> </w:t>
            </w:r>
          </w:p>
        </w:tc>
      </w:tr>
      <w:tr w:rsidR="00686368" w:rsidRPr="003962B6" w:rsidTr="00641BBE">
        <w:trPr>
          <w:trHeight w:val="360"/>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JEDNOKRILNI FIX SA ROLETNOM  (Š)140-180 x (V) 220-240cm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719,95 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lang w:val="sr-Latn-ME"/>
              </w:rPr>
              <w:t>471,90</w:t>
            </w:r>
            <w:r w:rsidRPr="003962B6">
              <w:rPr>
                <w:rFonts w:ascii="Century Gothic" w:hAnsi="Century Gothic" w:cs="Arial"/>
                <w:sz w:val="22"/>
                <w:szCs w:val="22"/>
              </w:rPr>
              <w:t> </w:t>
            </w:r>
          </w:p>
        </w:tc>
      </w:tr>
      <w:tr w:rsidR="00686368" w:rsidRPr="003962B6" w:rsidTr="00641BBE">
        <w:trPr>
          <w:trHeight w:val="930"/>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JEDNOKRILNI FIX  SA NADSJETLOM koje se otvara na "ventus"                                                 (Š)80-100 x (V) 220-300cm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399,30 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lang w:val="sr-Latn-ME"/>
              </w:rPr>
              <w:t>290,40</w:t>
            </w:r>
            <w:r w:rsidRPr="003962B6">
              <w:rPr>
                <w:rFonts w:ascii="Century Gothic" w:hAnsi="Century Gothic" w:cs="Arial"/>
                <w:sz w:val="22"/>
                <w:szCs w:val="22"/>
              </w:rPr>
              <w:t> </w:t>
            </w:r>
          </w:p>
        </w:tc>
      </w:tr>
      <w:tr w:rsidR="00686368" w:rsidRPr="003962B6" w:rsidTr="00641BBE">
        <w:trPr>
          <w:trHeight w:val="855"/>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JEDNOKRILNI FIX SA NADSJETLOM koje se otvara na "ventus"                                                       (Š)100-140 x (V) 220-300cm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496,10 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lang w:val="sr-Latn-ME"/>
              </w:rPr>
              <w:t>363,00</w:t>
            </w:r>
            <w:r w:rsidRPr="003962B6">
              <w:rPr>
                <w:rFonts w:ascii="Century Gothic" w:hAnsi="Century Gothic" w:cs="Arial"/>
                <w:sz w:val="22"/>
                <w:szCs w:val="22"/>
              </w:rPr>
              <w:t> </w:t>
            </w:r>
          </w:p>
        </w:tc>
      </w:tr>
      <w:tr w:rsidR="00686368" w:rsidRPr="003962B6" w:rsidTr="00641BBE">
        <w:trPr>
          <w:trHeight w:val="855"/>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JEDNOKRILNI FIX  SA NADSJETLOM koje se otvara na "ventus"                                                       (Š)140-180 x (V) 220-300cm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550,55 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lang w:val="sr-Latn-ME"/>
              </w:rPr>
              <w:t>435,60</w:t>
            </w:r>
            <w:r w:rsidRPr="003962B6">
              <w:rPr>
                <w:rFonts w:ascii="Century Gothic" w:hAnsi="Century Gothic" w:cs="Arial"/>
                <w:sz w:val="22"/>
                <w:szCs w:val="22"/>
              </w:rPr>
              <w:t> </w:t>
            </w:r>
          </w:p>
        </w:tc>
      </w:tr>
      <w:tr w:rsidR="00686368" w:rsidRPr="003962B6" w:rsidTr="00641BBE">
        <w:trPr>
          <w:trHeight w:val="930"/>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rPr>
              <w:t>JEDNOKRILNI PROZOR sa obrtno nagibnim mehanizmom                                                            Površina otvora 0-0.5m2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86368" w:rsidRPr="003962B6" w:rsidRDefault="00686368" w:rsidP="00686368">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6368" w:rsidRPr="003962B6" w:rsidRDefault="00686368" w:rsidP="00686368">
            <w:pPr>
              <w:jc w:val="right"/>
              <w:rPr>
                <w:rFonts w:ascii="Century Gothic" w:hAnsi="Century Gothic" w:cs="Arial"/>
                <w:sz w:val="22"/>
                <w:szCs w:val="22"/>
              </w:rPr>
            </w:pPr>
            <w:r w:rsidRPr="003962B6">
              <w:rPr>
                <w:rFonts w:ascii="Century Gothic" w:hAnsi="Century Gothic" w:cs="Arial"/>
                <w:sz w:val="22"/>
                <w:szCs w:val="22"/>
              </w:rPr>
              <w:t>114,95 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86368" w:rsidRPr="003962B6" w:rsidRDefault="00686368" w:rsidP="00686368">
            <w:pPr>
              <w:rPr>
                <w:rFonts w:ascii="Century Gothic" w:hAnsi="Century Gothic" w:cs="Arial"/>
                <w:sz w:val="22"/>
                <w:szCs w:val="22"/>
              </w:rPr>
            </w:pPr>
            <w:r w:rsidRPr="003962B6">
              <w:rPr>
                <w:rFonts w:ascii="Century Gothic" w:hAnsi="Century Gothic" w:cs="Arial"/>
                <w:sz w:val="22"/>
                <w:szCs w:val="22"/>
                <w:lang w:val="sr-Latn-ME"/>
              </w:rPr>
              <w:t>108,90</w:t>
            </w:r>
            <w:r w:rsidRPr="003962B6">
              <w:rPr>
                <w:rFonts w:ascii="Century Gothic" w:hAnsi="Century Gothic" w:cs="Arial"/>
                <w:sz w:val="22"/>
                <w:szCs w:val="22"/>
              </w:rPr>
              <w:t> </w:t>
            </w:r>
          </w:p>
        </w:tc>
      </w:tr>
      <w:tr w:rsidR="004E54A0" w:rsidRPr="003962B6" w:rsidTr="00641BBE">
        <w:trPr>
          <w:trHeight w:val="855"/>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4E54A0" w:rsidRPr="003962B6" w:rsidRDefault="004E54A0" w:rsidP="004E54A0">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4A0" w:rsidRPr="003962B6" w:rsidRDefault="004E54A0" w:rsidP="004E54A0">
            <w:pPr>
              <w:rPr>
                <w:rFonts w:ascii="Century Gothic" w:hAnsi="Century Gothic" w:cs="Arial"/>
                <w:sz w:val="22"/>
                <w:szCs w:val="22"/>
              </w:rPr>
            </w:pPr>
            <w:r w:rsidRPr="003962B6">
              <w:rPr>
                <w:rFonts w:ascii="Century Gothic" w:hAnsi="Century Gothic" w:cs="Arial"/>
                <w:sz w:val="22"/>
                <w:szCs w:val="22"/>
              </w:rPr>
              <w:t>JEDNOKRILNI PROZOR sa obrtno nagibnim mehanizmom                                                            Površina otvora 0.5-1.0m2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E54A0" w:rsidRPr="003962B6" w:rsidRDefault="004E54A0" w:rsidP="004E54A0">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E54A0" w:rsidRPr="003962B6" w:rsidRDefault="004E54A0" w:rsidP="004E54A0">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E54A0" w:rsidRPr="003962B6" w:rsidRDefault="004E54A0" w:rsidP="004E54A0">
            <w:pPr>
              <w:jc w:val="right"/>
              <w:rPr>
                <w:rFonts w:ascii="Century Gothic" w:hAnsi="Century Gothic" w:cs="Arial"/>
                <w:sz w:val="22"/>
                <w:szCs w:val="22"/>
              </w:rPr>
            </w:pPr>
            <w:r w:rsidRPr="003962B6">
              <w:rPr>
                <w:rFonts w:ascii="Century Gothic" w:hAnsi="Century Gothic" w:cs="Arial"/>
                <w:sz w:val="22"/>
                <w:szCs w:val="22"/>
              </w:rPr>
              <w:t>175,45 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E54A0" w:rsidRPr="003962B6" w:rsidRDefault="004E54A0" w:rsidP="004E54A0">
            <w:pPr>
              <w:rPr>
                <w:rFonts w:ascii="Century Gothic" w:hAnsi="Century Gothic" w:cs="Arial"/>
                <w:sz w:val="22"/>
                <w:szCs w:val="22"/>
              </w:rPr>
            </w:pPr>
            <w:r w:rsidRPr="003962B6">
              <w:rPr>
                <w:rFonts w:ascii="Century Gothic" w:hAnsi="Century Gothic" w:cs="Arial"/>
                <w:sz w:val="22"/>
                <w:szCs w:val="22"/>
                <w:lang w:val="sr-Latn-ME"/>
              </w:rPr>
              <w:t>145,20</w:t>
            </w:r>
            <w:r w:rsidRPr="003962B6">
              <w:rPr>
                <w:rFonts w:ascii="Century Gothic" w:hAnsi="Century Gothic" w:cs="Arial"/>
                <w:sz w:val="22"/>
                <w:szCs w:val="22"/>
              </w:rPr>
              <w:t> </w:t>
            </w:r>
          </w:p>
        </w:tc>
      </w:tr>
      <w:tr w:rsidR="004E54A0" w:rsidRPr="003962B6" w:rsidTr="00641BBE">
        <w:trPr>
          <w:trHeight w:val="855"/>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4E54A0" w:rsidRPr="003962B6" w:rsidRDefault="004E54A0" w:rsidP="004E54A0">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4A0" w:rsidRPr="003962B6" w:rsidRDefault="004E54A0" w:rsidP="004E54A0">
            <w:pPr>
              <w:rPr>
                <w:rFonts w:ascii="Century Gothic" w:hAnsi="Century Gothic" w:cs="Arial"/>
                <w:sz w:val="22"/>
                <w:szCs w:val="22"/>
              </w:rPr>
            </w:pPr>
            <w:r w:rsidRPr="003962B6">
              <w:rPr>
                <w:rFonts w:ascii="Century Gothic" w:hAnsi="Century Gothic" w:cs="Arial"/>
                <w:sz w:val="22"/>
                <w:szCs w:val="22"/>
              </w:rPr>
              <w:t>JEDNOKRILNI PROZOR sa obrtno nagibnim mehanizmom                                                            Površina otvora 1.0-1.5m2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E54A0" w:rsidRPr="003962B6" w:rsidRDefault="004E54A0" w:rsidP="004E54A0">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E54A0" w:rsidRPr="003962B6" w:rsidRDefault="004E54A0" w:rsidP="004E54A0">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E54A0" w:rsidRPr="003962B6" w:rsidRDefault="004E54A0" w:rsidP="004E54A0">
            <w:pPr>
              <w:jc w:val="right"/>
              <w:rPr>
                <w:rFonts w:ascii="Century Gothic" w:hAnsi="Century Gothic" w:cs="Arial"/>
                <w:sz w:val="22"/>
                <w:szCs w:val="22"/>
              </w:rPr>
            </w:pPr>
            <w:r w:rsidRPr="003962B6">
              <w:rPr>
                <w:rFonts w:ascii="Century Gothic" w:hAnsi="Century Gothic" w:cs="Arial"/>
                <w:sz w:val="22"/>
                <w:szCs w:val="22"/>
              </w:rPr>
              <w:t>217,80 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E54A0" w:rsidRPr="003962B6" w:rsidRDefault="004E54A0" w:rsidP="004E54A0">
            <w:pPr>
              <w:rPr>
                <w:rFonts w:ascii="Century Gothic" w:hAnsi="Century Gothic" w:cs="Arial"/>
                <w:sz w:val="22"/>
                <w:szCs w:val="22"/>
              </w:rPr>
            </w:pPr>
            <w:r w:rsidRPr="003962B6">
              <w:rPr>
                <w:rFonts w:ascii="Century Gothic" w:hAnsi="Century Gothic" w:cs="Arial"/>
                <w:sz w:val="22"/>
                <w:szCs w:val="22"/>
                <w:lang w:val="sr-Latn-ME"/>
              </w:rPr>
              <w:t>205,70</w:t>
            </w:r>
            <w:r w:rsidRPr="003962B6">
              <w:rPr>
                <w:rFonts w:ascii="Century Gothic" w:hAnsi="Century Gothic" w:cs="Arial"/>
                <w:sz w:val="22"/>
                <w:szCs w:val="22"/>
              </w:rPr>
              <w:t> </w:t>
            </w:r>
          </w:p>
        </w:tc>
      </w:tr>
      <w:tr w:rsidR="004E54A0" w:rsidRPr="003962B6" w:rsidTr="00641BBE">
        <w:trPr>
          <w:trHeight w:val="855"/>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4E54A0" w:rsidRPr="003962B6" w:rsidRDefault="004E54A0" w:rsidP="004E54A0">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4A0" w:rsidRPr="003962B6" w:rsidRDefault="004E54A0" w:rsidP="004E54A0">
            <w:pPr>
              <w:rPr>
                <w:rFonts w:ascii="Century Gothic" w:hAnsi="Century Gothic" w:cs="Arial"/>
                <w:sz w:val="22"/>
                <w:szCs w:val="22"/>
              </w:rPr>
            </w:pPr>
            <w:r w:rsidRPr="003962B6">
              <w:rPr>
                <w:rFonts w:ascii="Century Gothic" w:hAnsi="Century Gothic" w:cs="Arial"/>
                <w:sz w:val="22"/>
                <w:szCs w:val="22"/>
              </w:rPr>
              <w:t>JEDNOKRILNI PROZOR sa obrtno nagibnim mehanizmom                                                            Površina otvora 1.5-2.0m2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E54A0" w:rsidRPr="003962B6" w:rsidRDefault="004E54A0" w:rsidP="004E54A0">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E54A0" w:rsidRPr="003962B6" w:rsidRDefault="004E54A0" w:rsidP="004E54A0">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E54A0" w:rsidRPr="003962B6" w:rsidRDefault="004E54A0" w:rsidP="004E54A0">
            <w:pPr>
              <w:jc w:val="right"/>
              <w:rPr>
                <w:rFonts w:ascii="Century Gothic" w:hAnsi="Century Gothic" w:cs="Arial"/>
                <w:sz w:val="22"/>
                <w:szCs w:val="22"/>
              </w:rPr>
            </w:pPr>
            <w:r w:rsidRPr="003962B6">
              <w:rPr>
                <w:rFonts w:ascii="Century Gothic" w:hAnsi="Century Gothic" w:cs="Arial"/>
                <w:sz w:val="22"/>
                <w:szCs w:val="22"/>
              </w:rPr>
              <w:t>215,00 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E54A0" w:rsidRPr="003962B6" w:rsidRDefault="004E54A0" w:rsidP="004E54A0">
            <w:pPr>
              <w:rPr>
                <w:rFonts w:ascii="Century Gothic" w:hAnsi="Century Gothic" w:cs="Arial"/>
                <w:sz w:val="22"/>
                <w:szCs w:val="22"/>
              </w:rPr>
            </w:pPr>
            <w:r w:rsidRPr="003962B6">
              <w:rPr>
                <w:rFonts w:ascii="Century Gothic" w:hAnsi="Century Gothic" w:cs="Arial"/>
                <w:sz w:val="22"/>
                <w:szCs w:val="22"/>
                <w:lang w:val="sr-Latn-ME"/>
              </w:rPr>
              <w:t>278,30</w:t>
            </w:r>
            <w:r w:rsidRPr="003962B6">
              <w:rPr>
                <w:rFonts w:ascii="Century Gothic" w:hAnsi="Century Gothic" w:cs="Arial"/>
                <w:sz w:val="22"/>
                <w:szCs w:val="22"/>
              </w:rPr>
              <w:t> </w:t>
            </w:r>
          </w:p>
        </w:tc>
      </w:tr>
      <w:tr w:rsidR="004E54A0" w:rsidRPr="003962B6" w:rsidTr="00641BBE">
        <w:trPr>
          <w:trHeight w:val="930"/>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4E54A0" w:rsidRPr="003962B6" w:rsidRDefault="004E54A0" w:rsidP="004E54A0">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4A0" w:rsidRPr="003962B6" w:rsidRDefault="004E54A0" w:rsidP="004E54A0">
            <w:pPr>
              <w:rPr>
                <w:rFonts w:ascii="Century Gothic" w:hAnsi="Century Gothic" w:cs="Arial"/>
                <w:sz w:val="22"/>
                <w:szCs w:val="22"/>
              </w:rPr>
            </w:pPr>
            <w:r w:rsidRPr="003962B6">
              <w:rPr>
                <w:rFonts w:ascii="Century Gothic" w:hAnsi="Century Gothic" w:cs="Arial"/>
                <w:sz w:val="22"/>
                <w:szCs w:val="22"/>
              </w:rPr>
              <w:t>JEDNOKRILNI PROZOR sa obrtno nagibnim mehanizmom  + roletna                                                          Površina otvora 0-0.5m2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E54A0" w:rsidRPr="003962B6" w:rsidRDefault="004E54A0" w:rsidP="004E54A0">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E54A0" w:rsidRPr="003962B6" w:rsidRDefault="004E54A0" w:rsidP="004E54A0">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E54A0" w:rsidRPr="003962B6" w:rsidRDefault="004E54A0" w:rsidP="004E54A0">
            <w:pPr>
              <w:jc w:val="right"/>
              <w:rPr>
                <w:rFonts w:ascii="Century Gothic" w:hAnsi="Century Gothic" w:cs="Arial"/>
                <w:sz w:val="22"/>
                <w:szCs w:val="22"/>
              </w:rPr>
            </w:pPr>
            <w:r w:rsidRPr="003962B6">
              <w:rPr>
                <w:rFonts w:ascii="Century Gothic" w:hAnsi="Century Gothic" w:cs="Arial"/>
                <w:sz w:val="22"/>
                <w:szCs w:val="22"/>
              </w:rPr>
              <w:t>187,55 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E54A0" w:rsidRPr="003962B6" w:rsidRDefault="004E54A0" w:rsidP="004E54A0">
            <w:pPr>
              <w:rPr>
                <w:rFonts w:ascii="Century Gothic" w:hAnsi="Century Gothic" w:cs="Arial"/>
                <w:sz w:val="22"/>
                <w:szCs w:val="22"/>
              </w:rPr>
            </w:pPr>
            <w:r w:rsidRPr="003962B6">
              <w:rPr>
                <w:rFonts w:ascii="Century Gothic" w:hAnsi="Century Gothic" w:cs="Arial"/>
                <w:sz w:val="22"/>
                <w:szCs w:val="22"/>
                <w:lang w:val="sr-Latn-ME"/>
              </w:rPr>
              <w:t>181,50</w:t>
            </w:r>
            <w:r w:rsidRPr="003962B6">
              <w:rPr>
                <w:rFonts w:ascii="Century Gothic" w:hAnsi="Century Gothic" w:cs="Arial"/>
                <w:sz w:val="22"/>
                <w:szCs w:val="22"/>
              </w:rPr>
              <w:t> </w:t>
            </w:r>
          </w:p>
        </w:tc>
      </w:tr>
      <w:tr w:rsidR="004E54A0" w:rsidRPr="003962B6" w:rsidTr="00641BBE">
        <w:trPr>
          <w:trHeight w:val="855"/>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4E54A0" w:rsidRPr="003962B6" w:rsidRDefault="004E54A0" w:rsidP="004E54A0">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4A0" w:rsidRPr="003962B6" w:rsidRDefault="004E54A0" w:rsidP="004E54A0">
            <w:pPr>
              <w:rPr>
                <w:rFonts w:ascii="Century Gothic" w:hAnsi="Century Gothic" w:cs="Arial"/>
                <w:sz w:val="22"/>
                <w:szCs w:val="22"/>
              </w:rPr>
            </w:pPr>
            <w:r w:rsidRPr="003962B6">
              <w:rPr>
                <w:rFonts w:ascii="Century Gothic" w:hAnsi="Century Gothic" w:cs="Arial"/>
                <w:sz w:val="22"/>
                <w:szCs w:val="22"/>
              </w:rPr>
              <w:t>JEDNOKRILNI PROZOR sa obrtno nagibnim mehanizmom   + roletna                                                         Površina otvora 0.5-1.0m2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E54A0" w:rsidRPr="003962B6" w:rsidRDefault="004E54A0" w:rsidP="004E54A0">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E54A0" w:rsidRPr="003962B6" w:rsidRDefault="004E54A0" w:rsidP="004E54A0">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E54A0" w:rsidRPr="003962B6" w:rsidRDefault="004E54A0" w:rsidP="004E54A0">
            <w:pPr>
              <w:jc w:val="right"/>
              <w:rPr>
                <w:rFonts w:ascii="Century Gothic" w:hAnsi="Century Gothic" w:cs="Arial"/>
                <w:sz w:val="22"/>
                <w:szCs w:val="22"/>
              </w:rPr>
            </w:pPr>
            <w:r w:rsidRPr="003962B6">
              <w:rPr>
                <w:rFonts w:ascii="Century Gothic" w:hAnsi="Century Gothic" w:cs="Arial"/>
                <w:sz w:val="22"/>
                <w:szCs w:val="22"/>
              </w:rPr>
              <w:t>205,70 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E54A0" w:rsidRPr="003962B6" w:rsidRDefault="004E54A0" w:rsidP="004E54A0">
            <w:pPr>
              <w:rPr>
                <w:rFonts w:ascii="Century Gothic" w:hAnsi="Century Gothic" w:cs="Arial"/>
                <w:sz w:val="22"/>
                <w:szCs w:val="22"/>
              </w:rPr>
            </w:pPr>
            <w:r w:rsidRPr="003962B6">
              <w:rPr>
                <w:rFonts w:ascii="Century Gothic" w:hAnsi="Century Gothic" w:cs="Arial"/>
                <w:sz w:val="22"/>
                <w:szCs w:val="22"/>
                <w:lang w:val="sr-Latn-ME"/>
              </w:rPr>
              <w:t>229,90</w:t>
            </w:r>
            <w:r w:rsidRPr="003962B6">
              <w:rPr>
                <w:rFonts w:ascii="Century Gothic" w:hAnsi="Century Gothic" w:cs="Arial"/>
                <w:sz w:val="22"/>
                <w:szCs w:val="22"/>
              </w:rPr>
              <w:t> </w:t>
            </w:r>
          </w:p>
        </w:tc>
      </w:tr>
      <w:tr w:rsidR="004E54A0" w:rsidRPr="003962B6" w:rsidTr="00641BBE">
        <w:trPr>
          <w:trHeight w:val="855"/>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4E54A0" w:rsidRPr="003962B6" w:rsidRDefault="004E54A0" w:rsidP="004E54A0">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4A0" w:rsidRPr="003962B6" w:rsidRDefault="004E54A0" w:rsidP="004E54A0">
            <w:pPr>
              <w:rPr>
                <w:rFonts w:ascii="Century Gothic" w:hAnsi="Century Gothic" w:cs="Arial"/>
                <w:sz w:val="22"/>
                <w:szCs w:val="22"/>
              </w:rPr>
            </w:pPr>
            <w:r w:rsidRPr="003962B6">
              <w:rPr>
                <w:rFonts w:ascii="Century Gothic" w:hAnsi="Century Gothic" w:cs="Arial"/>
                <w:sz w:val="22"/>
                <w:szCs w:val="22"/>
              </w:rPr>
              <w:t>JEDNOKRILNI PROZOR sa obrtno nagibnim mehanizmom   + roletna                                                         Površina otvora 1.0-1.5m2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E54A0" w:rsidRPr="003962B6" w:rsidRDefault="004E54A0" w:rsidP="004E54A0">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E54A0" w:rsidRPr="003962B6" w:rsidRDefault="004E54A0" w:rsidP="004E54A0">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E54A0" w:rsidRPr="003962B6" w:rsidRDefault="004E54A0" w:rsidP="004E54A0">
            <w:pPr>
              <w:jc w:val="right"/>
              <w:rPr>
                <w:rFonts w:ascii="Century Gothic" w:hAnsi="Century Gothic" w:cs="Arial"/>
                <w:sz w:val="22"/>
                <w:szCs w:val="22"/>
              </w:rPr>
            </w:pPr>
            <w:r w:rsidRPr="003962B6">
              <w:rPr>
                <w:rFonts w:ascii="Century Gothic" w:hAnsi="Century Gothic" w:cs="Arial"/>
                <w:sz w:val="22"/>
                <w:szCs w:val="22"/>
              </w:rPr>
              <w:t>278,30 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E54A0" w:rsidRPr="003962B6" w:rsidRDefault="004E54A0" w:rsidP="004E54A0">
            <w:pPr>
              <w:rPr>
                <w:rFonts w:ascii="Century Gothic" w:hAnsi="Century Gothic" w:cs="Arial"/>
                <w:sz w:val="22"/>
                <w:szCs w:val="22"/>
              </w:rPr>
            </w:pPr>
            <w:r w:rsidRPr="003962B6">
              <w:rPr>
                <w:rFonts w:ascii="Century Gothic" w:hAnsi="Century Gothic" w:cs="Arial"/>
                <w:sz w:val="22"/>
                <w:szCs w:val="22"/>
                <w:lang w:val="sr-Latn-ME"/>
              </w:rPr>
              <w:t>302,50</w:t>
            </w:r>
            <w:r w:rsidRPr="003962B6">
              <w:rPr>
                <w:rFonts w:ascii="Century Gothic" w:hAnsi="Century Gothic" w:cs="Arial"/>
                <w:sz w:val="22"/>
                <w:szCs w:val="22"/>
              </w:rPr>
              <w:t> </w:t>
            </w:r>
          </w:p>
        </w:tc>
      </w:tr>
      <w:tr w:rsidR="004E54A0" w:rsidRPr="003962B6" w:rsidTr="00641BBE">
        <w:trPr>
          <w:trHeight w:val="855"/>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4E54A0" w:rsidRPr="003962B6" w:rsidRDefault="004E54A0" w:rsidP="004E54A0">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4A0" w:rsidRPr="003962B6" w:rsidRDefault="004E54A0" w:rsidP="004E54A0">
            <w:pPr>
              <w:rPr>
                <w:rFonts w:ascii="Century Gothic" w:hAnsi="Century Gothic" w:cs="Arial"/>
                <w:sz w:val="22"/>
                <w:szCs w:val="22"/>
              </w:rPr>
            </w:pPr>
            <w:r w:rsidRPr="003962B6">
              <w:rPr>
                <w:rFonts w:ascii="Century Gothic" w:hAnsi="Century Gothic" w:cs="Arial"/>
                <w:sz w:val="22"/>
                <w:szCs w:val="22"/>
              </w:rPr>
              <w:t>JEDNOKRILNI PROZOR sa obrtno nagibnim mehanizmom    + roletna                                                        Površina otvora 1.5-2.0m2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E54A0" w:rsidRPr="003962B6" w:rsidRDefault="004E54A0" w:rsidP="004E54A0">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E54A0" w:rsidRPr="003962B6" w:rsidRDefault="004E54A0" w:rsidP="004E54A0">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E54A0" w:rsidRPr="003962B6" w:rsidRDefault="004E54A0" w:rsidP="004E54A0">
            <w:pPr>
              <w:jc w:val="right"/>
              <w:rPr>
                <w:rFonts w:ascii="Century Gothic" w:hAnsi="Century Gothic" w:cs="Arial"/>
                <w:sz w:val="22"/>
                <w:szCs w:val="22"/>
              </w:rPr>
            </w:pPr>
            <w:r w:rsidRPr="003962B6">
              <w:rPr>
                <w:rFonts w:ascii="Century Gothic" w:hAnsi="Century Gothic" w:cs="Arial"/>
                <w:sz w:val="22"/>
                <w:szCs w:val="22"/>
              </w:rPr>
              <w:t>320,65 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E54A0" w:rsidRPr="003962B6" w:rsidRDefault="004E54A0" w:rsidP="004E54A0">
            <w:pPr>
              <w:rPr>
                <w:rFonts w:ascii="Century Gothic" w:hAnsi="Century Gothic" w:cs="Arial"/>
                <w:sz w:val="22"/>
                <w:szCs w:val="22"/>
              </w:rPr>
            </w:pPr>
            <w:r w:rsidRPr="003962B6">
              <w:rPr>
                <w:rFonts w:ascii="Century Gothic" w:hAnsi="Century Gothic" w:cs="Arial"/>
                <w:sz w:val="22"/>
                <w:szCs w:val="22"/>
                <w:lang w:val="sr-Latn-ME"/>
              </w:rPr>
              <w:t>387,20</w:t>
            </w:r>
            <w:r w:rsidRPr="003962B6">
              <w:rPr>
                <w:rFonts w:ascii="Century Gothic" w:hAnsi="Century Gothic" w:cs="Arial"/>
                <w:sz w:val="22"/>
                <w:szCs w:val="22"/>
              </w:rPr>
              <w:t> </w:t>
            </w:r>
          </w:p>
        </w:tc>
      </w:tr>
      <w:tr w:rsidR="004E54A0" w:rsidRPr="003962B6" w:rsidTr="00641BBE">
        <w:trPr>
          <w:trHeight w:val="930"/>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4E54A0" w:rsidRPr="003962B6" w:rsidRDefault="004E54A0" w:rsidP="004E54A0">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4A0" w:rsidRPr="003962B6" w:rsidRDefault="004E54A0" w:rsidP="004E54A0">
            <w:pPr>
              <w:rPr>
                <w:rFonts w:ascii="Century Gothic" w:hAnsi="Century Gothic" w:cs="Arial"/>
                <w:sz w:val="22"/>
                <w:szCs w:val="22"/>
              </w:rPr>
            </w:pPr>
            <w:r w:rsidRPr="003962B6">
              <w:rPr>
                <w:rFonts w:ascii="Century Gothic" w:hAnsi="Century Gothic" w:cs="Arial"/>
                <w:sz w:val="22"/>
                <w:szCs w:val="22"/>
              </w:rPr>
              <w:t xml:space="preserve">DVOKRILNI PROZOR od kojih je jedno krilo sa obrtno nagibnim </w:t>
            </w:r>
            <w:proofErr w:type="gramStart"/>
            <w:r w:rsidRPr="003962B6">
              <w:rPr>
                <w:rFonts w:ascii="Century Gothic" w:hAnsi="Century Gothic" w:cs="Arial"/>
                <w:sz w:val="22"/>
                <w:szCs w:val="22"/>
              </w:rPr>
              <w:t>mehanizmom .</w:t>
            </w:r>
            <w:proofErr w:type="gramEnd"/>
            <w:r w:rsidRPr="003962B6">
              <w:rPr>
                <w:rFonts w:ascii="Century Gothic" w:hAnsi="Century Gothic" w:cs="Arial"/>
                <w:sz w:val="22"/>
                <w:szCs w:val="22"/>
              </w:rPr>
              <w:t xml:space="preserve"> Površina otvora 1.0-1.5m2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E54A0" w:rsidRPr="003962B6" w:rsidRDefault="004E54A0" w:rsidP="004E54A0">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E54A0" w:rsidRPr="003962B6" w:rsidRDefault="004E54A0" w:rsidP="004E54A0">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E54A0" w:rsidRPr="003962B6" w:rsidRDefault="004E54A0" w:rsidP="004E54A0">
            <w:pPr>
              <w:jc w:val="right"/>
              <w:rPr>
                <w:rFonts w:ascii="Century Gothic" w:hAnsi="Century Gothic" w:cs="Arial"/>
                <w:sz w:val="22"/>
                <w:szCs w:val="22"/>
              </w:rPr>
            </w:pPr>
            <w:r w:rsidRPr="003962B6">
              <w:rPr>
                <w:rFonts w:ascii="Century Gothic" w:hAnsi="Century Gothic" w:cs="Arial"/>
                <w:sz w:val="22"/>
                <w:szCs w:val="22"/>
              </w:rPr>
              <w:t>266,20 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E54A0" w:rsidRPr="003962B6" w:rsidRDefault="004E54A0" w:rsidP="004E54A0">
            <w:pPr>
              <w:rPr>
                <w:rFonts w:ascii="Century Gothic" w:hAnsi="Century Gothic" w:cs="Arial"/>
                <w:sz w:val="22"/>
                <w:szCs w:val="22"/>
              </w:rPr>
            </w:pPr>
            <w:r w:rsidRPr="003962B6">
              <w:rPr>
                <w:rFonts w:ascii="Century Gothic" w:hAnsi="Century Gothic" w:cs="Arial"/>
                <w:sz w:val="22"/>
                <w:szCs w:val="22"/>
                <w:lang w:val="sr-Latn-ME"/>
              </w:rPr>
              <w:t>248,05</w:t>
            </w:r>
            <w:r w:rsidRPr="003962B6">
              <w:rPr>
                <w:rFonts w:ascii="Century Gothic" w:hAnsi="Century Gothic" w:cs="Arial"/>
                <w:sz w:val="22"/>
                <w:szCs w:val="22"/>
              </w:rPr>
              <w:t> </w:t>
            </w:r>
          </w:p>
        </w:tc>
      </w:tr>
      <w:tr w:rsidR="004E54A0" w:rsidRPr="003962B6" w:rsidTr="00641BBE">
        <w:trPr>
          <w:trHeight w:val="855"/>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4E54A0" w:rsidRPr="003962B6" w:rsidRDefault="004E54A0" w:rsidP="004E54A0">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4A0" w:rsidRPr="003962B6" w:rsidRDefault="004E54A0" w:rsidP="004E54A0">
            <w:pPr>
              <w:rPr>
                <w:rFonts w:ascii="Century Gothic" w:hAnsi="Century Gothic" w:cs="Arial"/>
                <w:sz w:val="22"/>
                <w:szCs w:val="22"/>
              </w:rPr>
            </w:pPr>
            <w:r w:rsidRPr="003962B6">
              <w:rPr>
                <w:rFonts w:ascii="Century Gothic" w:hAnsi="Century Gothic" w:cs="Arial"/>
                <w:sz w:val="22"/>
                <w:szCs w:val="22"/>
              </w:rPr>
              <w:t>DVOKRILNI PROZOR od kojih je jedno krilo sa obrtno nagibnim mehanizmom. Površina otvora 1.5-2.0m2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E54A0" w:rsidRPr="003962B6" w:rsidRDefault="004E54A0" w:rsidP="004E54A0">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E54A0" w:rsidRPr="003962B6" w:rsidRDefault="004E54A0" w:rsidP="004E54A0">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E54A0" w:rsidRPr="003962B6" w:rsidRDefault="004E54A0" w:rsidP="004E54A0">
            <w:pPr>
              <w:jc w:val="right"/>
              <w:rPr>
                <w:rFonts w:ascii="Century Gothic" w:hAnsi="Century Gothic" w:cs="Arial"/>
                <w:sz w:val="22"/>
                <w:szCs w:val="22"/>
              </w:rPr>
            </w:pPr>
            <w:r w:rsidRPr="003962B6">
              <w:rPr>
                <w:rFonts w:ascii="Century Gothic" w:hAnsi="Century Gothic" w:cs="Arial"/>
                <w:sz w:val="22"/>
                <w:szCs w:val="22"/>
              </w:rPr>
              <w:t>296,45 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E54A0" w:rsidRPr="003962B6" w:rsidRDefault="004E54A0" w:rsidP="004E54A0">
            <w:pPr>
              <w:rPr>
                <w:rFonts w:ascii="Century Gothic" w:hAnsi="Century Gothic" w:cs="Arial"/>
                <w:sz w:val="22"/>
                <w:szCs w:val="22"/>
              </w:rPr>
            </w:pPr>
            <w:r w:rsidRPr="003962B6">
              <w:rPr>
                <w:rFonts w:ascii="Century Gothic" w:hAnsi="Century Gothic" w:cs="Arial"/>
                <w:sz w:val="22"/>
                <w:szCs w:val="22"/>
                <w:lang w:val="sr-Latn-ME"/>
              </w:rPr>
              <w:t>326,70</w:t>
            </w:r>
            <w:r w:rsidRPr="003962B6">
              <w:rPr>
                <w:rFonts w:ascii="Century Gothic" w:hAnsi="Century Gothic" w:cs="Arial"/>
                <w:sz w:val="22"/>
                <w:szCs w:val="22"/>
              </w:rPr>
              <w:t> </w:t>
            </w:r>
          </w:p>
        </w:tc>
      </w:tr>
      <w:tr w:rsidR="004E54A0" w:rsidRPr="003962B6" w:rsidTr="00641BBE">
        <w:trPr>
          <w:trHeight w:val="855"/>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4E54A0" w:rsidRPr="003962B6" w:rsidRDefault="004E54A0" w:rsidP="004E54A0">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4A0" w:rsidRPr="003962B6" w:rsidRDefault="004E54A0" w:rsidP="004E54A0">
            <w:pPr>
              <w:rPr>
                <w:rFonts w:ascii="Century Gothic" w:hAnsi="Century Gothic" w:cs="Arial"/>
                <w:sz w:val="22"/>
                <w:szCs w:val="22"/>
              </w:rPr>
            </w:pPr>
            <w:r w:rsidRPr="003962B6">
              <w:rPr>
                <w:rFonts w:ascii="Century Gothic" w:hAnsi="Century Gothic" w:cs="Arial"/>
                <w:sz w:val="22"/>
                <w:szCs w:val="22"/>
              </w:rPr>
              <w:t>DVOKRILNI PROZOR od kojih je jedno krilo sa obrtno nagibnim mehanizmom. Površina otvora 2.0-2.5m2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E54A0" w:rsidRPr="003962B6" w:rsidRDefault="004E54A0" w:rsidP="004E54A0">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E54A0" w:rsidRPr="003962B6" w:rsidRDefault="004E54A0" w:rsidP="004E54A0">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E54A0" w:rsidRPr="003962B6" w:rsidRDefault="004E54A0" w:rsidP="004E54A0">
            <w:pPr>
              <w:jc w:val="right"/>
              <w:rPr>
                <w:rFonts w:ascii="Century Gothic" w:hAnsi="Century Gothic" w:cs="Arial"/>
                <w:sz w:val="22"/>
                <w:szCs w:val="22"/>
              </w:rPr>
            </w:pPr>
            <w:r w:rsidRPr="003962B6">
              <w:rPr>
                <w:rFonts w:ascii="Century Gothic" w:hAnsi="Century Gothic" w:cs="Arial"/>
                <w:sz w:val="22"/>
                <w:szCs w:val="22"/>
              </w:rPr>
              <w:t>314,60 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E54A0" w:rsidRPr="003962B6" w:rsidRDefault="004E54A0" w:rsidP="004E54A0">
            <w:pPr>
              <w:rPr>
                <w:rFonts w:ascii="Century Gothic" w:hAnsi="Century Gothic" w:cs="Arial"/>
                <w:sz w:val="22"/>
                <w:szCs w:val="22"/>
              </w:rPr>
            </w:pPr>
            <w:r w:rsidRPr="003962B6">
              <w:rPr>
                <w:rFonts w:ascii="Century Gothic" w:hAnsi="Century Gothic" w:cs="Arial"/>
                <w:sz w:val="22"/>
                <w:szCs w:val="22"/>
                <w:lang w:val="sr-Latn-ME"/>
              </w:rPr>
              <w:t>399,30</w:t>
            </w:r>
            <w:r w:rsidRPr="003962B6">
              <w:rPr>
                <w:rFonts w:ascii="Century Gothic" w:hAnsi="Century Gothic" w:cs="Arial"/>
                <w:sz w:val="22"/>
                <w:szCs w:val="22"/>
              </w:rPr>
              <w:t> </w:t>
            </w:r>
          </w:p>
        </w:tc>
      </w:tr>
      <w:tr w:rsidR="004E54A0" w:rsidRPr="003962B6" w:rsidTr="00641BBE">
        <w:trPr>
          <w:trHeight w:val="855"/>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4E54A0" w:rsidRPr="003962B6" w:rsidRDefault="004E54A0" w:rsidP="004E54A0">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4A0" w:rsidRPr="003962B6" w:rsidRDefault="004E54A0" w:rsidP="004E54A0">
            <w:pPr>
              <w:rPr>
                <w:rFonts w:ascii="Century Gothic" w:hAnsi="Century Gothic" w:cs="Arial"/>
                <w:sz w:val="22"/>
                <w:szCs w:val="22"/>
              </w:rPr>
            </w:pPr>
            <w:r w:rsidRPr="003962B6">
              <w:rPr>
                <w:rFonts w:ascii="Century Gothic" w:hAnsi="Century Gothic" w:cs="Arial"/>
                <w:sz w:val="22"/>
                <w:szCs w:val="22"/>
              </w:rPr>
              <w:t xml:space="preserve">DVOKRILNI PROZOR od kojih je jedno krilo sa obrtno nagibnim </w:t>
            </w:r>
            <w:proofErr w:type="gramStart"/>
            <w:r w:rsidRPr="003962B6">
              <w:rPr>
                <w:rFonts w:ascii="Century Gothic" w:hAnsi="Century Gothic" w:cs="Arial"/>
                <w:sz w:val="22"/>
                <w:szCs w:val="22"/>
              </w:rPr>
              <w:t>mehanizmom .</w:t>
            </w:r>
            <w:proofErr w:type="gramEnd"/>
            <w:r w:rsidRPr="003962B6">
              <w:rPr>
                <w:rFonts w:ascii="Century Gothic" w:hAnsi="Century Gothic" w:cs="Arial"/>
                <w:sz w:val="22"/>
                <w:szCs w:val="22"/>
              </w:rPr>
              <w:t xml:space="preserve"> Površina otvora 2.5-3.0m2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E54A0" w:rsidRPr="003962B6" w:rsidRDefault="004E54A0" w:rsidP="004E54A0">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E54A0" w:rsidRPr="003962B6" w:rsidRDefault="004E54A0" w:rsidP="004E54A0">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E54A0" w:rsidRPr="003962B6" w:rsidRDefault="004E54A0" w:rsidP="004E54A0">
            <w:pPr>
              <w:jc w:val="right"/>
              <w:rPr>
                <w:rFonts w:ascii="Century Gothic" w:hAnsi="Century Gothic" w:cs="Arial"/>
                <w:sz w:val="22"/>
                <w:szCs w:val="22"/>
              </w:rPr>
            </w:pPr>
            <w:r w:rsidRPr="003962B6">
              <w:rPr>
                <w:rFonts w:ascii="Century Gothic" w:hAnsi="Century Gothic" w:cs="Arial"/>
                <w:sz w:val="22"/>
                <w:szCs w:val="22"/>
              </w:rPr>
              <w:t>423,50 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E54A0" w:rsidRPr="003962B6" w:rsidRDefault="004E54A0" w:rsidP="004E54A0">
            <w:pPr>
              <w:rPr>
                <w:rFonts w:ascii="Century Gothic" w:hAnsi="Century Gothic" w:cs="Arial"/>
                <w:sz w:val="22"/>
                <w:szCs w:val="22"/>
              </w:rPr>
            </w:pPr>
            <w:r w:rsidRPr="003962B6">
              <w:rPr>
                <w:rFonts w:ascii="Century Gothic" w:hAnsi="Century Gothic" w:cs="Arial"/>
                <w:sz w:val="22"/>
                <w:szCs w:val="22"/>
                <w:lang w:val="sr-Latn-ME"/>
              </w:rPr>
              <w:t>484,00</w:t>
            </w:r>
            <w:r w:rsidRPr="003962B6">
              <w:rPr>
                <w:rFonts w:ascii="Century Gothic" w:hAnsi="Century Gothic" w:cs="Arial"/>
                <w:sz w:val="22"/>
                <w:szCs w:val="22"/>
              </w:rPr>
              <w:t> </w:t>
            </w:r>
          </w:p>
        </w:tc>
      </w:tr>
      <w:tr w:rsidR="004E54A0" w:rsidRPr="003962B6" w:rsidTr="00641BBE">
        <w:trPr>
          <w:trHeight w:val="930"/>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4E54A0" w:rsidRPr="003962B6" w:rsidRDefault="004E54A0" w:rsidP="004E54A0">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4A0" w:rsidRPr="003962B6" w:rsidRDefault="004E54A0" w:rsidP="004E54A0">
            <w:pPr>
              <w:rPr>
                <w:rFonts w:ascii="Century Gothic" w:hAnsi="Century Gothic" w:cs="Arial"/>
                <w:sz w:val="22"/>
                <w:szCs w:val="22"/>
              </w:rPr>
            </w:pPr>
            <w:r w:rsidRPr="003962B6">
              <w:rPr>
                <w:rFonts w:ascii="Century Gothic" w:hAnsi="Century Gothic" w:cs="Arial"/>
                <w:sz w:val="22"/>
                <w:szCs w:val="22"/>
              </w:rPr>
              <w:t>DVOKRILNI PROZOR od kojih je jedno krilo sa obrtno nagibnim mehanizmom   + roletna. Površina otvora 1.0-1.5m2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E54A0" w:rsidRPr="003962B6" w:rsidRDefault="004E54A0" w:rsidP="004E54A0">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E54A0" w:rsidRPr="003962B6" w:rsidRDefault="004E54A0" w:rsidP="004E54A0">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E54A0" w:rsidRPr="003962B6" w:rsidRDefault="004E54A0" w:rsidP="004E54A0">
            <w:pPr>
              <w:jc w:val="right"/>
              <w:rPr>
                <w:rFonts w:ascii="Century Gothic" w:hAnsi="Century Gothic" w:cs="Arial"/>
                <w:sz w:val="22"/>
                <w:szCs w:val="22"/>
              </w:rPr>
            </w:pPr>
            <w:r w:rsidRPr="003962B6">
              <w:rPr>
                <w:rFonts w:ascii="Century Gothic" w:hAnsi="Century Gothic" w:cs="Arial"/>
                <w:sz w:val="22"/>
                <w:szCs w:val="22"/>
              </w:rPr>
              <w:t>338,80 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E54A0" w:rsidRPr="003962B6" w:rsidRDefault="004E54A0" w:rsidP="004E54A0">
            <w:pPr>
              <w:rPr>
                <w:rFonts w:ascii="Century Gothic" w:hAnsi="Century Gothic" w:cs="Arial"/>
                <w:sz w:val="22"/>
                <w:szCs w:val="22"/>
              </w:rPr>
            </w:pPr>
            <w:r w:rsidRPr="003962B6">
              <w:rPr>
                <w:rFonts w:ascii="Century Gothic" w:hAnsi="Century Gothic" w:cs="Arial"/>
                <w:sz w:val="22"/>
                <w:szCs w:val="22"/>
                <w:lang w:val="sr-Latn-ME"/>
              </w:rPr>
              <w:t>344,85</w:t>
            </w:r>
            <w:r w:rsidRPr="003962B6">
              <w:rPr>
                <w:rFonts w:ascii="Century Gothic" w:hAnsi="Century Gothic" w:cs="Arial"/>
                <w:sz w:val="22"/>
                <w:szCs w:val="22"/>
              </w:rPr>
              <w:t> </w:t>
            </w:r>
          </w:p>
        </w:tc>
      </w:tr>
      <w:tr w:rsidR="004E54A0" w:rsidRPr="003962B6" w:rsidTr="00641BBE">
        <w:trPr>
          <w:trHeight w:val="855"/>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4E54A0" w:rsidRPr="003962B6" w:rsidRDefault="004E54A0" w:rsidP="004E54A0">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4A0" w:rsidRPr="003962B6" w:rsidRDefault="004E54A0" w:rsidP="004E54A0">
            <w:pPr>
              <w:rPr>
                <w:rFonts w:ascii="Century Gothic" w:hAnsi="Century Gothic" w:cs="Arial"/>
                <w:sz w:val="22"/>
                <w:szCs w:val="22"/>
              </w:rPr>
            </w:pPr>
            <w:r w:rsidRPr="003962B6">
              <w:rPr>
                <w:rFonts w:ascii="Century Gothic" w:hAnsi="Century Gothic" w:cs="Arial"/>
                <w:sz w:val="22"/>
                <w:szCs w:val="22"/>
              </w:rPr>
              <w:t>DVOKRILNI PROZOR od kojih je jedno krilo sa obrtno nagibnim mehanizmom   + roletna. Površina otvora 1.5-2.0m2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E54A0" w:rsidRPr="003962B6" w:rsidRDefault="004E54A0" w:rsidP="004E54A0">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E54A0" w:rsidRPr="003962B6" w:rsidRDefault="004E54A0" w:rsidP="004E54A0">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E54A0" w:rsidRPr="003962B6" w:rsidRDefault="004E54A0" w:rsidP="004E54A0">
            <w:pPr>
              <w:jc w:val="right"/>
              <w:rPr>
                <w:rFonts w:ascii="Century Gothic" w:hAnsi="Century Gothic" w:cs="Arial"/>
                <w:sz w:val="22"/>
                <w:szCs w:val="22"/>
              </w:rPr>
            </w:pPr>
            <w:r w:rsidRPr="003962B6">
              <w:rPr>
                <w:rFonts w:ascii="Century Gothic" w:hAnsi="Century Gothic" w:cs="Arial"/>
                <w:sz w:val="22"/>
                <w:szCs w:val="22"/>
              </w:rPr>
              <w:t>393,25 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E54A0" w:rsidRPr="003962B6" w:rsidRDefault="004E54A0" w:rsidP="004E54A0">
            <w:pPr>
              <w:rPr>
                <w:rFonts w:ascii="Century Gothic" w:hAnsi="Century Gothic" w:cs="Arial"/>
                <w:sz w:val="22"/>
                <w:szCs w:val="22"/>
              </w:rPr>
            </w:pPr>
            <w:r w:rsidRPr="003962B6">
              <w:rPr>
                <w:rFonts w:ascii="Century Gothic" w:hAnsi="Century Gothic" w:cs="Arial"/>
                <w:sz w:val="22"/>
                <w:szCs w:val="22"/>
                <w:lang w:val="sr-Latn-ME"/>
              </w:rPr>
              <w:t>471,90</w:t>
            </w:r>
            <w:r w:rsidRPr="003962B6">
              <w:rPr>
                <w:rFonts w:ascii="Century Gothic" w:hAnsi="Century Gothic" w:cs="Arial"/>
                <w:sz w:val="22"/>
                <w:szCs w:val="22"/>
              </w:rPr>
              <w:t> </w:t>
            </w:r>
          </w:p>
        </w:tc>
      </w:tr>
      <w:tr w:rsidR="004E54A0" w:rsidRPr="003962B6" w:rsidTr="00641BBE">
        <w:trPr>
          <w:trHeight w:val="855"/>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4E54A0" w:rsidRPr="003962B6" w:rsidRDefault="004E54A0" w:rsidP="004E54A0">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4A0" w:rsidRPr="003962B6" w:rsidRDefault="004E54A0" w:rsidP="004E54A0">
            <w:pPr>
              <w:rPr>
                <w:rFonts w:ascii="Century Gothic" w:hAnsi="Century Gothic" w:cs="Arial"/>
                <w:sz w:val="22"/>
                <w:szCs w:val="22"/>
              </w:rPr>
            </w:pPr>
            <w:r w:rsidRPr="003962B6">
              <w:rPr>
                <w:rFonts w:ascii="Century Gothic" w:hAnsi="Century Gothic" w:cs="Arial"/>
                <w:sz w:val="22"/>
                <w:szCs w:val="22"/>
              </w:rPr>
              <w:t xml:space="preserve">DVOKRILNI PROZOR od kojih je jedno krilo sa obrtno nagibnim </w:t>
            </w:r>
            <w:proofErr w:type="gramStart"/>
            <w:r w:rsidRPr="003962B6">
              <w:rPr>
                <w:rFonts w:ascii="Century Gothic" w:hAnsi="Century Gothic" w:cs="Arial"/>
                <w:sz w:val="22"/>
                <w:szCs w:val="22"/>
              </w:rPr>
              <w:t>mehanizmom  +</w:t>
            </w:r>
            <w:proofErr w:type="gramEnd"/>
            <w:r w:rsidRPr="003962B6">
              <w:rPr>
                <w:rFonts w:ascii="Century Gothic" w:hAnsi="Century Gothic" w:cs="Arial"/>
                <w:sz w:val="22"/>
                <w:szCs w:val="22"/>
              </w:rPr>
              <w:t xml:space="preserve"> roletna . Površina otvora 2.0-2.5m2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E54A0" w:rsidRPr="003962B6" w:rsidRDefault="004E54A0" w:rsidP="004E54A0">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E54A0" w:rsidRPr="003962B6" w:rsidRDefault="004E54A0" w:rsidP="004E54A0">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E54A0" w:rsidRPr="003962B6" w:rsidRDefault="004E54A0" w:rsidP="004E54A0">
            <w:pPr>
              <w:jc w:val="right"/>
              <w:rPr>
                <w:rFonts w:ascii="Century Gothic" w:hAnsi="Century Gothic" w:cs="Arial"/>
                <w:sz w:val="22"/>
                <w:szCs w:val="22"/>
              </w:rPr>
            </w:pPr>
            <w:r w:rsidRPr="003962B6">
              <w:rPr>
                <w:rFonts w:ascii="Century Gothic" w:hAnsi="Century Gothic" w:cs="Arial"/>
                <w:sz w:val="22"/>
                <w:szCs w:val="22"/>
              </w:rPr>
              <w:t>453,75 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E54A0" w:rsidRPr="003962B6" w:rsidRDefault="004E54A0" w:rsidP="004E54A0">
            <w:pPr>
              <w:rPr>
                <w:rFonts w:ascii="Century Gothic" w:hAnsi="Century Gothic" w:cs="Arial"/>
                <w:sz w:val="22"/>
                <w:szCs w:val="22"/>
              </w:rPr>
            </w:pPr>
            <w:r w:rsidRPr="003962B6">
              <w:rPr>
                <w:rFonts w:ascii="Century Gothic" w:hAnsi="Century Gothic" w:cs="Arial"/>
                <w:sz w:val="22"/>
                <w:szCs w:val="22"/>
                <w:lang w:val="sr-Latn-ME"/>
              </w:rPr>
              <w:t>556,60</w:t>
            </w:r>
            <w:r w:rsidRPr="003962B6">
              <w:rPr>
                <w:rFonts w:ascii="Century Gothic" w:hAnsi="Century Gothic" w:cs="Arial"/>
                <w:sz w:val="22"/>
                <w:szCs w:val="22"/>
              </w:rPr>
              <w:t> </w:t>
            </w:r>
          </w:p>
        </w:tc>
      </w:tr>
      <w:tr w:rsidR="004E54A0" w:rsidRPr="003962B6" w:rsidTr="00641BBE">
        <w:trPr>
          <w:trHeight w:val="855"/>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4E54A0" w:rsidRPr="003962B6" w:rsidRDefault="004E54A0" w:rsidP="004E54A0">
            <w:pPr>
              <w:rPr>
                <w:rFonts w:ascii="Century Gothic" w:hAnsi="Century Gothic" w:cs="Arial"/>
                <w:sz w:val="22"/>
                <w:szCs w:val="22"/>
              </w:rPr>
            </w:pPr>
          </w:p>
        </w:tc>
        <w:tc>
          <w:tcPr>
            <w:tcW w:w="9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54A0" w:rsidRPr="003962B6" w:rsidRDefault="004E54A0" w:rsidP="004E54A0">
            <w:pPr>
              <w:rPr>
                <w:rFonts w:ascii="Century Gothic" w:hAnsi="Century Gothic" w:cs="Arial"/>
                <w:sz w:val="22"/>
                <w:szCs w:val="22"/>
              </w:rPr>
            </w:pPr>
            <w:r w:rsidRPr="003962B6">
              <w:rPr>
                <w:rFonts w:ascii="Century Gothic" w:hAnsi="Century Gothic" w:cs="Arial"/>
                <w:sz w:val="22"/>
                <w:szCs w:val="22"/>
              </w:rPr>
              <w:t>DVOKRILNI PROZOR od kojih je jedno krilo sa obrtno nagibnim mehanizmom   + roletna. Površina otvora 2.5-3.0m2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E54A0" w:rsidRPr="003962B6" w:rsidRDefault="004E54A0" w:rsidP="004E54A0">
            <w:pPr>
              <w:jc w:val="right"/>
              <w:rPr>
                <w:rFonts w:ascii="Century Gothic" w:hAnsi="Century Gothic" w:cs="Arial"/>
                <w:sz w:val="22"/>
                <w:szCs w:val="22"/>
              </w:rPr>
            </w:pPr>
            <w:r w:rsidRPr="003962B6">
              <w:rPr>
                <w:rFonts w:ascii="Century Gothic" w:hAnsi="Century Gothic" w:cs="Arial"/>
                <w:sz w:val="22"/>
                <w:szCs w:val="22"/>
              </w:rPr>
              <w:t>kom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E54A0" w:rsidRPr="003962B6" w:rsidRDefault="004E54A0" w:rsidP="004E54A0">
            <w:pPr>
              <w:rPr>
                <w:rFonts w:ascii="Century Gothic" w:hAnsi="Century Gothic" w:cs="Arial"/>
                <w:color w:val="FF0000"/>
                <w:sz w:val="22"/>
                <w:szCs w:val="22"/>
              </w:rPr>
            </w:pPr>
            <w:r w:rsidRPr="003962B6">
              <w:rPr>
                <w:rFonts w:ascii="Century Gothic" w:hAnsi="Century Gothic" w:cs="Arial"/>
                <w:color w:val="FF0000"/>
                <w:sz w:val="22"/>
                <w:szCs w:val="22"/>
              </w:rPr>
              <w:t xml:space="preserve">1,00 </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E54A0" w:rsidRPr="003962B6" w:rsidRDefault="004E54A0" w:rsidP="004E54A0">
            <w:pPr>
              <w:jc w:val="right"/>
              <w:rPr>
                <w:rFonts w:ascii="Century Gothic" w:hAnsi="Century Gothic" w:cs="Arial"/>
                <w:sz w:val="22"/>
                <w:szCs w:val="22"/>
              </w:rPr>
            </w:pPr>
            <w:r w:rsidRPr="003962B6">
              <w:rPr>
                <w:rFonts w:ascii="Century Gothic" w:hAnsi="Century Gothic" w:cs="Arial"/>
                <w:sz w:val="22"/>
                <w:szCs w:val="22"/>
              </w:rPr>
              <w:t>586,85 </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E54A0" w:rsidRPr="003962B6" w:rsidRDefault="004E54A0" w:rsidP="004E54A0">
            <w:pPr>
              <w:rPr>
                <w:rFonts w:ascii="Century Gothic" w:hAnsi="Century Gothic" w:cs="Arial"/>
                <w:sz w:val="22"/>
                <w:szCs w:val="22"/>
              </w:rPr>
            </w:pPr>
            <w:r w:rsidRPr="003962B6">
              <w:rPr>
                <w:rFonts w:ascii="Century Gothic" w:hAnsi="Century Gothic" w:cs="Arial"/>
                <w:sz w:val="22"/>
                <w:szCs w:val="22"/>
                <w:lang w:val="sr-Latn-ME"/>
              </w:rPr>
              <w:t>701,80</w:t>
            </w:r>
            <w:r w:rsidRPr="003962B6">
              <w:rPr>
                <w:rFonts w:ascii="Century Gothic" w:hAnsi="Century Gothic" w:cs="Arial"/>
                <w:sz w:val="22"/>
                <w:szCs w:val="22"/>
              </w:rPr>
              <w:t> </w:t>
            </w:r>
          </w:p>
        </w:tc>
      </w:tr>
    </w:tbl>
    <w:p w:rsidR="00130F61" w:rsidRPr="003962B6" w:rsidRDefault="00130F61">
      <w:pPr>
        <w:spacing w:after="120"/>
        <w:rPr>
          <w:rFonts w:ascii="Century Gothic" w:hAnsi="Century Gothic"/>
        </w:rPr>
      </w:pPr>
    </w:p>
    <w:p w:rsidR="00130F61" w:rsidRPr="003962B6" w:rsidRDefault="00130F61">
      <w:pPr>
        <w:spacing w:after="120"/>
        <w:rPr>
          <w:rFonts w:ascii="Century Gothic" w:hAnsi="Century Gothic"/>
        </w:rPr>
      </w:pPr>
    </w:p>
    <w:p w:rsidR="00130F61" w:rsidRPr="003962B6" w:rsidRDefault="00130F61">
      <w:pPr>
        <w:spacing w:after="120"/>
        <w:rPr>
          <w:rFonts w:ascii="Century Gothic" w:hAnsi="Century Gothic"/>
        </w:rPr>
      </w:pPr>
    </w:p>
    <w:p w:rsidR="00130F61" w:rsidRPr="003962B6" w:rsidRDefault="00130F61" w:rsidP="004E54A0">
      <w:pPr>
        <w:spacing w:after="120"/>
        <w:rPr>
          <w:rFonts w:ascii="Century Gothic" w:hAnsi="Century Gothic"/>
          <w:b/>
          <w:sz w:val="22"/>
          <w:szCs w:val="22"/>
        </w:rPr>
        <w:sectPr w:rsidR="00130F61" w:rsidRPr="003962B6" w:rsidSect="00686368">
          <w:headerReference w:type="even" r:id="rId9"/>
          <w:headerReference w:type="default" r:id="rId10"/>
          <w:endnotePr>
            <w:numFmt w:val="decimal"/>
          </w:endnotePr>
          <w:pgSz w:w="16840" w:h="11907" w:orient="landscape"/>
          <w:pgMar w:top="426" w:right="993" w:bottom="793" w:left="1418" w:header="709" w:footer="709" w:gutter="0"/>
          <w:cols w:space="708"/>
          <w:titlePg/>
          <w:docGrid w:linePitch="326"/>
        </w:sectPr>
      </w:pPr>
    </w:p>
    <w:bookmarkEnd w:id="0"/>
    <w:p w:rsidR="00130F61" w:rsidRPr="003962B6" w:rsidRDefault="00130F61" w:rsidP="008F23E7">
      <w:pPr>
        <w:spacing w:after="120"/>
        <w:rPr>
          <w:rFonts w:ascii="Century Gothic" w:hAnsi="Century Gothic"/>
        </w:rPr>
      </w:pPr>
    </w:p>
    <w:sectPr w:rsidR="00130F61" w:rsidRPr="003962B6">
      <w:headerReference w:type="even" r:id="rId11"/>
      <w:headerReference w:type="default" r:id="rId12"/>
      <w:footerReference w:type="first" r:id="rId13"/>
      <w:endnotePr>
        <w:numFmt w:val="decimal"/>
      </w:endnotePr>
      <w:type w:val="continuous"/>
      <w:pgSz w:w="11907" w:h="16840"/>
      <w:pgMar w:top="1418" w:right="1191" w:bottom="993" w:left="119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67E" w:rsidRDefault="005C467E"/>
  </w:endnote>
  <w:endnote w:type="continuationSeparator" w:id="0">
    <w:p w:rsidR="005C467E" w:rsidRDefault="005C4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Times New Roman Bold">
    <w:altName w:val="Times New Roman"/>
    <w:panose1 w:val="02020803070505020304"/>
    <w:charset w:val="00"/>
    <w:family w:val="roman"/>
    <w:pitch w:val="default"/>
    <w:sig w:usb0="00000000" w:usb1="00000000" w:usb2="00000009" w:usb3="00000000" w:csb0="000001FF" w:csb1="00000000"/>
  </w:font>
  <w:font w:name="CG Times">
    <w:altName w:val="Times New Roman"/>
    <w:charset w:val="EE"/>
    <w:family w:val="roman"/>
    <w:pitch w:val="default"/>
    <w:sig w:usb0="00000000"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Helv Ciril">
    <w:altName w:val="Courier New"/>
    <w:charset w:val="00"/>
    <w:family w:val="swiss"/>
    <w:pitch w:val="default"/>
    <w:sig w:usb0="00000000"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等线 Light">
    <w:panose1 w:val="00000000000000000000"/>
    <w:charset w:val="80"/>
    <w:family w:val="roman"/>
    <w:notTrueType/>
    <w:pitch w:val="default"/>
  </w:font>
  <w:font w:name="Calibri Light">
    <w:panose1 w:val="020F0302020204030204"/>
    <w:charset w:val="EE"/>
    <w:family w:val="swiss"/>
    <w:pitch w:val="variable"/>
    <w:sig w:usb0="A00002EF" w:usb1="4000207B" w:usb2="00000000" w:usb3="00000000" w:csb0="0000019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6EF" w:rsidRDefault="00520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67E" w:rsidRDefault="005C467E"/>
  </w:footnote>
  <w:footnote w:type="continuationSeparator" w:id="0">
    <w:p w:rsidR="005C467E" w:rsidRDefault="005C4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6EF" w:rsidRDefault="005206EF">
    <w:pPr>
      <w:pStyle w:val="Header"/>
      <w:pBdr>
        <w:bottom w:val="single" w:sz="6" w:space="1" w:color="auto"/>
      </w:pBdr>
      <w:tabs>
        <w:tab w:val="right" w:pos="9000"/>
      </w:tabs>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156</w:t>
    </w:r>
    <w:r>
      <w:rPr>
        <w:rStyle w:val="PageNumber"/>
      </w:rPr>
      <w:fldChar w:fldCharType="end"/>
    </w:r>
    <w:r>
      <w:rPr>
        <w:rStyle w:val="PageNumber"/>
      </w:rPr>
      <w:tab/>
      <w:t>Invitation for Bids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6EF" w:rsidRDefault="005206EF">
    <w:pPr>
      <w:pStyle w:val="Header"/>
      <w:pBdr>
        <w:bottom w:val="single" w:sz="6" w:space="1" w:color="auto"/>
      </w:pBdr>
      <w:tabs>
        <w:tab w:val="right" w:pos="9000"/>
      </w:tabs>
      <w:rPr>
        <w:rStyle w:val="PageNumbe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6EF" w:rsidRDefault="005206EF">
    <w:pPr>
      <w:pStyle w:val="Header"/>
      <w:pBdr>
        <w:bottom w:val="single" w:sz="6" w:space="1" w:color="auto"/>
      </w:pBdr>
      <w:tabs>
        <w:tab w:val="right" w:pos="9000"/>
      </w:tabs>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156</w:t>
    </w:r>
    <w:r>
      <w:rPr>
        <w:rStyle w:val="PageNumber"/>
      </w:rPr>
      <w:fldChar w:fldCharType="end"/>
    </w:r>
    <w:r>
      <w:rPr>
        <w:rStyle w:val="PageNumber"/>
      </w:rPr>
      <w:tab/>
      <w:t>Invitation for Bids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6EF" w:rsidRDefault="005206EF">
    <w:pPr>
      <w:pStyle w:val="Header"/>
      <w:pBdr>
        <w:bottom w:val="single" w:sz="6" w:space="1" w:color="auto"/>
      </w:pBdr>
      <w:tabs>
        <w:tab w:val="right" w:pos="9000"/>
      </w:tabs>
      <w:rPr>
        <w:rStyle w:val="PageNumb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4E54A0">
      <w:rPr>
        <w:rStyle w:val="PageNumber"/>
        <w:noProof/>
      </w:rPr>
      <w:t>8</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B"/>
    <w:lvl w:ilvl="0">
      <w:numFmt w:val="none"/>
      <w:lvlText w:val=""/>
      <w:lvlJc w:val="left"/>
    </w:lvl>
    <w:lvl w:ilvl="1">
      <w:numFmt w:val="none"/>
      <w:lvlText w:val=""/>
      <w:lvlJc w:val="left"/>
    </w:lvl>
    <w:lvl w:ilvl="2">
      <w:numFmt w:val="none"/>
      <w:lvlText w:val=""/>
      <w:lvlJc w:val="left"/>
    </w:lvl>
    <w:lvl w:ilvl="3">
      <w:start w:val="1"/>
      <w:numFmt w:val="lowerRoman"/>
      <w:pStyle w:val="Heading4"/>
      <w:lvlText w:val="(%4)"/>
      <w:legacy w:legacy="1" w:legacySpace="120" w:legacyIndent="619"/>
      <w:lvlJc w:val="left"/>
      <w:pPr>
        <w:ind w:left="1800" w:hanging="619"/>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5361B54"/>
    <w:multiLevelType w:val="multilevel"/>
    <w:tmpl w:val="05361B54"/>
    <w:lvl w:ilvl="0">
      <w:start w:val="1"/>
      <w:numFmt w:val="bullet"/>
      <w:lvlText w:val=""/>
      <w:lvlJc w:val="left"/>
      <w:pPr>
        <w:tabs>
          <w:tab w:val="left" w:pos="720"/>
        </w:tabs>
        <w:ind w:left="720" w:hanging="360"/>
      </w:pPr>
      <w:rPr>
        <w:rFonts w:ascii="Wingdings" w:hAnsi="Wingdings" w:hint="default"/>
        <w:color w:val="auto"/>
        <w:sz w:val="22"/>
        <w:szCs w:val="22"/>
      </w:rPr>
    </w:lvl>
    <w:lvl w:ilvl="1">
      <w:start w:val="1"/>
      <w:numFmt w:val="bullet"/>
      <w:lvlText w:val="o"/>
      <w:lvlJc w:val="left"/>
      <w:pPr>
        <w:tabs>
          <w:tab w:val="left" w:pos="720"/>
        </w:tabs>
        <w:ind w:left="720" w:hanging="360"/>
      </w:pPr>
      <w:rPr>
        <w:rFonts w:ascii="Courier New" w:hAnsi="Courier New" w:cs="Courier New" w:hint="default"/>
      </w:rPr>
    </w:lvl>
    <w:lvl w:ilvl="2">
      <w:start w:val="1"/>
      <w:numFmt w:val="bullet"/>
      <w:lvlText w:val=""/>
      <w:lvlJc w:val="left"/>
      <w:pPr>
        <w:tabs>
          <w:tab w:val="left" w:pos="1440"/>
        </w:tabs>
        <w:ind w:left="1440" w:hanging="360"/>
      </w:pPr>
      <w:rPr>
        <w:rFonts w:ascii="Wingdings" w:hAnsi="Wingdings" w:hint="default"/>
      </w:rPr>
    </w:lvl>
    <w:lvl w:ilvl="3">
      <w:start w:val="1"/>
      <w:numFmt w:val="bullet"/>
      <w:lvlText w:val=""/>
      <w:lvlJc w:val="left"/>
      <w:pPr>
        <w:tabs>
          <w:tab w:val="left" w:pos="2160"/>
        </w:tabs>
        <w:ind w:left="2160" w:hanging="360"/>
      </w:pPr>
      <w:rPr>
        <w:rFonts w:ascii="Symbol" w:hAnsi="Symbol" w:hint="default"/>
      </w:rPr>
    </w:lvl>
    <w:lvl w:ilvl="4">
      <w:start w:val="1"/>
      <w:numFmt w:val="bullet"/>
      <w:lvlText w:val="o"/>
      <w:lvlJc w:val="left"/>
      <w:pPr>
        <w:tabs>
          <w:tab w:val="left" w:pos="2880"/>
        </w:tabs>
        <w:ind w:left="2880" w:hanging="360"/>
      </w:pPr>
      <w:rPr>
        <w:rFonts w:ascii="Courier New" w:hAnsi="Courier New" w:cs="Courier New" w:hint="default"/>
      </w:rPr>
    </w:lvl>
    <w:lvl w:ilvl="5">
      <w:start w:val="1"/>
      <w:numFmt w:val="bullet"/>
      <w:lvlText w:val=""/>
      <w:lvlJc w:val="left"/>
      <w:pPr>
        <w:tabs>
          <w:tab w:val="left" w:pos="3600"/>
        </w:tabs>
        <w:ind w:left="3600" w:hanging="360"/>
      </w:pPr>
      <w:rPr>
        <w:rFonts w:ascii="Wingdings" w:hAnsi="Wingdings" w:hint="default"/>
      </w:rPr>
    </w:lvl>
    <w:lvl w:ilvl="6">
      <w:start w:val="1"/>
      <w:numFmt w:val="bullet"/>
      <w:lvlText w:val=""/>
      <w:lvlJc w:val="left"/>
      <w:pPr>
        <w:tabs>
          <w:tab w:val="left" w:pos="4320"/>
        </w:tabs>
        <w:ind w:left="4320" w:hanging="360"/>
      </w:pPr>
      <w:rPr>
        <w:rFonts w:ascii="Symbol" w:hAnsi="Symbol" w:hint="default"/>
      </w:rPr>
    </w:lvl>
    <w:lvl w:ilvl="7">
      <w:start w:val="1"/>
      <w:numFmt w:val="bullet"/>
      <w:lvlText w:val="o"/>
      <w:lvlJc w:val="left"/>
      <w:pPr>
        <w:tabs>
          <w:tab w:val="left" w:pos="5040"/>
        </w:tabs>
        <w:ind w:left="5040" w:hanging="360"/>
      </w:pPr>
      <w:rPr>
        <w:rFonts w:ascii="Courier New" w:hAnsi="Courier New" w:cs="Courier New" w:hint="default"/>
      </w:rPr>
    </w:lvl>
    <w:lvl w:ilvl="8">
      <w:start w:val="1"/>
      <w:numFmt w:val="bullet"/>
      <w:lvlText w:val=""/>
      <w:lvlJc w:val="left"/>
      <w:pPr>
        <w:tabs>
          <w:tab w:val="left" w:pos="5760"/>
        </w:tabs>
        <w:ind w:left="5760" w:hanging="360"/>
      </w:pPr>
      <w:rPr>
        <w:rFonts w:ascii="Wingdings" w:hAnsi="Wingdings" w:hint="default"/>
      </w:rPr>
    </w:lvl>
  </w:abstractNum>
  <w:abstractNum w:abstractNumId="2" w15:restartNumberingAfterBreak="0">
    <w:nsid w:val="24F34627"/>
    <w:multiLevelType w:val="multilevel"/>
    <w:tmpl w:val="24F34627"/>
    <w:lvl w:ilvl="0">
      <w:start w:val="2"/>
      <w:numFmt w:val="bullet"/>
      <w:lvlText w:val="-"/>
      <w:lvlJc w:val="left"/>
      <w:pPr>
        <w:ind w:left="1349" w:hanging="360"/>
      </w:pPr>
      <w:rPr>
        <w:rFonts w:ascii="Verdana" w:eastAsia="Times New Roman" w:hAnsi="Verdan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D9E3C04"/>
    <w:multiLevelType w:val="multilevel"/>
    <w:tmpl w:val="2D9E3C04"/>
    <w:lvl w:ilvl="0">
      <w:start w:val="1"/>
      <w:numFmt w:val="bullet"/>
      <w:lvlText w:val=""/>
      <w:lvlJc w:val="left"/>
      <w:pPr>
        <w:tabs>
          <w:tab w:val="left" w:pos="720"/>
        </w:tabs>
        <w:ind w:left="720" w:hanging="360"/>
      </w:pPr>
      <w:rPr>
        <w:rFonts w:ascii="Wingdings" w:hAnsi="Wingdings" w:hint="default"/>
        <w:color w:val="auto"/>
      </w:rPr>
    </w:lvl>
    <w:lvl w:ilvl="1">
      <w:start w:val="1"/>
      <w:numFmt w:val="lowerLetter"/>
      <w:lvlText w:val="(%2)"/>
      <w:lvlJc w:val="left"/>
      <w:pPr>
        <w:tabs>
          <w:tab w:val="left" w:pos="1800"/>
        </w:tabs>
        <w:ind w:left="1800" w:hanging="720"/>
      </w:pPr>
      <w:rPr>
        <w:rFonts w:hint="default"/>
      </w:rPr>
    </w:lvl>
    <w:lvl w:ilvl="2">
      <w:start w:val="2"/>
      <w:numFmt w:val="bullet"/>
      <w:lvlText w:val="-"/>
      <w:lvlJc w:val="left"/>
      <w:pPr>
        <w:tabs>
          <w:tab w:val="left" w:pos="2340"/>
        </w:tabs>
        <w:ind w:left="2340" w:hanging="360"/>
      </w:pPr>
      <w:rPr>
        <w:rFonts w:ascii="Verdana" w:eastAsia="Times New Roman" w:hAnsi="Verdana" w:cs="Times New Roman"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79F16EE"/>
    <w:multiLevelType w:val="multilevel"/>
    <w:tmpl w:val="379F16EE"/>
    <w:lvl w:ilvl="0">
      <w:start w:val="1"/>
      <w:numFmt w:val="decimal"/>
      <w:lvlText w:val="%1)"/>
      <w:lvlJc w:val="left"/>
      <w:pPr>
        <w:tabs>
          <w:tab w:val="left" w:pos="630"/>
        </w:tabs>
        <w:ind w:left="630" w:hanging="360"/>
      </w:pPr>
      <w:rPr>
        <w:rFonts w:hint="default"/>
        <w:i w:val="0"/>
      </w:rPr>
    </w:lvl>
    <w:lvl w:ilvl="1">
      <w:start w:val="2"/>
      <w:numFmt w:val="bullet"/>
      <w:lvlText w:val="-"/>
      <w:lvlJc w:val="left"/>
      <w:pPr>
        <w:ind w:left="1170" w:hanging="360"/>
      </w:pPr>
      <w:rPr>
        <w:rFonts w:ascii="Verdana" w:eastAsia="Times New Roman" w:hAnsi="Verdana" w:cs="Times New Roman" w:hint="default"/>
        <w:b w:val="0"/>
      </w:rPr>
    </w:lvl>
    <w:lvl w:ilvl="2">
      <w:start w:val="1"/>
      <w:numFmt w:val="lowerRoman"/>
      <w:lvlText w:val="%3."/>
      <w:lvlJc w:val="right"/>
      <w:pPr>
        <w:tabs>
          <w:tab w:val="left" w:pos="1890"/>
        </w:tabs>
        <w:ind w:left="1890" w:hanging="180"/>
      </w:pPr>
      <w:rPr>
        <w:rFonts w:hint="default"/>
      </w:rPr>
    </w:lvl>
    <w:lvl w:ilvl="3">
      <w:start w:val="2"/>
      <w:numFmt w:val="lowerLetter"/>
      <w:lvlText w:val="%4."/>
      <w:lvlJc w:val="left"/>
      <w:pPr>
        <w:ind w:left="2610" w:hanging="360"/>
      </w:pPr>
      <w:rPr>
        <w:rFonts w:hint="default"/>
      </w:rPr>
    </w:lvl>
    <w:lvl w:ilvl="4">
      <w:start w:val="1"/>
      <w:numFmt w:val="lowerLetter"/>
      <w:lvlText w:val="%5."/>
      <w:lvlJc w:val="left"/>
      <w:pPr>
        <w:tabs>
          <w:tab w:val="left" w:pos="3330"/>
        </w:tabs>
        <w:ind w:left="3330" w:hanging="360"/>
      </w:pPr>
    </w:lvl>
    <w:lvl w:ilvl="5">
      <w:start w:val="1"/>
      <w:numFmt w:val="lowerRoman"/>
      <w:lvlText w:val="%6."/>
      <w:lvlJc w:val="right"/>
      <w:pPr>
        <w:tabs>
          <w:tab w:val="left" w:pos="4050"/>
        </w:tabs>
        <w:ind w:left="4050" w:hanging="180"/>
      </w:pPr>
    </w:lvl>
    <w:lvl w:ilvl="6">
      <w:start w:val="1"/>
      <w:numFmt w:val="decimal"/>
      <w:lvlText w:val="%7."/>
      <w:lvlJc w:val="left"/>
      <w:pPr>
        <w:tabs>
          <w:tab w:val="left" w:pos="4770"/>
        </w:tabs>
        <w:ind w:left="4770" w:hanging="360"/>
      </w:pPr>
    </w:lvl>
    <w:lvl w:ilvl="7">
      <w:start w:val="1"/>
      <w:numFmt w:val="lowerLetter"/>
      <w:lvlText w:val="%8."/>
      <w:lvlJc w:val="left"/>
      <w:pPr>
        <w:tabs>
          <w:tab w:val="left" w:pos="5490"/>
        </w:tabs>
        <w:ind w:left="5490" w:hanging="360"/>
      </w:pPr>
    </w:lvl>
    <w:lvl w:ilvl="8">
      <w:start w:val="1"/>
      <w:numFmt w:val="lowerRoman"/>
      <w:lvlText w:val="%9."/>
      <w:lvlJc w:val="right"/>
      <w:pPr>
        <w:tabs>
          <w:tab w:val="left" w:pos="6210"/>
        </w:tabs>
        <w:ind w:left="6210" w:hanging="180"/>
      </w:pPr>
    </w:lvl>
  </w:abstractNum>
  <w:abstractNum w:abstractNumId="5" w15:restartNumberingAfterBreak="0">
    <w:nsid w:val="46AE50B1"/>
    <w:multiLevelType w:val="multilevel"/>
    <w:tmpl w:val="46AE50B1"/>
    <w:lvl w:ilvl="0">
      <w:start w:val="1"/>
      <w:numFmt w:val="bullet"/>
      <w:lvlText w:val=""/>
      <w:lvlJc w:val="left"/>
      <w:pPr>
        <w:tabs>
          <w:tab w:val="left" w:pos="720"/>
        </w:tabs>
        <w:ind w:left="720" w:hanging="360"/>
      </w:pPr>
      <w:rPr>
        <w:rFonts w:ascii="Wingdings" w:hAnsi="Wingdings" w:hint="default"/>
        <w:color w:val="auto"/>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656799F"/>
    <w:multiLevelType w:val="multilevel"/>
    <w:tmpl w:val="5656799F"/>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D3E6728"/>
    <w:multiLevelType w:val="multilevel"/>
    <w:tmpl w:val="5D3E6728"/>
    <w:lvl w:ilvl="0">
      <w:start w:val="1"/>
      <w:numFmt w:val="bullet"/>
      <w:lvlText w:val=""/>
      <w:lvlJc w:val="left"/>
      <w:pPr>
        <w:tabs>
          <w:tab w:val="left" w:pos="720"/>
        </w:tabs>
        <w:ind w:left="720" w:hanging="360"/>
      </w:pPr>
      <w:rPr>
        <w:rFonts w:ascii="Wingdings" w:hAnsi="Wingdings"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6"/>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hideSpellingErrors/>
  <w:proofState w:grammar="clean"/>
  <w:defaultTabStop w:val="720"/>
  <w:hyphenationZone w:val="994"/>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284"/>
    <w:rsid w:val="00000F37"/>
    <w:rsid w:val="000053DF"/>
    <w:rsid w:val="00005559"/>
    <w:rsid w:val="000063B6"/>
    <w:rsid w:val="00007A58"/>
    <w:rsid w:val="00010E9B"/>
    <w:rsid w:val="00011979"/>
    <w:rsid w:val="000120A8"/>
    <w:rsid w:val="00012328"/>
    <w:rsid w:val="00013C67"/>
    <w:rsid w:val="00013D11"/>
    <w:rsid w:val="0001428B"/>
    <w:rsid w:val="00014430"/>
    <w:rsid w:val="00014941"/>
    <w:rsid w:val="00015677"/>
    <w:rsid w:val="00015E50"/>
    <w:rsid w:val="000208CB"/>
    <w:rsid w:val="00021492"/>
    <w:rsid w:val="00021D10"/>
    <w:rsid w:val="000221E3"/>
    <w:rsid w:val="0002295F"/>
    <w:rsid w:val="00023855"/>
    <w:rsid w:val="00023B9D"/>
    <w:rsid w:val="00024427"/>
    <w:rsid w:val="000247BA"/>
    <w:rsid w:val="00024CEA"/>
    <w:rsid w:val="000254CC"/>
    <w:rsid w:val="00027765"/>
    <w:rsid w:val="00027CC3"/>
    <w:rsid w:val="00030DB5"/>
    <w:rsid w:val="00032607"/>
    <w:rsid w:val="00032945"/>
    <w:rsid w:val="00032C9A"/>
    <w:rsid w:val="00035D3C"/>
    <w:rsid w:val="00037459"/>
    <w:rsid w:val="00040A4D"/>
    <w:rsid w:val="00040C10"/>
    <w:rsid w:val="00041EDD"/>
    <w:rsid w:val="00041FF4"/>
    <w:rsid w:val="00042380"/>
    <w:rsid w:val="00042FE2"/>
    <w:rsid w:val="00043062"/>
    <w:rsid w:val="00043555"/>
    <w:rsid w:val="00046FF0"/>
    <w:rsid w:val="0005073C"/>
    <w:rsid w:val="000515A6"/>
    <w:rsid w:val="00051EFE"/>
    <w:rsid w:val="00053C9C"/>
    <w:rsid w:val="000546E8"/>
    <w:rsid w:val="0005480B"/>
    <w:rsid w:val="00054A81"/>
    <w:rsid w:val="000559D4"/>
    <w:rsid w:val="00060084"/>
    <w:rsid w:val="000652AF"/>
    <w:rsid w:val="000672D8"/>
    <w:rsid w:val="00067D08"/>
    <w:rsid w:val="00070853"/>
    <w:rsid w:val="00070B62"/>
    <w:rsid w:val="000726F2"/>
    <w:rsid w:val="000732EA"/>
    <w:rsid w:val="0007480D"/>
    <w:rsid w:val="00075BAC"/>
    <w:rsid w:val="00076274"/>
    <w:rsid w:val="00076701"/>
    <w:rsid w:val="00076917"/>
    <w:rsid w:val="00076AA1"/>
    <w:rsid w:val="0008104E"/>
    <w:rsid w:val="00082307"/>
    <w:rsid w:val="00082E7F"/>
    <w:rsid w:val="000833C6"/>
    <w:rsid w:val="0008343E"/>
    <w:rsid w:val="000840C4"/>
    <w:rsid w:val="00084D2B"/>
    <w:rsid w:val="0008700A"/>
    <w:rsid w:val="00090324"/>
    <w:rsid w:val="00090B49"/>
    <w:rsid w:val="0009141A"/>
    <w:rsid w:val="00092519"/>
    <w:rsid w:val="0009297B"/>
    <w:rsid w:val="00093721"/>
    <w:rsid w:val="00094BEB"/>
    <w:rsid w:val="00095450"/>
    <w:rsid w:val="000963A3"/>
    <w:rsid w:val="0009641F"/>
    <w:rsid w:val="00096FCF"/>
    <w:rsid w:val="00097080"/>
    <w:rsid w:val="000970FB"/>
    <w:rsid w:val="00097B92"/>
    <w:rsid w:val="000A0D85"/>
    <w:rsid w:val="000A22AC"/>
    <w:rsid w:val="000A25CF"/>
    <w:rsid w:val="000A3268"/>
    <w:rsid w:val="000A3C91"/>
    <w:rsid w:val="000A4635"/>
    <w:rsid w:val="000A47F7"/>
    <w:rsid w:val="000A5CE8"/>
    <w:rsid w:val="000A6EB7"/>
    <w:rsid w:val="000B0EE4"/>
    <w:rsid w:val="000B1284"/>
    <w:rsid w:val="000B12E5"/>
    <w:rsid w:val="000B18F5"/>
    <w:rsid w:val="000B1923"/>
    <w:rsid w:val="000B2E15"/>
    <w:rsid w:val="000B3B23"/>
    <w:rsid w:val="000B40F2"/>
    <w:rsid w:val="000B6DB1"/>
    <w:rsid w:val="000B7E1E"/>
    <w:rsid w:val="000C01FA"/>
    <w:rsid w:val="000C1900"/>
    <w:rsid w:val="000C1B76"/>
    <w:rsid w:val="000C208E"/>
    <w:rsid w:val="000C2CD8"/>
    <w:rsid w:val="000C4C04"/>
    <w:rsid w:val="000C5D91"/>
    <w:rsid w:val="000C61B4"/>
    <w:rsid w:val="000C66FA"/>
    <w:rsid w:val="000C7134"/>
    <w:rsid w:val="000C787D"/>
    <w:rsid w:val="000D0650"/>
    <w:rsid w:val="000D080D"/>
    <w:rsid w:val="000D12B4"/>
    <w:rsid w:val="000D2004"/>
    <w:rsid w:val="000D2B25"/>
    <w:rsid w:val="000D3F26"/>
    <w:rsid w:val="000D5136"/>
    <w:rsid w:val="000D5DC0"/>
    <w:rsid w:val="000D6A16"/>
    <w:rsid w:val="000D6A21"/>
    <w:rsid w:val="000D79D2"/>
    <w:rsid w:val="000D7C58"/>
    <w:rsid w:val="000E01B5"/>
    <w:rsid w:val="000E02E5"/>
    <w:rsid w:val="000E1B02"/>
    <w:rsid w:val="000E20D4"/>
    <w:rsid w:val="000E2288"/>
    <w:rsid w:val="000E3912"/>
    <w:rsid w:val="000E6718"/>
    <w:rsid w:val="000F0311"/>
    <w:rsid w:val="000F2607"/>
    <w:rsid w:val="000F2CCF"/>
    <w:rsid w:val="000F3B5C"/>
    <w:rsid w:val="000F415F"/>
    <w:rsid w:val="000F4640"/>
    <w:rsid w:val="000F61E6"/>
    <w:rsid w:val="000F74B0"/>
    <w:rsid w:val="0010008F"/>
    <w:rsid w:val="001030CC"/>
    <w:rsid w:val="001034C4"/>
    <w:rsid w:val="00103C81"/>
    <w:rsid w:val="00103F7B"/>
    <w:rsid w:val="001044DE"/>
    <w:rsid w:val="001048D3"/>
    <w:rsid w:val="00105C6A"/>
    <w:rsid w:val="0010615D"/>
    <w:rsid w:val="00106312"/>
    <w:rsid w:val="00106905"/>
    <w:rsid w:val="00106982"/>
    <w:rsid w:val="001101D6"/>
    <w:rsid w:val="00114190"/>
    <w:rsid w:val="001147B2"/>
    <w:rsid w:val="001151C5"/>
    <w:rsid w:val="00116484"/>
    <w:rsid w:val="0011654D"/>
    <w:rsid w:val="00116576"/>
    <w:rsid w:val="00116782"/>
    <w:rsid w:val="0012058F"/>
    <w:rsid w:val="00121C79"/>
    <w:rsid w:val="00122762"/>
    <w:rsid w:val="001230BC"/>
    <w:rsid w:val="00123A09"/>
    <w:rsid w:val="00123D9A"/>
    <w:rsid w:val="0012416B"/>
    <w:rsid w:val="001247C6"/>
    <w:rsid w:val="00125B27"/>
    <w:rsid w:val="00125C53"/>
    <w:rsid w:val="00130F2F"/>
    <w:rsid w:val="00130F61"/>
    <w:rsid w:val="00133E82"/>
    <w:rsid w:val="0013464D"/>
    <w:rsid w:val="00134681"/>
    <w:rsid w:val="00134E0F"/>
    <w:rsid w:val="00135F2F"/>
    <w:rsid w:val="001361A4"/>
    <w:rsid w:val="00137127"/>
    <w:rsid w:val="001373AB"/>
    <w:rsid w:val="00140CE5"/>
    <w:rsid w:val="0014414E"/>
    <w:rsid w:val="00145564"/>
    <w:rsid w:val="00145E16"/>
    <w:rsid w:val="0014633B"/>
    <w:rsid w:val="00146AE8"/>
    <w:rsid w:val="00146E44"/>
    <w:rsid w:val="001474CB"/>
    <w:rsid w:val="00147A07"/>
    <w:rsid w:val="00150929"/>
    <w:rsid w:val="00151ADA"/>
    <w:rsid w:val="00152A4B"/>
    <w:rsid w:val="001536A7"/>
    <w:rsid w:val="001538BC"/>
    <w:rsid w:val="00161299"/>
    <w:rsid w:val="00163AAB"/>
    <w:rsid w:val="00163DD3"/>
    <w:rsid w:val="001647FF"/>
    <w:rsid w:val="00165A5A"/>
    <w:rsid w:val="00166471"/>
    <w:rsid w:val="00166539"/>
    <w:rsid w:val="0017609E"/>
    <w:rsid w:val="00177101"/>
    <w:rsid w:val="00180D4D"/>
    <w:rsid w:val="001825E1"/>
    <w:rsid w:val="001831BA"/>
    <w:rsid w:val="00184779"/>
    <w:rsid w:val="00184B06"/>
    <w:rsid w:val="00187E4A"/>
    <w:rsid w:val="0019085E"/>
    <w:rsid w:val="00190AD8"/>
    <w:rsid w:val="001915B6"/>
    <w:rsid w:val="00191604"/>
    <w:rsid w:val="001931E0"/>
    <w:rsid w:val="00193E2E"/>
    <w:rsid w:val="001940CF"/>
    <w:rsid w:val="0019419E"/>
    <w:rsid w:val="001943CC"/>
    <w:rsid w:val="0019458D"/>
    <w:rsid w:val="00194A64"/>
    <w:rsid w:val="00195752"/>
    <w:rsid w:val="00196116"/>
    <w:rsid w:val="001A1138"/>
    <w:rsid w:val="001A2B66"/>
    <w:rsid w:val="001A2D03"/>
    <w:rsid w:val="001A4A16"/>
    <w:rsid w:val="001A562A"/>
    <w:rsid w:val="001A5FAF"/>
    <w:rsid w:val="001A7554"/>
    <w:rsid w:val="001A76FC"/>
    <w:rsid w:val="001B0D16"/>
    <w:rsid w:val="001B0F9A"/>
    <w:rsid w:val="001B1C4B"/>
    <w:rsid w:val="001B1D08"/>
    <w:rsid w:val="001B30EB"/>
    <w:rsid w:val="001B4100"/>
    <w:rsid w:val="001B4B5D"/>
    <w:rsid w:val="001B5977"/>
    <w:rsid w:val="001B6054"/>
    <w:rsid w:val="001B7DA5"/>
    <w:rsid w:val="001C26A1"/>
    <w:rsid w:val="001C26BB"/>
    <w:rsid w:val="001C2F5B"/>
    <w:rsid w:val="001C38A5"/>
    <w:rsid w:val="001C397E"/>
    <w:rsid w:val="001C3C71"/>
    <w:rsid w:val="001C3E6B"/>
    <w:rsid w:val="001C59F6"/>
    <w:rsid w:val="001C5F63"/>
    <w:rsid w:val="001C7FCD"/>
    <w:rsid w:val="001D05CF"/>
    <w:rsid w:val="001D1AA6"/>
    <w:rsid w:val="001D26BE"/>
    <w:rsid w:val="001D2FD4"/>
    <w:rsid w:val="001D770F"/>
    <w:rsid w:val="001E061A"/>
    <w:rsid w:val="001E06CE"/>
    <w:rsid w:val="001E1393"/>
    <w:rsid w:val="001E5575"/>
    <w:rsid w:val="001E6301"/>
    <w:rsid w:val="001E70C9"/>
    <w:rsid w:val="001E74EE"/>
    <w:rsid w:val="001E757C"/>
    <w:rsid w:val="001E7C0B"/>
    <w:rsid w:val="001E7F52"/>
    <w:rsid w:val="001F0082"/>
    <w:rsid w:val="001F041C"/>
    <w:rsid w:val="001F1338"/>
    <w:rsid w:val="001F35F2"/>
    <w:rsid w:val="001F4E0B"/>
    <w:rsid w:val="001F60BB"/>
    <w:rsid w:val="001F62A8"/>
    <w:rsid w:val="002004D7"/>
    <w:rsid w:val="00201838"/>
    <w:rsid w:val="00201FEE"/>
    <w:rsid w:val="002022D4"/>
    <w:rsid w:val="002023FF"/>
    <w:rsid w:val="00204B6E"/>
    <w:rsid w:val="00206B87"/>
    <w:rsid w:val="00207034"/>
    <w:rsid w:val="00207039"/>
    <w:rsid w:val="002076B3"/>
    <w:rsid w:val="00212844"/>
    <w:rsid w:val="002146DE"/>
    <w:rsid w:val="00214E11"/>
    <w:rsid w:val="00217088"/>
    <w:rsid w:val="002209EB"/>
    <w:rsid w:val="00220A29"/>
    <w:rsid w:val="00220D78"/>
    <w:rsid w:val="00222D00"/>
    <w:rsid w:val="0022496C"/>
    <w:rsid w:val="00224AAF"/>
    <w:rsid w:val="00224F96"/>
    <w:rsid w:val="002250E5"/>
    <w:rsid w:val="00227FFD"/>
    <w:rsid w:val="00233249"/>
    <w:rsid w:val="00234F51"/>
    <w:rsid w:val="00236517"/>
    <w:rsid w:val="00236F47"/>
    <w:rsid w:val="00240B8B"/>
    <w:rsid w:val="00241B00"/>
    <w:rsid w:val="00241CE6"/>
    <w:rsid w:val="002422CE"/>
    <w:rsid w:val="002427BD"/>
    <w:rsid w:val="0024526B"/>
    <w:rsid w:val="00245279"/>
    <w:rsid w:val="00250493"/>
    <w:rsid w:val="002508C6"/>
    <w:rsid w:val="00250F22"/>
    <w:rsid w:val="0025211E"/>
    <w:rsid w:val="00252766"/>
    <w:rsid w:val="00252C41"/>
    <w:rsid w:val="0025307E"/>
    <w:rsid w:val="0025387D"/>
    <w:rsid w:val="00255161"/>
    <w:rsid w:val="00255224"/>
    <w:rsid w:val="00255662"/>
    <w:rsid w:val="00257B2E"/>
    <w:rsid w:val="00260BF8"/>
    <w:rsid w:val="00260FA3"/>
    <w:rsid w:val="0026187F"/>
    <w:rsid w:val="00261F9D"/>
    <w:rsid w:val="00261FB6"/>
    <w:rsid w:val="00264501"/>
    <w:rsid w:val="00264513"/>
    <w:rsid w:val="00265A49"/>
    <w:rsid w:val="00266F38"/>
    <w:rsid w:val="0026724C"/>
    <w:rsid w:val="00267599"/>
    <w:rsid w:val="002739D6"/>
    <w:rsid w:val="00273AEE"/>
    <w:rsid w:val="00274AA2"/>
    <w:rsid w:val="00276385"/>
    <w:rsid w:val="00277AC5"/>
    <w:rsid w:val="00280662"/>
    <w:rsid w:val="002807A3"/>
    <w:rsid w:val="00280F00"/>
    <w:rsid w:val="00281526"/>
    <w:rsid w:val="0028169F"/>
    <w:rsid w:val="002816D5"/>
    <w:rsid w:val="00281DB8"/>
    <w:rsid w:val="002825A6"/>
    <w:rsid w:val="00282E9F"/>
    <w:rsid w:val="00284038"/>
    <w:rsid w:val="002849AB"/>
    <w:rsid w:val="0028639F"/>
    <w:rsid w:val="00291EE4"/>
    <w:rsid w:val="002932AD"/>
    <w:rsid w:val="00293B9C"/>
    <w:rsid w:val="00294AA1"/>
    <w:rsid w:val="002956E6"/>
    <w:rsid w:val="00295A0A"/>
    <w:rsid w:val="00295F9D"/>
    <w:rsid w:val="002A07C5"/>
    <w:rsid w:val="002A0968"/>
    <w:rsid w:val="002A1508"/>
    <w:rsid w:val="002A17D2"/>
    <w:rsid w:val="002A2CA8"/>
    <w:rsid w:val="002A36EE"/>
    <w:rsid w:val="002A405E"/>
    <w:rsid w:val="002A5D0C"/>
    <w:rsid w:val="002A6BB5"/>
    <w:rsid w:val="002A7C3B"/>
    <w:rsid w:val="002B1267"/>
    <w:rsid w:val="002B26FF"/>
    <w:rsid w:val="002B39F1"/>
    <w:rsid w:val="002B42FC"/>
    <w:rsid w:val="002B4E9D"/>
    <w:rsid w:val="002B564D"/>
    <w:rsid w:val="002B6A5B"/>
    <w:rsid w:val="002B7091"/>
    <w:rsid w:val="002C0133"/>
    <w:rsid w:val="002C4ACA"/>
    <w:rsid w:val="002C6C29"/>
    <w:rsid w:val="002C6F49"/>
    <w:rsid w:val="002C734D"/>
    <w:rsid w:val="002D3047"/>
    <w:rsid w:val="002D4C93"/>
    <w:rsid w:val="002E03DB"/>
    <w:rsid w:val="002E12C7"/>
    <w:rsid w:val="002E3B62"/>
    <w:rsid w:val="002E3D13"/>
    <w:rsid w:val="002E3D17"/>
    <w:rsid w:val="002E41F6"/>
    <w:rsid w:val="002E5A37"/>
    <w:rsid w:val="002E62BA"/>
    <w:rsid w:val="002E71DE"/>
    <w:rsid w:val="002E71E5"/>
    <w:rsid w:val="002E74FB"/>
    <w:rsid w:val="002E7C26"/>
    <w:rsid w:val="002F0855"/>
    <w:rsid w:val="002F0912"/>
    <w:rsid w:val="002F18F4"/>
    <w:rsid w:val="002F19F6"/>
    <w:rsid w:val="002F1B58"/>
    <w:rsid w:val="002F1E03"/>
    <w:rsid w:val="002F2FDC"/>
    <w:rsid w:val="002F3486"/>
    <w:rsid w:val="002F469C"/>
    <w:rsid w:val="002F4C3F"/>
    <w:rsid w:val="002F54D3"/>
    <w:rsid w:val="002F66C3"/>
    <w:rsid w:val="002F6B92"/>
    <w:rsid w:val="002F75C7"/>
    <w:rsid w:val="002F7EEB"/>
    <w:rsid w:val="0030103A"/>
    <w:rsid w:val="00301852"/>
    <w:rsid w:val="0030272D"/>
    <w:rsid w:val="00303093"/>
    <w:rsid w:val="0030339B"/>
    <w:rsid w:val="00303E61"/>
    <w:rsid w:val="00304F5B"/>
    <w:rsid w:val="00306653"/>
    <w:rsid w:val="003067BC"/>
    <w:rsid w:val="003075B2"/>
    <w:rsid w:val="00307FF9"/>
    <w:rsid w:val="0031064C"/>
    <w:rsid w:val="00310740"/>
    <w:rsid w:val="00313BCE"/>
    <w:rsid w:val="003148E5"/>
    <w:rsid w:val="00316B8D"/>
    <w:rsid w:val="00317E85"/>
    <w:rsid w:val="00320D5F"/>
    <w:rsid w:val="0032168E"/>
    <w:rsid w:val="003216FA"/>
    <w:rsid w:val="00323D13"/>
    <w:rsid w:val="003240E5"/>
    <w:rsid w:val="00325E74"/>
    <w:rsid w:val="00326CAA"/>
    <w:rsid w:val="00326DC8"/>
    <w:rsid w:val="00327830"/>
    <w:rsid w:val="00327896"/>
    <w:rsid w:val="00327FDC"/>
    <w:rsid w:val="00330799"/>
    <w:rsid w:val="003339D5"/>
    <w:rsid w:val="00337C3B"/>
    <w:rsid w:val="0034045F"/>
    <w:rsid w:val="003412ED"/>
    <w:rsid w:val="003431CF"/>
    <w:rsid w:val="00344A15"/>
    <w:rsid w:val="00345763"/>
    <w:rsid w:val="00346350"/>
    <w:rsid w:val="00346923"/>
    <w:rsid w:val="00346FE0"/>
    <w:rsid w:val="0034725B"/>
    <w:rsid w:val="00347A3B"/>
    <w:rsid w:val="00347B2D"/>
    <w:rsid w:val="0035044E"/>
    <w:rsid w:val="00351E5A"/>
    <w:rsid w:val="00351FD8"/>
    <w:rsid w:val="00352B40"/>
    <w:rsid w:val="0035367E"/>
    <w:rsid w:val="00355589"/>
    <w:rsid w:val="003556F3"/>
    <w:rsid w:val="003557E8"/>
    <w:rsid w:val="00356A98"/>
    <w:rsid w:val="00356C40"/>
    <w:rsid w:val="00357B8F"/>
    <w:rsid w:val="00360FF6"/>
    <w:rsid w:val="0036283C"/>
    <w:rsid w:val="00362A8D"/>
    <w:rsid w:val="00362CEB"/>
    <w:rsid w:val="00362D1C"/>
    <w:rsid w:val="00364780"/>
    <w:rsid w:val="00365B78"/>
    <w:rsid w:val="00366116"/>
    <w:rsid w:val="003665B8"/>
    <w:rsid w:val="00372B6D"/>
    <w:rsid w:val="00373C3A"/>
    <w:rsid w:val="0037651A"/>
    <w:rsid w:val="003821B4"/>
    <w:rsid w:val="00382807"/>
    <w:rsid w:val="003836C0"/>
    <w:rsid w:val="003866CB"/>
    <w:rsid w:val="00387671"/>
    <w:rsid w:val="003900AD"/>
    <w:rsid w:val="003902C8"/>
    <w:rsid w:val="00392AB0"/>
    <w:rsid w:val="00392E55"/>
    <w:rsid w:val="0039319D"/>
    <w:rsid w:val="00394F4A"/>
    <w:rsid w:val="00395285"/>
    <w:rsid w:val="00395802"/>
    <w:rsid w:val="0039599E"/>
    <w:rsid w:val="003962B6"/>
    <w:rsid w:val="003A05D5"/>
    <w:rsid w:val="003A1005"/>
    <w:rsid w:val="003A2050"/>
    <w:rsid w:val="003A279D"/>
    <w:rsid w:val="003A384D"/>
    <w:rsid w:val="003A58A5"/>
    <w:rsid w:val="003A59F9"/>
    <w:rsid w:val="003A77C5"/>
    <w:rsid w:val="003A78C3"/>
    <w:rsid w:val="003A7B19"/>
    <w:rsid w:val="003B0DCC"/>
    <w:rsid w:val="003B162A"/>
    <w:rsid w:val="003B233B"/>
    <w:rsid w:val="003B2731"/>
    <w:rsid w:val="003B6550"/>
    <w:rsid w:val="003B6FD6"/>
    <w:rsid w:val="003B7947"/>
    <w:rsid w:val="003B7DA1"/>
    <w:rsid w:val="003C3C5B"/>
    <w:rsid w:val="003C4FD4"/>
    <w:rsid w:val="003C52DD"/>
    <w:rsid w:val="003C730F"/>
    <w:rsid w:val="003C78E9"/>
    <w:rsid w:val="003D0F04"/>
    <w:rsid w:val="003D2632"/>
    <w:rsid w:val="003D5995"/>
    <w:rsid w:val="003D6FCF"/>
    <w:rsid w:val="003E0385"/>
    <w:rsid w:val="003E198B"/>
    <w:rsid w:val="003E1B71"/>
    <w:rsid w:val="003E283D"/>
    <w:rsid w:val="003E329A"/>
    <w:rsid w:val="003E3840"/>
    <w:rsid w:val="003E67A5"/>
    <w:rsid w:val="003E67BF"/>
    <w:rsid w:val="003E6D2D"/>
    <w:rsid w:val="003E6F57"/>
    <w:rsid w:val="003F16D9"/>
    <w:rsid w:val="003F1D39"/>
    <w:rsid w:val="003F202A"/>
    <w:rsid w:val="003F225E"/>
    <w:rsid w:val="003F27D3"/>
    <w:rsid w:val="003F6105"/>
    <w:rsid w:val="003F6A89"/>
    <w:rsid w:val="003F6A95"/>
    <w:rsid w:val="003F6C4A"/>
    <w:rsid w:val="003F7D62"/>
    <w:rsid w:val="00400FF9"/>
    <w:rsid w:val="004015D1"/>
    <w:rsid w:val="004015E2"/>
    <w:rsid w:val="004034AC"/>
    <w:rsid w:val="0040363E"/>
    <w:rsid w:val="00404643"/>
    <w:rsid w:val="0040477D"/>
    <w:rsid w:val="00405B9D"/>
    <w:rsid w:val="004063BC"/>
    <w:rsid w:val="00411F9B"/>
    <w:rsid w:val="0041262F"/>
    <w:rsid w:val="004129A6"/>
    <w:rsid w:val="00412B70"/>
    <w:rsid w:val="00412EDA"/>
    <w:rsid w:val="00413754"/>
    <w:rsid w:val="00416D9F"/>
    <w:rsid w:val="00417720"/>
    <w:rsid w:val="0042110A"/>
    <w:rsid w:val="00422810"/>
    <w:rsid w:val="004246E3"/>
    <w:rsid w:val="00426504"/>
    <w:rsid w:val="00427C26"/>
    <w:rsid w:val="00427EF0"/>
    <w:rsid w:val="0043157D"/>
    <w:rsid w:val="00432123"/>
    <w:rsid w:val="004329A0"/>
    <w:rsid w:val="00434070"/>
    <w:rsid w:val="00434432"/>
    <w:rsid w:val="00435A18"/>
    <w:rsid w:val="00436EE9"/>
    <w:rsid w:val="004371E2"/>
    <w:rsid w:val="00437256"/>
    <w:rsid w:val="00437931"/>
    <w:rsid w:val="00440452"/>
    <w:rsid w:val="0044175B"/>
    <w:rsid w:val="00441C1B"/>
    <w:rsid w:val="004424A4"/>
    <w:rsid w:val="00444C0A"/>
    <w:rsid w:val="00445599"/>
    <w:rsid w:val="004478B2"/>
    <w:rsid w:val="00452CD7"/>
    <w:rsid w:val="00453087"/>
    <w:rsid w:val="00453C80"/>
    <w:rsid w:val="00457BBA"/>
    <w:rsid w:val="00457E6A"/>
    <w:rsid w:val="00457EED"/>
    <w:rsid w:val="00461268"/>
    <w:rsid w:val="00461FAF"/>
    <w:rsid w:val="00462F25"/>
    <w:rsid w:val="004652C7"/>
    <w:rsid w:val="00470254"/>
    <w:rsid w:val="0047125D"/>
    <w:rsid w:val="0047352A"/>
    <w:rsid w:val="00476BE2"/>
    <w:rsid w:val="004771A2"/>
    <w:rsid w:val="004803F5"/>
    <w:rsid w:val="004807A6"/>
    <w:rsid w:val="00480899"/>
    <w:rsid w:val="00483B5A"/>
    <w:rsid w:val="00485F7C"/>
    <w:rsid w:val="00487000"/>
    <w:rsid w:val="00487685"/>
    <w:rsid w:val="00487BF8"/>
    <w:rsid w:val="00487C2E"/>
    <w:rsid w:val="004913D9"/>
    <w:rsid w:val="00491409"/>
    <w:rsid w:val="00493119"/>
    <w:rsid w:val="0049616F"/>
    <w:rsid w:val="004A504A"/>
    <w:rsid w:val="004A54EE"/>
    <w:rsid w:val="004A6972"/>
    <w:rsid w:val="004A71AE"/>
    <w:rsid w:val="004A7DA1"/>
    <w:rsid w:val="004B1228"/>
    <w:rsid w:val="004B223C"/>
    <w:rsid w:val="004B2A83"/>
    <w:rsid w:val="004B2AC2"/>
    <w:rsid w:val="004B31FC"/>
    <w:rsid w:val="004B3F62"/>
    <w:rsid w:val="004B5E73"/>
    <w:rsid w:val="004B6629"/>
    <w:rsid w:val="004B6E21"/>
    <w:rsid w:val="004B7524"/>
    <w:rsid w:val="004C04CE"/>
    <w:rsid w:val="004C0627"/>
    <w:rsid w:val="004C0B69"/>
    <w:rsid w:val="004C2493"/>
    <w:rsid w:val="004C33B6"/>
    <w:rsid w:val="004C52E7"/>
    <w:rsid w:val="004C5B3A"/>
    <w:rsid w:val="004C6B6E"/>
    <w:rsid w:val="004C6E89"/>
    <w:rsid w:val="004C7C38"/>
    <w:rsid w:val="004C7CB7"/>
    <w:rsid w:val="004D2069"/>
    <w:rsid w:val="004D23C1"/>
    <w:rsid w:val="004D3A1B"/>
    <w:rsid w:val="004D49D3"/>
    <w:rsid w:val="004D67D5"/>
    <w:rsid w:val="004E0115"/>
    <w:rsid w:val="004E06C4"/>
    <w:rsid w:val="004E0AFF"/>
    <w:rsid w:val="004E11F2"/>
    <w:rsid w:val="004E16E5"/>
    <w:rsid w:val="004E214D"/>
    <w:rsid w:val="004E2A6C"/>
    <w:rsid w:val="004E2D1C"/>
    <w:rsid w:val="004E51E5"/>
    <w:rsid w:val="004E51E6"/>
    <w:rsid w:val="004E54A0"/>
    <w:rsid w:val="004E7A46"/>
    <w:rsid w:val="004F0EF5"/>
    <w:rsid w:val="004F2FEB"/>
    <w:rsid w:val="004F3173"/>
    <w:rsid w:val="004F493D"/>
    <w:rsid w:val="004F59D5"/>
    <w:rsid w:val="004F77C9"/>
    <w:rsid w:val="00500E59"/>
    <w:rsid w:val="00501DF7"/>
    <w:rsid w:val="00504357"/>
    <w:rsid w:val="00504B87"/>
    <w:rsid w:val="00505682"/>
    <w:rsid w:val="005060F8"/>
    <w:rsid w:val="0050623D"/>
    <w:rsid w:val="00506CD7"/>
    <w:rsid w:val="0050726C"/>
    <w:rsid w:val="005110C6"/>
    <w:rsid w:val="00512ADF"/>
    <w:rsid w:val="0051445C"/>
    <w:rsid w:val="00514AE6"/>
    <w:rsid w:val="00514B8C"/>
    <w:rsid w:val="00514C7F"/>
    <w:rsid w:val="00515EE4"/>
    <w:rsid w:val="0052039B"/>
    <w:rsid w:val="00520410"/>
    <w:rsid w:val="005206EF"/>
    <w:rsid w:val="005229E9"/>
    <w:rsid w:val="00522D64"/>
    <w:rsid w:val="00525781"/>
    <w:rsid w:val="00525856"/>
    <w:rsid w:val="00527517"/>
    <w:rsid w:val="005322D5"/>
    <w:rsid w:val="00532931"/>
    <w:rsid w:val="005349F4"/>
    <w:rsid w:val="00534AF3"/>
    <w:rsid w:val="00534D66"/>
    <w:rsid w:val="00535592"/>
    <w:rsid w:val="005355CA"/>
    <w:rsid w:val="00535A23"/>
    <w:rsid w:val="00535D5C"/>
    <w:rsid w:val="005367EE"/>
    <w:rsid w:val="00536AF7"/>
    <w:rsid w:val="00544544"/>
    <w:rsid w:val="00545070"/>
    <w:rsid w:val="00545829"/>
    <w:rsid w:val="0054588A"/>
    <w:rsid w:val="00546453"/>
    <w:rsid w:val="00546E27"/>
    <w:rsid w:val="00547468"/>
    <w:rsid w:val="00550635"/>
    <w:rsid w:val="00550D86"/>
    <w:rsid w:val="0055173D"/>
    <w:rsid w:val="00553A52"/>
    <w:rsid w:val="00553E54"/>
    <w:rsid w:val="005544B6"/>
    <w:rsid w:val="00554608"/>
    <w:rsid w:val="00556570"/>
    <w:rsid w:val="00556A6C"/>
    <w:rsid w:val="005572B4"/>
    <w:rsid w:val="00560036"/>
    <w:rsid w:val="005657C1"/>
    <w:rsid w:val="00567128"/>
    <w:rsid w:val="00567F6B"/>
    <w:rsid w:val="00570FD5"/>
    <w:rsid w:val="00571B54"/>
    <w:rsid w:val="0057261C"/>
    <w:rsid w:val="00572679"/>
    <w:rsid w:val="00572990"/>
    <w:rsid w:val="00573A1B"/>
    <w:rsid w:val="00574E64"/>
    <w:rsid w:val="00576015"/>
    <w:rsid w:val="0057648D"/>
    <w:rsid w:val="005768EB"/>
    <w:rsid w:val="005771E3"/>
    <w:rsid w:val="00577847"/>
    <w:rsid w:val="005779E4"/>
    <w:rsid w:val="005801F1"/>
    <w:rsid w:val="005823FE"/>
    <w:rsid w:val="0058278E"/>
    <w:rsid w:val="0058542E"/>
    <w:rsid w:val="005861DC"/>
    <w:rsid w:val="005874CF"/>
    <w:rsid w:val="005875DB"/>
    <w:rsid w:val="00587AF2"/>
    <w:rsid w:val="00595458"/>
    <w:rsid w:val="005955C8"/>
    <w:rsid w:val="00595927"/>
    <w:rsid w:val="00595BEB"/>
    <w:rsid w:val="00595C9F"/>
    <w:rsid w:val="00596038"/>
    <w:rsid w:val="005966BB"/>
    <w:rsid w:val="00596965"/>
    <w:rsid w:val="00596ABD"/>
    <w:rsid w:val="005979DF"/>
    <w:rsid w:val="00597B8C"/>
    <w:rsid w:val="005A029E"/>
    <w:rsid w:val="005A13E6"/>
    <w:rsid w:val="005A201F"/>
    <w:rsid w:val="005A20E0"/>
    <w:rsid w:val="005A24D6"/>
    <w:rsid w:val="005A2A20"/>
    <w:rsid w:val="005A4892"/>
    <w:rsid w:val="005A5FB5"/>
    <w:rsid w:val="005B1582"/>
    <w:rsid w:val="005B31C1"/>
    <w:rsid w:val="005B3F31"/>
    <w:rsid w:val="005B684F"/>
    <w:rsid w:val="005B7254"/>
    <w:rsid w:val="005B75CC"/>
    <w:rsid w:val="005B7C0F"/>
    <w:rsid w:val="005C0CC0"/>
    <w:rsid w:val="005C16EC"/>
    <w:rsid w:val="005C180D"/>
    <w:rsid w:val="005C2545"/>
    <w:rsid w:val="005C467E"/>
    <w:rsid w:val="005C5DF1"/>
    <w:rsid w:val="005C73F8"/>
    <w:rsid w:val="005D192D"/>
    <w:rsid w:val="005D2D13"/>
    <w:rsid w:val="005D3598"/>
    <w:rsid w:val="005D4EFC"/>
    <w:rsid w:val="005D5887"/>
    <w:rsid w:val="005D5E3E"/>
    <w:rsid w:val="005D617B"/>
    <w:rsid w:val="005D62D6"/>
    <w:rsid w:val="005D7381"/>
    <w:rsid w:val="005D74BD"/>
    <w:rsid w:val="005E06AF"/>
    <w:rsid w:val="005E1152"/>
    <w:rsid w:val="005E1D1A"/>
    <w:rsid w:val="005E1D4C"/>
    <w:rsid w:val="005E1F13"/>
    <w:rsid w:val="005E2767"/>
    <w:rsid w:val="005E2C3F"/>
    <w:rsid w:val="005E3AFE"/>
    <w:rsid w:val="005E530D"/>
    <w:rsid w:val="005E5376"/>
    <w:rsid w:val="005F0ABA"/>
    <w:rsid w:val="005F0E56"/>
    <w:rsid w:val="005F0FA3"/>
    <w:rsid w:val="005F128D"/>
    <w:rsid w:val="005F214E"/>
    <w:rsid w:val="005F2931"/>
    <w:rsid w:val="005F34DF"/>
    <w:rsid w:val="005F43B5"/>
    <w:rsid w:val="005F45E2"/>
    <w:rsid w:val="005F4B60"/>
    <w:rsid w:val="005F5BE7"/>
    <w:rsid w:val="005F6AD1"/>
    <w:rsid w:val="00600240"/>
    <w:rsid w:val="006011EF"/>
    <w:rsid w:val="0060344A"/>
    <w:rsid w:val="00603623"/>
    <w:rsid w:val="00603F7B"/>
    <w:rsid w:val="00603FDD"/>
    <w:rsid w:val="00606CEE"/>
    <w:rsid w:val="00607DDD"/>
    <w:rsid w:val="0061045A"/>
    <w:rsid w:val="00610C7A"/>
    <w:rsid w:val="006117FD"/>
    <w:rsid w:val="006166D7"/>
    <w:rsid w:val="006203AD"/>
    <w:rsid w:val="006210E3"/>
    <w:rsid w:val="00623C78"/>
    <w:rsid w:val="00624E9C"/>
    <w:rsid w:val="00626C76"/>
    <w:rsid w:val="006273B0"/>
    <w:rsid w:val="00630165"/>
    <w:rsid w:val="006313B3"/>
    <w:rsid w:val="006323F9"/>
    <w:rsid w:val="00634206"/>
    <w:rsid w:val="00634B7D"/>
    <w:rsid w:val="00637305"/>
    <w:rsid w:val="0063781E"/>
    <w:rsid w:val="00641BBE"/>
    <w:rsid w:val="00641C76"/>
    <w:rsid w:val="00641DFE"/>
    <w:rsid w:val="0064231C"/>
    <w:rsid w:val="0064510D"/>
    <w:rsid w:val="00646600"/>
    <w:rsid w:val="00647446"/>
    <w:rsid w:val="00647FA2"/>
    <w:rsid w:val="00650290"/>
    <w:rsid w:val="006543E7"/>
    <w:rsid w:val="00655883"/>
    <w:rsid w:val="00655EF8"/>
    <w:rsid w:val="006564FC"/>
    <w:rsid w:val="00656EE3"/>
    <w:rsid w:val="00657367"/>
    <w:rsid w:val="006574BA"/>
    <w:rsid w:val="00657F45"/>
    <w:rsid w:val="00661597"/>
    <w:rsid w:val="0066337A"/>
    <w:rsid w:val="00666EB3"/>
    <w:rsid w:val="006709A2"/>
    <w:rsid w:val="00671671"/>
    <w:rsid w:val="00671AA8"/>
    <w:rsid w:val="00671B49"/>
    <w:rsid w:val="00671D09"/>
    <w:rsid w:val="006811C1"/>
    <w:rsid w:val="006813E2"/>
    <w:rsid w:val="0068166F"/>
    <w:rsid w:val="00681D7B"/>
    <w:rsid w:val="00682040"/>
    <w:rsid w:val="0068338E"/>
    <w:rsid w:val="006833A7"/>
    <w:rsid w:val="00686368"/>
    <w:rsid w:val="00690236"/>
    <w:rsid w:val="006918C2"/>
    <w:rsid w:val="00692A02"/>
    <w:rsid w:val="006939C1"/>
    <w:rsid w:val="00693F85"/>
    <w:rsid w:val="006967D8"/>
    <w:rsid w:val="00697900"/>
    <w:rsid w:val="006A0964"/>
    <w:rsid w:val="006A3837"/>
    <w:rsid w:val="006A6795"/>
    <w:rsid w:val="006A6F24"/>
    <w:rsid w:val="006A7D15"/>
    <w:rsid w:val="006B1C1E"/>
    <w:rsid w:val="006B2C91"/>
    <w:rsid w:val="006B4CE6"/>
    <w:rsid w:val="006B507E"/>
    <w:rsid w:val="006B6BF6"/>
    <w:rsid w:val="006B78F5"/>
    <w:rsid w:val="006B7AB8"/>
    <w:rsid w:val="006B7D9C"/>
    <w:rsid w:val="006C0024"/>
    <w:rsid w:val="006C0817"/>
    <w:rsid w:val="006C1BED"/>
    <w:rsid w:val="006C2A32"/>
    <w:rsid w:val="006C2BA8"/>
    <w:rsid w:val="006C358F"/>
    <w:rsid w:val="006C4263"/>
    <w:rsid w:val="006C58F0"/>
    <w:rsid w:val="006C6319"/>
    <w:rsid w:val="006C6E1E"/>
    <w:rsid w:val="006C719B"/>
    <w:rsid w:val="006C7813"/>
    <w:rsid w:val="006D05A3"/>
    <w:rsid w:val="006D06AF"/>
    <w:rsid w:val="006D1A57"/>
    <w:rsid w:val="006D1F4B"/>
    <w:rsid w:val="006D27B2"/>
    <w:rsid w:val="006D2E5A"/>
    <w:rsid w:val="006D3E47"/>
    <w:rsid w:val="006D43EC"/>
    <w:rsid w:val="006D45C6"/>
    <w:rsid w:val="006D4907"/>
    <w:rsid w:val="006D4A28"/>
    <w:rsid w:val="006D4E77"/>
    <w:rsid w:val="006D50D1"/>
    <w:rsid w:val="006D57C7"/>
    <w:rsid w:val="006D63B0"/>
    <w:rsid w:val="006D6A88"/>
    <w:rsid w:val="006D6DAC"/>
    <w:rsid w:val="006D6F8C"/>
    <w:rsid w:val="006D7AD5"/>
    <w:rsid w:val="006E015C"/>
    <w:rsid w:val="006E20F3"/>
    <w:rsid w:val="006E31B7"/>
    <w:rsid w:val="006E5CE7"/>
    <w:rsid w:val="006E6118"/>
    <w:rsid w:val="006E6164"/>
    <w:rsid w:val="006F0490"/>
    <w:rsid w:val="006F1226"/>
    <w:rsid w:val="006F12AF"/>
    <w:rsid w:val="006F35BF"/>
    <w:rsid w:val="006F38BC"/>
    <w:rsid w:val="006F45C9"/>
    <w:rsid w:val="006F4C1A"/>
    <w:rsid w:val="006F5FEC"/>
    <w:rsid w:val="006F7A0B"/>
    <w:rsid w:val="006F7D79"/>
    <w:rsid w:val="00700704"/>
    <w:rsid w:val="00702471"/>
    <w:rsid w:val="00702A82"/>
    <w:rsid w:val="00702F4B"/>
    <w:rsid w:val="00703722"/>
    <w:rsid w:val="0070453E"/>
    <w:rsid w:val="00707A67"/>
    <w:rsid w:val="00710574"/>
    <w:rsid w:val="00710A82"/>
    <w:rsid w:val="00713F14"/>
    <w:rsid w:val="00716187"/>
    <w:rsid w:val="0071753D"/>
    <w:rsid w:val="0071778F"/>
    <w:rsid w:val="00720883"/>
    <w:rsid w:val="00720D08"/>
    <w:rsid w:val="007211D4"/>
    <w:rsid w:val="00723983"/>
    <w:rsid w:val="007244FD"/>
    <w:rsid w:val="00730251"/>
    <w:rsid w:val="007310A8"/>
    <w:rsid w:val="00735D20"/>
    <w:rsid w:val="007403EE"/>
    <w:rsid w:val="00741AA3"/>
    <w:rsid w:val="007422B6"/>
    <w:rsid w:val="00742FD6"/>
    <w:rsid w:val="00743320"/>
    <w:rsid w:val="00743DAD"/>
    <w:rsid w:val="00745538"/>
    <w:rsid w:val="00746AE3"/>
    <w:rsid w:val="00750D88"/>
    <w:rsid w:val="00753423"/>
    <w:rsid w:val="00753E7D"/>
    <w:rsid w:val="0075407B"/>
    <w:rsid w:val="00754C0A"/>
    <w:rsid w:val="00755547"/>
    <w:rsid w:val="00756CB6"/>
    <w:rsid w:val="007578B7"/>
    <w:rsid w:val="00761978"/>
    <w:rsid w:val="00761FE8"/>
    <w:rsid w:val="00763802"/>
    <w:rsid w:val="007641D8"/>
    <w:rsid w:val="00765156"/>
    <w:rsid w:val="0076575A"/>
    <w:rsid w:val="00765BE3"/>
    <w:rsid w:val="00765DA7"/>
    <w:rsid w:val="00766183"/>
    <w:rsid w:val="00770100"/>
    <w:rsid w:val="007709AD"/>
    <w:rsid w:val="007715EF"/>
    <w:rsid w:val="00772832"/>
    <w:rsid w:val="00772C6D"/>
    <w:rsid w:val="00773F3C"/>
    <w:rsid w:val="007759FC"/>
    <w:rsid w:val="00775E2B"/>
    <w:rsid w:val="00781227"/>
    <w:rsid w:val="00781437"/>
    <w:rsid w:val="00785488"/>
    <w:rsid w:val="00786115"/>
    <w:rsid w:val="00786CFB"/>
    <w:rsid w:val="00787DB1"/>
    <w:rsid w:val="007908C5"/>
    <w:rsid w:val="007924C4"/>
    <w:rsid w:val="007935C5"/>
    <w:rsid w:val="00796D94"/>
    <w:rsid w:val="00797784"/>
    <w:rsid w:val="007A0675"/>
    <w:rsid w:val="007A127E"/>
    <w:rsid w:val="007A2F56"/>
    <w:rsid w:val="007A4874"/>
    <w:rsid w:val="007B00DE"/>
    <w:rsid w:val="007B0E80"/>
    <w:rsid w:val="007B216A"/>
    <w:rsid w:val="007B4DB2"/>
    <w:rsid w:val="007B5F66"/>
    <w:rsid w:val="007B5FE4"/>
    <w:rsid w:val="007B627D"/>
    <w:rsid w:val="007B667D"/>
    <w:rsid w:val="007B6950"/>
    <w:rsid w:val="007C0320"/>
    <w:rsid w:val="007C0909"/>
    <w:rsid w:val="007C0ECD"/>
    <w:rsid w:val="007C1B36"/>
    <w:rsid w:val="007C3624"/>
    <w:rsid w:val="007C41D8"/>
    <w:rsid w:val="007C4913"/>
    <w:rsid w:val="007C4BC7"/>
    <w:rsid w:val="007C5981"/>
    <w:rsid w:val="007C5BC1"/>
    <w:rsid w:val="007C6283"/>
    <w:rsid w:val="007C7364"/>
    <w:rsid w:val="007D1C42"/>
    <w:rsid w:val="007D2AB3"/>
    <w:rsid w:val="007D41FE"/>
    <w:rsid w:val="007D65D3"/>
    <w:rsid w:val="007D7103"/>
    <w:rsid w:val="007D78FC"/>
    <w:rsid w:val="007E0136"/>
    <w:rsid w:val="007E11F2"/>
    <w:rsid w:val="007E1266"/>
    <w:rsid w:val="007E29D2"/>
    <w:rsid w:val="007E2F26"/>
    <w:rsid w:val="007E4417"/>
    <w:rsid w:val="007E5B44"/>
    <w:rsid w:val="007E6F61"/>
    <w:rsid w:val="007E6FDA"/>
    <w:rsid w:val="007E79F4"/>
    <w:rsid w:val="007F0B0F"/>
    <w:rsid w:val="007F0C14"/>
    <w:rsid w:val="007F1239"/>
    <w:rsid w:val="007F1BDE"/>
    <w:rsid w:val="007F247D"/>
    <w:rsid w:val="007F26B4"/>
    <w:rsid w:val="007F2B02"/>
    <w:rsid w:val="007F2C50"/>
    <w:rsid w:val="007F344C"/>
    <w:rsid w:val="007F36CB"/>
    <w:rsid w:val="007F3BB1"/>
    <w:rsid w:val="007F3C7E"/>
    <w:rsid w:val="007F421C"/>
    <w:rsid w:val="007F457E"/>
    <w:rsid w:val="007F496D"/>
    <w:rsid w:val="007F5B7E"/>
    <w:rsid w:val="0080139D"/>
    <w:rsid w:val="00803760"/>
    <w:rsid w:val="00804154"/>
    <w:rsid w:val="00804D67"/>
    <w:rsid w:val="00806869"/>
    <w:rsid w:val="0080701A"/>
    <w:rsid w:val="008073B6"/>
    <w:rsid w:val="00812839"/>
    <w:rsid w:val="00814332"/>
    <w:rsid w:val="00814EF2"/>
    <w:rsid w:val="008172D9"/>
    <w:rsid w:val="008175F7"/>
    <w:rsid w:val="00820594"/>
    <w:rsid w:val="00821B45"/>
    <w:rsid w:val="008227BD"/>
    <w:rsid w:val="008236CF"/>
    <w:rsid w:val="008237B8"/>
    <w:rsid w:val="00823B5C"/>
    <w:rsid w:val="0082702F"/>
    <w:rsid w:val="00830539"/>
    <w:rsid w:val="00830D3B"/>
    <w:rsid w:val="00833008"/>
    <w:rsid w:val="00835FE6"/>
    <w:rsid w:val="008367CE"/>
    <w:rsid w:val="00836ECA"/>
    <w:rsid w:val="00841591"/>
    <w:rsid w:val="00843D63"/>
    <w:rsid w:val="00846FD0"/>
    <w:rsid w:val="008508AA"/>
    <w:rsid w:val="00851C60"/>
    <w:rsid w:val="00855015"/>
    <w:rsid w:val="008554C3"/>
    <w:rsid w:val="00857D26"/>
    <w:rsid w:val="008602B1"/>
    <w:rsid w:val="008628E4"/>
    <w:rsid w:val="00863F31"/>
    <w:rsid w:val="0086403F"/>
    <w:rsid w:val="00865258"/>
    <w:rsid w:val="008663CF"/>
    <w:rsid w:val="00867F11"/>
    <w:rsid w:val="00870C05"/>
    <w:rsid w:val="00873745"/>
    <w:rsid w:val="00873B03"/>
    <w:rsid w:val="00873F0A"/>
    <w:rsid w:val="00876213"/>
    <w:rsid w:val="0087684B"/>
    <w:rsid w:val="008775C1"/>
    <w:rsid w:val="00877A58"/>
    <w:rsid w:val="00877F7F"/>
    <w:rsid w:val="00880DE6"/>
    <w:rsid w:val="0088104E"/>
    <w:rsid w:val="00881A1C"/>
    <w:rsid w:val="00881A31"/>
    <w:rsid w:val="00883191"/>
    <w:rsid w:val="00883E3A"/>
    <w:rsid w:val="008843C3"/>
    <w:rsid w:val="00884491"/>
    <w:rsid w:val="0088470A"/>
    <w:rsid w:val="00884A11"/>
    <w:rsid w:val="0088593A"/>
    <w:rsid w:val="0089092B"/>
    <w:rsid w:val="00890B21"/>
    <w:rsid w:val="00892C03"/>
    <w:rsid w:val="00893773"/>
    <w:rsid w:val="008938CE"/>
    <w:rsid w:val="0089445C"/>
    <w:rsid w:val="00896509"/>
    <w:rsid w:val="008977AA"/>
    <w:rsid w:val="008A1003"/>
    <w:rsid w:val="008A202E"/>
    <w:rsid w:val="008A29B4"/>
    <w:rsid w:val="008A5B62"/>
    <w:rsid w:val="008A5FEC"/>
    <w:rsid w:val="008A755D"/>
    <w:rsid w:val="008A789D"/>
    <w:rsid w:val="008B1B9D"/>
    <w:rsid w:val="008B5266"/>
    <w:rsid w:val="008B5F24"/>
    <w:rsid w:val="008B61F2"/>
    <w:rsid w:val="008B6337"/>
    <w:rsid w:val="008B71A9"/>
    <w:rsid w:val="008C039E"/>
    <w:rsid w:val="008C1B01"/>
    <w:rsid w:val="008C4A78"/>
    <w:rsid w:val="008C5127"/>
    <w:rsid w:val="008C7364"/>
    <w:rsid w:val="008D0DDE"/>
    <w:rsid w:val="008D3591"/>
    <w:rsid w:val="008D3F10"/>
    <w:rsid w:val="008D4E21"/>
    <w:rsid w:val="008D6902"/>
    <w:rsid w:val="008D6E86"/>
    <w:rsid w:val="008E182A"/>
    <w:rsid w:val="008E5B57"/>
    <w:rsid w:val="008E67CA"/>
    <w:rsid w:val="008F015E"/>
    <w:rsid w:val="008F036F"/>
    <w:rsid w:val="008F0FFB"/>
    <w:rsid w:val="008F161F"/>
    <w:rsid w:val="008F1C77"/>
    <w:rsid w:val="008F23E7"/>
    <w:rsid w:val="008F320D"/>
    <w:rsid w:val="008F3D36"/>
    <w:rsid w:val="008F4CD3"/>
    <w:rsid w:val="008F5EC5"/>
    <w:rsid w:val="008F60EC"/>
    <w:rsid w:val="00900752"/>
    <w:rsid w:val="00900C5A"/>
    <w:rsid w:val="00901ABE"/>
    <w:rsid w:val="00902803"/>
    <w:rsid w:val="0090283B"/>
    <w:rsid w:val="00902AE9"/>
    <w:rsid w:val="0090425D"/>
    <w:rsid w:val="00904684"/>
    <w:rsid w:val="00906C09"/>
    <w:rsid w:val="00906D78"/>
    <w:rsid w:val="00907BF0"/>
    <w:rsid w:val="0091011D"/>
    <w:rsid w:val="0091041A"/>
    <w:rsid w:val="00912E11"/>
    <w:rsid w:val="00912E78"/>
    <w:rsid w:val="00913C3E"/>
    <w:rsid w:val="009146A1"/>
    <w:rsid w:val="00914778"/>
    <w:rsid w:val="00914FAD"/>
    <w:rsid w:val="00915925"/>
    <w:rsid w:val="00917067"/>
    <w:rsid w:val="00917FAE"/>
    <w:rsid w:val="00920082"/>
    <w:rsid w:val="00922CB3"/>
    <w:rsid w:val="009247D0"/>
    <w:rsid w:val="00925DE3"/>
    <w:rsid w:val="00926C17"/>
    <w:rsid w:val="009270A9"/>
    <w:rsid w:val="00927418"/>
    <w:rsid w:val="00927B75"/>
    <w:rsid w:val="00927EBF"/>
    <w:rsid w:val="00930C87"/>
    <w:rsid w:val="00931021"/>
    <w:rsid w:val="009350FC"/>
    <w:rsid w:val="0093574C"/>
    <w:rsid w:val="009366C0"/>
    <w:rsid w:val="009370FA"/>
    <w:rsid w:val="00937D90"/>
    <w:rsid w:val="00941B36"/>
    <w:rsid w:val="009437CE"/>
    <w:rsid w:val="00943D9D"/>
    <w:rsid w:val="0094487E"/>
    <w:rsid w:val="00944AE2"/>
    <w:rsid w:val="00946426"/>
    <w:rsid w:val="00947F1B"/>
    <w:rsid w:val="009506A4"/>
    <w:rsid w:val="00954BDC"/>
    <w:rsid w:val="00954F12"/>
    <w:rsid w:val="00955B9A"/>
    <w:rsid w:val="00956079"/>
    <w:rsid w:val="00957BA1"/>
    <w:rsid w:val="00960F19"/>
    <w:rsid w:val="00961504"/>
    <w:rsid w:val="0096194B"/>
    <w:rsid w:val="00962BEB"/>
    <w:rsid w:val="00962D55"/>
    <w:rsid w:val="00963A0D"/>
    <w:rsid w:val="0096517A"/>
    <w:rsid w:val="009705DA"/>
    <w:rsid w:val="00972B50"/>
    <w:rsid w:val="00974B9F"/>
    <w:rsid w:val="00977AA5"/>
    <w:rsid w:val="00985836"/>
    <w:rsid w:val="009859A4"/>
    <w:rsid w:val="00985AEC"/>
    <w:rsid w:val="0098635A"/>
    <w:rsid w:val="009864AF"/>
    <w:rsid w:val="00987EFA"/>
    <w:rsid w:val="00990B51"/>
    <w:rsid w:val="0099367B"/>
    <w:rsid w:val="00994303"/>
    <w:rsid w:val="009947A7"/>
    <w:rsid w:val="009A011D"/>
    <w:rsid w:val="009A0799"/>
    <w:rsid w:val="009A2815"/>
    <w:rsid w:val="009A2A2B"/>
    <w:rsid w:val="009A7931"/>
    <w:rsid w:val="009A7A02"/>
    <w:rsid w:val="009A7D27"/>
    <w:rsid w:val="009B05AC"/>
    <w:rsid w:val="009B0F73"/>
    <w:rsid w:val="009B1801"/>
    <w:rsid w:val="009B1F5F"/>
    <w:rsid w:val="009B2554"/>
    <w:rsid w:val="009B3008"/>
    <w:rsid w:val="009B50B4"/>
    <w:rsid w:val="009B625B"/>
    <w:rsid w:val="009B7394"/>
    <w:rsid w:val="009C221A"/>
    <w:rsid w:val="009C5CD5"/>
    <w:rsid w:val="009C60D2"/>
    <w:rsid w:val="009D37DF"/>
    <w:rsid w:val="009D45AD"/>
    <w:rsid w:val="009D5A05"/>
    <w:rsid w:val="009D6703"/>
    <w:rsid w:val="009D6E74"/>
    <w:rsid w:val="009E033E"/>
    <w:rsid w:val="009E0706"/>
    <w:rsid w:val="009E1502"/>
    <w:rsid w:val="009E23E1"/>
    <w:rsid w:val="009E2875"/>
    <w:rsid w:val="009E65B3"/>
    <w:rsid w:val="009E6DD1"/>
    <w:rsid w:val="009F0749"/>
    <w:rsid w:val="009F14BB"/>
    <w:rsid w:val="009F1816"/>
    <w:rsid w:val="009F19D2"/>
    <w:rsid w:val="009F2651"/>
    <w:rsid w:val="009F2EAF"/>
    <w:rsid w:val="009F4DED"/>
    <w:rsid w:val="009F647B"/>
    <w:rsid w:val="009F6836"/>
    <w:rsid w:val="009F69E9"/>
    <w:rsid w:val="009F6B14"/>
    <w:rsid w:val="009F7F80"/>
    <w:rsid w:val="00A00BB2"/>
    <w:rsid w:val="00A0163B"/>
    <w:rsid w:val="00A01CE6"/>
    <w:rsid w:val="00A02567"/>
    <w:rsid w:val="00A02854"/>
    <w:rsid w:val="00A033FF"/>
    <w:rsid w:val="00A03C51"/>
    <w:rsid w:val="00A047A7"/>
    <w:rsid w:val="00A06BA3"/>
    <w:rsid w:val="00A077A5"/>
    <w:rsid w:val="00A1034C"/>
    <w:rsid w:val="00A10804"/>
    <w:rsid w:val="00A111BD"/>
    <w:rsid w:val="00A11E29"/>
    <w:rsid w:val="00A13B19"/>
    <w:rsid w:val="00A13E27"/>
    <w:rsid w:val="00A140FE"/>
    <w:rsid w:val="00A159AF"/>
    <w:rsid w:val="00A20C36"/>
    <w:rsid w:val="00A20E99"/>
    <w:rsid w:val="00A21232"/>
    <w:rsid w:val="00A237B0"/>
    <w:rsid w:val="00A240EB"/>
    <w:rsid w:val="00A24862"/>
    <w:rsid w:val="00A25194"/>
    <w:rsid w:val="00A25804"/>
    <w:rsid w:val="00A259E6"/>
    <w:rsid w:val="00A25A68"/>
    <w:rsid w:val="00A26CF6"/>
    <w:rsid w:val="00A3074C"/>
    <w:rsid w:val="00A3276B"/>
    <w:rsid w:val="00A331E5"/>
    <w:rsid w:val="00A33867"/>
    <w:rsid w:val="00A34560"/>
    <w:rsid w:val="00A35BFE"/>
    <w:rsid w:val="00A36A61"/>
    <w:rsid w:val="00A37748"/>
    <w:rsid w:val="00A401E3"/>
    <w:rsid w:val="00A42E73"/>
    <w:rsid w:val="00A44810"/>
    <w:rsid w:val="00A44B56"/>
    <w:rsid w:val="00A45F40"/>
    <w:rsid w:val="00A47007"/>
    <w:rsid w:val="00A474FB"/>
    <w:rsid w:val="00A51B60"/>
    <w:rsid w:val="00A51F3B"/>
    <w:rsid w:val="00A529F5"/>
    <w:rsid w:val="00A5315E"/>
    <w:rsid w:val="00A53531"/>
    <w:rsid w:val="00A55419"/>
    <w:rsid w:val="00A55F30"/>
    <w:rsid w:val="00A561D2"/>
    <w:rsid w:val="00A56F27"/>
    <w:rsid w:val="00A578A9"/>
    <w:rsid w:val="00A6039A"/>
    <w:rsid w:val="00A60959"/>
    <w:rsid w:val="00A612B9"/>
    <w:rsid w:val="00A6140D"/>
    <w:rsid w:val="00A62023"/>
    <w:rsid w:val="00A62099"/>
    <w:rsid w:val="00A666ED"/>
    <w:rsid w:val="00A671D3"/>
    <w:rsid w:val="00A67E03"/>
    <w:rsid w:val="00A70E6A"/>
    <w:rsid w:val="00A71331"/>
    <w:rsid w:val="00A716EC"/>
    <w:rsid w:val="00A72273"/>
    <w:rsid w:val="00A75903"/>
    <w:rsid w:val="00A75C7F"/>
    <w:rsid w:val="00A75F1D"/>
    <w:rsid w:val="00A7748F"/>
    <w:rsid w:val="00A77865"/>
    <w:rsid w:val="00A805DA"/>
    <w:rsid w:val="00A806E6"/>
    <w:rsid w:val="00A80B19"/>
    <w:rsid w:val="00A8192E"/>
    <w:rsid w:val="00A81C43"/>
    <w:rsid w:val="00A82807"/>
    <w:rsid w:val="00A82AFE"/>
    <w:rsid w:val="00A835DE"/>
    <w:rsid w:val="00A84586"/>
    <w:rsid w:val="00A85AA9"/>
    <w:rsid w:val="00A87027"/>
    <w:rsid w:val="00A87109"/>
    <w:rsid w:val="00A8728C"/>
    <w:rsid w:val="00A90080"/>
    <w:rsid w:val="00A906F3"/>
    <w:rsid w:val="00A90F25"/>
    <w:rsid w:val="00A916BD"/>
    <w:rsid w:val="00A92037"/>
    <w:rsid w:val="00A93F89"/>
    <w:rsid w:val="00A945A0"/>
    <w:rsid w:val="00A95AA0"/>
    <w:rsid w:val="00AA1AA0"/>
    <w:rsid w:val="00AA258F"/>
    <w:rsid w:val="00AA2C7F"/>
    <w:rsid w:val="00AA32D8"/>
    <w:rsid w:val="00AA34D7"/>
    <w:rsid w:val="00AA49FE"/>
    <w:rsid w:val="00AA5100"/>
    <w:rsid w:val="00AA6EAA"/>
    <w:rsid w:val="00AA72C2"/>
    <w:rsid w:val="00AA78C3"/>
    <w:rsid w:val="00AA7B6C"/>
    <w:rsid w:val="00AA7F93"/>
    <w:rsid w:val="00AB15BF"/>
    <w:rsid w:val="00AB1EEE"/>
    <w:rsid w:val="00AB218C"/>
    <w:rsid w:val="00AB2924"/>
    <w:rsid w:val="00AB5934"/>
    <w:rsid w:val="00AB5BC5"/>
    <w:rsid w:val="00AB61D3"/>
    <w:rsid w:val="00AB7653"/>
    <w:rsid w:val="00AB785C"/>
    <w:rsid w:val="00AB7C21"/>
    <w:rsid w:val="00AC04CD"/>
    <w:rsid w:val="00AC06BC"/>
    <w:rsid w:val="00AC0967"/>
    <w:rsid w:val="00AC0F13"/>
    <w:rsid w:val="00AC1C8D"/>
    <w:rsid w:val="00AC1EE6"/>
    <w:rsid w:val="00AC20A4"/>
    <w:rsid w:val="00AC2C26"/>
    <w:rsid w:val="00AC2D82"/>
    <w:rsid w:val="00AC613C"/>
    <w:rsid w:val="00AC6A4A"/>
    <w:rsid w:val="00AD0B27"/>
    <w:rsid w:val="00AD0EAA"/>
    <w:rsid w:val="00AD1148"/>
    <w:rsid w:val="00AD1A90"/>
    <w:rsid w:val="00AD2862"/>
    <w:rsid w:val="00AD28FA"/>
    <w:rsid w:val="00AD2F49"/>
    <w:rsid w:val="00AD4D38"/>
    <w:rsid w:val="00AD5397"/>
    <w:rsid w:val="00AD53F7"/>
    <w:rsid w:val="00AD557B"/>
    <w:rsid w:val="00AD6348"/>
    <w:rsid w:val="00AD639A"/>
    <w:rsid w:val="00AD79E8"/>
    <w:rsid w:val="00AD7B09"/>
    <w:rsid w:val="00AD7DC2"/>
    <w:rsid w:val="00AE12C7"/>
    <w:rsid w:val="00AE2425"/>
    <w:rsid w:val="00AE2D42"/>
    <w:rsid w:val="00AE57FD"/>
    <w:rsid w:val="00AE5ACE"/>
    <w:rsid w:val="00AE5B44"/>
    <w:rsid w:val="00AE608E"/>
    <w:rsid w:val="00AF18B2"/>
    <w:rsid w:val="00AF28B1"/>
    <w:rsid w:val="00AF4E63"/>
    <w:rsid w:val="00B00232"/>
    <w:rsid w:val="00B0031F"/>
    <w:rsid w:val="00B01E5B"/>
    <w:rsid w:val="00B03B52"/>
    <w:rsid w:val="00B05DF0"/>
    <w:rsid w:val="00B07643"/>
    <w:rsid w:val="00B104C9"/>
    <w:rsid w:val="00B10863"/>
    <w:rsid w:val="00B1143A"/>
    <w:rsid w:val="00B117F8"/>
    <w:rsid w:val="00B134DF"/>
    <w:rsid w:val="00B15990"/>
    <w:rsid w:val="00B15CB0"/>
    <w:rsid w:val="00B17501"/>
    <w:rsid w:val="00B17CA7"/>
    <w:rsid w:val="00B20EA5"/>
    <w:rsid w:val="00B21679"/>
    <w:rsid w:val="00B22BDE"/>
    <w:rsid w:val="00B252D6"/>
    <w:rsid w:val="00B25BA7"/>
    <w:rsid w:val="00B25BE7"/>
    <w:rsid w:val="00B262F6"/>
    <w:rsid w:val="00B27097"/>
    <w:rsid w:val="00B276B7"/>
    <w:rsid w:val="00B27DB8"/>
    <w:rsid w:val="00B30BF3"/>
    <w:rsid w:val="00B31A22"/>
    <w:rsid w:val="00B32FDD"/>
    <w:rsid w:val="00B33568"/>
    <w:rsid w:val="00B3532D"/>
    <w:rsid w:val="00B36C1A"/>
    <w:rsid w:val="00B4133C"/>
    <w:rsid w:val="00B416FC"/>
    <w:rsid w:val="00B42DF9"/>
    <w:rsid w:val="00B44B39"/>
    <w:rsid w:val="00B462B6"/>
    <w:rsid w:val="00B465AE"/>
    <w:rsid w:val="00B4697C"/>
    <w:rsid w:val="00B47722"/>
    <w:rsid w:val="00B5062A"/>
    <w:rsid w:val="00B50D8A"/>
    <w:rsid w:val="00B51AA7"/>
    <w:rsid w:val="00B51D4D"/>
    <w:rsid w:val="00B51F35"/>
    <w:rsid w:val="00B525B3"/>
    <w:rsid w:val="00B53D10"/>
    <w:rsid w:val="00B54675"/>
    <w:rsid w:val="00B54977"/>
    <w:rsid w:val="00B54A70"/>
    <w:rsid w:val="00B56CA6"/>
    <w:rsid w:val="00B56E35"/>
    <w:rsid w:val="00B56E5D"/>
    <w:rsid w:val="00B57808"/>
    <w:rsid w:val="00B57959"/>
    <w:rsid w:val="00B57D3F"/>
    <w:rsid w:val="00B609CE"/>
    <w:rsid w:val="00B62767"/>
    <w:rsid w:val="00B636BE"/>
    <w:rsid w:val="00B6380F"/>
    <w:rsid w:val="00B641CC"/>
    <w:rsid w:val="00B64C12"/>
    <w:rsid w:val="00B666B9"/>
    <w:rsid w:val="00B67091"/>
    <w:rsid w:val="00B674E1"/>
    <w:rsid w:val="00B72A85"/>
    <w:rsid w:val="00B73A3D"/>
    <w:rsid w:val="00B7457F"/>
    <w:rsid w:val="00B74C4B"/>
    <w:rsid w:val="00B765E4"/>
    <w:rsid w:val="00B77537"/>
    <w:rsid w:val="00B775FA"/>
    <w:rsid w:val="00B777A4"/>
    <w:rsid w:val="00B77B8B"/>
    <w:rsid w:val="00B77E42"/>
    <w:rsid w:val="00B802EA"/>
    <w:rsid w:val="00B80B07"/>
    <w:rsid w:val="00B80D4D"/>
    <w:rsid w:val="00B81196"/>
    <w:rsid w:val="00B82268"/>
    <w:rsid w:val="00B82F57"/>
    <w:rsid w:val="00B833E4"/>
    <w:rsid w:val="00B8403C"/>
    <w:rsid w:val="00B8471C"/>
    <w:rsid w:val="00B85679"/>
    <w:rsid w:val="00B8612B"/>
    <w:rsid w:val="00B91956"/>
    <w:rsid w:val="00B924E7"/>
    <w:rsid w:val="00B92817"/>
    <w:rsid w:val="00B92ADB"/>
    <w:rsid w:val="00B93ADD"/>
    <w:rsid w:val="00B94741"/>
    <w:rsid w:val="00B94CBD"/>
    <w:rsid w:val="00B94DA0"/>
    <w:rsid w:val="00B94E48"/>
    <w:rsid w:val="00B9653F"/>
    <w:rsid w:val="00B97522"/>
    <w:rsid w:val="00BA0D78"/>
    <w:rsid w:val="00BA34B1"/>
    <w:rsid w:val="00BA3701"/>
    <w:rsid w:val="00BA37CA"/>
    <w:rsid w:val="00BA3FB8"/>
    <w:rsid w:val="00BA41AB"/>
    <w:rsid w:val="00BA5F24"/>
    <w:rsid w:val="00BA6E6D"/>
    <w:rsid w:val="00BA7616"/>
    <w:rsid w:val="00BA772F"/>
    <w:rsid w:val="00BA7C02"/>
    <w:rsid w:val="00BA7E89"/>
    <w:rsid w:val="00BB19BA"/>
    <w:rsid w:val="00BB24AB"/>
    <w:rsid w:val="00BB2745"/>
    <w:rsid w:val="00BB323F"/>
    <w:rsid w:val="00BB48B6"/>
    <w:rsid w:val="00BB516D"/>
    <w:rsid w:val="00BB5683"/>
    <w:rsid w:val="00BB5D67"/>
    <w:rsid w:val="00BB5D75"/>
    <w:rsid w:val="00BC078C"/>
    <w:rsid w:val="00BC120F"/>
    <w:rsid w:val="00BC3010"/>
    <w:rsid w:val="00BC43A1"/>
    <w:rsid w:val="00BC451D"/>
    <w:rsid w:val="00BC51B4"/>
    <w:rsid w:val="00BC51B6"/>
    <w:rsid w:val="00BC5263"/>
    <w:rsid w:val="00BC5A18"/>
    <w:rsid w:val="00BC7DEF"/>
    <w:rsid w:val="00BD0274"/>
    <w:rsid w:val="00BD03B9"/>
    <w:rsid w:val="00BD064D"/>
    <w:rsid w:val="00BD0BA7"/>
    <w:rsid w:val="00BD1468"/>
    <w:rsid w:val="00BD25CD"/>
    <w:rsid w:val="00BD41D5"/>
    <w:rsid w:val="00BD45F6"/>
    <w:rsid w:val="00BD553F"/>
    <w:rsid w:val="00BD5940"/>
    <w:rsid w:val="00BD71E3"/>
    <w:rsid w:val="00BD76FD"/>
    <w:rsid w:val="00BE0057"/>
    <w:rsid w:val="00BE275F"/>
    <w:rsid w:val="00BE501D"/>
    <w:rsid w:val="00BE515E"/>
    <w:rsid w:val="00BE6FDD"/>
    <w:rsid w:val="00BE70A7"/>
    <w:rsid w:val="00BE70E9"/>
    <w:rsid w:val="00BE7205"/>
    <w:rsid w:val="00BF19A3"/>
    <w:rsid w:val="00BF31D9"/>
    <w:rsid w:val="00BF331E"/>
    <w:rsid w:val="00BF39D8"/>
    <w:rsid w:val="00BF4537"/>
    <w:rsid w:val="00BF5660"/>
    <w:rsid w:val="00BF7471"/>
    <w:rsid w:val="00BF758B"/>
    <w:rsid w:val="00BF786C"/>
    <w:rsid w:val="00C003FD"/>
    <w:rsid w:val="00C0093B"/>
    <w:rsid w:val="00C00A3A"/>
    <w:rsid w:val="00C010EE"/>
    <w:rsid w:val="00C01348"/>
    <w:rsid w:val="00C026D0"/>
    <w:rsid w:val="00C03090"/>
    <w:rsid w:val="00C03361"/>
    <w:rsid w:val="00C05F9E"/>
    <w:rsid w:val="00C06473"/>
    <w:rsid w:val="00C06CE8"/>
    <w:rsid w:val="00C07CF9"/>
    <w:rsid w:val="00C07DD5"/>
    <w:rsid w:val="00C07EFA"/>
    <w:rsid w:val="00C10C93"/>
    <w:rsid w:val="00C132F3"/>
    <w:rsid w:val="00C139A4"/>
    <w:rsid w:val="00C149E6"/>
    <w:rsid w:val="00C15C08"/>
    <w:rsid w:val="00C17C24"/>
    <w:rsid w:val="00C20862"/>
    <w:rsid w:val="00C21B21"/>
    <w:rsid w:val="00C232B0"/>
    <w:rsid w:val="00C23D4F"/>
    <w:rsid w:val="00C24D21"/>
    <w:rsid w:val="00C2603B"/>
    <w:rsid w:val="00C2606C"/>
    <w:rsid w:val="00C26F8B"/>
    <w:rsid w:val="00C30308"/>
    <w:rsid w:val="00C30F78"/>
    <w:rsid w:val="00C31A71"/>
    <w:rsid w:val="00C32400"/>
    <w:rsid w:val="00C331BC"/>
    <w:rsid w:val="00C348D1"/>
    <w:rsid w:val="00C3510E"/>
    <w:rsid w:val="00C35D97"/>
    <w:rsid w:val="00C35F10"/>
    <w:rsid w:val="00C405C6"/>
    <w:rsid w:val="00C40AAE"/>
    <w:rsid w:val="00C416FF"/>
    <w:rsid w:val="00C42D0F"/>
    <w:rsid w:val="00C44407"/>
    <w:rsid w:val="00C45D85"/>
    <w:rsid w:val="00C46AE6"/>
    <w:rsid w:val="00C5024B"/>
    <w:rsid w:val="00C51658"/>
    <w:rsid w:val="00C51AB9"/>
    <w:rsid w:val="00C51DEE"/>
    <w:rsid w:val="00C52A4A"/>
    <w:rsid w:val="00C52BEE"/>
    <w:rsid w:val="00C56C1F"/>
    <w:rsid w:val="00C57CF8"/>
    <w:rsid w:val="00C61494"/>
    <w:rsid w:val="00C61713"/>
    <w:rsid w:val="00C624DB"/>
    <w:rsid w:val="00C64B8B"/>
    <w:rsid w:val="00C709ED"/>
    <w:rsid w:val="00C71777"/>
    <w:rsid w:val="00C72121"/>
    <w:rsid w:val="00C72D7C"/>
    <w:rsid w:val="00C73F17"/>
    <w:rsid w:val="00C7496A"/>
    <w:rsid w:val="00C75153"/>
    <w:rsid w:val="00C75E09"/>
    <w:rsid w:val="00C75F60"/>
    <w:rsid w:val="00C775EE"/>
    <w:rsid w:val="00C81C4E"/>
    <w:rsid w:val="00C81FBA"/>
    <w:rsid w:val="00C83820"/>
    <w:rsid w:val="00C83E85"/>
    <w:rsid w:val="00C84427"/>
    <w:rsid w:val="00C85CBA"/>
    <w:rsid w:val="00C85DE5"/>
    <w:rsid w:val="00C86681"/>
    <w:rsid w:val="00C93B37"/>
    <w:rsid w:val="00C93B81"/>
    <w:rsid w:val="00C94990"/>
    <w:rsid w:val="00C94AF3"/>
    <w:rsid w:val="00C96408"/>
    <w:rsid w:val="00C9762A"/>
    <w:rsid w:val="00CA087E"/>
    <w:rsid w:val="00CA09A0"/>
    <w:rsid w:val="00CA0D62"/>
    <w:rsid w:val="00CA1556"/>
    <w:rsid w:val="00CA2BB2"/>
    <w:rsid w:val="00CA4615"/>
    <w:rsid w:val="00CA5001"/>
    <w:rsid w:val="00CA519B"/>
    <w:rsid w:val="00CA6089"/>
    <w:rsid w:val="00CA7AEE"/>
    <w:rsid w:val="00CB0AF4"/>
    <w:rsid w:val="00CB0C3F"/>
    <w:rsid w:val="00CB0E14"/>
    <w:rsid w:val="00CB15BD"/>
    <w:rsid w:val="00CB1BC9"/>
    <w:rsid w:val="00CB1D80"/>
    <w:rsid w:val="00CB230F"/>
    <w:rsid w:val="00CB3409"/>
    <w:rsid w:val="00CB3412"/>
    <w:rsid w:val="00CB3498"/>
    <w:rsid w:val="00CB3A13"/>
    <w:rsid w:val="00CB3CA8"/>
    <w:rsid w:val="00CB5F4A"/>
    <w:rsid w:val="00CB6D38"/>
    <w:rsid w:val="00CB783F"/>
    <w:rsid w:val="00CC1708"/>
    <w:rsid w:val="00CC3616"/>
    <w:rsid w:val="00CC3DB1"/>
    <w:rsid w:val="00CC4489"/>
    <w:rsid w:val="00CC45E9"/>
    <w:rsid w:val="00CD198F"/>
    <w:rsid w:val="00CD1B20"/>
    <w:rsid w:val="00CD21D7"/>
    <w:rsid w:val="00CD2306"/>
    <w:rsid w:val="00CD3599"/>
    <w:rsid w:val="00CD36A9"/>
    <w:rsid w:val="00CD3FC7"/>
    <w:rsid w:val="00CD4008"/>
    <w:rsid w:val="00CD4AF9"/>
    <w:rsid w:val="00CD56AA"/>
    <w:rsid w:val="00CD7084"/>
    <w:rsid w:val="00CE09B1"/>
    <w:rsid w:val="00CE2D83"/>
    <w:rsid w:val="00CE340C"/>
    <w:rsid w:val="00CE4D2D"/>
    <w:rsid w:val="00CE544E"/>
    <w:rsid w:val="00CE56C3"/>
    <w:rsid w:val="00CE6080"/>
    <w:rsid w:val="00CE62AB"/>
    <w:rsid w:val="00CF0B0C"/>
    <w:rsid w:val="00CF0E05"/>
    <w:rsid w:val="00CF2E2C"/>
    <w:rsid w:val="00CF661A"/>
    <w:rsid w:val="00CF727B"/>
    <w:rsid w:val="00D01033"/>
    <w:rsid w:val="00D0519A"/>
    <w:rsid w:val="00D05894"/>
    <w:rsid w:val="00D058BC"/>
    <w:rsid w:val="00D06073"/>
    <w:rsid w:val="00D06123"/>
    <w:rsid w:val="00D07F29"/>
    <w:rsid w:val="00D10970"/>
    <w:rsid w:val="00D10F56"/>
    <w:rsid w:val="00D11BE6"/>
    <w:rsid w:val="00D1253E"/>
    <w:rsid w:val="00D1349C"/>
    <w:rsid w:val="00D16383"/>
    <w:rsid w:val="00D177BA"/>
    <w:rsid w:val="00D2082A"/>
    <w:rsid w:val="00D22AE4"/>
    <w:rsid w:val="00D22DD4"/>
    <w:rsid w:val="00D235B1"/>
    <w:rsid w:val="00D24206"/>
    <w:rsid w:val="00D250F0"/>
    <w:rsid w:val="00D26A4C"/>
    <w:rsid w:val="00D32BF1"/>
    <w:rsid w:val="00D3402B"/>
    <w:rsid w:val="00D3495A"/>
    <w:rsid w:val="00D37065"/>
    <w:rsid w:val="00D412F0"/>
    <w:rsid w:val="00D415C9"/>
    <w:rsid w:val="00D42274"/>
    <w:rsid w:val="00D427E4"/>
    <w:rsid w:val="00D42B1E"/>
    <w:rsid w:val="00D43179"/>
    <w:rsid w:val="00D432C5"/>
    <w:rsid w:val="00D434CE"/>
    <w:rsid w:val="00D43BAE"/>
    <w:rsid w:val="00D4450A"/>
    <w:rsid w:val="00D452D0"/>
    <w:rsid w:val="00D45B3E"/>
    <w:rsid w:val="00D45F04"/>
    <w:rsid w:val="00D4661E"/>
    <w:rsid w:val="00D46C66"/>
    <w:rsid w:val="00D479BB"/>
    <w:rsid w:val="00D508F4"/>
    <w:rsid w:val="00D52888"/>
    <w:rsid w:val="00D53A9C"/>
    <w:rsid w:val="00D553F1"/>
    <w:rsid w:val="00D55CB7"/>
    <w:rsid w:val="00D57087"/>
    <w:rsid w:val="00D57174"/>
    <w:rsid w:val="00D57B8D"/>
    <w:rsid w:val="00D60CAB"/>
    <w:rsid w:val="00D61B64"/>
    <w:rsid w:val="00D63221"/>
    <w:rsid w:val="00D63EAE"/>
    <w:rsid w:val="00D64C76"/>
    <w:rsid w:val="00D65FA5"/>
    <w:rsid w:val="00D66241"/>
    <w:rsid w:val="00D67E7E"/>
    <w:rsid w:val="00D67EE2"/>
    <w:rsid w:val="00D74350"/>
    <w:rsid w:val="00D748A2"/>
    <w:rsid w:val="00D7554F"/>
    <w:rsid w:val="00D756A4"/>
    <w:rsid w:val="00D764E8"/>
    <w:rsid w:val="00D76680"/>
    <w:rsid w:val="00D76B98"/>
    <w:rsid w:val="00D77495"/>
    <w:rsid w:val="00D8028D"/>
    <w:rsid w:val="00D809C0"/>
    <w:rsid w:val="00D8268F"/>
    <w:rsid w:val="00D83099"/>
    <w:rsid w:val="00D85042"/>
    <w:rsid w:val="00D85AE6"/>
    <w:rsid w:val="00D92106"/>
    <w:rsid w:val="00D94997"/>
    <w:rsid w:val="00D953F5"/>
    <w:rsid w:val="00DA092E"/>
    <w:rsid w:val="00DA19F6"/>
    <w:rsid w:val="00DA2FEB"/>
    <w:rsid w:val="00DA4173"/>
    <w:rsid w:val="00DA6607"/>
    <w:rsid w:val="00DA67E5"/>
    <w:rsid w:val="00DA690C"/>
    <w:rsid w:val="00DA79AE"/>
    <w:rsid w:val="00DA7B1E"/>
    <w:rsid w:val="00DA7F30"/>
    <w:rsid w:val="00DB05F2"/>
    <w:rsid w:val="00DB173B"/>
    <w:rsid w:val="00DB2054"/>
    <w:rsid w:val="00DB2343"/>
    <w:rsid w:val="00DB23E6"/>
    <w:rsid w:val="00DB5250"/>
    <w:rsid w:val="00DB6059"/>
    <w:rsid w:val="00DB66A8"/>
    <w:rsid w:val="00DB6ADC"/>
    <w:rsid w:val="00DB6C54"/>
    <w:rsid w:val="00DC01B4"/>
    <w:rsid w:val="00DC0268"/>
    <w:rsid w:val="00DC067B"/>
    <w:rsid w:val="00DC0B34"/>
    <w:rsid w:val="00DC32FD"/>
    <w:rsid w:val="00DC3F13"/>
    <w:rsid w:val="00DC57E4"/>
    <w:rsid w:val="00DC5AC6"/>
    <w:rsid w:val="00DC7B63"/>
    <w:rsid w:val="00DD10DF"/>
    <w:rsid w:val="00DD4150"/>
    <w:rsid w:val="00DD4551"/>
    <w:rsid w:val="00DD4702"/>
    <w:rsid w:val="00DD474F"/>
    <w:rsid w:val="00DD50FC"/>
    <w:rsid w:val="00DD585E"/>
    <w:rsid w:val="00DD67E3"/>
    <w:rsid w:val="00DE06F5"/>
    <w:rsid w:val="00DE08E1"/>
    <w:rsid w:val="00DE1ED6"/>
    <w:rsid w:val="00DE44B0"/>
    <w:rsid w:val="00DE45C0"/>
    <w:rsid w:val="00DE475F"/>
    <w:rsid w:val="00DE50F0"/>
    <w:rsid w:val="00DE57C6"/>
    <w:rsid w:val="00DE610D"/>
    <w:rsid w:val="00DE6513"/>
    <w:rsid w:val="00DF05C1"/>
    <w:rsid w:val="00DF13B4"/>
    <w:rsid w:val="00DF2323"/>
    <w:rsid w:val="00DF2509"/>
    <w:rsid w:val="00DF2CE6"/>
    <w:rsid w:val="00DF3245"/>
    <w:rsid w:val="00DF3F7E"/>
    <w:rsid w:val="00DF434D"/>
    <w:rsid w:val="00DF5A3D"/>
    <w:rsid w:val="00DF625C"/>
    <w:rsid w:val="00DF6333"/>
    <w:rsid w:val="00DF7928"/>
    <w:rsid w:val="00DF7EF4"/>
    <w:rsid w:val="00E00BFC"/>
    <w:rsid w:val="00E01494"/>
    <w:rsid w:val="00E02C2E"/>
    <w:rsid w:val="00E04B11"/>
    <w:rsid w:val="00E05783"/>
    <w:rsid w:val="00E06816"/>
    <w:rsid w:val="00E10EB3"/>
    <w:rsid w:val="00E1100E"/>
    <w:rsid w:val="00E1294B"/>
    <w:rsid w:val="00E12CED"/>
    <w:rsid w:val="00E155B5"/>
    <w:rsid w:val="00E15EA3"/>
    <w:rsid w:val="00E20B69"/>
    <w:rsid w:val="00E217B7"/>
    <w:rsid w:val="00E236FD"/>
    <w:rsid w:val="00E24503"/>
    <w:rsid w:val="00E25381"/>
    <w:rsid w:val="00E2579E"/>
    <w:rsid w:val="00E25FB7"/>
    <w:rsid w:val="00E2749F"/>
    <w:rsid w:val="00E27855"/>
    <w:rsid w:val="00E2792B"/>
    <w:rsid w:val="00E27D75"/>
    <w:rsid w:val="00E3028D"/>
    <w:rsid w:val="00E30F8C"/>
    <w:rsid w:val="00E311A9"/>
    <w:rsid w:val="00E324B0"/>
    <w:rsid w:val="00E330C4"/>
    <w:rsid w:val="00E350DF"/>
    <w:rsid w:val="00E358E7"/>
    <w:rsid w:val="00E3676D"/>
    <w:rsid w:val="00E37754"/>
    <w:rsid w:val="00E40452"/>
    <w:rsid w:val="00E412DE"/>
    <w:rsid w:val="00E42244"/>
    <w:rsid w:val="00E42A2C"/>
    <w:rsid w:val="00E4311C"/>
    <w:rsid w:val="00E43F8F"/>
    <w:rsid w:val="00E44A55"/>
    <w:rsid w:val="00E45581"/>
    <w:rsid w:val="00E50D54"/>
    <w:rsid w:val="00E51FE4"/>
    <w:rsid w:val="00E52AA7"/>
    <w:rsid w:val="00E53772"/>
    <w:rsid w:val="00E53B84"/>
    <w:rsid w:val="00E55694"/>
    <w:rsid w:val="00E565C6"/>
    <w:rsid w:val="00E568E3"/>
    <w:rsid w:val="00E57860"/>
    <w:rsid w:val="00E60C46"/>
    <w:rsid w:val="00E6100D"/>
    <w:rsid w:val="00E61189"/>
    <w:rsid w:val="00E628D3"/>
    <w:rsid w:val="00E63594"/>
    <w:rsid w:val="00E64034"/>
    <w:rsid w:val="00E64D02"/>
    <w:rsid w:val="00E66279"/>
    <w:rsid w:val="00E66F77"/>
    <w:rsid w:val="00E679C1"/>
    <w:rsid w:val="00E70D68"/>
    <w:rsid w:val="00E717A2"/>
    <w:rsid w:val="00E7246C"/>
    <w:rsid w:val="00E72A03"/>
    <w:rsid w:val="00E772A4"/>
    <w:rsid w:val="00E8124A"/>
    <w:rsid w:val="00E81CA7"/>
    <w:rsid w:val="00E81D7F"/>
    <w:rsid w:val="00E81F45"/>
    <w:rsid w:val="00E82283"/>
    <w:rsid w:val="00E82B8D"/>
    <w:rsid w:val="00E854DC"/>
    <w:rsid w:val="00E86CCC"/>
    <w:rsid w:val="00E901A1"/>
    <w:rsid w:val="00E90317"/>
    <w:rsid w:val="00E910D3"/>
    <w:rsid w:val="00E91F77"/>
    <w:rsid w:val="00E92043"/>
    <w:rsid w:val="00E9297A"/>
    <w:rsid w:val="00E929E1"/>
    <w:rsid w:val="00E9308A"/>
    <w:rsid w:val="00E931EF"/>
    <w:rsid w:val="00E94EEB"/>
    <w:rsid w:val="00E95A2D"/>
    <w:rsid w:val="00E977B8"/>
    <w:rsid w:val="00E979A4"/>
    <w:rsid w:val="00EA340E"/>
    <w:rsid w:val="00EA449C"/>
    <w:rsid w:val="00EA4ACA"/>
    <w:rsid w:val="00EA501F"/>
    <w:rsid w:val="00EA58D7"/>
    <w:rsid w:val="00EB1670"/>
    <w:rsid w:val="00EB23B3"/>
    <w:rsid w:val="00EB27E8"/>
    <w:rsid w:val="00EB3268"/>
    <w:rsid w:val="00EB36C4"/>
    <w:rsid w:val="00EB3DAA"/>
    <w:rsid w:val="00EB4700"/>
    <w:rsid w:val="00EB5AC1"/>
    <w:rsid w:val="00EB6787"/>
    <w:rsid w:val="00EB6E4B"/>
    <w:rsid w:val="00EC0A20"/>
    <w:rsid w:val="00EC18B4"/>
    <w:rsid w:val="00EC1BAF"/>
    <w:rsid w:val="00EC208E"/>
    <w:rsid w:val="00EC30F5"/>
    <w:rsid w:val="00EC34DC"/>
    <w:rsid w:val="00EC3599"/>
    <w:rsid w:val="00EC6F2F"/>
    <w:rsid w:val="00EC6FD9"/>
    <w:rsid w:val="00ED08EA"/>
    <w:rsid w:val="00ED2A29"/>
    <w:rsid w:val="00ED2EE3"/>
    <w:rsid w:val="00ED530B"/>
    <w:rsid w:val="00ED6979"/>
    <w:rsid w:val="00ED7BBA"/>
    <w:rsid w:val="00EE0C5B"/>
    <w:rsid w:val="00EE2620"/>
    <w:rsid w:val="00EE2E56"/>
    <w:rsid w:val="00EE35DC"/>
    <w:rsid w:val="00EE3F39"/>
    <w:rsid w:val="00EE44EE"/>
    <w:rsid w:val="00EE45F3"/>
    <w:rsid w:val="00EE4710"/>
    <w:rsid w:val="00EE47ED"/>
    <w:rsid w:val="00EF10E0"/>
    <w:rsid w:val="00EF2772"/>
    <w:rsid w:val="00EF3068"/>
    <w:rsid w:val="00EF33EB"/>
    <w:rsid w:val="00EF3B1B"/>
    <w:rsid w:val="00EF3B52"/>
    <w:rsid w:val="00EF50BF"/>
    <w:rsid w:val="00EF5448"/>
    <w:rsid w:val="00EF5DA0"/>
    <w:rsid w:val="00EF7356"/>
    <w:rsid w:val="00EF7A18"/>
    <w:rsid w:val="00EF7C3A"/>
    <w:rsid w:val="00F01810"/>
    <w:rsid w:val="00F018F3"/>
    <w:rsid w:val="00F02F8F"/>
    <w:rsid w:val="00F0334B"/>
    <w:rsid w:val="00F037A4"/>
    <w:rsid w:val="00F057DD"/>
    <w:rsid w:val="00F06378"/>
    <w:rsid w:val="00F07528"/>
    <w:rsid w:val="00F07AB8"/>
    <w:rsid w:val="00F10696"/>
    <w:rsid w:val="00F1189B"/>
    <w:rsid w:val="00F12AC2"/>
    <w:rsid w:val="00F131DC"/>
    <w:rsid w:val="00F13FC8"/>
    <w:rsid w:val="00F1789A"/>
    <w:rsid w:val="00F20DE2"/>
    <w:rsid w:val="00F21A0A"/>
    <w:rsid w:val="00F2336E"/>
    <w:rsid w:val="00F24D30"/>
    <w:rsid w:val="00F24D7B"/>
    <w:rsid w:val="00F263ED"/>
    <w:rsid w:val="00F27FB6"/>
    <w:rsid w:val="00F30A03"/>
    <w:rsid w:val="00F3113E"/>
    <w:rsid w:val="00F34B0E"/>
    <w:rsid w:val="00F35586"/>
    <w:rsid w:val="00F3584C"/>
    <w:rsid w:val="00F35AE8"/>
    <w:rsid w:val="00F360BB"/>
    <w:rsid w:val="00F3778B"/>
    <w:rsid w:val="00F37CB3"/>
    <w:rsid w:val="00F40CF4"/>
    <w:rsid w:val="00F41460"/>
    <w:rsid w:val="00F41517"/>
    <w:rsid w:val="00F41A16"/>
    <w:rsid w:val="00F42F43"/>
    <w:rsid w:val="00F475EA"/>
    <w:rsid w:val="00F47B86"/>
    <w:rsid w:val="00F509A9"/>
    <w:rsid w:val="00F512B0"/>
    <w:rsid w:val="00F51361"/>
    <w:rsid w:val="00F518BD"/>
    <w:rsid w:val="00F51B73"/>
    <w:rsid w:val="00F520D5"/>
    <w:rsid w:val="00F52DD1"/>
    <w:rsid w:val="00F60660"/>
    <w:rsid w:val="00F60CF9"/>
    <w:rsid w:val="00F61A27"/>
    <w:rsid w:val="00F61FC9"/>
    <w:rsid w:val="00F62CCE"/>
    <w:rsid w:val="00F6564A"/>
    <w:rsid w:val="00F657C2"/>
    <w:rsid w:val="00F66BD0"/>
    <w:rsid w:val="00F66DB9"/>
    <w:rsid w:val="00F66EE1"/>
    <w:rsid w:val="00F67615"/>
    <w:rsid w:val="00F676B7"/>
    <w:rsid w:val="00F704DA"/>
    <w:rsid w:val="00F708BD"/>
    <w:rsid w:val="00F710E5"/>
    <w:rsid w:val="00F71E40"/>
    <w:rsid w:val="00F7223C"/>
    <w:rsid w:val="00F7354E"/>
    <w:rsid w:val="00F73ADC"/>
    <w:rsid w:val="00F75377"/>
    <w:rsid w:val="00F75F92"/>
    <w:rsid w:val="00F80BE9"/>
    <w:rsid w:val="00F819AC"/>
    <w:rsid w:val="00F839A6"/>
    <w:rsid w:val="00F83D42"/>
    <w:rsid w:val="00F847E0"/>
    <w:rsid w:val="00F84D37"/>
    <w:rsid w:val="00F8598F"/>
    <w:rsid w:val="00F85CB3"/>
    <w:rsid w:val="00F85E6D"/>
    <w:rsid w:val="00F86079"/>
    <w:rsid w:val="00F879A3"/>
    <w:rsid w:val="00F91955"/>
    <w:rsid w:val="00F91AEE"/>
    <w:rsid w:val="00F942FF"/>
    <w:rsid w:val="00F94CB1"/>
    <w:rsid w:val="00F9654A"/>
    <w:rsid w:val="00F9776D"/>
    <w:rsid w:val="00F97B54"/>
    <w:rsid w:val="00FA0A50"/>
    <w:rsid w:val="00FA0FC4"/>
    <w:rsid w:val="00FA2D79"/>
    <w:rsid w:val="00FA5C78"/>
    <w:rsid w:val="00FA77E5"/>
    <w:rsid w:val="00FA7F18"/>
    <w:rsid w:val="00FB0A92"/>
    <w:rsid w:val="00FB1332"/>
    <w:rsid w:val="00FB2B83"/>
    <w:rsid w:val="00FB2D2A"/>
    <w:rsid w:val="00FB2F5B"/>
    <w:rsid w:val="00FB42F6"/>
    <w:rsid w:val="00FB5ACE"/>
    <w:rsid w:val="00FC11C2"/>
    <w:rsid w:val="00FC331A"/>
    <w:rsid w:val="00FC34D8"/>
    <w:rsid w:val="00FC3E7C"/>
    <w:rsid w:val="00FC5BCD"/>
    <w:rsid w:val="00FC794B"/>
    <w:rsid w:val="00FD3775"/>
    <w:rsid w:val="00FD48B9"/>
    <w:rsid w:val="00FD4B47"/>
    <w:rsid w:val="00FD5A3F"/>
    <w:rsid w:val="00FD5CFC"/>
    <w:rsid w:val="00FE157E"/>
    <w:rsid w:val="00FE3A9A"/>
    <w:rsid w:val="00FE5BD5"/>
    <w:rsid w:val="00FE63B5"/>
    <w:rsid w:val="00FE6CF5"/>
    <w:rsid w:val="00FE7BB2"/>
    <w:rsid w:val="00FF0F04"/>
    <w:rsid w:val="00FF1690"/>
    <w:rsid w:val="00FF45E6"/>
    <w:rsid w:val="04B85756"/>
    <w:rsid w:val="07BE700A"/>
    <w:rsid w:val="1E401821"/>
    <w:rsid w:val="1E577432"/>
    <w:rsid w:val="217D191B"/>
    <w:rsid w:val="28E62BC1"/>
    <w:rsid w:val="39FA2B54"/>
    <w:rsid w:val="44477EFC"/>
    <w:rsid w:val="5C295CC4"/>
    <w:rsid w:val="7E780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C6D3F4"/>
  <w15:docId w15:val="{EF2E7066-3421-402C-8EDD-BC601023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jc w:val="center"/>
      <w:outlineLvl w:val="0"/>
    </w:pPr>
    <w:rPr>
      <w:b/>
      <w:sz w:val="36"/>
    </w:rPr>
  </w:style>
  <w:style w:type="paragraph" w:styleId="Heading2">
    <w:name w:val="heading 2"/>
    <w:basedOn w:val="Normal"/>
    <w:next w:val="Normal"/>
    <w:link w:val="Heading2Char"/>
    <w:qFormat/>
    <w:pPr>
      <w:jc w:val="center"/>
      <w:outlineLvl w:val="1"/>
    </w:pPr>
    <w:rPr>
      <w:b/>
      <w:sz w:val="28"/>
    </w:rPr>
  </w:style>
  <w:style w:type="paragraph" w:styleId="Heading3">
    <w:name w:val="heading 3"/>
    <w:basedOn w:val="Normal"/>
    <w:next w:val="Normal"/>
    <w:link w:val="Heading3Char"/>
    <w:qFormat/>
    <w:pPr>
      <w:jc w:val="center"/>
      <w:outlineLvl w:val="2"/>
    </w:pPr>
    <w:rPr>
      <w:b/>
      <w:sz w:val="28"/>
    </w:rPr>
  </w:style>
  <w:style w:type="paragraph" w:styleId="Heading4">
    <w:name w:val="heading 4"/>
    <w:basedOn w:val="Sub-ClauseText"/>
    <w:next w:val="Sub-ClauseText"/>
    <w:link w:val="Heading4Char"/>
    <w:qFormat/>
    <w:pPr>
      <w:numPr>
        <w:ilvl w:val="3"/>
        <w:numId w:val="1"/>
      </w:numPr>
      <w:tabs>
        <w:tab w:val="left" w:pos="1901"/>
      </w:tabs>
      <w:outlineLvl w:val="3"/>
    </w:pPr>
  </w:style>
  <w:style w:type="paragraph" w:styleId="Heading5">
    <w:name w:val="heading 5"/>
    <w:basedOn w:val="Normal"/>
    <w:next w:val="Normal"/>
    <w:link w:val="Heading5Char"/>
    <w:qFormat/>
    <w:pPr>
      <w:keepNext/>
      <w:ind w:right="-72"/>
      <w:outlineLvl w:val="4"/>
    </w:pPr>
    <w:rPr>
      <w:i/>
    </w:rPr>
  </w:style>
  <w:style w:type="paragraph" w:styleId="Heading6">
    <w:name w:val="heading 6"/>
    <w:basedOn w:val="Normal"/>
    <w:next w:val="Normal"/>
    <w:link w:val="Heading6Char"/>
    <w:qFormat/>
    <w:pPr>
      <w:keepNext/>
      <w:ind w:right="-72"/>
      <w:outlineLvl w:val="5"/>
    </w:pPr>
  </w:style>
  <w:style w:type="paragraph" w:styleId="Heading7">
    <w:name w:val="heading 7"/>
    <w:basedOn w:val="Normal"/>
    <w:next w:val="Normal"/>
    <w:link w:val="Heading7Char"/>
    <w:qFormat/>
    <w:pPr>
      <w:keepNext/>
      <w:tabs>
        <w:tab w:val="right" w:pos="9000"/>
      </w:tabs>
      <w:ind w:left="4320"/>
      <w:jc w:val="right"/>
      <w:outlineLvl w:val="6"/>
    </w:pPr>
    <w:rPr>
      <w:color w:val="FFFF00"/>
    </w:rPr>
  </w:style>
  <w:style w:type="paragraph" w:styleId="Heading8">
    <w:name w:val="heading 8"/>
    <w:basedOn w:val="Normal"/>
    <w:next w:val="Normal"/>
    <w:link w:val="Heading8Char"/>
    <w:qFormat/>
    <w:pPr>
      <w:spacing w:before="240" w:after="60"/>
      <w:outlineLvl w:val="7"/>
    </w:pPr>
    <w:rPr>
      <w:i/>
    </w:rPr>
  </w:style>
  <w:style w:type="paragraph" w:styleId="Heading9">
    <w:name w:val="heading 9"/>
    <w:basedOn w:val="Normal"/>
    <w:next w:val="Normal"/>
    <w:link w:val="Heading9Char"/>
    <w:qFormat/>
    <w:p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ClauseText">
    <w:name w:val="Sub-Clause Text"/>
    <w:basedOn w:val="Normal"/>
    <w:qFormat/>
    <w:pPr>
      <w:spacing w:before="120" w:after="120"/>
    </w:pPr>
    <w:rPr>
      <w:spacing w:val="-4"/>
    </w:rPr>
  </w:style>
  <w:style w:type="paragraph" w:styleId="BalloonText">
    <w:name w:val="Balloon Text"/>
    <w:basedOn w:val="Normal"/>
    <w:link w:val="BalloonTextChar"/>
    <w:qFormat/>
    <w:rPr>
      <w:rFonts w:ascii="Tahoma" w:hAnsi="Tahoma"/>
      <w:sz w:val="16"/>
    </w:rPr>
  </w:style>
  <w:style w:type="paragraph" w:styleId="BlockText">
    <w:name w:val="Block Text"/>
    <w:basedOn w:val="Normal"/>
    <w:qFormat/>
    <w:pPr>
      <w:tabs>
        <w:tab w:val="left" w:pos="540"/>
      </w:tabs>
      <w:ind w:left="540" w:right="-72" w:hanging="540"/>
    </w:pPr>
  </w:style>
  <w:style w:type="paragraph" w:styleId="BodyText">
    <w:name w:val="Body Text"/>
    <w:basedOn w:val="Normal"/>
    <w:link w:val="BodyTextChar1"/>
    <w:qFormat/>
    <w:pPr>
      <w:jc w:val="center"/>
    </w:pPr>
    <w:rPr>
      <w:color w:val="FFFF00"/>
      <w:sz w:val="28"/>
    </w:rPr>
  </w:style>
  <w:style w:type="paragraph" w:styleId="BodyText2">
    <w:name w:val="Body Text 2"/>
    <w:basedOn w:val="Normal"/>
    <w:link w:val="BodyText2Char"/>
    <w:qFormat/>
    <w:pPr>
      <w:spacing w:after="120"/>
      <w:ind w:left="283"/>
    </w:pPr>
  </w:style>
  <w:style w:type="paragraph" w:styleId="BodyText3">
    <w:name w:val="Body Text 3"/>
    <w:basedOn w:val="Normal"/>
    <w:link w:val="BodyText3Char"/>
    <w:qFormat/>
    <w:rPr>
      <w:i/>
    </w:rPr>
  </w:style>
  <w:style w:type="paragraph" w:styleId="BodyTextFirstIndent">
    <w:name w:val="Body Text First Indent"/>
    <w:basedOn w:val="BodyText"/>
    <w:qFormat/>
    <w:pPr>
      <w:spacing w:after="120"/>
      <w:ind w:firstLine="210"/>
      <w:jc w:val="both"/>
    </w:pPr>
    <w:rPr>
      <w:color w:val="auto"/>
      <w:sz w:val="24"/>
    </w:rPr>
  </w:style>
  <w:style w:type="paragraph" w:styleId="BodyTextIndent">
    <w:name w:val="Body Text Indent"/>
    <w:basedOn w:val="Normal"/>
    <w:link w:val="BodyTextIndentChar"/>
    <w:pPr>
      <w:spacing w:after="120"/>
      <w:ind w:left="283"/>
    </w:pPr>
    <w:rPr>
      <w:lang w:val="sr-Latn-CS" w:eastAsia="hr-HR"/>
    </w:rPr>
  </w:style>
  <w:style w:type="paragraph" w:styleId="BodyTextFirstIndent2">
    <w:name w:val="Body Text First Indent 2"/>
    <w:basedOn w:val="BodyText21"/>
    <w:link w:val="BodyTextFirstIndent2Char"/>
    <w:qFormat/>
    <w:pPr>
      <w:ind w:firstLine="210"/>
    </w:pPr>
  </w:style>
  <w:style w:type="paragraph" w:customStyle="1" w:styleId="BodyText21">
    <w:name w:val="Body Text 21"/>
    <w:basedOn w:val="Normal"/>
    <w:qFormat/>
    <w:pPr>
      <w:spacing w:after="120"/>
      <w:ind w:left="360"/>
    </w:pPr>
  </w:style>
  <w:style w:type="paragraph" w:styleId="BodyTextIndent2">
    <w:name w:val="Body Text Indent 2"/>
    <w:basedOn w:val="Normal"/>
    <w:link w:val="BodyTextIndent2Char"/>
    <w:qFormat/>
    <w:pPr>
      <w:tabs>
        <w:tab w:val="left" w:pos="720"/>
      </w:tabs>
      <w:ind w:left="720" w:hanging="720"/>
    </w:pPr>
  </w:style>
  <w:style w:type="paragraph" w:styleId="BodyTextIndent3">
    <w:name w:val="Body Text Indent 3"/>
    <w:basedOn w:val="Normal"/>
    <w:link w:val="BodyTextIndent3Char"/>
    <w:qFormat/>
    <w:pPr>
      <w:tabs>
        <w:tab w:val="left" w:pos="540"/>
      </w:tabs>
      <w:ind w:left="540" w:hanging="540"/>
    </w:pPr>
  </w:style>
  <w:style w:type="paragraph" w:styleId="Caption">
    <w:name w:val="caption"/>
    <w:basedOn w:val="Normal"/>
    <w:next w:val="Normal"/>
    <w:qFormat/>
    <w:rPr>
      <w:rFonts w:ascii="Courier New" w:hAnsi="Courier New"/>
    </w:rPr>
  </w:style>
  <w:style w:type="paragraph" w:styleId="Closing">
    <w:name w:val="Closing"/>
    <w:basedOn w:val="Normal"/>
    <w:link w:val="ClosingChar"/>
    <w:qFormat/>
    <w:pPr>
      <w:ind w:left="4320"/>
    </w:pPr>
  </w:style>
  <w:style w:type="paragraph" w:styleId="CommentText">
    <w:name w:val="annotation text"/>
    <w:basedOn w:val="Normal"/>
    <w:link w:val="CommentTextChar"/>
    <w:semiHidden/>
    <w:qFormat/>
    <w:rPr>
      <w:sz w:val="20"/>
    </w:rPr>
  </w:style>
  <w:style w:type="paragraph" w:styleId="CommentSubject">
    <w:name w:val="annotation subject"/>
    <w:basedOn w:val="CommentText"/>
    <w:next w:val="CommentText"/>
    <w:link w:val="CommentSubjectChar"/>
    <w:semiHidden/>
    <w:qFormat/>
    <w:rPr>
      <w:b/>
      <w:bCs/>
    </w:rPr>
  </w:style>
  <w:style w:type="paragraph" w:styleId="Date">
    <w:name w:val="Date"/>
    <w:basedOn w:val="Normal"/>
    <w:next w:val="Normal"/>
    <w:link w:val="DateChar"/>
    <w:qFormat/>
  </w:style>
  <w:style w:type="paragraph" w:styleId="DocumentMap">
    <w:name w:val="Document Map"/>
    <w:basedOn w:val="Normal"/>
    <w:link w:val="DocumentMapChar"/>
    <w:qFormat/>
    <w:pPr>
      <w:shd w:val="clear" w:color="auto" w:fill="000080"/>
    </w:pPr>
    <w:rPr>
      <w:rFonts w:ascii="Tahoma" w:hAnsi="Tahoma"/>
    </w:rPr>
  </w:style>
  <w:style w:type="paragraph" w:styleId="E-mailSignature">
    <w:name w:val="E-mail Signature"/>
    <w:basedOn w:val="Normal"/>
    <w:link w:val="E-mailSignatureChar"/>
    <w:qFormat/>
  </w:style>
  <w:style w:type="paragraph" w:styleId="EndnoteText">
    <w:name w:val="endnote text"/>
    <w:basedOn w:val="Normal"/>
    <w:link w:val="EndnoteTextChar"/>
    <w:semiHidden/>
    <w:qFormat/>
    <w:rPr>
      <w:sz w:val="20"/>
    </w:rPr>
  </w:style>
  <w:style w:type="paragraph" w:styleId="EnvelopeAddress">
    <w:name w:val="envelope address"/>
    <w:basedOn w:val="Normal"/>
    <w:qFormat/>
    <w:pPr>
      <w:framePr w:w="7920" w:h="1980" w:hRule="exact" w:hSpace="180" w:wrap="around" w:hAnchor="page" w:xAlign="center" w:yAlign="bottom"/>
      <w:ind w:left="2880"/>
    </w:pPr>
    <w:rPr>
      <w:rFonts w:ascii="Arial" w:hAnsi="Arial"/>
    </w:rPr>
  </w:style>
  <w:style w:type="paragraph" w:styleId="EnvelopeReturn">
    <w:name w:val="envelope return"/>
    <w:basedOn w:val="Normal"/>
    <w:qFormat/>
    <w:rPr>
      <w:rFonts w:ascii="Arial" w:hAnsi="Arial"/>
      <w:sz w:val="20"/>
    </w:rPr>
  </w:style>
  <w:style w:type="paragraph" w:styleId="Footer">
    <w:name w:val="footer"/>
    <w:basedOn w:val="Normal"/>
    <w:link w:val="FooterChar"/>
    <w:uiPriority w:val="99"/>
    <w:qFormat/>
    <w:rPr>
      <w:sz w:val="20"/>
    </w:rPr>
  </w:style>
  <w:style w:type="paragraph" w:styleId="FootnoteText">
    <w:name w:val="footnote text"/>
    <w:basedOn w:val="Normal"/>
    <w:link w:val="FootnoteTextChar"/>
    <w:semiHidden/>
    <w:qFormat/>
    <w:pPr>
      <w:tabs>
        <w:tab w:val="left" w:pos="360"/>
      </w:tabs>
      <w:ind w:left="360" w:hanging="360"/>
    </w:pPr>
    <w:rPr>
      <w:sz w:val="20"/>
    </w:rPr>
  </w:style>
  <w:style w:type="paragraph" w:styleId="Header">
    <w:name w:val="header"/>
    <w:basedOn w:val="Normal"/>
    <w:link w:val="HeaderChar"/>
    <w:qFormat/>
    <w:rPr>
      <w:sz w:val="20"/>
    </w:rPr>
  </w:style>
  <w:style w:type="paragraph" w:styleId="HTMLAddress">
    <w:name w:val="HTML Address"/>
    <w:basedOn w:val="Normal"/>
    <w:link w:val="HTMLAddressChar"/>
    <w:qFormat/>
    <w:rPr>
      <w:i/>
    </w:rPr>
  </w:style>
  <w:style w:type="paragraph" w:styleId="HTMLPreformatted">
    <w:name w:val="HTML Preformatted"/>
    <w:basedOn w:val="Normal"/>
    <w:link w:val="HTMLPreformattedChar"/>
    <w:qFormat/>
    <w:rPr>
      <w:rFonts w:ascii="Courier New" w:hAnsi="Courier New"/>
      <w:sz w:val="20"/>
    </w:rPr>
  </w:style>
  <w:style w:type="paragraph" w:styleId="Index1">
    <w:name w:val="index 1"/>
    <w:basedOn w:val="Normal"/>
    <w:next w:val="Normal"/>
    <w:semiHidden/>
    <w:pPr>
      <w:tabs>
        <w:tab w:val="left" w:leader="dot" w:pos="9000"/>
        <w:tab w:val="right" w:pos="9360"/>
      </w:tabs>
      <w:ind w:left="1440" w:right="720" w:hanging="1440"/>
    </w:pPr>
  </w:style>
  <w:style w:type="paragraph" w:styleId="Index2">
    <w:name w:val="index 2"/>
    <w:basedOn w:val="Normal"/>
    <w:next w:val="Normal"/>
    <w:semiHidden/>
    <w:qFormat/>
    <w:pPr>
      <w:tabs>
        <w:tab w:val="left" w:leader="dot" w:pos="9000"/>
        <w:tab w:val="right" w:pos="9360"/>
      </w:tabs>
      <w:ind w:left="1440" w:right="720" w:hanging="720"/>
    </w:pPr>
  </w:style>
  <w:style w:type="paragraph" w:styleId="Index3">
    <w:name w:val="index 3"/>
    <w:basedOn w:val="Normal"/>
    <w:next w:val="Normal"/>
    <w:semiHidden/>
    <w:qFormat/>
    <w:pPr>
      <w:ind w:left="720" w:hanging="240"/>
    </w:pPr>
  </w:style>
  <w:style w:type="paragraph" w:styleId="Index4">
    <w:name w:val="index 4"/>
    <w:basedOn w:val="Normal"/>
    <w:next w:val="Normal"/>
    <w:semiHidden/>
    <w:qFormat/>
    <w:pPr>
      <w:ind w:left="960" w:hanging="240"/>
    </w:pPr>
  </w:style>
  <w:style w:type="paragraph" w:styleId="Index5">
    <w:name w:val="index 5"/>
    <w:basedOn w:val="Normal"/>
    <w:next w:val="Normal"/>
    <w:semiHidden/>
    <w:qFormat/>
    <w:pPr>
      <w:ind w:left="1200" w:hanging="240"/>
    </w:pPr>
  </w:style>
  <w:style w:type="paragraph" w:styleId="Index6">
    <w:name w:val="index 6"/>
    <w:basedOn w:val="Normal"/>
    <w:next w:val="Normal"/>
    <w:semiHidden/>
    <w:qFormat/>
    <w:pPr>
      <w:ind w:left="1440" w:hanging="240"/>
    </w:pPr>
  </w:style>
  <w:style w:type="paragraph" w:styleId="Index7">
    <w:name w:val="index 7"/>
    <w:basedOn w:val="Normal"/>
    <w:next w:val="Normal"/>
    <w:semiHidden/>
    <w:qFormat/>
    <w:pPr>
      <w:ind w:left="1680" w:hanging="240"/>
    </w:pPr>
  </w:style>
  <w:style w:type="paragraph" w:styleId="Index8">
    <w:name w:val="index 8"/>
    <w:basedOn w:val="Normal"/>
    <w:next w:val="Normal"/>
    <w:semiHidden/>
    <w:qFormat/>
    <w:pPr>
      <w:ind w:left="1920" w:hanging="240"/>
    </w:pPr>
  </w:style>
  <w:style w:type="paragraph" w:styleId="Index9">
    <w:name w:val="index 9"/>
    <w:basedOn w:val="Normal"/>
    <w:next w:val="Normal"/>
    <w:semiHidden/>
    <w:qFormat/>
    <w:pPr>
      <w:ind w:left="2160" w:hanging="240"/>
    </w:pPr>
  </w:style>
  <w:style w:type="paragraph" w:styleId="IndexHeading">
    <w:name w:val="index heading"/>
    <w:basedOn w:val="Normal"/>
    <w:next w:val="Index1"/>
    <w:semiHidden/>
    <w:qFormat/>
    <w:rPr>
      <w:rFonts w:ascii="Arial" w:hAnsi="Arial"/>
      <w:b/>
    </w:rPr>
  </w:style>
  <w:style w:type="paragraph" w:styleId="List">
    <w:name w:val="List"/>
    <w:basedOn w:val="Normal"/>
    <w:qFormat/>
    <w:pPr>
      <w:ind w:left="360" w:hanging="360"/>
    </w:pPr>
  </w:style>
  <w:style w:type="paragraph" w:styleId="List2">
    <w:name w:val="List 2"/>
    <w:basedOn w:val="Normal"/>
    <w:qFormat/>
    <w:pPr>
      <w:ind w:left="720" w:hanging="360"/>
    </w:pPr>
  </w:style>
  <w:style w:type="paragraph" w:styleId="List3">
    <w:name w:val="List 3"/>
    <w:basedOn w:val="Normal"/>
    <w:qFormat/>
    <w:pPr>
      <w:ind w:left="1080" w:hanging="360"/>
    </w:pPr>
  </w:style>
  <w:style w:type="paragraph" w:styleId="List4">
    <w:name w:val="List 4"/>
    <w:basedOn w:val="Normal"/>
    <w:qFormat/>
    <w:pPr>
      <w:ind w:left="1440" w:hanging="360"/>
    </w:pPr>
  </w:style>
  <w:style w:type="paragraph" w:styleId="List5">
    <w:name w:val="List 5"/>
    <w:basedOn w:val="Normal"/>
    <w:qFormat/>
    <w:pPr>
      <w:ind w:left="1800" w:hanging="360"/>
    </w:pPr>
  </w:style>
  <w:style w:type="paragraph" w:styleId="ListBullet">
    <w:name w:val="List Bullet"/>
    <w:basedOn w:val="Normal"/>
    <w:qFormat/>
    <w:pPr>
      <w:tabs>
        <w:tab w:val="left" w:pos="360"/>
      </w:tabs>
      <w:ind w:left="360" w:hanging="360"/>
    </w:pPr>
  </w:style>
  <w:style w:type="paragraph" w:styleId="ListBullet2">
    <w:name w:val="List Bullet 2"/>
    <w:basedOn w:val="Normal"/>
    <w:qFormat/>
    <w:pPr>
      <w:tabs>
        <w:tab w:val="left" w:pos="720"/>
      </w:tabs>
      <w:ind w:left="720" w:hanging="360"/>
    </w:pPr>
  </w:style>
  <w:style w:type="paragraph" w:styleId="ListBullet3">
    <w:name w:val="List Bullet 3"/>
    <w:basedOn w:val="Normal"/>
    <w:qFormat/>
    <w:pPr>
      <w:tabs>
        <w:tab w:val="left" w:pos="1080"/>
      </w:tabs>
      <w:ind w:left="1080" w:hanging="360"/>
    </w:pPr>
  </w:style>
  <w:style w:type="paragraph" w:styleId="ListBullet4">
    <w:name w:val="List Bullet 4"/>
    <w:basedOn w:val="Normal"/>
    <w:qFormat/>
    <w:pPr>
      <w:tabs>
        <w:tab w:val="left" w:pos="1440"/>
      </w:tabs>
      <w:ind w:left="1440" w:hanging="360"/>
    </w:pPr>
  </w:style>
  <w:style w:type="paragraph" w:styleId="ListBullet5">
    <w:name w:val="List Bullet 5"/>
    <w:basedOn w:val="Normal"/>
    <w:qFormat/>
    <w:pPr>
      <w:tabs>
        <w:tab w:val="left" w:pos="1800"/>
      </w:tabs>
      <w:ind w:left="1800" w:hanging="360"/>
    </w:pPr>
  </w:style>
  <w:style w:type="paragraph" w:styleId="ListContinue">
    <w:name w:val="List Continue"/>
    <w:basedOn w:val="Normal"/>
    <w:qFormat/>
    <w:pPr>
      <w:spacing w:after="120"/>
      <w:ind w:left="360"/>
    </w:pPr>
  </w:style>
  <w:style w:type="paragraph" w:styleId="ListContinue2">
    <w:name w:val="List Continue 2"/>
    <w:basedOn w:val="Normal"/>
    <w:qFormat/>
    <w:pPr>
      <w:spacing w:after="120"/>
      <w:ind w:left="720"/>
    </w:pPr>
  </w:style>
  <w:style w:type="paragraph" w:styleId="ListContinue3">
    <w:name w:val="List Continue 3"/>
    <w:basedOn w:val="Normal"/>
    <w:qFormat/>
    <w:pPr>
      <w:spacing w:after="120"/>
      <w:ind w:left="1080"/>
    </w:pPr>
  </w:style>
  <w:style w:type="paragraph" w:styleId="ListContinue4">
    <w:name w:val="List Continue 4"/>
    <w:basedOn w:val="Normal"/>
    <w:qFormat/>
    <w:pPr>
      <w:spacing w:after="120"/>
      <w:ind w:left="1440"/>
    </w:pPr>
  </w:style>
  <w:style w:type="paragraph" w:styleId="ListContinue5">
    <w:name w:val="List Continue 5"/>
    <w:basedOn w:val="Normal"/>
    <w:qFormat/>
    <w:pPr>
      <w:spacing w:after="120"/>
      <w:ind w:left="1800"/>
    </w:pPr>
  </w:style>
  <w:style w:type="paragraph" w:styleId="ListNumber">
    <w:name w:val="List Number"/>
    <w:basedOn w:val="Normal"/>
    <w:qFormat/>
    <w:pPr>
      <w:tabs>
        <w:tab w:val="left" w:pos="360"/>
      </w:tabs>
      <w:ind w:left="360" w:hanging="360"/>
    </w:pPr>
  </w:style>
  <w:style w:type="paragraph" w:styleId="ListNumber2">
    <w:name w:val="List Number 2"/>
    <w:basedOn w:val="Normal"/>
    <w:qFormat/>
    <w:pPr>
      <w:tabs>
        <w:tab w:val="left" w:pos="720"/>
      </w:tabs>
      <w:ind w:left="720" w:hanging="360"/>
    </w:pPr>
  </w:style>
  <w:style w:type="paragraph" w:styleId="ListNumber3">
    <w:name w:val="List Number 3"/>
    <w:basedOn w:val="Normal"/>
    <w:qFormat/>
    <w:pPr>
      <w:tabs>
        <w:tab w:val="left" w:pos="1080"/>
      </w:tabs>
      <w:ind w:left="1080" w:hanging="360"/>
    </w:pPr>
  </w:style>
  <w:style w:type="paragraph" w:styleId="ListNumber4">
    <w:name w:val="List Number 4"/>
    <w:basedOn w:val="Normal"/>
    <w:qFormat/>
    <w:pPr>
      <w:tabs>
        <w:tab w:val="left" w:pos="1440"/>
      </w:tabs>
      <w:ind w:left="1440" w:hanging="360"/>
    </w:pPr>
  </w:style>
  <w:style w:type="paragraph" w:styleId="ListNumber5">
    <w:name w:val="List Number 5"/>
    <w:basedOn w:val="Normal"/>
    <w:qFormat/>
    <w:pPr>
      <w:tabs>
        <w:tab w:val="left" w:pos="1800"/>
      </w:tabs>
      <w:ind w:left="1800" w:hanging="360"/>
    </w:pPr>
  </w:style>
  <w:style w:type="paragraph" w:styleId="MacroText">
    <w:name w:val="macro"/>
    <w:link w:val="MacroTextChar"/>
    <w:semiHidden/>
    <w:qFormat/>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jc w:val="both"/>
      <w:textAlignment w:val="baseline"/>
    </w:pPr>
    <w:rPr>
      <w:rFonts w:ascii="Courier New" w:hAnsi="Courier New"/>
      <w:lang w:eastAsia="sr-Latn-CS"/>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Web">
    <w:name w:val="Normal (Web)"/>
    <w:basedOn w:val="Normal"/>
    <w:qFormat/>
    <w:pPr>
      <w:spacing w:before="100" w:after="100"/>
    </w:pPr>
    <w:rPr>
      <w:rFonts w:ascii="Arial Unicode MS" w:eastAsia="Arial Unicode MS"/>
    </w:rPr>
  </w:style>
  <w:style w:type="paragraph" w:styleId="NormalIndent">
    <w:name w:val="Normal Indent"/>
    <w:basedOn w:val="Normal"/>
    <w:pPr>
      <w:ind w:left="720"/>
    </w:pPr>
  </w:style>
  <w:style w:type="paragraph" w:styleId="NoteHeading">
    <w:name w:val="Note Heading"/>
    <w:basedOn w:val="Normal"/>
    <w:next w:val="Normal"/>
    <w:link w:val="NoteHeadingChar"/>
    <w:qFormat/>
  </w:style>
  <w:style w:type="paragraph" w:styleId="PlainText">
    <w:name w:val="Plain Text"/>
    <w:basedOn w:val="Normal"/>
    <w:link w:val="PlainTextChar"/>
    <w:qFormat/>
    <w:rPr>
      <w:rFonts w:ascii="Courier New" w:hAnsi="Courier New"/>
      <w:sz w:val="20"/>
    </w:rPr>
  </w:style>
  <w:style w:type="paragraph" w:styleId="Salutation">
    <w:name w:val="Salutation"/>
    <w:basedOn w:val="Normal"/>
    <w:next w:val="Normal"/>
    <w:link w:val="SalutationChar"/>
  </w:style>
  <w:style w:type="paragraph" w:styleId="Signature">
    <w:name w:val="Signature"/>
    <w:basedOn w:val="Normal"/>
    <w:link w:val="SignatureChar"/>
    <w:pPr>
      <w:ind w:left="4320"/>
    </w:pPr>
  </w:style>
  <w:style w:type="paragraph" w:styleId="Subtitle">
    <w:name w:val="Subtitle"/>
    <w:basedOn w:val="Normal"/>
    <w:link w:val="SubtitleChar"/>
    <w:qFormat/>
    <w:pPr>
      <w:jc w:val="center"/>
    </w:pPr>
    <w:rPr>
      <w:b/>
      <w:sz w:val="4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jc w:val="center"/>
    </w:pPr>
    <w:rPr>
      <w:b/>
      <w:sz w:val="48"/>
    </w:rPr>
  </w:style>
  <w:style w:type="paragraph" w:styleId="TOAHeading">
    <w:name w:val="toa heading"/>
    <w:basedOn w:val="Normal"/>
    <w:next w:val="Normal"/>
    <w:semiHidden/>
    <w:pPr>
      <w:tabs>
        <w:tab w:val="left" w:pos="9000"/>
        <w:tab w:val="right" w:pos="9360"/>
      </w:tabs>
    </w:pPr>
  </w:style>
  <w:style w:type="paragraph" w:styleId="TOC1">
    <w:name w:val="toc 1"/>
    <w:basedOn w:val="Normal"/>
    <w:next w:val="Normal"/>
    <w:semiHidden/>
    <w:pPr>
      <w:tabs>
        <w:tab w:val="right" w:leader="dot" w:pos="9000"/>
      </w:tabs>
      <w:spacing w:before="240"/>
      <w:ind w:left="720" w:right="720" w:hanging="720"/>
    </w:pPr>
    <w:rPr>
      <w:rFonts w:ascii="Times New Roman Bold" w:hAnsi="Times New Roman Bold"/>
      <w:b/>
    </w:rPr>
  </w:style>
  <w:style w:type="paragraph" w:styleId="TOC2">
    <w:name w:val="toc 2"/>
    <w:basedOn w:val="Normal"/>
    <w:next w:val="Normal"/>
    <w:semiHidden/>
    <w:pPr>
      <w:tabs>
        <w:tab w:val="right" w:leader="dot" w:pos="9000"/>
      </w:tabs>
      <w:ind w:left="1440" w:right="720" w:hanging="720"/>
    </w:pPr>
  </w:style>
  <w:style w:type="paragraph" w:styleId="TOC3">
    <w:name w:val="toc 3"/>
    <w:basedOn w:val="Normal"/>
    <w:next w:val="Normal"/>
    <w:semiHidden/>
    <w:pPr>
      <w:tabs>
        <w:tab w:val="right" w:leader="dot" w:pos="9000"/>
      </w:tabs>
      <w:ind w:left="2160" w:right="720" w:hanging="720"/>
    </w:pPr>
    <w:rPr>
      <w:i/>
    </w:rPr>
  </w:style>
  <w:style w:type="paragraph" w:styleId="TOC4">
    <w:name w:val="toc 4"/>
    <w:basedOn w:val="Normal"/>
    <w:next w:val="Normal"/>
    <w:semiHidden/>
    <w:pPr>
      <w:tabs>
        <w:tab w:val="left" w:pos="8640"/>
        <w:tab w:val="right" w:pos="9000"/>
      </w:tabs>
      <w:ind w:left="2880" w:right="720" w:hanging="720"/>
    </w:pPr>
    <w:rPr>
      <w:spacing w:val="-3"/>
    </w:rPr>
  </w:style>
  <w:style w:type="paragraph" w:styleId="TOC5">
    <w:name w:val="toc 5"/>
    <w:basedOn w:val="Normal"/>
    <w:next w:val="Normal"/>
    <w:semiHidden/>
    <w:qFormat/>
    <w:pPr>
      <w:tabs>
        <w:tab w:val="left" w:pos="8640"/>
        <w:tab w:val="right" w:pos="9000"/>
      </w:tabs>
      <w:ind w:left="3600" w:right="720" w:hanging="720"/>
    </w:pPr>
    <w:rPr>
      <w:spacing w:val="-3"/>
    </w:rPr>
  </w:style>
  <w:style w:type="paragraph" w:styleId="TOC6">
    <w:name w:val="toc 6"/>
    <w:basedOn w:val="Normal"/>
    <w:next w:val="Normal"/>
    <w:semiHidden/>
    <w:pPr>
      <w:tabs>
        <w:tab w:val="left" w:pos="8640"/>
        <w:tab w:val="right" w:pos="9000"/>
      </w:tabs>
      <w:ind w:left="720" w:hanging="720"/>
    </w:pPr>
  </w:style>
  <w:style w:type="paragraph" w:styleId="TOC7">
    <w:name w:val="toc 7"/>
    <w:basedOn w:val="Normal"/>
    <w:next w:val="Normal"/>
    <w:semiHidden/>
    <w:pPr>
      <w:ind w:left="720" w:hanging="720"/>
    </w:pPr>
  </w:style>
  <w:style w:type="paragraph" w:styleId="TOC8">
    <w:name w:val="toc 8"/>
    <w:basedOn w:val="Normal"/>
    <w:next w:val="Normal"/>
    <w:semiHidden/>
    <w:pPr>
      <w:tabs>
        <w:tab w:val="left" w:pos="8640"/>
        <w:tab w:val="right" w:pos="9000"/>
      </w:tabs>
      <w:ind w:left="720" w:hanging="720"/>
    </w:pPr>
  </w:style>
  <w:style w:type="paragraph" w:styleId="TOC9">
    <w:name w:val="toc 9"/>
    <w:basedOn w:val="Normal"/>
    <w:next w:val="Normal"/>
    <w:semiHidden/>
    <w:pPr>
      <w:tabs>
        <w:tab w:val="left" w:leader="dot" w:pos="8640"/>
        <w:tab w:val="right" w:pos="9000"/>
      </w:tabs>
      <w:ind w:left="720" w:hanging="720"/>
    </w:pPr>
  </w:style>
  <w:style w:type="character" w:styleId="CommentReference">
    <w:name w:val="annotation reference"/>
    <w:semiHidden/>
    <w:rPr>
      <w:sz w:val="16"/>
    </w:rPr>
  </w:style>
  <w:style w:type="character" w:styleId="FollowedHyperlink">
    <w:name w:val="FollowedHyperlink"/>
    <w:uiPriority w:val="99"/>
    <w:qFormat/>
    <w:rPr>
      <w:color w:val="800080"/>
      <w:u w:val="single"/>
    </w:rPr>
  </w:style>
  <w:style w:type="character" w:styleId="FootnoteReference">
    <w:name w:val="footnote reference"/>
    <w:semiHidden/>
    <w:rPr>
      <w:vertAlign w:val="superscript"/>
    </w:rPr>
  </w:style>
  <w:style w:type="character" w:styleId="Hyperlink">
    <w:name w:val="Hyperlink"/>
    <w:uiPriority w:val="99"/>
    <w:qFormat/>
    <w:rPr>
      <w:color w:val="0000FF"/>
      <w:u w:val="single"/>
    </w:rPr>
  </w:style>
  <w:style w:type="character" w:styleId="PageNumber">
    <w:name w:val="page number"/>
    <w:basedOn w:val="DefaultParagraphFont"/>
  </w:style>
  <w:style w:type="character" w:styleId="Strong">
    <w:name w:val="Strong"/>
    <w:qFormat/>
    <w:rPr>
      <w:b/>
      <w:bCs/>
    </w:rPr>
  </w:style>
  <w:style w:type="table" w:styleId="TableGrid">
    <w:name w:val="Table Grid"/>
    <w:basedOn w:val="TableNormal"/>
    <w:pPr>
      <w:suppressAutoHyphens/>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uationCaption">
    <w:name w:val="_Equation Caption"/>
  </w:style>
  <w:style w:type="character" w:customStyle="1" w:styleId="TechInit">
    <w:name w:val="Tech Init"/>
    <w:rPr>
      <w:rFonts w:ascii="Times New Roman" w:hAnsi="Times New Roman"/>
      <w:sz w:val="20"/>
      <w:lang w:val="en-US"/>
    </w:rPr>
  </w:style>
  <w:style w:type="character" w:customStyle="1" w:styleId="Technical1">
    <w:name w:val="Technical 1"/>
    <w:rPr>
      <w:rFonts w:ascii="Times New Roman" w:hAnsi="Times New Roman"/>
      <w:sz w:val="20"/>
      <w:lang w:val="en-US"/>
    </w:rPr>
  </w:style>
  <w:style w:type="character" w:customStyle="1" w:styleId="Technical2">
    <w:name w:val="Technical 2"/>
    <w:rPr>
      <w:rFonts w:ascii="Times New Roman" w:hAnsi="Times New Roman"/>
      <w:sz w:val="20"/>
      <w:lang w:val="en-US"/>
    </w:rPr>
  </w:style>
  <w:style w:type="character" w:customStyle="1" w:styleId="Technical3">
    <w:name w:val="Technical 3"/>
    <w:rPr>
      <w:rFonts w:ascii="Times New Roman" w:hAnsi="Times New Roman"/>
      <w:sz w:val="20"/>
      <w:lang w:val="en-US"/>
    </w:rPr>
  </w:style>
  <w:style w:type="paragraph" w:customStyle="1" w:styleId="Technical4">
    <w:name w:val="Technical 4"/>
    <w:pPr>
      <w:tabs>
        <w:tab w:val="left" w:pos="-720"/>
      </w:tabs>
      <w:suppressAutoHyphens/>
      <w:overflowPunct w:val="0"/>
      <w:autoSpaceDE w:val="0"/>
      <w:autoSpaceDN w:val="0"/>
      <w:adjustRightInd w:val="0"/>
      <w:textAlignment w:val="baseline"/>
    </w:pPr>
    <w:rPr>
      <w:b/>
      <w:lang w:eastAsia="sr-Latn-CS"/>
    </w:rPr>
  </w:style>
  <w:style w:type="paragraph" w:customStyle="1" w:styleId="Technical5">
    <w:name w:val="Technical 5"/>
    <w:pPr>
      <w:tabs>
        <w:tab w:val="left" w:pos="-720"/>
      </w:tabs>
      <w:suppressAutoHyphens/>
      <w:overflowPunct w:val="0"/>
      <w:autoSpaceDE w:val="0"/>
      <w:autoSpaceDN w:val="0"/>
      <w:adjustRightInd w:val="0"/>
      <w:ind w:firstLine="720"/>
      <w:textAlignment w:val="baseline"/>
    </w:pPr>
    <w:rPr>
      <w:b/>
      <w:lang w:eastAsia="sr-Latn-CS"/>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lang w:eastAsia="sr-Latn-CS"/>
    </w:rPr>
  </w:style>
  <w:style w:type="paragraph" w:customStyle="1" w:styleId="Technical7">
    <w:name w:val="Technical 7"/>
    <w:pPr>
      <w:tabs>
        <w:tab w:val="left" w:pos="-720"/>
      </w:tabs>
      <w:suppressAutoHyphens/>
      <w:overflowPunct w:val="0"/>
      <w:autoSpaceDE w:val="0"/>
      <w:autoSpaceDN w:val="0"/>
      <w:adjustRightInd w:val="0"/>
      <w:ind w:firstLine="720"/>
      <w:textAlignment w:val="baseline"/>
    </w:pPr>
    <w:rPr>
      <w:b/>
      <w:lang w:eastAsia="sr-Latn-CS"/>
    </w:rPr>
  </w:style>
  <w:style w:type="paragraph" w:customStyle="1" w:styleId="Technical8">
    <w:name w:val="Technical 8"/>
    <w:pPr>
      <w:tabs>
        <w:tab w:val="left" w:pos="-720"/>
      </w:tabs>
      <w:suppressAutoHyphens/>
      <w:overflowPunct w:val="0"/>
      <w:autoSpaceDE w:val="0"/>
      <w:autoSpaceDN w:val="0"/>
      <w:adjustRightInd w:val="0"/>
      <w:ind w:firstLine="720"/>
      <w:textAlignment w:val="baseline"/>
    </w:pPr>
    <w:rPr>
      <w:b/>
      <w:lang w:eastAsia="sr-Latn-CS"/>
    </w:rPr>
  </w:style>
  <w:style w:type="character" w:customStyle="1" w:styleId="DocInit">
    <w:name w:val="Doc Init"/>
    <w:basedOn w:val="DefaultParagraphFont"/>
  </w:style>
  <w:style w:type="paragraph" w:customStyle="1" w:styleId="Document1">
    <w:name w:val="Document 1"/>
    <w:pPr>
      <w:keepNext/>
      <w:keepLines/>
      <w:tabs>
        <w:tab w:val="left" w:pos="-720"/>
      </w:tabs>
      <w:suppressAutoHyphens/>
      <w:overflowPunct w:val="0"/>
      <w:autoSpaceDE w:val="0"/>
      <w:autoSpaceDN w:val="0"/>
      <w:adjustRightInd w:val="0"/>
      <w:textAlignment w:val="baseline"/>
    </w:pPr>
    <w:rPr>
      <w:lang w:eastAsia="sr-Latn-CS"/>
    </w:rPr>
  </w:style>
  <w:style w:type="character" w:customStyle="1" w:styleId="Document2">
    <w:name w:val="Document 2"/>
    <w:rPr>
      <w:rFonts w:ascii="Times New Roman" w:hAnsi="Times New Roman"/>
      <w:sz w:val="20"/>
      <w:lang w:val="en-US"/>
    </w:rPr>
  </w:style>
  <w:style w:type="character" w:customStyle="1" w:styleId="Document3">
    <w:name w:val="Document 3"/>
    <w:rPr>
      <w:rFonts w:ascii="Times New Roman" w:hAnsi="Times New Roman"/>
      <w:sz w:val="20"/>
      <w:lang w:val="en-US"/>
    </w:rPr>
  </w:style>
  <w:style w:type="character" w:customStyle="1" w:styleId="Document4">
    <w:name w:val="Document 4"/>
    <w:rPr>
      <w:b/>
      <w:i/>
      <w:sz w:val="20"/>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paragraph" w:customStyle="1" w:styleId="Pleading">
    <w:name w:val="Pleading"/>
    <w:pPr>
      <w:tabs>
        <w:tab w:val="left" w:pos="-720"/>
      </w:tabs>
      <w:suppressAutoHyphens/>
      <w:overflowPunct w:val="0"/>
      <w:autoSpaceDE w:val="0"/>
      <w:autoSpaceDN w:val="0"/>
      <w:adjustRightInd w:val="0"/>
      <w:spacing w:line="240" w:lineRule="exact"/>
      <w:textAlignment w:val="baseline"/>
    </w:pPr>
    <w:rPr>
      <w:lang w:eastAsia="sr-Latn-CS"/>
    </w:rPr>
  </w:style>
  <w:style w:type="character" w:customStyle="1" w:styleId="AHead">
    <w:name w:val="A Head"/>
    <w:rPr>
      <w:rFonts w:ascii="Times New Roman" w:hAnsi="Times New Roman"/>
      <w:sz w:val="20"/>
      <w:lang w:val="en-US"/>
    </w:rPr>
  </w:style>
  <w:style w:type="paragraph" w:customStyle="1" w:styleId="BHead">
    <w:name w:val="B Head"/>
    <w:pPr>
      <w:tabs>
        <w:tab w:val="left" w:pos="-720"/>
      </w:tabs>
      <w:suppressAutoHyphens/>
      <w:overflowPunct w:val="0"/>
      <w:autoSpaceDE w:val="0"/>
      <w:autoSpaceDN w:val="0"/>
      <w:adjustRightInd w:val="0"/>
      <w:textAlignment w:val="baseline"/>
    </w:pPr>
    <w:rPr>
      <w:lang w:eastAsia="sr-Latn-CS"/>
    </w:rPr>
  </w:style>
  <w:style w:type="paragraph" w:customStyle="1" w:styleId="CHead">
    <w:name w:val="C Head"/>
    <w:pPr>
      <w:tabs>
        <w:tab w:val="left" w:pos="-720"/>
      </w:tabs>
      <w:suppressAutoHyphens/>
      <w:overflowPunct w:val="0"/>
      <w:autoSpaceDE w:val="0"/>
      <w:autoSpaceDN w:val="0"/>
      <w:adjustRightInd w:val="0"/>
      <w:textAlignment w:val="baseline"/>
    </w:pPr>
    <w:rPr>
      <w:lang w:eastAsia="sr-Latn-CS"/>
    </w:rPr>
  </w:style>
  <w:style w:type="paragraph" w:customStyle="1" w:styleId="SecNoHe">
    <w:name w:val="Sec No. &amp; He"/>
    <w:pPr>
      <w:tabs>
        <w:tab w:val="left" w:pos="-720"/>
      </w:tabs>
      <w:suppressAutoHyphens/>
      <w:overflowPunct w:val="0"/>
      <w:autoSpaceDE w:val="0"/>
      <w:autoSpaceDN w:val="0"/>
      <w:adjustRightInd w:val="0"/>
      <w:textAlignment w:val="baseline"/>
    </w:pPr>
    <w:rPr>
      <w:lang w:eastAsia="sr-Latn-CS"/>
    </w:rPr>
  </w:style>
  <w:style w:type="character" w:customStyle="1" w:styleId="DefaultPara">
    <w:name w:val="Default Para"/>
    <w:rPr>
      <w:rFonts w:ascii="CG Times" w:hAnsi="CG Times"/>
      <w:b/>
      <w:i/>
      <w:sz w:val="24"/>
      <w:lang w:val="en-US"/>
    </w:rPr>
  </w:style>
  <w:style w:type="paragraph" w:customStyle="1" w:styleId="RightPar1">
    <w:name w:val="Right Par[1]"/>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i/>
      <w:sz w:val="24"/>
      <w:lang w:eastAsia="sr-Latn-CS"/>
    </w:rPr>
  </w:style>
  <w:style w:type="paragraph" w:customStyle="1" w:styleId="RightPar2">
    <w:name w:val="Right Par[2]"/>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i/>
      <w:sz w:val="24"/>
      <w:lang w:eastAsia="sr-Latn-CS"/>
    </w:rPr>
  </w:style>
  <w:style w:type="paragraph" w:customStyle="1" w:styleId="RightPar3">
    <w:name w:val="Right Par[3]"/>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i/>
      <w:sz w:val="24"/>
      <w:lang w:eastAsia="sr-Latn-CS"/>
    </w:rPr>
  </w:style>
  <w:style w:type="paragraph" w:customStyle="1" w:styleId="RightPar4">
    <w:name w:val="Right Par[4]"/>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lang w:eastAsia="sr-Latn-CS"/>
    </w:rPr>
  </w:style>
  <w:style w:type="paragraph" w:customStyle="1" w:styleId="RightPar5">
    <w:name w:val="Right Par[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i/>
      <w:sz w:val="24"/>
      <w:lang w:eastAsia="sr-Latn-CS"/>
    </w:rPr>
  </w:style>
  <w:style w:type="paragraph" w:customStyle="1" w:styleId="RightPar6">
    <w:name w:val="Right Par[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i/>
      <w:sz w:val="24"/>
      <w:lang w:eastAsia="sr-Latn-CS"/>
    </w:rPr>
  </w:style>
  <w:style w:type="paragraph" w:customStyle="1" w:styleId="RightPar7">
    <w:name w:val="Right Par[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i/>
      <w:sz w:val="24"/>
      <w:lang w:eastAsia="sr-Latn-CS"/>
    </w:rPr>
  </w:style>
  <w:style w:type="paragraph" w:customStyle="1" w:styleId="RightPar8">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i/>
      <w:sz w:val="24"/>
      <w:lang w:eastAsia="sr-Latn-CS"/>
    </w:rPr>
  </w:style>
  <w:style w:type="character" w:customStyle="1" w:styleId="Bibliogrphy">
    <w:name w:val="Bibliogrphy"/>
    <w:basedOn w:val="DefaultParagraphFont"/>
  </w:style>
  <w:style w:type="character" w:customStyle="1" w:styleId="BulletList">
    <w:name w:val="Bullet List"/>
    <w:basedOn w:val="DefaultParagraphFont"/>
  </w:style>
  <w:style w:type="paragraph" w:customStyle="1" w:styleId="Head21">
    <w:name w:val="Head 2.1"/>
    <w:basedOn w:val="Normal"/>
    <w:pPr>
      <w:jc w:val="center"/>
    </w:pPr>
    <w:rPr>
      <w:b/>
      <w:sz w:val="28"/>
    </w:rPr>
  </w:style>
  <w:style w:type="paragraph" w:customStyle="1" w:styleId="Head22">
    <w:name w:val="Head 2.2"/>
    <w:basedOn w:val="Normal"/>
    <w:pPr>
      <w:tabs>
        <w:tab w:val="left" w:pos="360"/>
      </w:tabs>
      <w:ind w:left="360" w:hanging="360"/>
    </w:pPr>
    <w:rPr>
      <w:b/>
    </w:rPr>
  </w:style>
  <w:style w:type="paragraph" w:customStyle="1" w:styleId="Head41">
    <w:name w:val="Head 4.1"/>
    <w:basedOn w:val="Normal"/>
    <w:pPr>
      <w:jc w:val="center"/>
    </w:pPr>
    <w:rPr>
      <w:b/>
      <w:sz w:val="28"/>
    </w:rPr>
  </w:style>
  <w:style w:type="paragraph" w:customStyle="1" w:styleId="Head42">
    <w:name w:val="Head 4.2"/>
    <w:basedOn w:val="Normal"/>
    <w:pPr>
      <w:tabs>
        <w:tab w:val="left" w:pos="360"/>
      </w:tabs>
      <w:ind w:left="360" w:hanging="360"/>
    </w:pPr>
    <w:rPr>
      <w:b/>
    </w:rPr>
  </w:style>
  <w:style w:type="paragraph" w:customStyle="1" w:styleId="BankNormal">
    <w:name w:val="BankNormal"/>
    <w:basedOn w:val="Normal"/>
    <w:pPr>
      <w:spacing w:after="240"/>
    </w:pPr>
  </w:style>
  <w:style w:type="paragraph" w:customStyle="1" w:styleId="BodyText23">
    <w:name w:val="Body Text 23"/>
    <w:basedOn w:val="Normal"/>
    <w:qFormat/>
    <w:pPr>
      <w:spacing w:before="120" w:after="120"/>
      <w:ind w:left="540"/>
    </w:pPr>
  </w:style>
  <w:style w:type="paragraph" w:customStyle="1" w:styleId="SectionVHeader">
    <w:name w:val="Section V. Header"/>
    <w:basedOn w:val="Normal"/>
    <w:qFormat/>
    <w:pPr>
      <w:jc w:val="center"/>
    </w:pPr>
    <w:rPr>
      <w:b/>
      <w:sz w:val="36"/>
    </w:rPr>
  </w:style>
  <w:style w:type="paragraph" w:customStyle="1" w:styleId="Outline">
    <w:name w:val="Outline"/>
    <w:basedOn w:val="Normal"/>
    <w:qFormat/>
    <w:pPr>
      <w:spacing w:before="240"/>
    </w:pPr>
    <w:rPr>
      <w:kern w:val="28"/>
    </w:rPr>
  </w:style>
  <w:style w:type="paragraph" w:customStyle="1" w:styleId="Outline1">
    <w:name w:val="Outline1"/>
    <w:basedOn w:val="Outline"/>
    <w:next w:val="Outline2"/>
    <w:qFormat/>
    <w:pPr>
      <w:keepNext/>
      <w:tabs>
        <w:tab w:val="left" w:pos="360"/>
      </w:tabs>
      <w:ind w:left="360" w:hanging="360"/>
    </w:pPr>
  </w:style>
  <w:style w:type="paragraph" w:customStyle="1" w:styleId="Outline2">
    <w:name w:val="Outline2"/>
    <w:basedOn w:val="Normal"/>
    <w:qFormat/>
    <w:pPr>
      <w:tabs>
        <w:tab w:val="left" w:pos="864"/>
      </w:tabs>
      <w:spacing w:before="240"/>
      <w:ind w:left="864" w:hanging="504"/>
    </w:pPr>
    <w:rPr>
      <w:kern w:val="28"/>
    </w:rPr>
  </w:style>
  <w:style w:type="paragraph" w:customStyle="1" w:styleId="Outline3">
    <w:name w:val="Outline3"/>
    <w:basedOn w:val="Normal"/>
    <w:qFormat/>
    <w:pPr>
      <w:tabs>
        <w:tab w:val="left" w:pos="1368"/>
      </w:tabs>
      <w:spacing w:before="240"/>
      <w:ind w:left="1368" w:hanging="504"/>
    </w:pPr>
    <w:rPr>
      <w:kern w:val="28"/>
    </w:rPr>
  </w:style>
  <w:style w:type="paragraph" w:customStyle="1" w:styleId="BodyText22">
    <w:name w:val="Body Text 22"/>
    <w:basedOn w:val="Normal"/>
    <w:qFormat/>
    <w:pPr>
      <w:ind w:left="720"/>
    </w:pPr>
  </w:style>
  <w:style w:type="character" w:customStyle="1" w:styleId="BodyTextChar">
    <w:name w:val="Body Text Char"/>
    <w:rPr>
      <w:color w:val="FFFF00"/>
      <w:sz w:val="28"/>
      <w:lang w:val="en-US"/>
    </w:rPr>
  </w:style>
  <w:style w:type="paragraph" w:customStyle="1" w:styleId="Default">
    <w:name w:val="Default"/>
    <w:pPr>
      <w:widowControl w:val="0"/>
      <w:overflowPunct w:val="0"/>
      <w:autoSpaceDE w:val="0"/>
      <w:autoSpaceDN w:val="0"/>
      <w:adjustRightInd w:val="0"/>
      <w:textAlignment w:val="baseline"/>
    </w:pPr>
    <w:rPr>
      <w:rFonts w:ascii="Arial" w:hAnsi="Arial"/>
      <w:color w:val="000000"/>
      <w:sz w:val="24"/>
      <w:lang w:val="hr-HR" w:eastAsia="sr-Latn-CS"/>
    </w:rPr>
  </w:style>
  <w:style w:type="paragraph" w:customStyle="1" w:styleId="CM1">
    <w:name w:val="CM1"/>
    <w:basedOn w:val="Default"/>
    <w:next w:val="Default"/>
    <w:rPr>
      <w:color w:val="auto"/>
    </w:rPr>
  </w:style>
  <w:style w:type="paragraph" w:customStyle="1" w:styleId="CM126">
    <w:name w:val="CM126"/>
    <w:basedOn w:val="Default"/>
    <w:next w:val="Default"/>
    <w:pPr>
      <w:spacing w:after="458"/>
    </w:pPr>
    <w:rPr>
      <w:color w:val="auto"/>
    </w:rPr>
  </w:style>
  <w:style w:type="paragraph" w:customStyle="1" w:styleId="CM108">
    <w:name w:val="CM108"/>
    <w:basedOn w:val="Default"/>
    <w:next w:val="Default"/>
    <w:pPr>
      <w:spacing w:after="113"/>
    </w:pPr>
    <w:rPr>
      <w:color w:val="auto"/>
    </w:rPr>
  </w:style>
  <w:style w:type="paragraph" w:customStyle="1" w:styleId="CM2">
    <w:name w:val="CM2"/>
    <w:basedOn w:val="Default"/>
    <w:next w:val="Default"/>
    <w:rPr>
      <w:color w:val="auto"/>
    </w:rPr>
  </w:style>
  <w:style w:type="paragraph" w:customStyle="1" w:styleId="CM3">
    <w:name w:val="CM3"/>
    <w:basedOn w:val="Default"/>
    <w:next w:val="Default"/>
    <w:rPr>
      <w:color w:val="auto"/>
    </w:rPr>
  </w:style>
  <w:style w:type="paragraph" w:customStyle="1" w:styleId="CM4">
    <w:name w:val="CM4"/>
    <w:basedOn w:val="Default"/>
    <w:next w:val="Default"/>
    <w:rPr>
      <w:color w:val="auto"/>
    </w:rPr>
  </w:style>
  <w:style w:type="paragraph" w:customStyle="1" w:styleId="CM109">
    <w:name w:val="CM109"/>
    <w:basedOn w:val="Default"/>
    <w:next w:val="Default"/>
    <w:pPr>
      <w:spacing w:after="648"/>
    </w:pPr>
    <w:rPr>
      <w:color w:val="auto"/>
    </w:rPr>
  </w:style>
  <w:style w:type="paragraph" w:customStyle="1" w:styleId="CM5">
    <w:name w:val="CM5"/>
    <w:basedOn w:val="Default"/>
    <w:next w:val="Default"/>
    <w:rPr>
      <w:color w:val="auto"/>
    </w:rPr>
  </w:style>
  <w:style w:type="paragraph" w:customStyle="1" w:styleId="CM110">
    <w:name w:val="CM110"/>
    <w:basedOn w:val="Default"/>
    <w:next w:val="Default"/>
    <w:pPr>
      <w:spacing w:after="285"/>
    </w:pPr>
    <w:rPr>
      <w:color w:val="auto"/>
    </w:rPr>
  </w:style>
  <w:style w:type="paragraph" w:customStyle="1" w:styleId="CM6">
    <w:name w:val="CM6"/>
    <w:basedOn w:val="Default"/>
    <w:next w:val="Default"/>
    <w:pPr>
      <w:spacing w:line="248" w:lineRule="atLeast"/>
    </w:pPr>
    <w:rPr>
      <w:color w:val="auto"/>
    </w:rPr>
  </w:style>
  <w:style w:type="paragraph" w:customStyle="1" w:styleId="CM7">
    <w:name w:val="CM7"/>
    <w:basedOn w:val="Default"/>
    <w:next w:val="Default"/>
    <w:pPr>
      <w:spacing w:line="246" w:lineRule="atLeast"/>
    </w:pPr>
    <w:rPr>
      <w:color w:val="auto"/>
    </w:rPr>
  </w:style>
  <w:style w:type="paragraph" w:customStyle="1" w:styleId="CM111">
    <w:name w:val="CM111"/>
    <w:basedOn w:val="Default"/>
    <w:next w:val="Default"/>
    <w:pPr>
      <w:spacing w:after="545"/>
    </w:pPr>
    <w:rPr>
      <w:color w:val="auto"/>
    </w:rPr>
  </w:style>
  <w:style w:type="paragraph" w:customStyle="1" w:styleId="CM9">
    <w:name w:val="CM9"/>
    <w:basedOn w:val="Default"/>
    <w:next w:val="Default"/>
    <w:pPr>
      <w:spacing w:line="286" w:lineRule="atLeast"/>
    </w:pPr>
    <w:rPr>
      <w:color w:val="auto"/>
    </w:rPr>
  </w:style>
  <w:style w:type="paragraph" w:customStyle="1" w:styleId="CM107">
    <w:name w:val="CM107"/>
    <w:basedOn w:val="Default"/>
    <w:next w:val="Default"/>
    <w:pPr>
      <w:spacing w:after="393"/>
    </w:pPr>
    <w:rPr>
      <w:color w:val="auto"/>
    </w:rPr>
  </w:style>
  <w:style w:type="paragraph" w:customStyle="1" w:styleId="CM120">
    <w:name w:val="CM120"/>
    <w:basedOn w:val="Default"/>
    <w:next w:val="Default"/>
    <w:pPr>
      <w:spacing w:after="235"/>
    </w:pPr>
    <w:rPr>
      <w:color w:val="auto"/>
    </w:rPr>
  </w:style>
  <w:style w:type="paragraph" w:customStyle="1" w:styleId="CM10">
    <w:name w:val="CM10"/>
    <w:basedOn w:val="Default"/>
    <w:next w:val="Default"/>
    <w:pPr>
      <w:spacing w:line="286" w:lineRule="atLeast"/>
    </w:pPr>
    <w:rPr>
      <w:color w:val="auto"/>
    </w:rPr>
  </w:style>
  <w:style w:type="paragraph" w:customStyle="1" w:styleId="CM114">
    <w:name w:val="CM114"/>
    <w:basedOn w:val="Default"/>
    <w:next w:val="Default"/>
    <w:pPr>
      <w:spacing w:after="878"/>
    </w:pPr>
    <w:rPr>
      <w:color w:val="auto"/>
    </w:rPr>
  </w:style>
  <w:style w:type="paragraph" w:customStyle="1" w:styleId="CM115">
    <w:name w:val="CM115"/>
    <w:basedOn w:val="Default"/>
    <w:next w:val="Default"/>
    <w:pPr>
      <w:spacing w:after="1528"/>
    </w:pPr>
    <w:rPr>
      <w:color w:val="auto"/>
    </w:rPr>
  </w:style>
  <w:style w:type="paragraph" w:customStyle="1" w:styleId="CM116">
    <w:name w:val="CM116"/>
    <w:basedOn w:val="Default"/>
    <w:next w:val="Default"/>
    <w:pPr>
      <w:spacing w:after="2138"/>
    </w:pPr>
    <w:rPr>
      <w:color w:val="auto"/>
    </w:rPr>
  </w:style>
  <w:style w:type="paragraph" w:customStyle="1" w:styleId="CM117">
    <w:name w:val="CM117"/>
    <w:basedOn w:val="Default"/>
    <w:next w:val="Default"/>
    <w:qFormat/>
    <w:pPr>
      <w:spacing w:after="600"/>
    </w:pPr>
    <w:rPr>
      <w:color w:val="auto"/>
    </w:rPr>
  </w:style>
  <w:style w:type="paragraph" w:customStyle="1" w:styleId="CM118">
    <w:name w:val="CM118"/>
    <w:basedOn w:val="Default"/>
    <w:next w:val="Default"/>
    <w:pPr>
      <w:spacing w:after="1193"/>
    </w:pPr>
    <w:rPr>
      <w:color w:val="auto"/>
    </w:rPr>
  </w:style>
  <w:style w:type="paragraph" w:customStyle="1" w:styleId="CM119">
    <w:name w:val="CM119"/>
    <w:basedOn w:val="Default"/>
    <w:next w:val="Default"/>
    <w:pPr>
      <w:spacing w:after="803"/>
    </w:pPr>
    <w:rPr>
      <w:color w:val="auto"/>
    </w:rPr>
  </w:style>
  <w:style w:type="paragraph" w:customStyle="1" w:styleId="CM14">
    <w:name w:val="CM14"/>
    <w:basedOn w:val="Default"/>
    <w:next w:val="Default"/>
    <w:rPr>
      <w:color w:val="auto"/>
    </w:rPr>
  </w:style>
  <w:style w:type="paragraph" w:customStyle="1" w:styleId="CM15">
    <w:name w:val="CM15"/>
    <w:basedOn w:val="Default"/>
    <w:next w:val="Default"/>
    <w:pPr>
      <w:spacing w:line="286" w:lineRule="atLeast"/>
    </w:pPr>
    <w:rPr>
      <w:color w:val="auto"/>
    </w:rPr>
  </w:style>
  <w:style w:type="paragraph" w:customStyle="1" w:styleId="CM17">
    <w:name w:val="CM17"/>
    <w:basedOn w:val="Default"/>
    <w:next w:val="Default"/>
    <w:pPr>
      <w:spacing w:line="286" w:lineRule="atLeast"/>
    </w:pPr>
    <w:rPr>
      <w:color w:val="auto"/>
    </w:rPr>
  </w:style>
  <w:style w:type="paragraph" w:customStyle="1" w:styleId="CM18">
    <w:name w:val="CM18"/>
    <w:basedOn w:val="Default"/>
    <w:next w:val="Default"/>
    <w:pPr>
      <w:spacing w:line="246" w:lineRule="atLeast"/>
    </w:pPr>
    <w:rPr>
      <w:color w:val="auto"/>
    </w:rPr>
  </w:style>
  <w:style w:type="paragraph" w:customStyle="1" w:styleId="CM121">
    <w:name w:val="CM121"/>
    <w:basedOn w:val="Default"/>
    <w:next w:val="Default"/>
    <w:pPr>
      <w:spacing w:after="725"/>
    </w:pPr>
    <w:rPr>
      <w:color w:val="auto"/>
    </w:rPr>
  </w:style>
  <w:style w:type="paragraph" w:customStyle="1" w:styleId="CM19">
    <w:name w:val="CM19"/>
    <w:basedOn w:val="Default"/>
    <w:next w:val="Default"/>
    <w:pPr>
      <w:spacing w:line="286" w:lineRule="atLeast"/>
    </w:pPr>
    <w:rPr>
      <w:color w:val="auto"/>
    </w:rPr>
  </w:style>
  <w:style w:type="paragraph" w:customStyle="1" w:styleId="CM21">
    <w:name w:val="CM21"/>
    <w:basedOn w:val="Default"/>
    <w:next w:val="Default"/>
    <w:pPr>
      <w:spacing w:line="240" w:lineRule="atLeast"/>
    </w:pPr>
    <w:rPr>
      <w:color w:val="auto"/>
    </w:rPr>
  </w:style>
  <w:style w:type="paragraph" w:customStyle="1" w:styleId="CM22">
    <w:name w:val="CM22"/>
    <w:basedOn w:val="Default"/>
    <w:next w:val="Default"/>
    <w:pPr>
      <w:spacing w:line="248" w:lineRule="atLeast"/>
    </w:pPr>
    <w:rPr>
      <w:color w:val="auto"/>
    </w:rPr>
  </w:style>
  <w:style w:type="paragraph" w:customStyle="1" w:styleId="CM112">
    <w:name w:val="CM112"/>
    <w:basedOn w:val="Default"/>
    <w:next w:val="Default"/>
    <w:pPr>
      <w:spacing w:after="335"/>
    </w:pPr>
    <w:rPr>
      <w:color w:val="auto"/>
    </w:rPr>
  </w:style>
  <w:style w:type="paragraph" w:customStyle="1" w:styleId="CM123">
    <w:name w:val="CM123"/>
    <w:basedOn w:val="Default"/>
    <w:next w:val="Default"/>
    <w:pPr>
      <w:spacing w:after="1393"/>
    </w:pPr>
    <w:rPr>
      <w:color w:val="auto"/>
    </w:rPr>
  </w:style>
  <w:style w:type="paragraph" w:customStyle="1" w:styleId="CM23">
    <w:name w:val="CM23"/>
    <w:basedOn w:val="Default"/>
    <w:next w:val="Default"/>
    <w:pPr>
      <w:spacing w:line="286" w:lineRule="atLeast"/>
    </w:pPr>
    <w:rPr>
      <w:color w:val="auto"/>
    </w:rPr>
  </w:style>
  <w:style w:type="paragraph" w:customStyle="1" w:styleId="CM124">
    <w:name w:val="CM124"/>
    <w:basedOn w:val="Default"/>
    <w:next w:val="Default"/>
    <w:pPr>
      <w:spacing w:after="995"/>
    </w:pPr>
    <w:rPr>
      <w:color w:val="auto"/>
    </w:rPr>
  </w:style>
  <w:style w:type="paragraph" w:customStyle="1" w:styleId="CM24">
    <w:name w:val="CM24"/>
    <w:basedOn w:val="Default"/>
    <w:next w:val="Default"/>
    <w:pPr>
      <w:spacing w:line="280" w:lineRule="atLeast"/>
    </w:pPr>
    <w:rPr>
      <w:color w:val="auto"/>
    </w:rPr>
  </w:style>
  <w:style w:type="paragraph" w:customStyle="1" w:styleId="CM25">
    <w:name w:val="CM25"/>
    <w:basedOn w:val="Default"/>
    <w:next w:val="Default"/>
    <w:pPr>
      <w:spacing w:line="571" w:lineRule="atLeast"/>
    </w:pPr>
    <w:rPr>
      <w:color w:val="auto"/>
    </w:rPr>
  </w:style>
  <w:style w:type="paragraph" w:customStyle="1" w:styleId="CM127">
    <w:name w:val="CM127"/>
    <w:basedOn w:val="Default"/>
    <w:next w:val="Default"/>
    <w:pPr>
      <w:spacing w:after="1123"/>
    </w:pPr>
    <w:rPr>
      <w:color w:val="auto"/>
    </w:rPr>
  </w:style>
  <w:style w:type="paragraph" w:customStyle="1" w:styleId="CM128">
    <w:name w:val="CM128"/>
    <w:basedOn w:val="Default"/>
    <w:next w:val="Default"/>
    <w:pPr>
      <w:spacing w:after="157"/>
    </w:pPr>
    <w:rPr>
      <w:color w:val="auto"/>
    </w:rPr>
  </w:style>
  <w:style w:type="paragraph" w:customStyle="1" w:styleId="CM27">
    <w:name w:val="CM27"/>
    <w:basedOn w:val="Default"/>
    <w:next w:val="Default"/>
    <w:pPr>
      <w:spacing w:line="286" w:lineRule="atLeast"/>
    </w:pPr>
    <w:rPr>
      <w:color w:val="auto"/>
    </w:rPr>
  </w:style>
  <w:style w:type="paragraph" w:customStyle="1" w:styleId="CM125">
    <w:name w:val="CM125"/>
    <w:basedOn w:val="Default"/>
    <w:next w:val="Default"/>
    <w:pPr>
      <w:spacing w:after="1060"/>
    </w:pPr>
    <w:rPr>
      <w:color w:val="auto"/>
    </w:rPr>
  </w:style>
  <w:style w:type="paragraph" w:customStyle="1" w:styleId="CM30">
    <w:name w:val="CM30"/>
    <w:basedOn w:val="Default"/>
    <w:next w:val="Default"/>
    <w:pPr>
      <w:spacing w:line="280" w:lineRule="atLeast"/>
    </w:pPr>
    <w:rPr>
      <w:color w:val="auto"/>
    </w:rPr>
  </w:style>
  <w:style w:type="paragraph" w:customStyle="1" w:styleId="CM11">
    <w:name w:val="CM11"/>
    <w:basedOn w:val="Default"/>
    <w:next w:val="Default"/>
    <w:pPr>
      <w:spacing w:line="286" w:lineRule="atLeast"/>
    </w:pPr>
    <w:rPr>
      <w:color w:val="auto"/>
    </w:rPr>
  </w:style>
  <w:style w:type="paragraph" w:customStyle="1" w:styleId="CM31">
    <w:name w:val="CM31"/>
    <w:basedOn w:val="Default"/>
    <w:next w:val="Default"/>
    <w:pPr>
      <w:spacing w:line="286" w:lineRule="atLeast"/>
    </w:pPr>
    <w:rPr>
      <w:color w:val="auto"/>
    </w:rPr>
  </w:style>
  <w:style w:type="paragraph" w:customStyle="1" w:styleId="CM129">
    <w:name w:val="CM129"/>
    <w:basedOn w:val="Default"/>
    <w:next w:val="Default"/>
    <w:pPr>
      <w:spacing w:after="1270"/>
    </w:pPr>
    <w:rPr>
      <w:color w:val="auto"/>
    </w:rPr>
  </w:style>
  <w:style w:type="paragraph" w:customStyle="1" w:styleId="CM34">
    <w:name w:val="CM34"/>
    <w:basedOn w:val="Default"/>
    <w:next w:val="Default"/>
    <w:pPr>
      <w:spacing w:line="286" w:lineRule="atLeast"/>
    </w:pPr>
    <w:rPr>
      <w:color w:val="auto"/>
    </w:rPr>
  </w:style>
  <w:style w:type="paragraph" w:customStyle="1" w:styleId="CM41">
    <w:name w:val="CM41"/>
    <w:basedOn w:val="Default"/>
    <w:next w:val="Default"/>
    <w:pPr>
      <w:spacing w:line="196" w:lineRule="atLeast"/>
    </w:pPr>
    <w:rPr>
      <w:color w:val="auto"/>
    </w:rPr>
  </w:style>
  <w:style w:type="paragraph" w:customStyle="1" w:styleId="CM130">
    <w:name w:val="CM130"/>
    <w:basedOn w:val="Default"/>
    <w:next w:val="Default"/>
    <w:pPr>
      <w:spacing w:after="3578"/>
    </w:pPr>
    <w:rPr>
      <w:color w:val="auto"/>
    </w:rPr>
  </w:style>
  <w:style w:type="paragraph" w:customStyle="1" w:styleId="CM131">
    <w:name w:val="CM131"/>
    <w:basedOn w:val="Default"/>
    <w:next w:val="Default"/>
    <w:pPr>
      <w:spacing w:after="4880"/>
    </w:pPr>
    <w:rPr>
      <w:color w:val="auto"/>
    </w:rPr>
  </w:style>
  <w:style w:type="paragraph" w:customStyle="1" w:styleId="CM51">
    <w:name w:val="CM51"/>
    <w:basedOn w:val="Default"/>
    <w:next w:val="Default"/>
    <w:pPr>
      <w:spacing w:line="286" w:lineRule="atLeast"/>
    </w:pPr>
    <w:rPr>
      <w:color w:val="auto"/>
    </w:rPr>
  </w:style>
  <w:style w:type="paragraph" w:customStyle="1" w:styleId="CM53">
    <w:name w:val="CM53"/>
    <w:basedOn w:val="Default"/>
    <w:next w:val="Default"/>
    <w:pPr>
      <w:spacing w:line="286" w:lineRule="atLeast"/>
    </w:pPr>
    <w:rPr>
      <w:color w:val="auto"/>
    </w:rPr>
  </w:style>
  <w:style w:type="paragraph" w:customStyle="1" w:styleId="CM55">
    <w:name w:val="CM55"/>
    <w:basedOn w:val="Default"/>
    <w:next w:val="Default"/>
    <w:qFormat/>
    <w:rPr>
      <w:color w:val="auto"/>
    </w:rPr>
  </w:style>
  <w:style w:type="paragraph" w:customStyle="1" w:styleId="CM56">
    <w:name w:val="CM56"/>
    <w:basedOn w:val="Default"/>
    <w:next w:val="Default"/>
    <w:pPr>
      <w:spacing w:line="283" w:lineRule="atLeast"/>
    </w:pPr>
    <w:rPr>
      <w:color w:val="auto"/>
    </w:rPr>
  </w:style>
  <w:style w:type="paragraph" w:customStyle="1" w:styleId="CM57">
    <w:name w:val="CM57"/>
    <w:basedOn w:val="Default"/>
    <w:next w:val="Default"/>
    <w:pPr>
      <w:spacing w:line="286" w:lineRule="atLeast"/>
    </w:pPr>
    <w:rPr>
      <w:color w:val="auto"/>
    </w:rPr>
  </w:style>
  <w:style w:type="paragraph" w:customStyle="1" w:styleId="CM132">
    <w:name w:val="CM132"/>
    <w:basedOn w:val="Default"/>
    <w:next w:val="Default"/>
    <w:pPr>
      <w:spacing w:after="3498"/>
    </w:pPr>
    <w:rPr>
      <w:color w:val="auto"/>
    </w:rPr>
  </w:style>
  <w:style w:type="paragraph" w:customStyle="1" w:styleId="CM50">
    <w:name w:val="CM50"/>
    <w:basedOn w:val="Default"/>
    <w:next w:val="Default"/>
    <w:pPr>
      <w:spacing w:line="503" w:lineRule="atLeast"/>
    </w:pPr>
    <w:rPr>
      <w:color w:val="auto"/>
    </w:rPr>
  </w:style>
  <w:style w:type="paragraph" w:customStyle="1" w:styleId="CM61">
    <w:name w:val="CM61"/>
    <w:basedOn w:val="Default"/>
    <w:next w:val="Default"/>
    <w:rPr>
      <w:color w:val="auto"/>
    </w:rPr>
  </w:style>
  <w:style w:type="paragraph" w:customStyle="1" w:styleId="CM62">
    <w:name w:val="CM62"/>
    <w:basedOn w:val="Default"/>
    <w:next w:val="Default"/>
    <w:pPr>
      <w:spacing w:line="286" w:lineRule="atLeast"/>
    </w:pPr>
    <w:rPr>
      <w:color w:val="auto"/>
    </w:rPr>
  </w:style>
  <w:style w:type="paragraph" w:customStyle="1" w:styleId="CM134">
    <w:name w:val="CM134"/>
    <w:basedOn w:val="Default"/>
    <w:next w:val="Default"/>
    <w:pPr>
      <w:spacing w:after="1790"/>
    </w:pPr>
    <w:rPr>
      <w:color w:val="auto"/>
    </w:rPr>
  </w:style>
  <w:style w:type="paragraph" w:customStyle="1" w:styleId="CM64">
    <w:name w:val="CM64"/>
    <w:basedOn w:val="Default"/>
    <w:next w:val="Default"/>
    <w:pPr>
      <w:spacing w:line="286" w:lineRule="atLeast"/>
    </w:pPr>
    <w:rPr>
      <w:color w:val="auto"/>
    </w:rPr>
  </w:style>
  <w:style w:type="paragraph" w:customStyle="1" w:styleId="CM135">
    <w:name w:val="CM135"/>
    <w:basedOn w:val="Default"/>
    <w:next w:val="Default"/>
    <w:pPr>
      <w:spacing w:after="2305"/>
    </w:pPr>
    <w:rPr>
      <w:color w:val="auto"/>
    </w:rPr>
  </w:style>
  <w:style w:type="paragraph" w:customStyle="1" w:styleId="CM65">
    <w:name w:val="CM65"/>
    <w:basedOn w:val="Default"/>
    <w:next w:val="Default"/>
    <w:pPr>
      <w:spacing w:line="286" w:lineRule="atLeast"/>
    </w:pPr>
    <w:rPr>
      <w:color w:val="auto"/>
    </w:rPr>
  </w:style>
  <w:style w:type="paragraph" w:customStyle="1" w:styleId="CM89">
    <w:name w:val="CM89"/>
    <w:basedOn w:val="Default"/>
    <w:next w:val="Default"/>
    <w:pPr>
      <w:spacing w:line="256" w:lineRule="atLeast"/>
    </w:pPr>
    <w:rPr>
      <w:color w:val="auto"/>
    </w:rPr>
  </w:style>
  <w:style w:type="paragraph" w:customStyle="1" w:styleId="CM136">
    <w:name w:val="CM136"/>
    <w:basedOn w:val="Default"/>
    <w:next w:val="Default"/>
    <w:pPr>
      <w:spacing w:after="2038"/>
    </w:pPr>
    <w:rPr>
      <w:color w:val="auto"/>
    </w:rPr>
  </w:style>
  <w:style w:type="paragraph" w:customStyle="1" w:styleId="CM72">
    <w:name w:val="CM72"/>
    <w:basedOn w:val="Default"/>
    <w:next w:val="Default"/>
    <w:pPr>
      <w:spacing w:line="256" w:lineRule="atLeast"/>
    </w:pPr>
    <w:rPr>
      <w:color w:val="auto"/>
    </w:rPr>
  </w:style>
  <w:style w:type="paragraph" w:customStyle="1" w:styleId="CM70">
    <w:name w:val="CM70"/>
    <w:basedOn w:val="Default"/>
    <w:next w:val="Default"/>
    <w:pPr>
      <w:spacing w:line="256" w:lineRule="atLeast"/>
    </w:pPr>
    <w:rPr>
      <w:color w:val="auto"/>
    </w:rPr>
  </w:style>
  <w:style w:type="paragraph" w:customStyle="1" w:styleId="CM73">
    <w:name w:val="CM73"/>
    <w:basedOn w:val="Default"/>
    <w:next w:val="Default"/>
    <w:pPr>
      <w:spacing w:line="256" w:lineRule="atLeast"/>
    </w:pPr>
    <w:rPr>
      <w:color w:val="auto"/>
    </w:rPr>
  </w:style>
  <w:style w:type="paragraph" w:customStyle="1" w:styleId="CM74">
    <w:name w:val="CM74"/>
    <w:basedOn w:val="Default"/>
    <w:next w:val="Default"/>
    <w:pPr>
      <w:spacing w:line="256" w:lineRule="atLeast"/>
    </w:pPr>
    <w:rPr>
      <w:color w:val="auto"/>
    </w:rPr>
  </w:style>
  <w:style w:type="paragraph" w:customStyle="1" w:styleId="CM76">
    <w:name w:val="CM76"/>
    <w:basedOn w:val="Default"/>
    <w:next w:val="Default"/>
    <w:pPr>
      <w:spacing w:line="256" w:lineRule="atLeast"/>
    </w:pPr>
    <w:rPr>
      <w:color w:val="auto"/>
    </w:rPr>
  </w:style>
  <w:style w:type="paragraph" w:customStyle="1" w:styleId="CM77">
    <w:name w:val="CM77"/>
    <w:basedOn w:val="Default"/>
    <w:next w:val="Default"/>
    <w:pPr>
      <w:spacing w:line="256" w:lineRule="atLeast"/>
    </w:pPr>
    <w:rPr>
      <w:color w:val="auto"/>
    </w:rPr>
  </w:style>
  <w:style w:type="paragraph" w:customStyle="1" w:styleId="CM78">
    <w:name w:val="CM78"/>
    <w:basedOn w:val="Default"/>
    <w:next w:val="Default"/>
    <w:pPr>
      <w:spacing w:line="256" w:lineRule="atLeast"/>
    </w:pPr>
    <w:rPr>
      <w:color w:val="auto"/>
    </w:rPr>
  </w:style>
  <w:style w:type="paragraph" w:customStyle="1" w:styleId="CM79">
    <w:name w:val="CM79"/>
    <w:basedOn w:val="Default"/>
    <w:next w:val="Default"/>
    <w:pPr>
      <w:spacing w:line="256" w:lineRule="atLeast"/>
    </w:pPr>
    <w:rPr>
      <w:color w:val="auto"/>
    </w:rPr>
  </w:style>
  <w:style w:type="paragraph" w:customStyle="1" w:styleId="CM80">
    <w:name w:val="CM80"/>
    <w:basedOn w:val="Default"/>
    <w:next w:val="Default"/>
    <w:pPr>
      <w:spacing w:line="256" w:lineRule="atLeast"/>
    </w:pPr>
    <w:rPr>
      <w:color w:val="auto"/>
    </w:rPr>
  </w:style>
  <w:style w:type="paragraph" w:customStyle="1" w:styleId="CM81">
    <w:name w:val="CM81"/>
    <w:basedOn w:val="Default"/>
    <w:next w:val="Default"/>
    <w:pPr>
      <w:spacing w:line="256" w:lineRule="atLeast"/>
    </w:pPr>
    <w:rPr>
      <w:color w:val="auto"/>
    </w:rPr>
  </w:style>
  <w:style w:type="paragraph" w:customStyle="1" w:styleId="CM82">
    <w:name w:val="CM82"/>
    <w:basedOn w:val="Default"/>
    <w:next w:val="Default"/>
    <w:rPr>
      <w:color w:val="auto"/>
    </w:rPr>
  </w:style>
  <w:style w:type="paragraph" w:customStyle="1" w:styleId="CM75">
    <w:name w:val="CM75"/>
    <w:basedOn w:val="Default"/>
    <w:next w:val="Default"/>
    <w:pPr>
      <w:spacing w:line="256" w:lineRule="atLeast"/>
    </w:pPr>
    <w:rPr>
      <w:color w:val="auto"/>
    </w:rPr>
  </w:style>
  <w:style w:type="paragraph" w:customStyle="1" w:styleId="CM133">
    <w:name w:val="CM133"/>
    <w:basedOn w:val="Default"/>
    <w:next w:val="Default"/>
    <w:pPr>
      <w:spacing w:after="70"/>
    </w:pPr>
    <w:rPr>
      <w:color w:val="auto"/>
    </w:rPr>
  </w:style>
  <w:style w:type="paragraph" w:customStyle="1" w:styleId="CM137">
    <w:name w:val="CM137"/>
    <w:basedOn w:val="Default"/>
    <w:next w:val="Default"/>
    <w:pPr>
      <w:spacing w:after="2858"/>
    </w:pPr>
    <w:rPr>
      <w:color w:val="auto"/>
    </w:rPr>
  </w:style>
  <w:style w:type="paragraph" w:customStyle="1" w:styleId="CM68">
    <w:name w:val="CM68"/>
    <w:basedOn w:val="Default"/>
    <w:next w:val="Default"/>
    <w:pPr>
      <w:spacing w:line="256" w:lineRule="atLeast"/>
    </w:pPr>
    <w:rPr>
      <w:color w:val="auto"/>
    </w:rPr>
  </w:style>
  <w:style w:type="paragraph" w:customStyle="1" w:styleId="CM86">
    <w:name w:val="CM86"/>
    <w:basedOn w:val="Default"/>
    <w:next w:val="Default"/>
    <w:pPr>
      <w:spacing w:line="256" w:lineRule="atLeast"/>
    </w:pPr>
    <w:rPr>
      <w:color w:val="auto"/>
    </w:rPr>
  </w:style>
  <w:style w:type="paragraph" w:customStyle="1" w:styleId="CM83">
    <w:name w:val="CM83"/>
    <w:basedOn w:val="Default"/>
    <w:next w:val="Default"/>
    <w:pPr>
      <w:spacing w:line="256" w:lineRule="atLeast"/>
    </w:pPr>
    <w:rPr>
      <w:color w:val="auto"/>
    </w:rPr>
  </w:style>
  <w:style w:type="paragraph" w:customStyle="1" w:styleId="CM88">
    <w:name w:val="CM88"/>
    <w:basedOn w:val="Default"/>
    <w:next w:val="Default"/>
    <w:pPr>
      <w:spacing w:line="256" w:lineRule="atLeast"/>
    </w:pPr>
    <w:rPr>
      <w:color w:val="auto"/>
    </w:rPr>
  </w:style>
  <w:style w:type="paragraph" w:customStyle="1" w:styleId="CM138">
    <w:name w:val="CM138"/>
    <w:basedOn w:val="Default"/>
    <w:next w:val="Default"/>
    <w:qFormat/>
    <w:pPr>
      <w:spacing w:after="2423"/>
    </w:pPr>
    <w:rPr>
      <w:color w:val="auto"/>
    </w:rPr>
  </w:style>
  <w:style w:type="paragraph" w:customStyle="1" w:styleId="CM84">
    <w:name w:val="CM84"/>
    <w:basedOn w:val="Default"/>
    <w:next w:val="Default"/>
    <w:pPr>
      <w:spacing w:line="256" w:lineRule="atLeast"/>
    </w:pPr>
    <w:rPr>
      <w:color w:val="auto"/>
    </w:rPr>
  </w:style>
  <w:style w:type="paragraph" w:customStyle="1" w:styleId="CM90">
    <w:name w:val="CM90"/>
    <w:basedOn w:val="Default"/>
    <w:next w:val="Default"/>
    <w:pPr>
      <w:spacing w:line="256" w:lineRule="atLeast"/>
    </w:pPr>
    <w:rPr>
      <w:color w:val="auto"/>
    </w:rPr>
  </w:style>
  <w:style w:type="paragraph" w:customStyle="1" w:styleId="CM91">
    <w:name w:val="CM91"/>
    <w:basedOn w:val="Default"/>
    <w:next w:val="Default"/>
    <w:pPr>
      <w:spacing w:line="766" w:lineRule="atLeast"/>
    </w:pPr>
    <w:rPr>
      <w:color w:val="auto"/>
    </w:rPr>
  </w:style>
  <w:style w:type="paragraph" w:customStyle="1" w:styleId="CM139">
    <w:name w:val="CM139"/>
    <w:basedOn w:val="Default"/>
    <w:next w:val="Default"/>
    <w:pPr>
      <w:spacing w:after="4085"/>
    </w:pPr>
    <w:rPr>
      <w:color w:val="auto"/>
    </w:rPr>
  </w:style>
  <w:style w:type="paragraph" w:customStyle="1" w:styleId="CM92">
    <w:name w:val="CM92"/>
    <w:basedOn w:val="Default"/>
    <w:next w:val="Default"/>
    <w:pPr>
      <w:spacing w:line="256" w:lineRule="atLeast"/>
    </w:pPr>
    <w:rPr>
      <w:color w:val="auto"/>
    </w:rPr>
  </w:style>
  <w:style w:type="paragraph" w:customStyle="1" w:styleId="CM140">
    <w:name w:val="CM140"/>
    <w:basedOn w:val="Default"/>
    <w:next w:val="Default"/>
    <w:pPr>
      <w:spacing w:after="4343"/>
    </w:pPr>
    <w:rPr>
      <w:color w:val="auto"/>
    </w:rPr>
  </w:style>
  <w:style w:type="paragraph" w:customStyle="1" w:styleId="CM71">
    <w:name w:val="CM71"/>
    <w:basedOn w:val="Default"/>
    <w:next w:val="Default"/>
    <w:pPr>
      <w:spacing w:line="256" w:lineRule="atLeast"/>
    </w:pPr>
    <w:rPr>
      <w:color w:val="auto"/>
    </w:rPr>
  </w:style>
  <w:style w:type="paragraph" w:customStyle="1" w:styleId="CM93">
    <w:name w:val="CM93"/>
    <w:basedOn w:val="Default"/>
    <w:next w:val="Default"/>
    <w:pPr>
      <w:spacing w:line="256" w:lineRule="atLeast"/>
    </w:pPr>
    <w:rPr>
      <w:color w:val="auto"/>
    </w:rPr>
  </w:style>
  <w:style w:type="paragraph" w:customStyle="1" w:styleId="CM94">
    <w:name w:val="CM94"/>
    <w:basedOn w:val="Default"/>
    <w:next w:val="Default"/>
    <w:pPr>
      <w:spacing w:line="256" w:lineRule="atLeast"/>
    </w:pPr>
    <w:rPr>
      <w:color w:val="auto"/>
    </w:rPr>
  </w:style>
  <w:style w:type="paragraph" w:customStyle="1" w:styleId="CM100">
    <w:name w:val="CM100"/>
    <w:basedOn w:val="Default"/>
    <w:next w:val="Default"/>
    <w:pPr>
      <w:spacing w:line="256" w:lineRule="atLeast"/>
    </w:pPr>
    <w:rPr>
      <w:color w:val="auto"/>
    </w:rPr>
  </w:style>
  <w:style w:type="paragraph" w:customStyle="1" w:styleId="CM101">
    <w:name w:val="CM101"/>
    <w:basedOn w:val="Default"/>
    <w:next w:val="Default"/>
    <w:rPr>
      <w:color w:val="auto"/>
    </w:rPr>
  </w:style>
  <w:style w:type="paragraph" w:customStyle="1" w:styleId="CM104">
    <w:name w:val="CM104"/>
    <w:basedOn w:val="Default"/>
    <w:next w:val="Default"/>
    <w:pPr>
      <w:spacing w:line="256" w:lineRule="atLeast"/>
    </w:pPr>
    <w:rPr>
      <w:color w:val="auto"/>
    </w:rPr>
  </w:style>
  <w:style w:type="paragraph" w:customStyle="1" w:styleId="CommentSubject1">
    <w:name w:val="Comment Subject1"/>
    <w:basedOn w:val="CommentText"/>
    <w:next w:val="CommentText"/>
    <w:rPr>
      <w:b/>
    </w:rPr>
  </w:style>
  <w:style w:type="paragraph" w:customStyle="1" w:styleId="Char">
    <w:name w:val="Char"/>
    <w:basedOn w:val="Normal"/>
    <w:pPr>
      <w:spacing w:after="160" w:line="240" w:lineRule="exact"/>
    </w:pPr>
    <w:rPr>
      <w:rFonts w:ascii="Tahoma" w:hAnsi="Tahoma"/>
      <w:sz w:val="20"/>
    </w:rPr>
  </w:style>
  <w:style w:type="character" w:customStyle="1" w:styleId="Heading1Char">
    <w:name w:val="Heading 1 Char"/>
    <w:link w:val="Heading1"/>
    <w:rPr>
      <w:b/>
      <w:sz w:val="36"/>
      <w:lang w:val="en-US" w:eastAsia="sr-Latn-CS" w:bidi="ar-SA"/>
    </w:rPr>
  </w:style>
  <w:style w:type="character" w:customStyle="1" w:styleId="Heading2Char">
    <w:name w:val="Heading 2 Char"/>
    <w:link w:val="Heading2"/>
    <w:rPr>
      <w:b/>
      <w:sz w:val="28"/>
      <w:lang w:val="en-US" w:eastAsia="sr-Latn-CS" w:bidi="ar-SA"/>
    </w:rPr>
  </w:style>
  <w:style w:type="character" w:customStyle="1" w:styleId="HeaderChar">
    <w:name w:val="Header Char"/>
    <w:link w:val="Header"/>
    <w:rPr>
      <w:lang w:val="en-US" w:eastAsia="sr-Latn-CS" w:bidi="ar-SA"/>
    </w:rPr>
  </w:style>
  <w:style w:type="character" w:customStyle="1" w:styleId="FootnoteTextChar">
    <w:name w:val="Footnote Text Char"/>
    <w:link w:val="FootnoteText"/>
    <w:rPr>
      <w:lang w:val="en-US" w:eastAsia="sr-Latn-CS" w:bidi="ar-SA"/>
    </w:rPr>
  </w:style>
  <w:style w:type="character" w:customStyle="1" w:styleId="BodyTextFirstIndentChar">
    <w:name w:val="Body Text First Indent Char"/>
    <w:rPr>
      <w:color w:val="FFFF00"/>
      <w:sz w:val="24"/>
      <w:lang w:val="en-US" w:eastAsia="hr-HR" w:bidi="ar-SA"/>
    </w:rPr>
  </w:style>
  <w:style w:type="paragraph" w:customStyle="1" w:styleId="xl30">
    <w:name w:val="xl30"/>
    <w:basedOn w:val="Normal"/>
    <w:pPr>
      <w:spacing w:before="100" w:beforeAutospacing="1" w:after="100" w:afterAutospacing="1"/>
      <w:jc w:val="center"/>
      <w:textAlignment w:val="top"/>
    </w:pPr>
    <w:rPr>
      <w:rFonts w:ascii="Arial" w:eastAsia="Arial Unicode MS" w:hAnsi="Arial" w:cs="Arial"/>
      <w:sz w:val="16"/>
      <w:szCs w:val="16"/>
      <w:lang w:val="en-GB"/>
    </w:rPr>
  </w:style>
  <w:style w:type="paragraph" w:customStyle="1" w:styleId="xl25">
    <w:name w:val="xl25"/>
    <w:basedOn w:val="Normal"/>
    <w:pPr>
      <w:spacing w:before="100" w:beforeAutospacing="1" w:after="100" w:afterAutospacing="1"/>
      <w:textAlignment w:val="top"/>
    </w:pPr>
    <w:rPr>
      <w:rFonts w:ascii="Arial" w:hAnsi="Arial" w:cs="Arial"/>
      <w:b/>
      <w:bCs/>
      <w:lang w:val="en-GB"/>
    </w:rPr>
  </w:style>
  <w:style w:type="paragraph" w:customStyle="1" w:styleId="xl32">
    <w:name w:val="xl32"/>
    <w:basedOn w:val="Normal"/>
    <w:pPr>
      <w:spacing w:before="100" w:beforeAutospacing="1" w:after="100" w:afterAutospacing="1"/>
      <w:jc w:val="center"/>
      <w:textAlignment w:val="top"/>
    </w:pPr>
    <w:rPr>
      <w:rFonts w:ascii="Arial" w:eastAsia="Arial Unicode MS" w:hAnsi="Arial" w:cs="Arial"/>
      <w:b/>
      <w:bCs/>
      <w:lang w:val="en-GB"/>
    </w:rPr>
  </w:style>
  <w:style w:type="paragraph" w:customStyle="1" w:styleId="xl56">
    <w:name w:val="xl56"/>
    <w:basedOn w:val="Normal"/>
    <w:pPr>
      <w:spacing w:before="100" w:beforeAutospacing="1" w:after="100" w:afterAutospacing="1"/>
      <w:textAlignment w:val="top"/>
    </w:pPr>
    <w:rPr>
      <w:rFonts w:ascii="Arial" w:eastAsia="Arial Unicode MS" w:hAnsi="Arial" w:cs="Arial"/>
      <w:b/>
      <w:bCs/>
      <w:lang w:val="en-GB"/>
    </w:rPr>
  </w:style>
  <w:style w:type="paragraph" w:customStyle="1" w:styleId="xl44">
    <w:name w:val="xl44"/>
    <w:basedOn w:val="Normal"/>
    <w:pPr>
      <w:spacing w:before="100" w:beforeAutospacing="1" w:after="100" w:afterAutospacing="1"/>
      <w:jc w:val="center"/>
      <w:textAlignment w:val="center"/>
    </w:pPr>
    <w:rPr>
      <w:rFonts w:ascii="Arial" w:eastAsia="Arial Unicode MS" w:hAnsi="Arial" w:cs="Arial"/>
      <w:sz w:val="22"/>
      <w:szCs w:val="22"/>
      <w:lang w:val="en-GB"/>
    </w:rPr>
  </w:style>
  <w:style w:type="paragraph" w:customStyle="1" w:styleId="xl62">
    <w:name w:val="xl62"/>
    <w:basedOn w:val="Normal"/>
    <w:pPr>
      <w:spacing w:before="100" w:beforeAutospacing="1" w:after="100" w:afterAutospacing="1"/>
      <w:textAlignment w:val="top"/>
    </w:pPr>
    <w:rPr>
      <w:rFonts w:ascii="Arial" w:eastAsia="Arial Unicode MS" w:hAnsi="Arial" w:cs="Arial"/>
      <w:b/>
      <w:bCs/>
      <w:sz w:val="22"/>
      <w:szCs w:val="22"/>
      <w:lang w:val="en-GB"/>
    </w:rPr>
  </w:style>
  <w:style w:type="paragraph" w:customStyle="1" w:styleId="xl22">
    <w:name w:val="xl22"/>
    <w:basedOn w:val="Normal"/>
    <w:pPr>
      <w:pBdr>
        <w:right w:val="single" w:sz="4" w:space="0" w:color="auto"/>
      </w:pBdr>
      <w:spacing w:before="100" w:beforeAutospacing="1" w:after="100" w:afterAutospacing="1"/>
    </w:pPr>
  </w:style>
  <w:style w:type="paragraph" w:customStyle="1" w:styleId="xl23">
    <w:name w:val="xl23"/>
    <w:basedOn w:val="Normal"/>
    <w:pPr>
      <w:spacing w:before="100" w:beforeAutospacing="1" w:after="100" w:afterAutospacing="1"/>
    </w:pPr>
    <w:rPr>
      <w:sz w:val="22"/>
      <w:szCs w:val="22"/>
    </w:rPr>
  </w:style>
  <w:style w:type="paragraph" w:customStyle="1" w:styleId="xl24">
    <w:name w:val="xl24"/>
    <w:basedOn w:val="Normal"/>
    <w:pPr>
      <w:spacing w:before="100" w:beforeAutospacing="1" w:after="100" w:afterAutospacing="1"/>
    </w:pPr>
    <w:rPr>
      <w:sz w:val="22"/>
      <w:szCs w:val="22"/>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
    <w:name w:val="xl27"/>
    <w:basedOn w:val="Normal"/>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8">
    <w:name w:val="xl28"/>
    <w:basedOn w:val="Normal"/>
    <w:pPr>
      <w:pBdr>
        <w:right w:val="single" w:sz="4" w:space="0" w:color="auto"/>
      </w:pBdr>
      <w:spacing w:before="100" w:beforeAutospacing="1" w:after="100" w:afterAutospacing="1"/>
    </w:pPr>
    <w:rPr>
      <w:sz w:val="22"/>
      <w:szCs w:val="22"/>
    </w:rPr>
  </w:style>
  <w:style w:type="paragraph" w:customStyle="1" w:styleId="xl29">
    <w:name w:val="xl29"/>
    <w:basedOn w:val="Normal"/>
    <w:pPr>
      <w:spacing w:before="100" w:beforeAutospacing="1" w:after="100" w:afterAutospacing="1"/>
    </w:pPr>
    <w:rPr>
      <w:b/>
      <w:bCs/>
      <w:sz w:val="22"/>
      <w:szCs w:val="22"/>
    </w:rPr>
  </w:style>
  <w:style w:type="paragraph" w:customStyle="1" w:styleId="xl31">
    <w:name w:val="xl31"/>
    <w:basedOn w:val="Normal"/>
    <w:pPr>
      <w:pBdr>
        <w:bottom w:val="single" w:sz="4" w:space="0" w:color="auto"/>
      </w:pBdr>
      <w:spacing w:before="100" w:beforeAutospacing="1" w:after="100" w:afterAutospacing="1"/>
    </w:pPr>
    <w:rPr>
      <w:b/>
      <w:bCs/>
      <w:sz w:val="22"/>
      <w:szCs w:val="22"/>
    </w:rPr>
  </w:style>
  <w:style w:type="paragraph" w:customStyle="1" w:styleId="xl33">
    <w:name w:val="xl33"/>
    <w:basedOn w:val="Normal"/>
    <w:pPr>
      <w:spacing w:before="100" w:beforeAutospacing="1" w:after="100" w:afterAutospacing="1"/>
    </w:pPr>
    <w:rPr>
      <w:rFonts w:ascii="Arial" w:hAnsi="Arial" w:cs="Arial"/>
      <w:b/>
      <w:bCs/>
      <w:sz w:val="20"/>
    </w:rPr>
  </w:style>
  <w:style w:type="paragraph" w:customStyle="1" w:styleId="xl34">
    <w:name w:val="xl34"/>
    <w:basedOn w:val="Normal"/>
    <w:pPr>
      <w:pBdr>
        <w:top w:val="single" w:sz="4" w:space="0" w:color="auto"/>
        <w:left w:val="single" w:sz="4" w:space="0" w:color="auto"/>
      </w:pBdr>
      <w:spacing w:before="100" w:beforeAutospacing="1" w:after="100" w:afterAutospacing="1"/>
    </w:pPr>
    <w:rPr>
      <w:rFonts w:ascii="Arial" w:hAnsi="Arial" w:cs="Arial"/>
      <w:b/>
      <w:bCs/>
      <w:sz w:val="20"/>
    </w:rPr>
  </w:style>
  <w:style w:type="paragraph" w:customStyle="1" w:styleId="xl35">
    <w:name w:val="xl35"/>
    <w:basedOn w:val="Normal"/>
    <w:pPr>
      <w:pBdr>
        <w:top w:val="single" w:sz="4" w:space="0" w:color="auto"/>
        <w:right w:val="single" w:sz="4" w:space="0" w:color="auto"/>
      </w:pBdr>
      <w:spacing w:before="100" w:beforeAutospacing="1" w:after="100" w:afterAutospacing="1"/>
    </w:pPr>
    <w:rPr>
      <w:rFonts w:ascii="Arial" w:hAnsi="Arial" w:cs="Arial"/>
      <w:b/>
      <w:bCs/>
      <w:sz w:val="20"/>
    </w:rPr>
  </w:style>
  <w:style w:type="paragraph" w:customStyle="1" w:styleId="xl36">
    <w:name w:val="xl36"/>
    <w:basedOn w:val="Normal"/>
    <w:pPr>
      <w:pBdr>
        <w:left w:val="single" w:sz="4" w:space="0" w:color="auto"/>
      </w:pBdr>
      <w:spacing w:before="100" w:beforeAutospacing="1" w:after="100" w:afterAutospacing="1"/>
    </w:pPr>
    <w:rPr>
      <w:rFonts w:ascii="Arial" w:hAnsi="Arial" w:cs="Arial"/>
      <w:b/>
      <w:bCs/>
      <w:sz w:val="20"/>
    </w:rPr>
  </w:style>
  <w:style w:type="paragraph" w:customStyle="1" w:styleId="xl37">
    <w:name w:val="xl37"/>
    <w:basedOn w:val="Normal"/>
    <w:pPr>
      <w:pBdr>
        <w:right w:val="single" w:sz="4" w:space="0" w:color="auto"/>
      </w:pBdr>
      <w:spacing w:before="100" w:beforeAutospacing="1" w:after="100" w:afterAutospacing="1"/>
    </w:pPr>
    <w:rPr>
      <w:rFonts w:ascii="Arial" w:hAnsi="Arial" w:cs="Arial"/>
      <w:b/>
      <w:bCs/>
      <w:sz w:val="20"/>
    </w:rPr>
  </w:style>
  <w:style w:type="paragraph" w:customStyle="1" w:styleId="xl38">
    <w:name w:val="xl38"/>
    <w:basedOn w:val="Normal"/>
    <w:pPr>
      <w:pBdr>
        <w:left w:val="single" w:sz="4" w:space="0" w:color="auto"/>
        <w:bottom w:val="single" w:sz="4" w:space="0" w:color="auto"/>
      </w:pBdr>
      <w:spacing w:before="100" w:beforeAutospacing="1" w:after="100" w:afterAutospacing="1"/>
    </w:pPr>
    <w:rPr>
      <w:rFonts w:ascii="Arial" w:hAnsi="Arial" w:cs="Arial"/>
      <w:b/>
      <w:bCs/>
      <w:sz w:val="20"/>
    </w:rPr>
  </w:style>
  <w:style w:type="paragraph" w:customStyle="1" w:styleId="xl39">
    <w:name w:val="xl39"/>
    <w:basedOn w:val="Normal"/>
    <w:pPr>
      <w:pBdr>
        <w:bottom w:val="single" w:sz="4" w:space="0" w:color="auto"/>
      </w:pBdr>
      <w:spacing w:before="100" w:beforeAutospacing="1" w:after="100" w:afterAutospacing="1"/>
    </w:pPr>
    <w:rPr>
      <w:rFonts w:ascii="Arial" w:hAnsi="Arial" w:cs="Arial"/>
      <w:b/>
      <w:bCs/>
      <w:sz w:val="20"/>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rPr>
  </w:style>
  <w:style w:type="paragraph" w:customStyle="1" w:styleId="xl41">
    <w:name w:val="xl41"/>
    <w:basedOn w:val="Normal"/>
    <w:pPr>
      <w:spacing w:before="100" w:beforeAutospacing="1" w:after="100" w:afterAutospacing="1"/>
    </w:pPr>
    <w:rPr>
      <w:rFonts w:ascii="Arial" w:hAnsi="Arial" w:cs="Arial"/>
      <w:b/>
      <w:bCs/>
      <w:color w:val="FF0000"/>
      <w:sz w:val="20"/>
    </w:rPr>
  </w:style>
  <w:style w:type="paragraph" w:customStyle="1" w:styleId="xl42">
    <w:name w:val="xl42"/>
    <w:basedOn w:val="Normal"/>
    <w:pPr>
      <w:pBdr>
        <w:right w:val="single" w:sz="4" w:space="0" w:color="auto"/>
      </w:pBdr>
      <w:spacing w:before="100" w:beforeAutospacing="1" w:after="100" w:afterAutospacing="1"/>
    </w:pPr>
    <w:rPr>
      <w:rFonts w:ascii="Arial" w:hAnsi="Arial" w:cs="Arial"/>
      <w:b/>
      <w:bCs/>
      <w:sz w:val="20"/>
    </w:rPr>
  </w:style>
  <w:style w:type="paragraph" w:customStyle="1" w:styleId="xl43">
    <w:name w:val="xl43"/>
    <w:basedOn w:val="Normal"/>
    <w:pPr>
      <w:spacing w:before="100" w:beforeAutospacing="1" w:after="100" w:afterAutospacing="1"/>
    </w:pPr>
    <w:rPr>
      <w:rFonts w:ascii="Arial" w:hAnsi="Arial" w:cs="Arial"/>
      <w:b/>
      <w:bCs/>
      <w:sz w:val="20"/>
    </w:rPr>
  </w:style>
  <w:style w:type="paragraph" w:customStyle="1" w:styleId="xl45">
    <w:name w:val="xl45"/>
    <w:basedOn w:val="Normal"/>
    <w:pPr>
      <w:pBdr>
        <w:top w:val="single" w:sz="4" w:space="0" w:color="auto"/>
        <w:bottom w:val="single" w:sz="4" w:space="0" w:color="auto"/>
      </w:pBdr>
      <w:spacing w:before="100" w:beforeAutospacing="1" w:after="100" w:afterAutospacing="1"/>
    </w:pPr>
    <w:rPr>
      <w:rFonts w:ascii="Arial" w:hAnsi="Arial" w:cs="Arial"/>
      <w:b/>
      <w:bCs/>
      <w:sz w:val="20"/>
    </w:rPr>
  </w:style>
  <w:style w:type="paragraph" w:customStyle="1" w:styleId="xl46">
    <w:name w:val="xl46"/>
    <w:basedOn w:val="Normal"/>
    <w:pPr>
      <w:pBdr>
        <w:top w:val="single" w:sz="4" w:space="0" w:color="auto"/>
      </w:pBdr>
      <w:spacing w:before="100" w:beforeAutospacing="1" w:after="100" w:afterAutospacing="1"/>
    </w:pPr>
    <w:rPr>
      <w:rFonts w:ascii="Arial" w:hAnsi="Arial" w:cs="Arial"/>
      <w:b/>
      <w:bCs/>
      <w:sz w:val="20"/>
    </w:rPr>
  </w:style>
  <w:style w:type="paragraph" w:customStyle="1" w:styleId="xl47">
    <w:name w:val="xl47"/>
    <w:basedOn w:val="Normal"/>
    <w:pPr>
      <w:pBdr>
        <w:bottom w:val="single" w:sz="4" w:space="0" w:color="auto"/>
        <w:right w:val="single" w:sz="4" w:space="0" w:color="auto"/>
      </w:pBdr>
      <w:spacing w:before="100" w:beforeAutospacing="1" w:after="100" w:afterAutospacing="1"/>
    </w:pPr>
    <w:rPr>
      <w:rFonts w:ascii="Arial" w:hAnsi="Arial" w:cs="Arial"/>
      <w:b/>
      <w:bCs/>
      <w:sz w:val="20"/>
    </w:rPr>
  </w:style>
  <w:style w:type="paragraph" w:customStyle="1" w:styleId="xl48">
    <w:name w:val="xl48"/>
    <w:basedOn w:val="Normal"/>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0"/>
    </w:rPr>
  </w:style>
  <w:style w:type="paragraph" w:customStyle="1" w:styleId="xl49">
    <w:name w:val="xl49"/>
    <w:basedOn w:val="Normal"/>
    <w:pPr>
      <w:pBdr>
        <w:bottom w:val="single" w:sz="4" w:space="0" w:color="auto"/>
      </w:pBdr>
      <w:spacing w:before="100" w:beforeAutospacing="1" w:after="100" w:afterAutospacing="1"/>
    </w:pPr>
    <w:rPr>
      <w:rFonts w:ascii="Arial" w:hAnsi="Arial" w:cs="Arial"/>
      <w:b/>
      <w:bCs/>
      <w:sz w:val="20"/>
    </w:rPr>
  </w:style>
  <w:style w:type="paragraph" w:customStyle="1" w:styleId="xl50">
    <w:name w:val="xl50"/>
    <w:basedOn w:val="Normal"/>
    <w:pPr>
      <w:pBdr>
        <w:top w:val="single" w:sz="4" w:space="0" w:color="auto"/>
        <w:right w:val="single" w:sz="4" w:space="0" w:color="auto"/>
      </w:pBdr>
      <w:spacing w:before="100" w:beforeAutospacing="1" w:after="100" w:afterAutospacing="1"/>
    </w:pPr>
    <w:rPr>
      <w:rFonts w:ascii="Arial" w:hAnsi="Arial" w:cs="Arial"/>
      <w:b/>
      <w:bCs/>
      <w:sz w:val="20"/>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rPr>
  </w:style>
  <w:style w:type="paragraph" w:customStyle="1" w:styleId="xl52">
    <w:name w:val="xl5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rPr>
  </w:style>
  <w:style w:type="paragraph" w:customStyle="1" w:styleId="xl53">
    <w:name w:val="xl5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54">
    <w:name w:val="xl54"/>
    <w:basedOn w:val="Normal"/>
    <w:pPr>
      <w:pBdr>
        <w:top w:val="single" w:sz="4" w:space="0" w:color="auto"/>
      </w:pBdr>
      <w:spacing w:before="100" w:beforeAutospacing="1" w:after="100" w:afterAutospacing="1"/>
    </w:pPr>
    <w:rPr>
      <w:b/>
      <w:bCs/>
      <w:sz w:val="22"/>
      <w:szCs w:val="22"/>
    </w:rPr>
  </w:style>
  <w:style w:type="paragraph" w:customStyle="1" w:styleId="xl55">
    <w:name w:val="xl55"/>
    <w:basedOn w:val="Normal"/>
    <w:pPr>
      <w:pBdr>
        <w:top w:val="single" w:sz="4" w:space="0" w:color="auto"/>
      </w:pBdr>
      <w:spacing w:before="100" w:beforeAutospacing="1" w:after="100" w:afterAutospacing="1"/>
    </w:pPr>
    <w:rPr>
      <w:sz w:val="22"/>
      <w:szCs w:val="22"/>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58">
    <w:name w:val="xl58"/>
    <w:basedOn w:val="Normal"/>
    <w:pPr>
      <w:pBdr>
        <w:bottom w:val="single" w:sz="8" w:space="0" w:color="auto"/>
      </w:pBdr>
      <w:spacing w:before="100" w:beforeAutospacing="1" w:after="100" w:afterAutospacing="1"/>
    </w:pPr>
    <w:rPr>
      <w:rFonts w:ascii="Arial" w:hAnsi="Arial" w:cs="Arial"/>
      <w:b/>
      <w:bCs/>
      <w:sz w:val="20"/>
    </w:rPr>
  </w:style>
  <w:style w:type="paragraph" w:customStyle="1" w:styleId="xl59">
    <w:name w:val="xl59"/>
    <w:basedOn w:val="Normal"/>
    <w:pPr>
      <w:pBdr>
        <w:bottom w:val="single" w:sz="8" w:space="0" w:color="auto"/>
        <w:right w:val="single" w:sz="4" w:space="0" w:color="auto"/>
      </w:pBdr>
      <w:spacing w:before="100" w:beforeAutospacing="1" w:after="100" w:afterAutospacing="1"/>
    </w:pPr>
    <w:rPr>
      <w:rFonts w:ascii="Arial" w:hAnsi="Arial" w:cs="Arial"/>
      <w:b/>
      <w:bCs/>
      <w:sz w:val="20"/>
    </w:rPr>
  </w:style>
  <w:style w:type="paragraph" w:customStyle="1" w:styleId="xl60">
    <w:name w:val="xl60"/>
    <w:basedOn w:val="Normal"/>
    <w:pPr>
      <w:pBdr>
        <w:top w:val="single" w:sz="4" w:space="0" w:color="auto"/>
        <w:left w:val="single" w:sz="4" w:space="0" w:color="auto"/>
      </w:pBdr>
      <w:spacing w:before="100" w:beforeAutospacing="1" w:after="100" w:afterAutospacing="1"/>
    </w:pPr>
    <w:rPr>
      <w:b/>
      <w:bCs/>
      <w:sz w:val="22"/>
      <w:szCs w:val="22"/>
    </w:rPr>
  </w:style>
  <w:style w:type="paragraph" w:customStyle="1" w:styleId="xl61">
    <w:name w:val="xl61"/>
    <w:basedOn w:val="Normal"/>
    <w:pPr>
      <w:pBdr>
        <w:top w:val="single" w:sz="4" w:space="0" w:color="auto"/>
      </w:pBdr>
      <w:spacing w:before="100" w:beforeAutospacing="1" w:after="100" w:afterAutospacing="1"/>
    </w:pPr>
    <w:rPr>
      <w:b/>
      <w:bCs/>
      <w:sz w:val="22"/>
      <w:szCs w:val="22"/>
    </w:rPr>
  </w:style>
  <w:style w:type="paragraph" w:customStyle="1" w:styleId="xl63">
    <w:name w:val="xl63"/>
    <w:basedOn w:val="Normal"/>
    <w:pPr>
      <w:pBdr>
        <w:left w:val="single" w:sz="4" w:space="0" w:color="auto"/>
      </w:pBdr>
      <w:spacing w:before="100" w:beforeAutospacing="1" w:after="100" w:afterAutospacing="1"/>
    </w:pPr>
    <w:rPr>
      <w:sz w:val="22"/>
      <w:szCs w:val="22"/>
    </w:rPr>
  </w:style>
  <w:style w:type="paragraph" w:customStyle="1" w:styleId="xl64">
    <w:name w:val="xl64"/>
    <w:basedOn w:val="Normal"/>
    <w:pPr>
      <w:pBdr>
        <w:left w:val="single" w:sz="4" w:space="0" w:color="auto"/>
        <w:bottom w:val="single" w:sz="4" w:space="0" w:color="auto"/>
      </w:pBdr>
      <w:spacing w:before="100" w:beforeAutospacing="1" w:after="100" w:afterAutospacing="1"/>
      <w:jc w:val="center"/>
    </w:pPr>
    <w:rPr>
      <w:b/>
      <w:bCs/>
      <w:sz w:val="22"/>
      <w:szCs w:val="22"/>
    </w:rPr>
  </w:style>
  <w:style w:type="paragraph" w:customStyle="1" w:styleId="xl65">
    <w:name w:val="xl65"/>
    <w:basedOn w:val="Normal"/>
    <w:pPr>
      <w:pBdr>
        <w:bottom w:val="single" w:sz="4" w:space="0" w:color="auto"/>
      </w:pBdr>
      <w:spacing w:before="100" w:beforeAutospacing="1" w:after="100" w:afterAutospacing="1"/>
      <w:jc w:val="center"/>
    </w:pPr>
    <w:rPr>
      <w:b/>
      <w:bCs/>
      <w:sz w:val="22"/>
      <w:szCs w:val="22"/>
    </w:rPr>
  </w:style>
  <w:style w:type="paragraph" w:customStyle="1" w:styleId="xl66">
    <w:name w:val="xl66"/>
    <w:basedOn w:val="Normal"/>
    <w:pPr>
      <w:pBdr>
        <w:bottom w:val="single" w:sz="4" w:space="0" w:color="auto"/>
        <w:right w:val="single" w:sz="4" w:space="0" w:color="auto"/>
      </w:pBdr>
      <w:spacing w:before="100" w:beforeAutospacing="1" w:after="100" w:afterAutospacing="1"/>
      <w:jc w:val="center"/>
    </w:pPr>
    <w:rPr>
      <w:b/>
      <w:bCs/>
      <w:sz w:val="22"/>
      <w:szCs w:val="22"/>
    </w:rPr>
  </w:style>
  <w:style w:type="character" w:customStyle="1" w:styleId="Heading3Char">
    <w:name w:val="Heading 3 Char"/>
    <w:link w:val="Heading3"/>
    <w:rPr>
      <w:b/>
      <w:sz w:val="28"/>
      <w:lang w:val="en-US" w:eastAsia="sr-Latn-CS" w:bidi="ar-SA"/>
    </w:rPr>
  </w:style>
  <w:style w:type="character" w:customStyle="1" w:styleId="Heading4Char">
    <w:name w:val="Heading 4 Char"/>
    <w:link w:val="Heading4"/>
    <w:rPr>
      <w:spacing w:val="-4"/>
      <w:sz w:val="24"/>
      <w:lang w:val="en-US" w:eastAsia="sr-Latn-CS"/>
    </w:rPr>
  </w:style>
  <w:style w:type="character" w:customStyle="1" w:styleId="Heading5Char">
    <w:name w:val="Heading 5 Char"/>
    <w:link w:val="Heading5"/>
    <w:rPr>
      <w:i/>
      <w:sz w:val="24"/>
      <w:lang w:val="en-US" w:eastAsia="sr-Latn-CS" w:bidi="ar-SA"/>
    </w:rPr>
  </w:style>
  <w:style w:type="character" w:customStyle="1" w:styleId="Heading6Char">
    <w:name w:val="Heading 6 Char"/>
    <w:link w:val="Heading6"/>
    <w:rPr>
      <w:sz w:val="24"/>
      <w:lang w:val="en-US" w:eastAsia="sr-Latn-CS" w:bidi="ar-SA"/>
    </w:rPr>
  </w:style>
  <w:style w:type="character" w:customStyle="1" w:styleId="Heading7Char">
    <w:name w:val="Heading 7 Char"/>
    <w:link w:val="Heading7"/>
    <w:rPr>
      <w:color w:val="FFFF00"/>
      <w:sz w:val="24"/>
      <w:lang w:val="en-US" w:eastAsia="sr-Latn-CS" w:bidi="ar-SA"/>
    </w:rPr>
  </w:style>
  <w:style w:type="character" w:customStyle="1" w:styleId="Heading8Char">
    <w:name w:val="Heading 8 Char"/>
    <w:link w:val="Heading8"/>
    <w:rPr>
      <w:i/>
      <w:sz w:val="24"/>
      <w:lang w:val="en-US" w:eastAsia="sr-Latn-CS" w:bidi="ar-SA"/>
    </w:rPr>
  </w:style>
  <w:style w:type="character" w:customStyle="1" w:styleId="Heading9Char">
    <w:name w:val="Heading 9 Char"/>
    <w:link w:val="Heading9"/>
    <w:rPr>
      <w:rFonts w:ascii="Arial" w:hAnsi="Arial"/>
      <w:sz w:val="22"/>
      <w:lang w:val="en-US" w:eastAsia="sr-Latn-CS" w:bidi="ar-SA"/>
    </w:rPr>
  </w:style>
  <w:style w:type="character" w:customStyle="1" w:styleId="FooterChar">
    <w:name w:val="Footer Char"/>
    <w:link w:val="Footer"/>
    <w:uiPriority w:val="99"/>
    <w:rPr>
      <w:lang w:val="en-US" w:eastAsia="sr-Latn-CS" w:bidi="ar-SA"/>
    </w:rPr>
  </w:style>
  <w:style w:type="character" w:customStyle="1" w:styleId="DocumentMapChar">
    <w:name w:val="Document Map Char"/>
    <w:link w:val="DocumentMap"/>
    <w:rPr>
      <w:rFonts w:ascii="Tahoma" w:hAnsi="Tahoma"/>
      <w:sz w:val="24"/>
      <w:lang w:val="en-US" w:eastAsia="sr-Latn-CS" w:bidi="ar-SA"/>
    </w:rPr>
  </w:style>
  <w:style w:type="character" w:customStyle="1" w:styleId="BalloonTextChar">
    <w:name w:val="Balloon Text Char"/>
    <w:link w:val="BalloonText"/>
    <w:rPr>
      <w:rFonts w:ascii="Tahoma" w:hAnsi="Tahoma"/>
      <w:sz w:val="16"/>
      <w:lang w:val="en-US" w:eastAsia="sr-Latn-CS" w:bidi="ar-SA"/>
    </w:rPr>
  </w:style>
  <w:style w:type="paragraph" w:customStyle="1" w:styleId="ListParagraph1">
    <w:name w:val="List Paragraph1"/>
    <w:basedOn w:val="Normal"/>
    <w:qFormat/>
    <w:pPr>
      <w:spacing w:after="120" w:line="360" w:lineRule="auto"/>
      <w:ind w:left="720"/>
      <w:contextualSpacing/>
    </w:pPr>
    <w:rPr>
      <w:rFonts w:ascii="Tahoma" w:eastAsia="Calibri" w:hAnsi="Tahoma"/>
      <w:sz w:val="22"/>
      <w:szCs w:val="22"/>
      <w:lang w:val="el-GR"/>
    </w:rPr>
  </w:style>
  <w:style w:type="paragraph" w:customStyle="1" w:styleId="TOCHeading1">
    <w:name w:val="TOC Heading1"/>
    <w:basedOn w:val="Heading1"/>
    <w:next w:val="Normal"/>
    <w:qFormat/>
    <w:pPr>
      <w:keepNext/>
      <w:spacing w:before="240" w:after="60"/>
      <w:jc w:val="left"/>
      <w:outlineLvl w:val="9"/>
    </w:pPr>
    <w:rPr>
      <w:rFonts w:ascii="Cambria" w:hAnsi="Cambria"/>
      <w:bCs/>
      <w:kern w:val="32"/>
      <w:sz w:val="32"/>
      <w:lang w:eastAsia="el-GR"/>
    </w:rPr>
  </w:style>
  <w:style w:type="character" w:customStyle="1" w:styleId="BodyTextChar1">
    <w:name w:val="Body Text Char1"/>
    <w:link w:val="BodyText"/>
    <w:rPr>
      <w:color w:val="FFFF00"/>
      <w:sz w:val="28"/>
      <w:lang w:val="en-US" w:eastAsia="sr-Latn-CS" w:bidi="ar-SA"/>
    </w:rPr>
  </w:style>
  <w:style w:type="character" w:customStyle="1" w:styleId="BodyText3Char">
    <w:name w:val="Body Text 3 Char"/>
    <w:link w:val="BodyText3"/>
    <w:rPr>
      <w:i/>
      <w:sz w:val="24"/>
      <w:lang w:val="en-US" w:eastAsia="sr-Latn-CS" w:bidi="ar-SA"/>
    </w:rPr>
  </w:style>
  <w:style w:type="paragraph" w:customStyle="1" w:styleId="4">
    <w:name w:val="Επικεφαλίδα4"/>
    <w:basedOn w:val="Normal"/>
    <w:pPr>
      <w:spacing w:after="120" w:line="360" w:lineRule="auto"/>
    </w:pPr>
    <w:rPr>
      <w:rFonts w:ascii="Tahoma" w:hAnsi="Tahoma" w:cs="Arial"/>
      <w:i/>
      <w:smallCaps/>
      <w:szCs w:val="22"/>
      <w:lang w:val="el-GR" w:eastAsia="el-GR"/>
    </w:rPr>
  </w:style>
  <w:style w:type="paragraph" w:customStyle="1" w:styleId="a">
    <w:name w:val="Διάγραμμα"/>
    <w:basedOn w:val="Caption"/>
    <w:next w:val="Normal"/>
    <w:pPr>
      <w:keepNext/>
      <w:jc w:val="center"/>
    </w:pPr>
    <w:rPr>
      <w:rFonts w:ascii="Book Antiqua" w:hAnsi="Book Antiqua"/>
      <w:b/>
      <w:bCs/>
      <w:sz w:val="22"/>
      <w:szCs w:val="22"/>
      <w:lang w:val="el-GR"/>
    </w:rPr>
  </w:style>
  <w:style w:type="paragraph" w:customStyle="1" w:styleId="1">
    <w:name w:val="Λεζάντα 1"/>
    <w:basedOn w:val="Caption"/>
    <w:next w:val="Normal"/>
    <w:pPr>
      <w:keepNext/>
      <w:jc w:val="center"/>
    </w:pPr>
    <w:rPr>
      <w:rFonts w:ascii="Book Antiqua" w:hAnsi="Book Antiqua"/>
      <w:b/>
      <w:bCs/>
      <w:sz w:val="22"/>
      <w:szCs w:val="22"/>
      <w:lang w:val="el-GR"/>
    </w:rPr>
  </w:style>
  <w:style w:type="paragraph" w:customStyle="1" w:styleId="3TimesNewRoman66">
    <w:name w:val="Στυλ Επικεφαλίδα 3 + Times New Roman Πριν:  6 στ. Μετά:  6 στ. ..."/>
    <w:basedOn w:val="Heading3"/>
    <w:pPr>
      <w:keepNext/>
      <w:spacing w:before="120" w:after="120" w:line="360" w:lineRule="auto"/>
      <w:ind w:left="720" w:hanging="720"/>
      <w:jc w:val="both"/>
    </w:pPr>
    <w:rPr>
      <w:rFonts w:ascii="Arial" w:hAnsi="Arial"/>
      <w:b w:val="0"/>
      <w:bCs/>
      <w:color w:val="000000"/>
      <w:sz w:val="22"/>
      <w:szCs w:val="22"/>
      <w:lang w:val="sr-Latn-CS"/>
    </w:rPr>
  </w:style>
  <w:style w:type="paragraph" w:customStyle="1" w:styleId="xl75">
    <w:name w:val="xl75"/>
    <w:basedOn w:val="Normal"/>
    <w:qFormat/>
    <w:pPr>
      <w:pBdr>
        <w:left w:val="single" w:sz="4" w:space="0" w:color="auto"/>
        <w:bottom w:val="single" w:sz="8" w:space="0" w:color="auto"/>
        <w:right w:val="single" w:sz="4" w:space="0" w:color="auto"/>
      </w:pBdr>
      <w:spacing w:before="100" w:beforeAutospacing="1" w:after="100" w:afterAutospacing="1"/>
      <w:jc w:val="center"/>
    </w:pPr>
    <w:rPr>
      <w:rFonts w:ascii="Arial Narrow" w:eastAsia="Arial Unicode MS" w:hAnsi="Arial Narrow" w:cs="Arial Unicode MS"/>
      <w:sz w:val="16"/>
      <w:szCs w:val="16"/>
      <w:lang w:val="en-GB"/>
    </w:rPr>
  </w:style>
  <w:style w:type="paragraph" w:customStyle="1" w:styleId="Arial11pt66">
    <w:name w:val="Στυλ Arial 11 pt Πλήρης Πριν:  6 στ. Μετά:  6 στ. Διάστιχο:  ..."/>
    <w:basedOn w:val="Normal"/>
    <w:pPr>
      <w:spacing w:before="120" w:after="120" w:line="360" w:lineRule="auto"/>
    </w:pPr>
    <w:rPr>
      <w:rFonts w:ascii="Arial" w:hAnsi="Arial"/>
      <w:sz w:val="22"/>
      <w:lang w:val="en-GB"/>
    </w:rPr>
  </w:style>
  <w:style w:type="paragraph" w:customStyle="1" w:styleId="paragraph">
    <w:name w:val="paragraph"/>
    <w:basedOn w:val="Normal"/>
    <w:pPr>
      <w:spacing w:line="240" w:lineRule="atLeast"/>
    </w:pPr>
    <w:rPr>
      <w:lang w:val="en-GB"/>
    </w:rPr>
  </w:style>
  <w:style w:type="paragraph" w:customStyle="1" w:styleId="Normal1">
    <w:name w:val="Normal1"/>
    <w:basedOn w:val="Normal"/>
    <w:pPr>
      <w:spacing w:before="100" w:beforeAutospacing="1" w:after="100" w:afterAutospacing="1"/>
    </w:pPr>
  </w:style>
  <w:style w:type="paragraph" w:customStyle="1" w:styleId="Podnaslov1">
    <w:name w:val="Podnaslov1"/>
    <w:basedOn w:val="Normal"/>
    <w:pPr>
      <w:keepNext/>
      <w:tabs>
        <w:tab w:val="left" w:pos="1800"/>
      </w:tabs>
      <w:spacing w:before="120" w:after="120"/>
      <w:ind w:left="720" w:right="720"/>
      <w:jc w:val="center"/>
    </w:pPr>
    <w:rPr>
      <w:rFonts w:ascii="Helv Ciril" w:hAnsi="Helv Ciril"/>
      <w:b/>
      <w:sz w:val="26"/>
    </w:rPr>
  </w:style>
  <w:style w:type="paragraph" w:customStyle="1" w:styleId="WW-BodyText3">
    <w:name w:val="WW-Body Text 3"/>
    <w:basedOn w:val="Normal"/>
    <w:rPr>
      <w:rFonts w:ascii="Arial" w:hAnsi="Arial" w:cs="Arial"/>
      <w:color w:val="000000"/>
      <w:lang w:val="en-GB" w:eastAsia="ar-SA"/>
    </w:rPr>
  </w:style>
  <w:style w:type="character" w:customStyle="1" w:styleId="singlespaceChar">
    <w:name w:val="single space Char"/>
    <w:rPr>
      <w:lang w:val="en-US" w:eastAsia="en-US" w:bidi="ar-SA"/>
    </w:rPr>
  </w:style>
  <w:style w:type="character" w:customStyle="1" w:styleId="Administrator">
    <w:name w:val="Administrator"/>
    <w:semiHidden/>
    <w:rPr>
      <w:rFonts w:ascii="Garamond" w:hAnsi="Garamond"/>
      <w:color w:val="auto"/>
      <w:sz w:val="24"/>
      <w:szCs w:val="24"/>
      <w:u w:val="none"/>
    </w:rPr>
  </w:style>
  <w:style w:type="paragraph" w:customStyle="1" w:styleId="yiv1705304520msonormal3">
    <w:name w:val="yiv1705304520msonormal3"/>
    <w:basedOn w:val="Normal"/>
    <w:pPr>
      <w:spacing w:before="100" w:beforeAutospacing="1" w:after="100" w:afterAutospacing="1"/>
    </w:pPr>
    <w:rPr>
      <w:rFonts w:eastAsia="Calibri"/>
    </w:rPr>
  </w:style>
  <w:style w:type="character" w:customStyle="1" w:styleId="longtext">
    <w:name w:val="long_text"/>
    <w:basedOn w:val="DefaultParagraphFont"/>
  </w:style>
  <w:style w:type="paragraph" w:customStyle="1" w:styleId="Revision1">
    <w:name w:val="Revision1"/>
    <w:hidden/>
    <w:uiPriority w:val="99"/>
    <w:semiHidden/>
    <w:rPr>
      <w:sz w:val="24"/>
      <w:lang w:eastAsia="sr-Latn-CS"/>
    </w:rPr>
  </w:style>
  <w:style w:type="paragraph" w:customStyle="1" w:styleId="1tekst">
    <w:name w:val="1tekst"/>
    <w:basedOn w:val="Normal"/>
    <w:uiPriority w:val="99"/>
    <w:pPr>
      <w:spacing w:before="100" w:beforeAutospacing="1" w:after="100" w:afterAutospacing="1"/>
      <w:ind w:firstLine="240"/>
    </w:pPr>
    <w:rPr>
      <w:rFonts w:ascii="Arial" w:eastAsia="Arial Unicode MS" w:hAnsi="Arial" w:cs="Arial"/>
      <w:sz w:val="20"/>
    </w:rPr>
  </w:style>
  <w:style w:type="character" w:customStyle="1" w:styleId="TitleChar">
    <w:name w:val="Title Char"/>
    <w:link w:val="Title"/>
    <w:rPr>
      <w:b/>
      <w:sz w:val="48"/>
      <w:lang w:val="en-US" w:eastAsia="sr-Latn-CS"/>
    </w:rPr>
  </w:style>
  <w:style w:type="character" w:customStyle="1" w:styleId="SubtitleChar">
    <w:name w:val="Subtitle Char"/>
    <w:link w:val="Subtitle"/>
    <w:rPr>
      <w:b/>
      <w:sz w:val="44"/>
      <w:lang w:val="en-US" w:eastAsia="sr-Latn-CS"/>
    </w:rPr>
  </w:style>
  <w:style w:type="character" w:customStyle="1" w:styleId="BodyTextIndent2Char">
    <w:name w:val="Body Text Indent 2 Char"/>
    <w:link w:val="BodyTextIndent2"/>
    <w:rPr>
      <w:sz w:val="24"/>
      <w:lang w:val="en-US" w:eastAsia="sr-Latn-CS"/>
    </w:rPr>
  </w:style>
  <w:style w:type="character" w:customStyle="1" w:styleId="BodyTextIndent3Char">
    <w:name w:val="Body Text Indent 3 Char"/>
    <w:link w:val="BodyTextIndent3"/>
    <w:rPr>
      <w:sz w:val="24"/>
      <w:lang w:val="en-US" w:eastAsia="sr-Latn-CS"/>
    </w:rPr>
  </w:style>
  <w:style w:type="character" w:customStyle="1" w:styleId="BodyTextIndentChar">
    <w:name w:val="Body Text Indent Char"/>
    <w:link w:val="BodyTextIndent"/>
    <w:rPr>
      <w:sz w:val="24"/>
      <w:lang w:val="sr-Latn-CS" w:eastAsia="hr-HR"/>
    </w:rPr>
  </w:style>
  <w:style w:type="character" w:customStyle="1" w:styleId="BodyTextFirstIndent2Char">
    <w:name w:val="Body Text First Indent 2 Char"/>
    <w:link w:val="BodyTextFirstIndent2"/>
    <w:rPr>
      <w:sz w:val="24"/>
      <w:lang w:val="en-US" w:eastAsia="sr-Latn-CS"/>
    </w:rPr>
  </w:style>
  <w:style w:type="character" w:customStyle="1" w:styleId="ClosingChar">
    <w:name w:val="Closing Char"/>
    <w:link w:val="Closing"/>
    <w:rPr>
      <w:sz w:val="24"/>
      <w:lang w:val="en-US" w:eastAsia="sr-Latn-CS"/>
    </w:rPr>
  </w:style>
  <w:style w:type="character" w:customStyle="1" w:styleId="CommentTextChar">
    <w:name w:val="Comment Text Char"/>
    <w:link w:val="CommentText"/>
    <w:semiHidden/>
    <w:rPr>
      <w:lang w:val="en-US" w:eastAsia="sr-Latn-CS"/>
    </w:rPr>
  </w:style>
  <w:style w:type="character" w:customStyle="1" w:styleId="DateChar">
    <w:name w:val="Date Char"/>
    <w:link w:val="Date"/>
    <w:rPr>
      <w:sz w:val="24"/>
      <w:lang w:val="en-US" w:eastAsia="sr-Latn-CS"/>
    </w:rPr>
  </w:style>
  <w:style w:type="character" w:customStyle="1" w:styleId="E-mailSignatureChar">
    <w:name w:val="E-mail Signature Char"/>
    <w:link w:val="E-mailSignature"/>
    <w:rPr>
      <w:sz w:val="24"/>
      <w:lang w:val="en-US" w:eastAsia="sr-Latn-CS"/>
    </w:rPr>
  </w:style>
  <w:style w:type="character" w:customStyle="1" w:styleId="EndnoteTextChar">
    <w:name w:val="Endnote Text Char"/>
    <w:link w:val="EndnoteText"/>
    <w:semiHidden/>
    <w:rPr>
      <w:lang w:val="en-US" w:eastAsia="sr-Latn-CS"/>
    </w:rPr>
  </w:style>
  <w:style w:type="character" w:customStyle="1" w:styleId="HTMLAddressChar">
    <w:name w:val="HTML Address Char"/>
    <w:link w:val="HTMLAddress"/>
    <w:rPr>
      <w:i/>
      <w:sz w:val="24"/>
      <w:lang w:val="en-US" w:eastAsia="sr-Latn-CS"/>
    </w:rPr>
  </w:style>
  <w:style w:type="character" w:customStyle="1" w:styleId="HTMLPreformattedChar">
    <w:name w:val="HTML Preformatted Char"/>
    <w:link w:val="HTMLPreformatted"/>
    <w:rPr>
      <w:rFonts w:ascii="Courier New" w:hAnsi="Courier New"/>
      <w:lang w:val="en-US" w:eastAsia="sr-Latn-CS"/>
    </w:rPr>
  </w:style>
  <w:style w:type="character" w:customStyle="1" w:styleId="MacroTextChar">
    <w:name w:val="Macro Text Char"/>
    <w:link w:val="MacroText"/>
    <w:semiHidden/>
    <w:rPr>
      <w:rFonts w:ascii="Courier New" w:hAnsi="Courier New"/>
      <w:lang w:val="en-US" w:eastAsia="sr-Latn-CS"/>
    </w:rPr>
  </w:style>
  <w:style w:type="character" w:customStyle="1" w:styleId="MessageHeaderChar">
    <w:name w:val="Message Header Char"/>
    <w:link w:val="MessageHeader"/>
    <w:rPr>
      <w:rFonts w:ascii="Arial" w:hAnsi="Arial"/>
      <w:sz w:val="24"/>
      <w:shd w:val="pct20" w:color="auto" w:fill="auto"/>
      <w:lang w:val="en-US" w:eastAsia="sr-Latn-CS"/>
    </w:rPr>
  </w:style>
  <w:style w:type="character" w:customStyle="1" w:styleId="NoteHeadingChar">
    <w:name w:val="Note Heading Char"/>
    <w:link w:val="NoteHeading"/>
    <w:rPr>
      <w:sz w:val="24"/>
      <w:lang w:val="en-US" w:eastAsia="sr-Latn-CS"/>
    </w:rPr>
  </w:style>
  <w:style w:type="character" w:customStyle="1" w:styleId="PlainTextChar">
    <w:name w:val="Plain Text Char"/>
    <w:link w:val="PlainText"/>
    <w:rPr>
      <w:rFonts w:ascii="Courier New" w:hAnsi="Courier New"/>
      <w:lang w:val="en-US" w:eastAsia="sr-Latn-CS"/>
    </w:rPr>
  </w:style>
  <w:style w:type="character" w:customStyle="1" w:styleId="SalutationChar">
    <w:name w:val="Salutation Char"/>
    <w:link w:val="Salutation"/>
    <w:rPr>
      <w:sz w:val="24"/>
      <w:lang w:val="en-US" w:eastAsia="sr-Latn-CS"/>
    </w:rPr>
  </w:style>
  <w:style w:type="character" w:customStyle="1" w:styleId="SignatureChar">
    <w:name w:val="Signature Char"/>
    <w:link w:val="Signature"/>
    <w:rPr>
      <w:sz w:val="24"/>
      <w:lang w:val="en-US" w:eastAsia="sr-Latn-CS"/>
    </w:rPr>
  </w:style>
  <w:style w:type="character" w:customStyle="1" w:styleId="BodyText2Char">
    <w:name w:val="Body Text 2 Char"/>
    <w:link w:val="BodyText2"/>
    <w:rPr>
      <w:sz w:val="24"/>
      <w:lang w:val="en-US" w:eastAsia="sr-Latn-CS"/>
    </w:rPr>
  </w:style>
  <w:style w:type="character" w:customStyle="1" w:styleId="CommentSubjectChar">
    <w:name w:val="Comment Subject Char"/>
    <w:link w:val="CommentSubject"/>
    <w:semiHidden/>
    <w:rPr>
      <w:b/>
      <w:bCs/>
      <w:lang w:val="en-US" w:eastAsia="sr-Latn-CS"/>
    </w:rPr>
  </w:style>
  <w:style w:type="paragraph" w:styleId="ListParagraph">
    <w:name w:val="List Paragraph"/>
    <w:basedOn w:val="Normal"/>
    <w:uiPriority w:val="34"/>
    <w:qFormat/>
    <w:pPr>
      <w:ind w:left="720"/>
    </w:pPr>
  </w:style>
  <w:style w:type="paragraph" w:customStyle="1" w:styleId="msonormal0">
    <w:name w:val="msonormal"/>
    <w:basedOn w:val="Normal"/>
    <w:pPr>
      <w:spacing w:before="100" w:beforeAutospacing="1" w:after="100" w:afterAutospacing="1"/>
    </w:pPr>
  </w:style>
  <w:style w:type="paragraph" w:customStyle="1" w:styleId="font5">
    <w:name w:val="font5"/>
    <w:basedOn w:val="Normal"/>
    <w:pPr>
      <w:spacing w:before="100" w:beforeAutospacing="1" w:after="100" w:afterAutospacing="1"/>
    </w:pPr>
    <w:rPr>
      <w:rFonts w:ascii="Century Gothic" w:hAnsi="Century Gothic"/>
      <w:sz w:val="20"/>
    </w:rPr>
  </w:style>
  <w:style w:type="paragraph" w:customStyle="1" w:styleId="font6">
    <w:name w:val="font6"/>
    <w:basedOn w:val="Normal"/>
    <w:pPr>
      <w:spacing w:before="100" w:beforeAutospacing="1" w:after="100" w:afterAutospacing="1"/>
    </w:pPr>
    <w:rPr>
      <w:rFonts w:ascii="Century Gothic" w:hAnsi="Century Gothic"/>
      <w:b/>
      <w:bCs/>
      <w:sz w:val="20"/>
    </w:rPr>
  </w:style>
  <w:style w:type="paragraph" w:customStyle="1" w:styleId="font7">
    <w:name w:val="font7"/>
    <w:basedOn w:val="Normal"/>
    <w:pPr>
      <w:spacing w:before="100" w:beforeAutospacing="1" w:after="100" w:afterAutospacing="1"/>
    </w:pPr>
    <w:rPr>
      <w:rFonts w:ascii="Century Gothic" w:hAnsi="Century Gothic"/>
      <w:sz w:val="20"/>
      <w:u w:val="single"/>
    </w:rPr>
  </w:style>
  <w:style w:type="paragraph" w:customStyle="1" w:styleId="font8">
    <w:name w:val="font8"/>
    <w:basedOn w:val="Normal"/>
    <w:pPr>
      <w:spacing w:before="100" w:beforeAutospacing="1" w:after="100" w:afterAutospacing="1"/>
    </w:pPr>
    <w:rPr>
      <w:rFonts w:ascii="Century Gothic" w:hAnsi="Century Gothic"/>
      <w:b/>
      <w:bCs/>
      <w:sz w:val="20"/>
    </w:rPr>
  </w:style>
  <w:style w:type="paragraph" w:customStyle="1" w:styleId="xl67">
    <w:name w:val="xl67"/>
    <w:basedOn w:val="Normal"/>
    <w:pPr>
      <w:spacing w:before="100" w:beforeAutospacing="1" w:after="100" w:afterAutospacing="1"/>
      <w:jc w:val="center"/>
    </w:pPr>
    <w:rPr>
      <w:rFonts w:ascii="Arial" w:hAnsi="Arial" w:cs="Arial"/>
    </w:rPr>
  </w:style>
  <w:style w:type="paragraph" w:customStyle="1" w:styleId="xl68">
    <w:name w:val="xl68"/>
    <w:basedOn w:val="Normal"/>
    <w:pPr>
      <w:spacing w:before="100" w:beforeAutospacing="1" w:after="100" w:afterAutospacing="1"/>
    </w:pPr>
    <w:rPr>
      <w:rFonts w:ascii="Arial" w:hAnsi="Arial" w:cs="Arial"/>
    </w:rPr>
  </w:style>
  <w:style w:type="paragraph" w:customStyle="1" w:styleId="xl69">
    <w:name w:val="xl69"/>
    <w:basedOn w:val="Normal"/>
    <w:pPr>
      <w:spacing w:before="100" w:beforeAutospacing="1" w:after="100" w:afterAutospacing="1"/>
      <w:textAlignment w:val="top"/>
    </w:pPr>
    <w:rPr>
      <w:rFonts w:ascii="Arial" w:hAnsi="Arial" w:cs="Arial"/>
    </w:rPr>
  </w:style>
  <w:style w:type="paragraph" w:customStyle="1" w:styleId="xl70">
    <w:name w:val="xl70"/>
    <w:basedOn w:val="Normal"/>
    <w:pPr>
      <w:spacing w:before="100" w:beforeAutospacing="1" w:after="100" w:afterAutospacing="1"/>
      <w:jc w:val="center"/>
      <w:textAlignment w:val="top"/>
    </w:pPr>
    <w:rPr>
      <w:rFonts w:ascii="Arial" w:hAnsi="Arial" w:cs="Arial"/>
      <w:b/>
      <w:bCs/>
    </w:rPr>
  </w:style>
  <w:style w:type="paragraph" w:customStyle="1" w:styleId="xl71">
    <w:name w:val="xl71"/>
    <w:basedOn w:val="Normal"/>
    <w:pPr>
      <w:spacing w:before="100" w:beforeAutospacing="1" w:after="100" w:afterAutospacing="1"/>
      <w:jc w:val="right"/>
    </w:pPr>
    <w:rPr>
      <w:rFonts w:ascii="Arial" w:hAnsi="Arial" w:cs="Arial"/>
    </w:rPr>
  </w:style>
  <w:style w:type="paragraph" w:customStyle="1" w:styleId="xl72">
    <w:name w:val="xl72"/>
    <w:basedOn w:val="Normal"/>
    <w:pPr>
      <w:spacing w:before="100" w:beforeAutospacing="1" w:after="100" w:afterAutospacing="1"/>
      <w:textAlignment w:val="center"/>
    </w:pPr>
    <w:rPr>
      <w:rFonts w:ascii="Century Gothic" w:hAnsi="Century Gothic"/>
      <w:b/>
      <w:bCs/>
      <w:sz w:val="28"/>
      <w:szCs w:val="28"/>
    </w:rPr>
  </w:style>
  <w:style w:type="paragraph" w:customStyle="1" w:styleId="xl73">
    <w:name w:val="xl73"/>
    <w:basedOn w:val="Normal"/>
    <w:pPr>
      <w:spacing w:before="100" w:beforeAutospacing="1" w:after="100" w:afterAutospacing="1"/>
      <w:textAlignment w:val="center"/>
    </w:pPr>
    <w:rPr>
      <w:rFonts w:ascii="Century Gothic" w:hAnsi="Century Gothic"/>
      <w:b/>
      <w:bCs/>
      <w:i/>
      <w:iCs/>
      <w:sz w:val="28"/>
      <w:szCs w:val="28"/>
    </w:rPr>
  </w:style>
  <w:style w:type="paragraph" w:customStyle="1" w:styleId="xl74">
    <w:name w:val="xl74"/>
    <w:basedOn w:val="Normal"/>
    <w:pPr>
      <w:spacing w:before="100" w:beforeAutospacing="1" w:after="100" w:afterAutospacing="1"/>
      <w:jc w:val="center"/>
    </w:pPr>
    <w:rPr>
      <w:rFonts w:ascii="Century Gothic" w:hAnsi="Century Gothic"/>
      <w:b/>
      <w:bCs/>
    </w:rPr>
  </w:style>
  <w:style w:type="paragraph" w:customStyle="1" w:styleId="xl76">
    <w:name w:val="xl76"/>
    <w:basedOn w:val="Normal"/>
    <w:pPr>
      <w:spacing w:before="100" w:beforeAutospacing="1" w:after="100" w:afterAutospacing="1"/>
      <w:jc w:val="right"/>
    </w:pPr>
    <w:rPr>
      <w:rFonts w:ascii="Century Gothic" w:hAnsi="Century Gothic"/>
    </w:rPr>
  </w:style>
  <w:style w:type="paragraph" w:customStyle="1" w:styleId="xl77">
    <w:name w:val="xl77"/>
    <w:basedOn w:val="Normal"/>
    <w:pPr>
      <w:spacing w:before="100" w:beforeAutospacing="1" w:after="100" w:afterAutospacing="1"/>
    </w:pPr>
    <w:rPr>
      <w:rFonts w:ascii="Century Gothic" w:hAnsi="Century Gothic"/>
    </w:rPr>
  </w:style>
  <w:style w:type="paragraph" w:customStyle="1" w:styleId="xl78">
    <w:name w:val="xl78"/>
    <w:basedOn w:val="Normal"/>
    <w:pPr>
      <w:spacing w:before="100" w:beforeAutospacing="1" w:after="100" w:afterAutospacing="1"/>
      <w:textAlignment w:val="top"/>
    </w:pPr>
    <w:rPr>
      <w:rFonts w:ascii="Century Gothic" w:hAnsi="Century Gothic"/>
    </w:rPr>
  </w:style>
  <w:style w:type="paragraph" w:customStyle="1" w:styleId="xl79">
    <w:name w:val="xl79"/>
    <w:basedOn w:val="Normal"/>
    <w:pPr>
      <w:spacing w:before="100" w:beforeAutospacing="1" w:after="100" w:afterAutospacing="1"/>
    </w:pPr>
    <w:rPr>
      <w:rFonts w:ascii="Century Gothic" w:hAnsi="Century Gothic"/>
    </w:rPr>
  </w:style>
  <w:style w:type="paragraph" w:customStyle="1" w:styleId="xl80">
    <w:name w:val="xl80"/>
    <w:basedOn w:val="Normal"/>
    <w:pPr>
      <w:spacing w:before="100" w:beforeAutospacing="1" w:after="100" w:afterAutospacing="1"/>
      <w:textAlignment w:val="top"/>
    </w:pPr>
    <w:rPr>
      <w:rFonts w:ascii="Century Gothic" w:hAnsi="Century Gothic"/>
    </w:rPr>
  </w:style>
  <w:style w:type="paragraph" w:customStyle="1" w:styleId="xl81">
    <w:name w:val="xl81"/>
    <w:basedOn w:val="Normal"/>
    <w:pPr>
      <w:pBdr>
        <w:top w:val="single" w:sz="4" w:space="0" w:color="auto"/>
        <w:left w:val="single" w:sz="4" w:space="0" w:color="auto"/>
        <w:bottom w:val="single" w:sz="4" w:space="0" w:color="auto"/>
      </w:pBdr>
      <w:spacing w:before="100" w:beforeAutospacing="1" w:after="100" w:afterAutospacing="1"/>
      <w:textAlignment w:val="center"/>
    </w:pPr>
    <w:rPr>
      <w:rFonts w:ascii="Century Gothic" w:hAnsi="Century Gothic"/>
    </w:rPr>
  </w:style>
  <w:style w:type="paragraph" w:customStyle="1" w:styleId="xl82">
    <w:name w:val="xl82"/>
    <w:basedOn w:val="Normal"/>
    <w:pPr>
      <w:pBdr>
        <w:top w:val="single" w:sz="4" w:space="0" w:color="auto"/>
        <w:bottom w:val="single" w:sz="4" w:space="0" w:color="auto"/>
      </w:pBdr>
      <w:spacing w:before="100" w:beforeAutospacing="1" w:after="100" w:afterAutospacing="1"/>
      <w:jc w:val="right"/>
      <w:textAlignment w:val="center"/>
    </w:pPr>
    <w:rPr>
      <w:rFonts w:ascii="Century Gothic" w:hAnsi="Century Gothic"/>
    </w:rPr>
  </w:style>
  <w:style w:type="paragraph" w:customStyle="1" w:styleId="xl83">
    <w:name w:val="xl83"/>
    <w:basedOn w:val="Normal"/>
    <w:pPr>
      <w:spacing w:before="100" w:beforeAutospacing="1" w:after="100" w:afterAutospacing="1"/>
      <w:textAlignment w:val="center"/>
    </w:pPr>
    <w:rPr>
      <w:rFonts w:ascii="Century Gothic" w:hAnsi="Century Gothic"/>
    </w:rPr>
  </w:style>
  <w:style w:type="paragraph" w:customStyle="1" w:styleId="xl84">
    <w:name w:val="xl84"/>
    <w:basedOn w:val="Normal"/>
    <w:pPr>
      <w:spacing w:before="100" w:beforeAutospacing="1" w:after="100" w:afterAutospacing="1"/>
      <w:jc w:val="right"/>
      <w:textAlignment w:val="center"/>
    </w:pPr>
    <w:rPr>
      <w:rFonts w:ascii="Century Gothic" w:hAnsi="Century Gothic"/>
    </w:rPr>
  </w:style>
  <w:style w:type="paragraph" w:customStyle="1" w:styleId="xl85">
    <w:name w:val="xl85"/>
    <w:basedOn w:val="Normal"/>
    <w:pPr>
      <w:spacing w:before="100" w:beforeAutospacing="1" w:after="100" w:afterAutospacing="1"/>
      <w:jc w:val="center"/>
      <w:textAlignment w:val="center"/>
    </w:pPr>
    <w:rPr>
      <w:rFonts w:ascii="Century Gothic" w:hAnsi="Century Gothic"/>
    </w:rPr>
  </w:style>
  <w:style w:type="paragraph" w:customStyle="1" w:styleId="xl86">
    <w:name w:val="xl86"/>
    <w:basedOn w:val="Normal"/>
    <w:pPr>
      <w:spacing w:before="100" w:beforeAutospacing="1" w:after="100" w:afterAutospacing="1"/>
      <w:textAlignment w:val="center"/>
    </w:pPr>
    <w:rPr>
      <w:rFonts w:ascii="Century Gothic" w:hAnsi="Century Gothic"/>
      <w:color w:val="000000"/>
    </w:rPr>
  </w:style>
  <w:style w:type="paragraph" w:customStyle="1" w:styleId="xl87">
    <w:name w:val="xl87"/>
    <w:basedOn w:val="Normal"/>
    <w:qFormat/>
    <w:pPr>
      <w:spacing w:before="100" w:beforeAutospacing="1" w:after="100" w:afterAutospacing="1"/>
      <w:textAlignment w:val="center"/>
    </w:pPr>
    <w:rPr>
      <w:rFonts w:ascii="Century Gothic" w:hAnsi="Century Gothic"/>
    </w:rPr>
  </w:style>
  <w:style w:type="paragraph" w:customStyle="1" w:styleId="xl88">
    <w:name w:val="xl88"/>
    <w:basedOn w:val="Normal"/>
    <w:pPr>
      <w:spacing w:before="100" w:beforeAutospacing="1" w:after="100" w:afterAutospacing="1"/>
      <w:jc w:val="center"/>
    </w:pPr>
    <w:rPr>
      <w:rFonts w:ascii="Century Gothic" w:hAnsi="Century Gothic"/>
    </w:rPr>
  </w:style>
  <w:style w:type="paragraph" w:customStyle="1" w:styleId="xl89">
    <w:name w:val="xl89"/>
    <w:basedOn w:val="Normal"/>
    <w:pPr>
      <w:spacing w:before="100" w:beforeAutospacing="1" w:after="100" w:afterAutospacing="1"/>
      <w:jc w:val="center"/>
      <w:textAlignment w:val="top"/>
    </w:pPr>
    <w:rPr>
      <w:rFonts w:ascii="Century Gothic" w:hAnsi="Century Gothic"/>
      <w:b/>
      <w:bCs/>
    </w:rPr>
  </w:style>
  <w:style w:type="paragraph" w:customStyle="1" w:styleId="xl90">
    <w:name w:val="xl90"/>
    <w:basedOn w:val="Normal"/>
    <w:pPr>
      <w:spacing w:before="100" w:beforeAutospacing="1" w:after="100" w:afterAutospacing="1"/>
      <w:textAlignment w:val="top"/>
    </w:pPr>
    <w:rPr>
      <w:rFonts w:ascii="Century Gothic" w:hAnsi="Century Gothic"/>
      <w:b/>
      <w:bCs/>
    </w:rPr>
  </w:style>
  <w:style w:type="paragraph" w:customStyle="1" w:styleId="xl91">
    <w:name w:val="xl91"/>
    <w:basedOn w:val="Normal"/>
    <w:pPr>
      <w:spacing w:before="100" w:beforeAutospacing="1" w:after="100" w:afterAutospacing="1"/>
      <w:textAlignment w:val="top"/>
    </w:pPr>
    <w:rPr>
      <w:rFonts w:ascii="Century Gothic" w:hAnsi="Century Gothic"/>
      <w:b/>
      <w:bCs/>
    </w:rPr>
  </w:style>
  <w:style w:type="paragraph" w:customStyle="1" w:styleId="xl92">
    <w:name w:val="xl92"/>
    <w:basedOn w:val="Normal"/>
    <w:pPr>
      <w:spacing w:before="100" w:beforeAutospacing="1" w:after="100" w:afterAutospacing="1"/>
      <w:textAlignment w:val="top"/>
    </w:pPr>
    <w:rPr>
      <w:rFonts w:ascii="Century Gothic" w:hAnsi="Century Gothic"/>
      <w:b/>
      <w:bCs/>
    </w:rPr>
  </w:style>
  <w:style w:type="paragraph" w:customStyle="1" w:styleId="xl93">
    <w:name w:val="xl93"/>
    <w:basedOn w:val="Normal"/>
    <w:pPr>
      <w:spacing w:before="100" w:beforeAutospacing="1" w:after="100" w:afterAutospacing="1"/>
      <w:jc w:val="center"/>
      <w:textAlignment w:val="top"/>
    </w:pPr>
    <w:rPr>
      <w:rFonts w:ascii="Century Gothic" w:hAnsi="Century Gothic"/>
    </w:rPr>
  </w:style>
  <w:style w:type="paragraph" w:customStyle="1" w:styleId="xl94">
    <w:name w:val="xl94"/>
    <w:basedOn w:val="Normal"/>
    <w:pPr>
      <w:spacing w:before="100" w:beforeAutospacing="1" w:after="100" w:afterAutospacing="1"/>
      <w:textAlignment w:val="center"/>
    </w:pPr>
    <w:rPr>
      <w:rFonts w:ascii="Century Gothic" w:hAnsi="Century Gothic"/>
      <w:b/>
      <w:bCs/>
    </w:rPr>
  </w:style>
  <w:style w:type="paragraph" w:customStyle="1" w:styleId="xl95">
    <w:name w:val="xl95"/>
    <w:basedOn w:val="Normal"/>
    <w:pPr>
      <w:spacing w:before="100" w:beforeAutospacing="1" w:after="100" w:afterAutospacing="1"/>
    </w:pPr>
    <w:rPr>
      <w:rFonts w:ascii="Arial" w:hAnsi="Arial" w:cs="Arial"/>
    </w:rPr>
  </w:style>
  <w:style w:type="paragraph" w:customStyle="1" w:styleId="xl96">
    <w:name w:val="xl96"/>
    <w:basedOn w:val="Normal"/>
    <w:pPr>
      <w:spacing w:before="100" w:beforeAutospacing="1" w:after="100" w:afterAutospacing="1"/>
    </w:pPr>
    <w:rPr>
      <w:rFonts w:ascii="Arial" w:hAnsi="Arial" w:cs="Arial"/>
    </w:rPr>
  </w:style>
  <w:style w:type="paragraph" w:customStyle="1" w:styleId="xl97">
    <w:name w:val="xl97"/>
    <w:basedOn w:val="Normal"/>
    <w:pPr>
      <w:spacing w:before="100" w:beforeAutospacing="1" w:after="100" w:afterAutospacing="1"/>
      <w:jc w:val="center"/>
    </w:pPr>
    <w:rPr>
      <w:rFonts w:ascii="Arial" w:hAnsi="Arial" w:cs="Arial"/>
    </w:rPr>
  </w:style>
  <w:style w:type="paragraph" w:customStyle="1" w:styleId="xl98">
    <w:name w:val="xl98"/>
    <w:basedOn w:val="Normal"/>
    <w:pPr>
      <w:spacing w:before="100" w:beforeAutospacing="1" w:after="100" w:afterAutospacing="1"/>
    </w:pPr>
    <w:rPr>
      <w:rFonts w:ascii="Arial" w:hAnsi="Arial" w:cs="Arial"/>
      <w:color w:val="0000FF"/>
    </w:rPr>
  </w:style>
  <w:style w:type="paragraph" w:customStyle="1" w:styleId="xl100">
    <w:name w:val="xl100"/>
    <w:basedOn w:val="Normal"/>
    <w:pPr>
      <w:spacing w:before="100" w:beforeAutospacing="1" w:after="100" w:afterAutospacing="1"/>
    </w:pPr>
  </w:style>
  <w:style w:type="paragraph" w:customStyle="1" w:styleId="xl101">
    <w:name w:val="xl101"/>
    <w:basedOn w:val="Normal"/>
    <w:pPr>
      <w:spacing w:before="100" w:beforeAutospacing="1" w:after="100" w:afterAutospacing="1"/>
      <w:textAlignment w:val="top"/>
    </w:pPr>
    <w:rPr>
      <w:rFonts w:ascii="Century Gothic" w:hAnsi="Century Gothic"/>
    </w:rPr>
  </w:style>
  <w:style w:type="paragraph" w:customStyle="1" w:styleId="xl102">
    <w:name w:val="xl102"/>
    <w:basedOn w:val="Normal"/>
    <w:pPr>
      <w:spacing w:before="100" w:beforeAutospacing="1" w:after="100" w:afterAutospacing="1"/>
    </w:pPr>
    <w:rPr>
      <w:rFonts w:ascii="Century Gothic" w:hAnsi="Century Gothic"/>
    </w:rPr>
  </w:style>
  <w:style w:type="paragraph" w:customStyle="1" w:styleId="xl103">
    <w:name w:val="xl103"/>
    <w:basedOn w:val="Normal"/>
    <w:pPr>
      <w:spacing w:before="100" w:beforeAutospacing="1" w:after="100" w:afterAutospacing="1"/>
    </w:pPr>
    <w:rPr>
      <w:rFonts w:ascii="Century Gothic" w:hAnsi="Century Gothic"/>
    </w:rPr>
  </w:style>
  <w:style w:type="paragraph" w:customStyle="1" w:styleId="xl104">
    <w:name w:val="xl104"/>
    <w:basedOn w:val="Normal"/>
    <w:pPr>
      <w:spacing w:before="100" w:beforeAutospacing="1" w:after="100" w:afterAutospacing="1"/>
      <w:jc w:val="center"/>
    </w:pPr>
    <w:rPr>
      <w:rFonts w:ascii="Century Gothic" w:hAnsi="Century Gothic"/>
    </w:rPr>
  </w:style>
  <w:style w:type="paragraph" w:customStyle="1" w:styleId="xl105">
    <w:name w:val="xl105"/>
    <w:basedOn w:val="Normal"/>
    <w:pPr>
      <w:spacing w:before="100" w:beforeAutospacing="1" w:after="100" w:afterAutospacing="1"/>
      <w:textAlignment w:val="center"/>
    </w:pPr>
    <w:rPr>
      <w:rFonts w:ascii="Century Gothic" w:hAnsi="Century Gothic"/>
    </w:rPr>
  </w:style>
  <w:style w:type="paragraph" w:customStyle="1" w:styleId="xl106">
    <w:name w:val="xl106"/>
    <w:basedOn w:val="Normal"/>
    <w:pPr>
      <w:spacing w:before="100" w:beforeAutospacing="1" w:after="100" w:afterAutospacing="1"/>
      <w:textAlignment w:val="center"/>
    </w:pPr>
    <w:rPr>
      <w:rFonts w:ascii="Century Gothic" w:hAnsi="Century Gothic"/>
    </w:rPr>
  </w:style>
  <w:style w:type="paragraph" w:customStyle="1" w:styleId="xl107">
    <w:name w:val="xl107"/>
    <w:basedOn w:val="Normal"/>
    <w:pPr>
      <w:spacing w:before="100" w:beforeAutospacing="1" w:after="100" w:afterAutospacing="1"/>
      <w:textAlignment w:val="center"/>
    </w:pPr>
    <w:rPr>
      <w:rFonts w:ascii="Century Gothic" w:hAnsi="Century Gothic"/>
    </w:rPr>
  </w:style>
  <w:style w:type="paragraph" w:customStyle="1" w:styleId="xl108">
    <w:name w:val="xl108"/>
    <w:basedOn w:val="Normal"/>
    <w:pPr>
      <w:spacing w:before="100" w:beforeAutospacing="1" w:after="100" w:afterAutospacing="1"/>
      <w:jc w:val="center"/>
      <w:textAlignment w:val="center"/>
    </w:pPr>
    <w:rPr>
      <w:rFonts w:ascii="Century Gothic" w:hAnsi="Century Gothic"/>
    </w:rPr>
  </w:style>
  <w:style w:type="paragraph" w:customStyle="1" w:styleId="xl109">
    <w:name w:val="xl109"/>
    <w:basedOn w:val="Normal"/>
    <w:pPr>
      <w:spacing w:before="100" w:beforeAutospacing="1" w:after="100" w:afterAutospacing="1"/>
      <w:textAlignment w:val="center"/>
    </w:pPr>
    <w:rPr>
      <w:rFonts w:ascii="Century Gothic" w:hAnsi="Century Gothic"/>
      <w:b/>
      <w:bCs/>
    </w:rPr>
  </w:style>
  <w:style w:type="paragraph" w:customStyle="1" w:styleId="xl110">
    <w:name w:val="xl110"/>
    <w:basedOn w:val="Normal"/>
    <w:pPr>
      <w:spacing w:before="100" w:beforeAutospacing="1" w:after="100" w:afterAutospacing="1"/>
      <w:jc w:val="center"/>
      <w:textAlignment w:val="center"/>
    </w:pPr>
    <w:rPr>
      <w:rFonts w:ascii="Century Gothic" w:hAnsi="Century Gothic"/>
      <w:b/>
      <w:bCs/>
    </w:rPr>
  </w:style>
  <w:style w:type="paragraph" w:customStyle="1" w:styleId="xl111">
    <w:name w:val="xl111"/>
    <w:basedOn w:val="Normal"/>
    <w:pPr>
      <w:spacing w:before="100" w:beforeAutospacing="1" w:after="100" w:afterAutospacing="1"/>
      <w:jc w:val="center"/>
      <w:textAlignment w:val="top"/>
    </w:pPr>
    <w:rPr>
      <w:rFonts w:ascii="Century Gothic" w:hAnsi="Century Gothic"/>
    </w:rPr>
  </w:style>
  <w:style w:type="paragraph" w:customStyle="1" w:styleId="xl112">
    <w:name w:val="xl112"/>
    <w:basedOn w:val="Normal"/>
    <w:pPr>
      <w:spacing w:before="100" w:beforeAutospacing="1" w:after="100" w:afterAutospacing="1"/>
    </w:pPr>
    <w:rPr>
      <w:color w:val="00B050"/>
    </w:rPr>
  </w:style>
  <w:style w:type="paragraph" w:customStyle="1" w:styleId="xl113">
    <w:name w:val="xl113"/>
    <w:basedOn w:val="Normal"/>
    <w:pPr>
      <w:spacing w:before="100" w:beforeAutospacing="1" w:after="100" w:afterAutospacing="1"/>
      <w:textAlignment w:val="center"/>
    </w:pPr>
    <w:rPr>
      <w:rFonts w:ascii="Century Gothic" w:hAnsi="Century Gothic"/>
      <w:b/>
      <w:bCs/>
      <w:i/>
      <w:iCs/>
      <w:color w:val="00B050"/>
      <w:sz w:val="28"/>
      <w:szCs w:val="28"/>
    </w:rPr>
  </w:style>
  <w:style w:type="paragraph" w:customStyle="1" w:styleId="xl114">
    <w:name w:val="xl114"/>
    <w:basedOn w:val="Normal"/>
    <w:pPr>
      <w:spacing w:before="100" w:beforeAutospacing="1" w:after="100" w:afterAutospacing="1"/>
    </w:pPr>
    <w:rPr>
      <w:rFonts w:ascii="Century Gothic" w:hAnsi="Century Gothic"/>
      <w:color w:val="00B050"/>
    </w:rPr>
  </w:style>
  <w:style w:type="paragraph" w:customStyle="1" w:styleId="xl115">
    <w:name w:val="xl115"/>
    <w:basedOn w:val="Normal"/>
    <w:pPr>
      <w:spacing w:before="100" w:beforeAutospacing="1" w:after="100" w:afterAutospacing="1"/>
      <w:textAlignment w:val="center"/>
    </w:pPr>
    <w:rPr>
      <w:rFonts w:ascii="Century Gothic" w:hAnsi="Century Gothic"/>
      <w:color w:val="00B050"/>
    </w:rPr>
  </w:style>
  <w:style w:type="paragraph" w:customStyle="1" w:styleId="xl116">
    <w:name w:val="xl116"/>
    <w:basedOn w:val="Normal"/>
    <w:pPr>
      <w:spacing w:before="100" w:beforeAutospacing="1" w:after="100" w:afterAutospacing="1"/>
    </w:pPr>
    <w:rPr>
      <w:rFonts w:ascii="Arial" w:hAnsi="Arial" w:cs="Arial"/>
      <w:color w:val="00B050"/>
    </w:rPr>
  </w:style>
  <w:style w:type="paragraph" w:customStyle="1" w:styleId="xl117">
    <w:name w:val="xl117"/>
    <w:basedOn w:val="Normal"/>
    <w:pPr>
      <w:spacing w:before="100" w:beforeAutospacing="1" w:after="100" w:afterAutospacing="1"/>
    </w:pPr>
    <w:rPr>
      <w:rFonts w:ascii="Century Gothic" w:hAnsi="Century Gothic"/>
      <w:color w:val="00B050"/>
    </w:rPr>
  </w:style>
  <w:style w:type="paragraph" w:customStyle="1" w:styleId="xl118">
    <w:name w:val="xl118"/>
    <w:basedOn w:val="Normal"/>
    <w:pPr>
      <w:spacing w:before="100" w:beforeAutospacing="1" w:after="100" w:afterAutospacing="1"/>
      <w:jc w:val="center"/>
    </w:pPr>
    <w:rPr>
      <w:rFonts w:ascii="Arial" w:hAnsi="Arial" w:cs="Arial"/>
      <w:color w:val="00B050"/>
    </w:rPr>
  </w:style>
  <w:style w:type="paragraph" w:customStyle="1" w:styleId="xl119">
    <w:name w:val="xl119"/>
    <w:basedOn w:val="Normal"/>
    <w:pPr>
      <w:spacing w:before="100" w:beforeAutospacing="1" w:after="100" w:afterAutospacing="1"/>
      <w:jc w:val="center"/>
    </w:pPr>
    <w:rPr>
      <w:rFonts w:ascii="Century Gothic" w:hAnsi="Century Gothic"/>
      <w:color w:val="00B050"/>
    </w:rPr>
  </w:style>
  <w:style w:type="paragraph" w:customStyle="1" w:styleId="xl120">
    <w:name w:val="xl120"/>
    <w:basedOn w:val="Normal"/>
    <w:pPr>
      <w:spacing w:before="100" w:beforeAutospacing="1" w:after="100" w:afterAutospacing="1"/>
      <w:jc w:val="center"/>
      <w:textAlignment w:val="center"/>
    </w:pPr>
    <w:rPr>
      <w:rFonts w:ascii="Century Gothic" w:hAnsi="Century Gothic"/>
      <w:color w:val="00B050"/>
    </w:rPr>
  </w:style>
  <w:style w:type="paragraph" w:customStyle="1" w:styleId="xl121">
    <w:name w:val="xl121"/>
    <w:basedOn w:val="Normal"/>
    <w:pPr>
      <w:spacing w:before="100" w:beforeAutospacing="1" w:after="100" w:afterAutospacing="1"/>
      <w:textAlignment w:val="center"/>
    </w:pPr>
    <w:rPr>
      <w:rFonts w:ascii="Century Gothic" w:hAnsi="Century Gothic"/>
      <w:color w:val="FF0000"/>
    </w:rPr>
  </w:style>
  <w:style w:type="paragraph" w:customStyle="1" w:styleId="xl122">
    <w:name w:val="xl12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rPr>
  </w:style>
  <w:style w:type="paragraph" w:customStyle="1" w:styleId="xl123">
    <w:name w:val="xl12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rPr>
  </w:style>
  <w:style w:type="paragraph" w:customStyle="1" w:styleId="xl124">
    <w:name w:val="xl12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rPr>
  </w:style>
  <w:style w:type="paragraph" w:customStyle="1" w:styleId="xl125">
    <w:name w:val="xl12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rPr>
  </w:style>
  <w:style w:type="paragraph" w:customStyle="1" w:styleId="xl126">
    <w:name w:val="xl12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entury Gothic" w:hAnsi="Century Gothic"/>
    </w:rPr>
  </w:style>
  <w:style w:type="paragraph" w:customStyle="1" w:styleId="xl127">
    <w:name w:val="xl12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color w:val="FF0000"/>
    </w:rPr>
  </w:style>
  <w:style w:type="paragraph" w:customStyle="1" w:styleId="xl128">
    <w:name w:val="xl12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rPr>
  </w:style>
  <w:style w:type="paragraph" w:customStyle="1" w:styleId="xl129">
    <w:name w:val="xl12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rPr>
  </w:style>
  <w:style w:type="paragraph" w:customStyle="1" w:styleId="xl130">
    <w:name w:val="xl13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131">
    <w:name w:val="xl131"/>
    <w:basedOn w:val="Normal"/>
    <w:pPr>
      <w:spacing w:before="100" w:beforeAutospacing="1" w:after="100" w:afterAutospacing="1"/>
    </w:pPr>
    <w:rPr>
      <w:rFonts w:ascii="Arial" w:hAnsi="Arial" w:cs="Arial"/>
      <w:sz w:val="16"/>
      <w:szCs w:val="16"/>
    </w:rPr>
  </w:style>
  <w:style w:type="paragraph" w:customStyle="1" w:styleId="xl132">
    <w:name w:val="xl132"/>
    <w:basedOn w:val="Normal"/>
    <w:pPr>
      <w:spacing w:before="100" w:beforeAutospacing="1" w:after="100" w:afterAutospacing="1"/>
      <w:textAlignment w:val="center"/>
    </w:pPr>
    <w:rPr>
      <w:rFonts w:ascii="Century Gothic" w:hAnsi="Century Gothic"/>
      <w:sz w:val="16"/>
      <w:szCs w:val="16"/>
    </w:rPr>
  </w:style>
  <w:style w:type="paragraph" w:customStyle="1" w:styleId="xl133">
    <w:name w:val="xl133"/>
    <w:basedOn w:val="Normal"/>
    <w:pPr>
      <w:spacing w:before="100" w:beforeAutospacing="1" w:after="100" w:afterAutospacing="1"/>
    </w:pPr>
    <w:rPr>
      <w:rFonts w:ascii="Century Gothic" w:hAnsi="Century Gothic"/>
      <w:sz w:val="16"/>
      <w:szCs w:val="16"/>
    </w:rPr>
  </w:style>
  <w:style w:type="paragraph" w:customStyle="1" w:styleId="xl134">
    <w:name w:val="xl134"/>
    <w:basedOn w:val="Normal"/>
    <w:pPr>
      <w:spacing w:before="100" w:beforeAutospacing="1" w:after="100" w:afterAutospacing="1"/>
    </w:pPr>
    <w:rPr>
      <w:rFonts w:ascii="Century Gothic" w:hAnsi="Century Gothic"/>
      <w:sz w:val="16"/>
      <w:szCs w:val="16"/>
    </w:rPr>
  </w:style>
  <w:style w:type="paragraph" w:customStyle="1" w:styleId="xl135">
    <w:name w:val="xl13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sz w:val="16"/>
      <w:szCs w:val="16"/>
    </w:rPr>
  </w:style>
  <w:style w:type="paragraph" w:customStyle="1" w:styleId="xl136">
    <w:name w:val="xl136"/>
    <w:basedOn w:val="Normal"/>
    <w:pPr>
      <w:spacing w:before="100" w:beforeAutospacing="1" w:after="100" w:afterAutospacing="1"/>
      <w:textAlignment w:val="center"/>
    </w:pPr>
    <w:rPr>
      <w:rFonts w:ascii="Century Gothic" w:hAnsi="Century Gothic"/>
      <w:sz w:val="16"/>
      <w:szCs w:val="16"/>
    </w:rPr>
  </w:style>
  <w:style w:type="paragraph" w:customStyle="1" w:styleId="xl137">
    <w:name w:val="xl137"/>
    <w:basedOn w:val="Normal"/>
    <w:pPr>
      <w:spacing w:before="100" w:beforeAutospacing="1" w:after="100" w:afterAutospacing="1"/>
    </w:pPr>
    <w:rPr>
      <w:rFonts w:ascii="Arial" w:hAnsi="Arial" w:cs="Arial"/>
      <w:b/>
      <w:bCs/>
      <w:sz w:val="16"/>
      <w:szCs w:val="16"/>
    </w:rPr>
  </w:style>
  <w:style w:type="paragraph" w:customStyle="1" w:styleId="xl138">
    <w:name w:val="xl138"/>
    <w:basedOn w:val="Normal"/>
    <w:pPr>
      <w:spacing w:before="100" w:beforeAutospacing="1" w:after="100" w:afterAutospacing="1"/>
    </w:pPr>
    <w:rPr>
      <w:rFonts w:ascii="Arial" w:hAnsi="Arial" w:cs="Arial"/>
      <w:sz w:val="16"/>
      <w:szCs w:val="16"/>
    </w:rPr>
  </w:style>
  <w:style w:type="paragraph" w:customStyle="1" w:styleId="xl139">
    <w:name w:val="xl139"/>
    <w:basedOn w:val="Normal"/>
    <w:pPr>
      <w:pBdr>
        <w:top w:val="single" w:sz="4" w:space="0" w:color="auto"/>
        <w:bottom w:val="single" w:sz="4" w:space="0" w:color="auto"/>
      </w:pBdr>
      <w:spacing w:before="100" w:beforeAutospacing="1" w:after="100" w:afterAutospacing="1"/>
      <w:textAlignment w:val="center"/>
    </w:pPr>
    <w:rPr>
      <w:rFonts w:ascii="Century Gothic" w:hAnsi="Century Gothic"/>
    </w:rPr>
  </w:style>
  <w:style w:type="paragraph" w:customStyle="1" w:styleId="font9">
    <w:name w:val="font9"/>
    <w:basedOn w:val="Normal"/>
    <w:pPr>
      <w:spacing w:before="100" w:beforeAutospacing="1" w:after="100" w:afterAutospacing="1"/>
    </w:pPr>
    <w:rPr>
      <w:rFonts w:ascii="Century Gothic" w:hAnsi="Century Gothic"/>
      <w:i/>
      <w:iCs/>
      <w:color w:val="000000"/>
      <w:sz w:val="22"/>
      <w:szCs w:val="22"/>
    </w:rPr>
  </w:style>
  <w:style w:type="paragraph" w:customStyle="1" w:styleId="xl99">
    <w:name w:val="xl9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sz w:val="22"/>
      <w:szCs w:val="22"/>
    </w:rPr>
  </w:style>
  <w:style w:type="paragraph" w:customStyle="1" w:styleId="xl140">
    <w:name w:val="xl140"/>
    <w:basedOn w:val="Normal"/>
    <w:pPr>
      <w:spacing w:before="100" w:beforeAutospacing="1" w:after="100" w:afterAutospacing="1"/>
      <w:jc w:val="center"/>
      <w:textAlignment w:val="center"/>
    </w:pPr>
    <w:rPr>
      <w:rFonts w:ascii="Century Gothic" w:hAnsi="Century Gothic"/>
    </w:rPr>
  </w:style>
  <w:style w:type="paragraph" w:customStyle="1" w:styleId="Revision2">
    <w:name w:val="Revision2"/>
    <w:hidden/>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B3F34C-C763-41F7-84D1-409568331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2552</Words>
  <Characters>14549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Standard Bidding Documents</vt:lpstr>
    </vt:vector>
  </TitlesOfParts>
  <Company>World Bank Group</Company>
  <LinksUpToDate>false</LinksUpToDate>
  <CharactersWithSpaces>17067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Documents</dc:title>
  <dc:creator>OPRPGEMER</dc:creator>
  <cp:lastModifiedBy>VELJKO</cp:lastModifiedBy>
  <cp:revision>4</cp:revision>
  <cp:lastPrinted>2018-09-12T13:49:00Z</cp:lastPrinted>
  <dcterms:created xsi:type="dcterms:W3CDTF">2018-10-10T12:07:00Z</dcterms:created>
  <dcterms:modified xsi:type="dcterms:W3CDTF">2018-10-11T11:13:00Z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