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E4A95" w14:textId="6511CD96" w:rsidR="00365093" w:rsidRPr="00081468" w:rsidRDefault="00B64913" w:rsidP="00BD2D20">
      <w:pPr>
        <w:spacing w:line="240" w:lineRule="auto"/>
        <w:jc w:val="center"/>
        <w:rPr>
          <w:rFonts w:cstheme="minorHAnsi"/>
          <w:b/>
          <w:bCs/>
          <w:lang w:val="sr-Latn-ME"/>
        </w:rPr>
      </w:pPr>
      <w:r w:rsidRPr="00081468">
        <w:rPr>
          <w:rFonts w:cstheme="minorHAnsi"/>
          <w:b/>
          <w:bCs/>
          <w:lang w:val="sr-Latn-ME"/>
        </w:rPr>
        <w:t>DIREKTORAT ZA EVROPSKE INTEGRACIJE I EU FONDOVE</w:t>
      </w:r>
    </w:p>
    <w:p w14:paraId="00242D88" w14:textId="77777777" w:rsidR="00365093" w:rsidRPr="00081468" w:rsidRDefault="00365093" w:rsidP="00BD2D20">
      <w:pPr>
        <w:spacing w:line="240" w:lineRule="auto"/>
        <w:jc w:val="center"/>
        <w:rPr>
          <w:rFonts w:cstheme="minorHAnsi"/>
          <w:b/>
          <w:bCs/>
          <w:lang w:val="sr-Latn-ME"/>
        </w:rPr>
      </w:pPr>
    </w:p>
    <w:p w14:paraId="63AA105E" w14:textId="26CE4D59" w:rsidR="00923ADC" w:rsidRPr="00081468" w:rsidRDefault="00923ADC" w:rsidP="00BD2D20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U </w:t>
      </w:r>
      <w:r w:rsidR="00B64913" w:rsidRPr="00081468">
        <w:rPr>
          <w:rFonts w:cstheme="minorHAnsi"/>
          <w:lang w:val="sr-Latn-ME"/>
        </w:rPr>
        <w:t xml:space="preserve">Direktoratu za evropske integracije i EU fondove </w:t>
      </w:r>
      <w:r w:rsidRPr="00081468">
        <w:rPr>
          <w:rFonts w:cstheme="minorHAnsi"/>
          <w:lang w:val="sr-Latn-ME"/>
        </w:rPr>
        <w:t>se obavljaju poslovi:</w:t>
      </w:r>
    </w:p>
    <w:p w14:paraId="23E5662B" w14:textId="42457940" w:rsidR="0044015A" w:rsidRPr="00081468" w:rsidRDefault="0044015A" w:rsidP="0044015A">
      <w:pPr>
        <w:pStyle w:val="ListParagraph"/>
        <w:numPr>
          <w:ilvl w:val="0"/>
          <w:numId w:val="76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Koordinacija i podrška pregovaračkoj strukturi za pregovaračka poglavlja u oblasti ekonomskog razvoja u saradnji sa Ministarstvom evropskih poslova. Ovi poslovi podrazumijevaju praćenje napretka u okviru procesa pristupanja EU za pregovaračka poglavlja 1, 3, 6, 7, 8, 20, 28 i 30, kao i praćenje aktivnosti Ministarstva ekonomskog razvoja i turizma i ostalih institucija koje su uključene u proces pridruživanja EU, u dijelu ekonomskog razvoja, pružanja podrške u pripremi za sastanke pododbora i aktivno praćenje ispunjenja obaveza koje proizilaze iz procesa evropskih integracija. </w:t>
      </w:r>
    </w:p>
    <w:p w14:paraId="0CB385FC" w14:textId="77777777" w:rsidR="0044015A" w:rsidRPr="00081468" w:rsidRDefault="0044015A" w:rsidP="0044015A">
      <w:pPr>
        <w:pStyle w:val="ListParagraph"/>
        <w:spacing w:line="240" w:lineRule="auto"/>
        <w:ind w:left="360"/>
        <w:jc w:val="both"/>
        <w:rPr>
          <w:rFonts w:cstheme="minorHAnsi"/>
          <w:lang w:val="sr-Latn-ME"/>
        </w:rPr>
      </w:pPr>
    </w:p>
    <w:p w14:paraId="0E9B107C" w14:textId="088EDAD9" w:rsidR="00923ADC" w:rsidRPr="00081468" w:rsidRDefault="00923ADC" w:rsidP="00FC4CFC">
      <w:pPr>
        <w:pStyle w:val="ListParagraph"/>
        <w:numPr>
          <w:ilvl w:val="0"/>
          <w:numId w:val="76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Upravljanje pretpristupnim fondovima </w:t>
      </w:r>
      <w:r w:rsidR="004E3E35" w:rsidRPr="00081468">
        <w:rPr>
          <w:rFonts w:cstheme="minorHAnsi"/>
          <w:lang w:val="sr-Latn-ME"/>
        </w:rPr>
        <w:t>E</w:t>
      </w:r>
      <w:r w:rsidRPr="00081468">
        <w:rPr>
          <w:rFonts w:cstheme="minorHAnsi"/>
          <w:lang w:val="sr-Latn-ME"/>
        </w:rPr>
        <w:t>vropske unije podra</w:t>
      </w:r>
      <w:r w:rsidR="00365093" w:rsidRPr="00081468">
        <w:rPr>
          <w:rFonts w:cstheme="minorHAnsi"/>
          <w:lang w:val="sr-Latn-ME"/>
        </w:rPr>
        <w:t>z</w:t>
      </w:r>
      <w:r w:rsidRPr="00081468">
        <w:rPr>
          <w:rFonts w:cstheme="minorHAnsi"/>
          <w:lang w:val="sr-Latn-ME"/>
        </w:rPr>
        <w:t>umijevaj</w:t>
      </w:r>
      <w:r w:rsidR="00365093" w:rsidRPr="00081468">
        <w:rPr>
          <w:rFonts w:cstheme="minorHAnsi"/>
          <w:lang w:val="sr-Latn-ME"/>
        </w:rPr>
        <w:t>a</w:t>
      </w:r>
      <w:r w:rsidRPr="00081468">
        <w:rPr>
          <w:rFonts w:cstheme="minorHAnsi"/>
          <w:lang w:val="sr-Latn-ME"/>
        </w:rPr>
        <w:t xml:space="preserve"> planiranje, sprovođenje i praćenje realizacije programa/projekata u oblasti konkurentnosti</w:t>
      </w:r>
      <w:r w:rsidR="00365093" w:rsidRPr="00081468">
        <w:rPr>
          <w:rFonts w:cstheme="minorHAnsi"/>
          <w:lang w:val="sr-Latn-ME"/>
        </w:rPr>
        <w:t>,</w:t>
      </w:r>
      <w:r w:rsidRPr="00081468">
        <w:rPr>
          <w:rFonts w:cstheme="minorHAnsi"/>
          <w:lang w:val="sr-Latn-ME"/>
        </w:rPr>
        <w:t xml:space="preserve"> ekonomskog razvoja</w:t>
      </w:r>
      <w:r w:rsidR="0044015A" w:rsidRPr="00081468">
        <w:rPr>
          <w:rFonts w:cstheme="minorHAnsi"/>
          <w:lang w:val="sr-Latn-ME"/>
        </w:rPr>
        <w:t xml:space="preserve"> i </w:t>
      </w:r>
      <w:r w:rsidRPr="00081468">
        <w:rPr>
          <w:rFonts w:cstheme="minorHAnsi"/>
          <w:lang w:val="sr-Latn-ME"/>
        </w:rPr>
        <w:t>inovacija</w:t>
      </w:r>
      <w:r w:rsidR="0044015A" w:rsidRPr="00081468">
        <w:rPr>
          <w:rFonts w:cstheme="minorHAnsi"/>
          <w:lang w:val="sr-Latn-ME"/>
        </w:rPr>
        <w:t xml:space="preserve">, kao </w:t>
      </w:r>
      <w:r w:rsidRPr="00081468">
        <w:rPr>
          <w:rFonts w:cstheme="minorHAnsi"/>
          <w:lang w:val="sr-Latn-ME"/>
        </w:rPr>
        <w:t>i drugih oblasti u nadležnosti Ministarstva koj</w:t>
      </w:r>
      <w:r w:rsidR="004E3E35" w:rsidRPr="00081468">
        <w:rPr>
          <w:rFonts w:cstheme="minorHAnsi"/>
          <w:lang w:val="sr-Latn-ME"/>
        </w:rPr>
        <w:t>e</w:t>
      </w:r>
      <w:r w:rsidRPr="00081468">
        <w:rPr>
          <w:rFonts w:cstheme="minorHAnsi"/>
          <w:lang w:val="sr-Latn-ME"/>
        </w:rPr>
        <w:t xml:space="preserve"> se finansiraju iz pretpristupnih fondova Evropske unije (</w:t>
      </w:r>
      <w:r w:rsidR="004E3E35" w:rsidRPr="00081468">
        <w:rPr>
          <w:rFonts w:cstheme="minorHAnsi"/>
          <w:lang w:val="sr-Latn-ME"/>
        </w:rPr>
        <w:t>I</w:t>
      </w:r>
      <w:r w:rsidRPr="00081468">
        <w:rPr>
          <w:rFonts w:cstheme="minorHAnsi"/>
          <w:lang w:val="sr-Latn-ME"/>
        </w:rPr>
        <w:t xml:space="preserve">nstrument za pretpristupnu pomoć - IPA) i ostalih međunarodnih izvora finansiranja. </w:t>
      </w:r>
    </w:p>
    <w:p w14:paraId="2F78791F" w14:textId="77777777" w:rsidR="009B0C51" w:rsidRPr="00081468" w:rsidRDefault="009B0C51" w:rsidP="009B0C51">
      <w:pPr>
        <w:spacing w:line="240" w:lineRule="auto"/>
        <w:jc w:val="center"/>
        <w:rPr>
          <w:rFonts w:cstheme="minorHAnsi"/>
          <w:b/>
          <w:bCs/>
        </w:rPr>
      </w:pPr>
    </w:p>
    <w:p w14:paraId="40578A80" w14:textId="66F6DE28" w:rsidR="009B0C51" w:rsidRPr="00081468" w:rsidRDefault="00982C8A" w:rsidP="009B0C51">
      <w:pPr>
        <w:spacing w:line="240" w:lineRule="auto"/>
        <w:jc w:val="both"/>
        <w:rPr>
          <w:rFonts w:cstheme="minorHAnsi"/>
          <w:b/>
          <w:bCs/>
        </w:rPr>
      </w:pPr>
      <w:r w:rsidRPr="00081468">
        <w:rPr>
          <w:rFonts w:cstheme="minorHAnsi"/>
          <w:b/>
          <w:bCs/>
        </w:rPr>
        <w:t xml:space="preserve">Direkcija za evropske integracije </w:t>
      </w:r>
    </w:p>
    <w:p w14:paraId="79691F65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  <w:bCs/>
        </w:rPr>
      </w:pPr>
    </w:p>
    <w:p w14:paraId="50E67028" w14:textId="77777777" w:rsidR="009B0C51" w:rsidRPr="00081468" w:rsidRDefault="009B0C51" w:rsidP="009B0C51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Ministarstvo ekonomskog razvoja koordinira radom devet pregovaračkih poglavlja, i to:</w:t>
      </w:r>
    </w:p>
    <w:p w14:paraId="3369A226" w14:textId="77777777" w:rsidR="009B0C51" w:rsidRPr="00081468" w:rsidRDefault="009B0C51" w:rsidP="009B0C51">
      <w:pPr>
        <w:numPr>
          <w:ilvl w:val="1"/>
          <w:numId w:val="82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Poglavlje 1 - SLOBODNO KRETANJE ROBE</w:t>
      </w:r>
    </w:p>
    <w:p w14:paraId="65DE0CDA" w14:textId="77777777" w:rsidR="009B0C51" w:rsidRPr="00081468" w:rsidRDefault="009B0C51" w:rsidP="009B0C51">
      <w:pPr>
        <w:numPr>
          <w:ilvl w:val="1"/>
          <w:numId w:val="82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Poglavlje 3 - PRAVO OSNIVANJA PREDUZEĆA I SLOBODA PRUŽANJA USLUGA</w:t>
      </w:r>
    </w:p>
    <w:p w14:paraId="129FE349" w14:textId="77777777" w:rsidR="009B0C51" w:rsidRPr="00081468" w:rsidRDefault="009B0C51" w:rsidP="009B0C51">
      <w:pPr>
        <w:numPr>
          <w:ilvl w:val="1"/>
          <w:numId w:val="82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Poglavlje 6 - PRIVREDNO PRAVO</w:t>
      </w:r>
    </w:p>
    <w:p w14:paraId="1ADF2410" w14:textId="77777777" w:rsidR="009B0C51" w:rsidRPr="00081468" w:rsidRDefault="009B0C51" w:rsidP="009B0C51">
      <w:pPr>
        <w:numPr>
          <w:ilvl w:val="1"/>
          <w:numId w:val="82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Poglavlje 7 - PRAVO INTELEKTUALNE SVOJINE</w:t>
      </w:r>
    </w:p>
    <w:p w14:paraId="7D774AA8" w14:textId="77777777" w:rsidR="009B0C51" w:rsidRPr="00081468" w:rsidRDefault="009B0C51" w:rsidP="009B0C51">
      <w:pPr>
        <w:numPr>
          <w:ilvl w:val="1"/>
          <w:numId w:val="82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Poglavlje 8 – KONKURENCIJA</w:t>
      </w:r>
    </w:p>
    <w:p w14:paraId="6CDEE343" w14:textId="77777777" w:rsidR="009B0C51" w:rsidRPr="00081468" w:rsidRDefault="009B0C51" w:rsidP="009B0C51">
      <w:pPr>
        <w:numPr>
          <w:ilvl w:val="1"/>
          <w:numId w:val="82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Poglavlje 20 - PREDUZETNIŠTVO I INDUSTRIJSKA POLITIKA</w:t>
      </w:r>
    </w:p>
    <w:p w14:paraId="3DC17D46" w14:textId="77777777" w:rsidR="009B0C51" w:rsidRPr="00081468" w:rsidRDefault="009B0C51" w:rsidP="009B0C51">
      <w:pPr>
        <w:numPr>
          <w:ilvl w:val="1"/>
          <w:numId w:val="82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Poglavlje 30 - VANJSKI ODNOSI</w:t>
      </w:r>
    </w:p>
    <w:p w14:paraId="42EFAAB1" w14:textId="77777777" w:rsidR="009B0C51" w:rsidRPr="00081468" w:rsidRDefault="009B0C51" w:rsidP="009B0C51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Takođe, značajno je napomenuti da imajući obuhvat pravne tekovine EU učestvujemo i u implementaciji obaveza iz poglavlja: Poglavlje 10 - INFORMATIČKO DRUŠTVO I MEDIJI; Poglavlje 25 – NAUKA I ISTRAŽIVANJE; Poglavlje 28 – ZAŠTITA POTROŠAČA I ZDRAVLJA; Poglavlje 31 - VANJSKA, BEZBJEDNOSNA I ODBRAMBENA POLITIKA.</w:t>
      </w:r>
    </w:p>
    <w:p w14:paraId="7F740DFB" w14:textId="7C2ECF1C" w:rsidR="009B0C51" w:rsidRPr="00081468" w:rsidRDefault="009B0C51" w:rsidP="009B0C51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</w:rPr>
        <w:t xml:space="preserve">U skladu sa novom metodologijom vođenja pregovora sa EU, pregovarač za Klaster 2 – Unutrašnje tržište, u sklopu kojeg je devet pregovaračkih poglavlja, je </w:t>
      </w:r>
      <w:r w:rsidR="00982C8A" w:rsidRPr="00081468">
        <w:rPr>
          <w:rFonts w:cstheme="minorHAnsi"/>
        </w:rPr>
        <w:t>predstavnik MERT-a</w:t>
      </w:r>
      <w:r w:rsidRPr="00081468">
        <w:rPr>
          <w:rFonts w:cstheme="minorHAnsi"/>
        </w:rPr>
        <w:t xml:space="preserve">. </w:t>
      </w:r>
      <w:r w:rsidRPr="00081468">
        <w:rPr>
          <w:rFonts w:cstheme="minorHAnsi"/>
          <w:lang w:val="sr-Latn-ME"/>
        </w:rPr>
        <w:t>Prema posljednjem Izvještaju Evropske komisije za Crnu Goru, za 202</w:t>
      </w:r>
      <w:r w:rsidR="00982C8A" w:rsidRPr="00081468">
        <w:rPr>
          <w:rFonts w:cstheme="minorHAnsi"/>
          <w:lang w:val="sr-Latn-ME"/>
        </w:rPr>
        <w:t>2</w:t>
      </w:r>
      <w:r w:rsidRPr="00081468">
        <w:rPr>
          <w:rFonts w:cstheme="minorHAnsi"/>
          <w:lang w:val="sr-Latn-ME"/>
        </w:rPr>
        <w:t xml:space="preserve">. godinu, od devet poglavlja koja se nalaze u ovom klasteru, šest poglavlja imaju umjereni nivo spremnosti (1,3,4,8,9,28), dva poglavlja imaju dobar nivo spremnosti (6 i 7), a jedno poglavlje određeni nivo spremnosti (2). </w:t>
      </w:r>
    </w:p>
    <w:p w14:paraId="2249538A" w14:textId="7A716312" w:rsidR="009B0C51" w:rsidRPr="00081468" w:rsidRDefault="009B0C51" w:rsidP="009B0C51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Ključne institucije koje učestvuju u aktivnostima neophodnim za ispunjenje zahtjeva u poglavljima su Ministarstvo ekonomskog razvoja</w:t>
      </w:r>
      <w:r w:rsidR="00982C8A" w:rsidRPr="00081468">
        <w:rPr>
          <w:rFonts w:cstheme="minorHAnsi"/>
          <w:lang w:val="sr-Latn-ME"/>
        </w:rPr>
        <w:t xml:space="preserve"> i turizma</w:t>
      </w:r>
      <w:r w:rsidRPr="00081468">
        <w:rPr>
          <w:rFonts w:cstheme="minorHAnsi"/>
          <w:lang w:val="sr-Latn-ME"/>
        </w:rPr>
        <w:t>, Ministarstvo ekologije i prostornog planiranja, Ministarstvo finansija</w:t>
      </w:r>
      <w:r w:rsidR="00982C8A" w:rsidRPr="00081468">
        <w:rPr>
          <w:rFonts w:cstheme="minorHAnsi"/>
          <w:lang w:val="sr-Latn-ME"/>
        </w:rPr>
        <w:t xml:space="preserve">, Ministarstvo rada </w:t>
      </w:r>
      <w:r w:rsidRPr="00081468">
        <w:rPr>
          <w:rFonts w:cstheme="minorHAnsi"/>
          <w:lang w:val="sr-Latn-ME"/>
        </w:rPr>
        <w:t xml:space="preserve">i socijalnog staranja, Ministarstvo kapitalnih investicija, Ministarstvo zdravlja, </w:t>
      </w:r>
      <w:r w:rsidRPr="00081468">
        <w:rPr>
          <w:rFonts w:cstheme="minorHAnsi"/>
          <w:lang w:val="sr-Latn-ME"/>
        </w:rPr>
        <w:lastRenderedPageBreak/>
        <w:t xml:space="preserve">Centralna banka Crne Gore, Agencija za zaštitu konkurencije, Zavod za zapošljavanje, Uprava za inspekcijske poslove itd. </w:t>
      </w:r>
    </w:p>
    <w:p w14:paraId="7216AAA0" w14:textId="7BCE1A5E" w:rsidR="009B0C51" w:rsidRPr="00081468" w:rsidRDefault="00982C8A" w:rsidP="009B0C51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  <w:lang w:val="sr-Latn-ME"/>
        </w:rPr>
        <w:t>Obaveze u okviru PPCG-a podrazumijevaju donošenje zakonodavnih i strateških dokumenata, a u nadležnosti Direkcije za evropske integracije je praćenje stepena ispunjnja obaveza po poglavljima u nadležnosti MERT-a, kao i podrška u organizaciji pododbora i izvještavanju prema Evropskoj komisij.</w:t>
      </w:r>
    </w:p>
    <w:p w14:paraId="6A9C9FA1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  <w:bCs/>
        </w:rPr>
      </w:pPr>
      <w:bookmarkStart w:id="0" w:name="_Hlk126135621"/>
      <w:r w:rsidRPr="00081468">
        <w:rPr>
          <w:rFonts w:cstheme="minorHAnsi"/>
          <w:b/>
          <w:bCs/>
        </w:rPr>
        <w:t>Poglavlje 1 - SLOBODNO KRETANJE ROBE</w:t>
      </w:r>
    </w:p>
    <w:bookmarkEnd w:id="0"/>
    <w:p w14:paraId="794323AB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 xml:space="preserve">Vlada je na sjednici održanoj 24. novembra 2022. godine donijela Odluku o obrazovanju radne grupe za pripremu i vođenje pregovora o pristupanju Crne Gore Evropskoj uniji za oblast pravne tekovine evropske unije koja se odnosi na pregovaračko poglavlje 1 – Sloboda kretanja robe. </w:t>
      </w:r>
    </w:p>
    <w:p w14:paraId="1FBC3E13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Mapa puta još uvijek nije usvojena, nalazi se u fazi usaglašavanja.</w:t>
      </w:r>
    </w:p>
    <w:p w14:paraId="13A6288F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Programom pristupanja Crne Gore Evropskoj uniji 2021-2023, za 2022, godinu planirana je realizacija ukupno </w:t>
      </w:r>
      <w:r w:rsidRPr="00081468">
        <w:rPr>
          <w:rFonts w:cstheme="minorHAnsi"/>
          <w:b/>
          <w:lang w:val="sr-Latn-ME"/>
        </w:rPr>
        <w:t>četri obaveze</w:t>
      </w:r>
      <w:r w:rsidRPr="00081468">
        <w:rPr>
          <w:rFonts w:cstheme="minorHAnsi"/>
          <w:lang w:val="sr-Latn-ME"/>
        </w:rPr>
        <w:t>, u zakonodavnom okviru, od čega su realizovane dvije  što predstavlja 50%.</w:t>
      </w:r>
    </w:p>
    <w:p w14:paraId="63EDA506" w14:textId="77777777" w:rsidR="009B0C51" w:rsidRPr="00081468" w:rsidRDefault="009B0C51" w:rsidP="009B0C51">
      <w:pPr>
        <w:spacing w:line="240" w:lineRule="auto"/>
        <w:jc w:val="both"/>
        <w:rPr>
          <w:rFonts w:cstheme="minorHAnsi"/>
        </w:rPr>
      </w:pPr>
    </w:p>
    <w:p w14:paraId="3537B19F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  <w:bCs/>
        </w:rPr>
      </w:pPr>
      <w:r w:rsidRPr="00081468">
        <w:rPr>
          <w:rFonts w:cstheme="minorHAnsi"/>
          <w:b/>
          <w:bCs/>
        </w:rPr>
        <w:t>Poglavlje 3 - PRAVO OSNIVANJA PREDUZEĆA I SLOBODA PRUŽANJA USLUGA</w:t>
      </w:r>
    </w:p>
    <w:p w14:paraId="31F5A6A1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  <w:lang w:val="en-GB"/>
        </w:rPr>
        <w:t xml:space="preserve">U toku je revidiranje Odluke o obrazovanju Radne grupe za pregovaračko poglavlje </w:t>
      </w:r>
      <w:proofErr w:type="gramStart"/>
      <w:r w:rsidRPr="00081468">
        <w:rPr>
          <w:rFonts w:cstheme="minorHAnsi"/>
          <w:lang w:val="en-GB"/>
        </w:rPr>
        <w:t>3  –</w:t>
      </w:r>
      <w:proofErr w:type="gramEnd"/>
      <w:r w:rsidRPr="00081468">
        <w:rPr>
          <w:rFonts w:cstheme="minorHAnsi"/>
          <w:lang w:val="en-GB"/>
        </w:rPr>
        <w:t xml:space="preserve"> Pravo osnivanja preduzeća i sloboda pružanja usluga, usvojene na sjednici Vlade od 16. septembra 2021. </w:t>
      </w:r>
    </w:p>
    <w:p w14:paraId="38062CE8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</w:rPr>
        <w:t xml:space="preserve">Mapa puta za pregovaračko poglavlje 3 - </w:t>
      </w:r>
      <w:r w:rsidRPr="00081468">
        <w:rPr>
          <w:rFonts w:cstheme="minorHAnsi"/>
          <w:lang w:val="en-GB"/>
        </w:rPr>
        <w:t xml:space="preserve">Pravo osnivanja preduzeća i sloboda pružanja usluga usvojena na sjednici Vlade, održanoj 9. decembra 2021.godine. </w:t>
      </w:r>
    </w:p>
    <w:p w14:paraId="5FF57F85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bs-Latn-BA"/>
        </w:rPr>
      </w:pPr>
      <w:r w:rsidRPr="00081468">
        <w:rPr>
          <w:rFonts w:cstheme="minorHAnsi"/>
          <w:lang w:val="bs-Latn-BA"/>
        </w:rPr>
        <w:t xml:space="preserve">Programom pristupanja Crne Gore Evropskoj uniji 2021-2023, za 2022. godinu, planirana je realizacija </w:t>
      </w:r>
      <w:r w:rsidRPr="00081468">
        <w:rPr>
          <w:rFonts w:cstheme="minorHAnsi"/>
          <w:b/>
          <w:lang w:val="bs-Latn-BA"/>
        </w:rPr>
        <w:t>ukupno šest obaveza,</w:t>
      </w:r>
      <w:r w:rsidRPr="00081468">
        <w:rPr>
          <w:rFonts w:cstheme="minorHAnsi"/>
          <w:lang w:val="bs-Latn-BA"/>
        </w:rPr>
        <w:t xml:space="preserve"> u zakonodavnom okviru. </w:t>
      </w:r>
    </w:p>
    <w:p w14:paraId="5C9E746A" w14:textId="77777777" w:rsidR="00081468" w:rsidRPr="00081468" w:rsidRDefault="00982C8A" w:rsidP="00081468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bs-Latn-BA"/>
        </w:rPr>
        <w:t xml:space="preserve">Sve planirane obaveza odložene su za 2023/2024. godinu, što znači da je stepen realizacije 0%. </w:t>
      </w:r>
      <w:r w:rsidR="00081468" w:rsidRPr="00081468">
        <w:rPr>
          <w:rFonts w:cstheme="minorHAnsi"/>
          <w:lang w:val="sr-Latn-ME"/>
        </w:rPr>
        <w:t>Shodno Izvještaju EK o Crnoj Gori za 2022. Crna Gora je pokazala da je umjereno spremna te da je u izvještajnom periodu postigla ograničen napredak.</w:t>
      </w:r>
    </w:p>
    <w:p w14:paraId="6829F6D8" w14:textId="0B1783B9" w:rsidR="00982C8A" w:rsidRPr="00081468" w:rsidRDefault="00982C8A" w:rsidP="00982C8A">
      <w:pPr>
        <w:spacing w:line="240" w:lineRule="auto"/>
        <w:jc w:val="both"/>
        <w:rPr>
          <w:rFonts w:cstheme="minorHAnsi"/>
          <w:lang w:val="bs-Latn-BA"/>
        </w:rPr>
      </w:pPr>
    </w:p>
    <w:p w14:paraId="6378F517" w14:textId="704E240D" w:rsidR="00081468" w:rsidRPr="00081468" w:rsidRDefault="00081468" w:rsidP="00081468">
      <w:pPr>
        <w:spacing w:line="240" w:lineRule="auto"/>
        <w:jc w:val="both"/>
        <w:rPr>
          <w:rFonts w:cstheme="minorHAnsi"/>
          <w:b/>
          <w:lang w:val="sr-Latn-ME"/>
        </w:rPr>
      </w:pPr>
      <w:r w:rsidRPr="00081468">
        <w:rPr>
          <w:rFonts w:cstheme="minorHAnsi"/>
          <w:b/>
          <w:lang w:val="sr-Latn-ME"/>
        </w:rPr>
        <w:t xml:space="preserve">U cilju intenziviranja aktivnosti u okviru Poglavlja 3 u IV kvartalu 2022. godine sproedene su intenzivne aktivnosti na uspostavljanju Jedinstvene kontakt tačke za usluga (JKT), što je jedno od završnih mjerila poglavlja. </w:t>
      </w:r>
      <w:r w:rsidRPr="00081468">
        <w:rPr>
          <w:rFonts w:cstheme="minorHAnsi"/>
          <w:lang w:val="sr-Latn-ME"/>
        </w:rPr>
        <w:t>U izvještajnom periodu intenzivirane su aktivnosti u cilju uspostavljanja JKT za usluge u kontekstu organizacionih i kadrovskih promjena, pa je s tim u vezi Ministarstvo ekonomskog razvoja i turizma imenovalo novu šeficu Radne grupe za pregovaračko poglavlje 3.</w:t>
      </w:r>
    </w:p>
    <w:p w14:paraId="325F5A3C" w14:textId="77777777" w:rsidR="00081468" w:rsidRPr="00081468" w:rsidRDefault="00081468" w:rsidP="00081468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U junu 2022. započeta je realizacija projekta </w:t>
      </w:r>
      <w:r w:rsidRPr="00081468">
        <w:rPr>
          <w:rFonts w:cstheme="minorHAnsi"/>
          <w:lang w:val="hr-HR"/>
        </w:rPr>
        <w:t>Akcijskog programa „Unaprijeđenje konkurentnosti i inovacija u privatnom sektoru – IPA 2020. S tim u vezi, preduzeto je niz aktivnosti shodno Akcionom planu za uspostavljanje JKT za usluge.</w:t>
      </w:r>
    </w:p>
    <w:p w14:paraId="0F157256" w14:textId="77777777" w:rsidR="00081468" w:rsidRPr="00081468" w:rsidRDefault="00081468" w:rsidP="00081468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Formiran je uži radni tim za uspostavljanje JKT za usluge koji pored predstavnika Ministarstva ekonomskog razvoja i turizma uključuje i predstavnike Ministarstva zdravlja i Ministarstva javne uprave;</w:t>
      </w:r>
    </w:p>
    <w:p w14:paraId="20F1ACE0" w14:textId="75424CAF" w:rsidR="00081468" w:rsidRPr="00081468" w:rsidRDefault="00081468" w:rsidP="00081468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U</w:t>
      </w:r>
      <w:r w:rsidRPr="00081468">
        <w:rPr>
          <w:rFonts w:cstheme="minorHAnsi"/>
          <w:lang w:val="hr-HR"/>
        </w:rPr>
        <w:t xml:space="preserve"> cilju poboljšanja poslovnog ambijenta i konkrentnosti privrede, odlučeno je da se pripremi Nacrt Odluke o jedinstvenoj kontakt ta</w:t>
      </w:r>
      <w:r w:rsidRPr="00081468">
        <w:rPr>
          <w:rFonts w:cstheme="minorHAnsi"/>
          <w:lang w:val="sr-Latn-ME"/>
        </w:rPr>
        <w:t>čki za usluge umjesto prvobitne Uredbe. Usaglašen je tekst predmetne odluke na nivou užeg radnog tima. U toku je usaglašavanje nacrta odluke, a  planirano je donošenje predmetne iste II Q 2023. godine. Donošenjem navedenog podzakonskog akta biće definsana pravila za upravljanje JKT-</w:t>
      </w:r>
      <w:r w:rsidRPr="00081468">
        <w:rPr>
          <w:rFonts w:cstheme="minorHAnsi"/>
          <w:lang w:val="sr-Latn-ME"/>
        </w:rPr>
        <w:lastRenderedPageBreak/>
        <w:t xml:space="preserve">om.  </w:t>
      </w:r>
      <w:r w:rsidRPr="00081468">
        <w:rPr>
          <w:rFonts w:cstheme="minorHAnsi"/>
        </w:rPr>
        <w:t>U dijelu poštanskih djelatnosti, shodno obavezama iz PPCG za 2022. godinu, Agencija za elektronske komunikacije i poštansku djelatnost (EKIP), donijela je Pravilnik o izmjenama i dopunama Pravilnika o vrsti i načinu dostavljanja podataka poštanskih operatora. Pravilnik je objavljen u "Službeni list Crne Gore", br. 146/​22 od 28. decembra 2022. godine.</w:t>
      </w:r>
    </w:p>
    <w:p w14:paraId="202500EA" w14:textId="77777777" w:rsidR="00081468" w:rsidRPr="00081468" w:rsidRDefault="00081468" w:rsidP="00982C8A">
      <w:pPr>
        <w:spacing w:line="240" w:lineRule="auto"/>
        <w:jc w:val="both"/>
        <w:rPr>
          <w:rFonts w:cstheme="minorHAnsi"/>
          <w:lang w:val="bs-Latn-BA"/>
        </w:rPr>
      </w:pPr>
    </w:p>
    <w:p w14:paraId="1B93866B" w14:textId="77777777" w:rsidR="009B0C51" w:rsidRPr="00081468" w:rsidRDefault="009B0C51" w:rsidP="009B0C51">
      <w:pPr>
        <w:spacing w:line="240" w:lineRule="auto"/>
        <w:jc w:val="both"/>
        <w:rPr>
          <w:rFonts w:cstheme="minorHAnsi"/>
          <w:lang w:val="bs-Latn-BA"/>
        </w:rPr>
      </w:pPr>
    </w:p>
    <w:p w14:paraId="05986987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  <w:bCs/>
        </w:rPr>
      </w:pPr>
      <w:r w:rsidRPr="00081468">
        <w:rPr>
          <w:rFonts w:cstheme="minorHAnsi"/>
          <w:b/>
          <w:bCs/>
        </w:rPr>
        <w:t>Poglavlje 6 - PRIVREDNO PRAVO</w:t>
      </w:r>
    </w:p>
    <w:p w14:paraId="1FC3D184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 xml:space="preserve">Vlada je na sjednici održanoj 24. novembra 2022. godine donijela Odluku o obrazovanju Radne grupe za pripremu i vođenje pregovora o pristupanju Crne Gore Evropskoj uniji za oblast pravne tekovine evropske unije koja se odnosi na pregovaračko poglavlje 6 – Privredno pravo. </w:t>
      </w:r>
    </w:p>
    <w:p w14:paraId="36496BBA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Vlada je na sjednici održanoj 29. decembra 2021. godine donijela Mapu puta o ispunjenju završnih mjerila za privremeno zatvaranje pregovora u pregovaračkom poglavlju 6 – Privredno pravo.</w:t>
      </w:r>
    </w:p>
    <w:p w14:paraId="39B68FF1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Programom pristupanja Crne Gore Evropskoj uniji 2021-2023, za 2022. godinu, planirana je realizacija </w:t>
      </w:r>
      <w:r w:rsidRPr="00081468">
        <w:rPr>
          <w:rFonts w:cstheme="minorHAnsi"/>
          <w:b/>
          <w:lang w:val="sr-Latn-ME"/>
        </w:rPr>
        <w:t xml:space="preserve">jedne obaveze. </w:t>
      </w:r>
      <w:r w:rsidRPr="00081468">
        <w:rPr>
          <w:rFonts w:cstheme="minorHAnsi"/>
          <w:lang w:val="sr-Latn-ME"/>
        </w:rPr>
        <w:t>Ova obaveza je pomjerena za 2023. godinu, tako da je stepen realizacije 0%.</w:t>
      </w:r>
    </w:p>
    <w:p w14:paraId="0B43AF4D" w14:textId="77777777" w:rsidR="009B0C51" w:rsidRPr="00081468" w:rsidRDefault="009B0C51" w:rsidP="009B0C51">
      <w:pPr>
        <w:spacing w:line="240" w:lineRule="auto"/>
        <w:jc w:val="both"/>
        <w:rPr>
          <w:rFonts w:cstheme="minorHAnsi"/>
        </w:rPr>
      </w:pPr>
    </w:p>
    <w:p w14:paraId="3EA8E56E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  <w:bCs/>
        </w:rPr>
      </w:pPr>
      <w:r w:rsidRPr="00081468">
        <w:rPr>
          <w:rFonts w:cstheme="minorHAnsi"/>
          <w:b/>
          <w:bCs/>
        </w:rPr>
        <w:t>Poglavlje 7 – PRAVO INTELEKTUALNE SVOJINE</w:t>
      </w:r>
    </w:p>
    <w:p w14:paraId="7609F051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 xml:space="preserve">Vlada je na sjednici održanoj 24. novembra 2022. godine donijela Odluku o obrazovanju radne grupe za pripremu i vođenje pregovora o pristupanju Crne Gore Evropskoj uniji za oblast pravne tekovine evropske unije koja se odnosi na pregovaračko poglavlje 7 – Pravo intelektualne svojine. </w:t>
      </w:r>
    </w:p>
    <w:p w14:paraId="76553A99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</w:rPr>
        <w:t xml:space="preserve">Mapa puta za pregovaračko poglavlje 7- </w:t>
      </w:r>
      <w:r w:rsidRPr="00081468">
        <w:rPr>
          <w:rFonts w:cstheme="minorHAnsi"/>
          <w:lang w:val="en-GB"/>
        </w:rPr>
        <w:t xml:space="preserve">Pravo intelektualne svojine, usvojena je na sjednici Vladi održanoj 9. decembra 2021.godine. </w:t>
      </w:r>
    </w:p>
    <w:p w14:paraId="3EB6046E" w14:textId="77777777" w:rsidR="00982C8A" w:rsidRPr="00081468" w:rsidRDefault="00982C8A" w:rsidP="00982C8A">
      <w:pPr>
        <w:spacing w:line="240" w:lineRule="auto"/>
        <w:jc w:val="both"/>
        <w:rPr>
          <w:rFonts w:cstheme="minorHAnsi"/>
          <w:i/>
          <w:lang w:val="sr-Latn-ME"/>
        </w:rPr>
      </w:pPr>
      <w:r w:rsidRPr="00081468">
        <w:rPr>
          <w:rFonts w:cstheme="minorHAnsi"/>
          <w:lang w:val="sr-Latn-ME"/>
        </w:rPr>
        <w:t xml:space="preserve">Programom pristupanja Crne Gore Evropskoj uniji 2021 – 2023, za 2022. godinu planirana je realizacija </w:t>
      </w:r>
      <w:r w:rsidRPr="00081468">
        <w:rPr>
          <w:rFonts w:cstheme="minorHAnsi"/>
          <w:b/>
          <w:lang w:val="sr-Latn-ME"/>
        </w:rPr>
        <w:t>četri obaveze</w:t>
      </w:r>
      <w:r w:rsidRPr="00081468">
        <w:rPr>
          <w:rFonts w:cstheme="minorHAnsi"/>
          <w:lang w:val="sr-Latn-ME"/>
        </w:rPr>
        <w:t>, od čega tri pripadaju zakonodavnom, a jedna strateškom okviru. Realizovane su dvije, što predstavlja 50%,</w:t>
      </w:r>
    </w:p>
    <w:p w14:paraId="5802FB2A" w14:textId="77777777" w:rsidR="009B0C51" w:rsidRPr="00081468" w:rsidRDefault="009B0C51" w:rsidP="009B0C51">
      <w:pPr>
        <w:spacing w:line="240" w:lineRule="auto"/>
        <w:jc w:val="both"/>
        <w:rPr>
          <w:rFonts w:cstheme="minorHAnsi"/>
        </w:rPr>
      </w:pPr>
    </w:p>
    <w:p w14:paraId="056A4EEE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</w:rPr>
      </w:pPr>
      <w:r w:rsidRPr="00081468">
        <w:rPr>
          <w:rFonts w:cstheme="minorHAnsi"/>
          <w:b/>
        </w:rPr>
        <w:t>Poglavlje 8 – KONKURENCIJA</w:t>
      </w:r>
    </w:p>
    <w:p w14:paraId="63C28E39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</w:rPr>
        <w:t>Vlada je na sjednici održanoj 24. novembra 2022. godine donijela Odluku o obrazovanju radne grupe za pripremu i vođenje pregovora o pristupanju Crne Gore Evropskoj uniji za oblast pravne tekovine evropske unije koja se odnosi na pregovaračko poglavlje 8 –</w:t>
      </w:r>
      <w:r w:rsidRPr="00081468">
        <w:rPr>
          <w:rFonts w:cstheme="minorHAnsi"/>
          <w:b/>
        </w:rPr>
        <w:t xml:space="preserve"> </w:t>
      </w:r>
      <w:r w:rsidRPr="00081468">
        <w:rPr>
          <w:rFonts w:cstheme="minorHAnsi"/>
        </w:rPr>
        <w:t>Konkurencija.</w:t>
      </w:r>
    </w:p>
    <w:p w14:paraId="39D6FD18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Mapa puta još uvijek nije usvojena, nalazi se u fazi usaglašavanja.</w:t>
      </w:r>
    </w:p>
    <w:p w14:paraId="07B85A23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Programom pristupanja Crne Gore Evropskoj uniji 2021-2023, za 2022. godinu planirana je realizacija ukupno </w:t>
      </w:r>
      <w:r w:rsidRPr="00081468">
        <w:rPr>
          <w:rFonts w:cstheme="minorHAnsi"/>
          <w:b/>
          <w:lang w:val="sr-Latn-ME"/>
        </w:rPr>
        <w:t>jedne obaveze,</w:t>
      </w:r>
      <w:r w:rsidRPr="00081468">
        <w:rPr>
          <w:rFonts w:cstheme="minorHAnsi"/>
          <w:lang w:val="sr-Latn-ME"/>
        </w:rPr>
        <w:t xml:space="preserve"> u zakonodavnom okviru.</w:t>
      </w:r>
    </w:p>
    <w:p w14:paraId="4666B114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Obaveza nije realizovana, tako da je stepen realizacije 0%.</w:t>
      </w:r>
    </w:p>
    <w:p w14:paraId="723EF9A5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</w:rPr>
      </w:pPr>
    </w:p>
    <w:p w14:paraId="4A01AE3D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</w:rPr>
      </w:pPr>
      <w:r w:rsidRPr="00081468">
        <w:rPr>
          <w:rFonts w:cstheme="minorHAnsi"/>
          <w:b/>
        </w:rPr>
        <w:t>Poglavlje 20 - PREDUZETNIŠTVO I INDUSTRIJSKA POLITIKA</w:t>
      </w:r>
    </w:p>
    <w:p w14:paraId="449E5A80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  <w:lang w:val="en-GB"/>
        </w:rPr>
        <w:lastRenderedPageBreak/>
        <w:t>Odluka o obrazovanju Radne grupe za pregovaračko poglavlje 20 – Preduzetnička i industrijska politika usvojena na sjednici Vlade od 24. novembra 2022. godine</w:t>
      </w:r>
    </w:p>
    <w:p w14:paraId="0A02A6A3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  <w:lang w:val="en-GB"/>
        </w:rPr>
        <w:t>Mapa puta za pregovara</w:t>
      </w:r>
      <w:r w:rsidRPr="00081468">
        <w:rPr>
          <w:rFonts w:cstheme="minorHAnsi"/>
          <w:lang w:val="sr-Latn-RS"/>
        </w:rPr>
        <w:t>č</w:t>
      </w:r>
      <w:r w:rsidRPr="00081468">
        <w:rPr>
          <w:rFonts w:cstheme="minorHAnsi"/>
          <w:lang w:val="en-GB"/>
        </w:rPr>
        <w:t>ko poglavlje 20 – Preduzetništvo i industrijska politika, usvojena je na sjednici Vlade od 16. decembra 2021.</w:t>
      </w:r>
    </w:p>
    <w:p w14:paraId="22BF6F4B" w14:textId="242288C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Programom pristupanja Crne Gore Evropskoj uniji 2021-2023, za 2022. godinu, planirana je realizacija ukupno </w:t>
      </w:r>
      <w:r w:rsidRPr="00081468">
        <w:rPr>
          <w:rFonts w:cstheme="minorHAnsi"/>
          <w:b/>
          <w:lang w:val="sr-Latn-ME"/>
        </w:rPr>
        <w:t xml:space="preserve">tri  obaveze, </w:t>
      </w:r>
      <w:r w:rsidRPr="00081468">
        <w:rPr>
          <w:rFonts w:cstheme="minorHAnsi"/>
          <w:lang w:val="sr-Latn-ME"/>
        </w:rPr>
        <w:t>u štrateškom okviru. Realizovana je jedna obaveza, pa je stepen realizacije 33%.</w:t>
      </w:r>
    </w:p>
    <w:p w14:paraId="5BE5F76F" w14:textId="20523F8F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</w:p>
    <w:p w14:paraId="2240329B" w14:textId="77777777" w:rsidR="00982C8A" w:rsidRPr="00081468" w:rsidRDefault="00982C8A" w:rsidP="00982C8A">
      <w:pPr>
        <w:spacing w:line="240" w:lineRule="auto"/>
        <w:jc w:val="both"/>
        <w:rPr>
          <w:rFonts w:cstheme="minorHAnsi"/>
          <w:b/>
          <w:lang w:val="sr-Latn-ME"/>
        </w:rPr>
      </w:pPr>
      <w:r w:rsidRPr="00081468">
        <w:rPr>
          <w:rFonts w:cstheme="minorHAnsi"/>
          <w:b/>
          <w:lang w:val="sr-Latn-ME"/>
        </w:rPr>
        <w:t>Poglavlje 28 – ZAŠTITA POTROŠAČA I ZDRAVLJA</w:t>
      </w:r>
    </w:p>
    <w:p w14:paraId="13E23622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</w:rPr>
        <w:t>Vlada je na sjednici održanoj 24. novembra 2022. godine donijela Odluku o obrazovanju radne grupe za pripremu i vođenje pregovora o pristupanju Crne Gore Evropskoj uniji za oblast pravne tekovine evropske unije koja se odnosi na pregovaračko poglavlje 28 –</w:t>
      </w:r>
      <w:r w:rsidRPr="00081468">
        <w:rPr>
          <w:rFonts w:cstheme="minorHAnsi"/>
          <w:b/>
        </w:rPr>
        <w:t xml:space="preserve"> </w:t>
      </w:r>
      <w:r w:rsidRPr="00081468">
        <w:rPr>
          <w:rFonts w:cstheme="minorHAnsi"/>
        </w:rPr>
        <w:t>Zaštita potrošača i zdravlja.</w:t>
      </w:r>
    </w:p>
    <w:p w14:paraId="68437750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Programom pristupanja Crne Gore Evropskoj uniji 2021-2023, za 2022. godinu,  planirana je realizacija </w:t>
      </w:r>
      <w:r w:rsidRPr="00081468">
        <w:rPr>
          <w:rFonts w:cstheme="minorHAnsi"/>
          <w:b/>
          <w:lang w:val="sr-Latn-ME"/>
        </w:rPr>
        <w:t>jedne obaveze</w:t>
      </w:r>
      <w:r w:rsidRPr="00081468">
        <w:rPr>
          <w:rFonts w:cstheme="minorHAnsi"/>
          <w:lang w:val="sr-Latn-ME"/>
        </w:rPr>
        <w:t>, u zakonodavnom okviru. Obaveza nije realizovana, tako da je procenat ispunjenosti 0%</w:t>
      </w:r>
    </w:p>
    <w:p w14:paraId="0E5D0973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</w:p>
    <w:p w14:paraId="006283A9" w14:textId="77777777" w:rsidR="009B0C51" w:rsidRPr="00081468" w:rsidRDefault="009B0C51" w:rsidP="009B0C51">
      <w:pPr>
        <w:spacing w:line="240" w:lineRule="auto"/>
        <w:jc w:val="both"/>
        <w:rPr>
          <w:rFonts w:cstheme="minorHAnsi"/>
        </w:rPr>
      </w:pPr>
    </w:p>
    <w:p w14:paraId="5E619614" w14:textId="77777777" w:rsidR="009B0C51" w:rsidRPr="00081468" w:rsidRDefault="009B0C51" w:rsidP="009B0C51">
      <w:pPr>
        <w:spacing w:line="240" w:lineRule="auto"/>
        <w:jc w:val="both"/>
        <w:rPr>
          <w:rFonts w:cstheme="minorHAnsi"/>
          <w:b/>
          <w:bCs/>
        </w:rPr>
      </w:pPr>
      <w:r w:rsidRPr="00081468">
        <w:rPr>
          <w:rFonts w:cstheme="minorHAnsi"/>
          <w:b/>
          <w:bCs/>
        </w:rPr>
        <w:t>Poglavlje 30 – VANJSKI ODNOSI</w:t>
      </w:r>
    </w:p>
    <w:p w14:paraId="7FC9916A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  <w:lang w:val="en-GB"/>
        </w:rPr>
        <w:t xml:space="preserve">U toku je revidiranje Odluke o obrazovanju Radne grupe za pregovaračko poglavlje 30 – Vanjski odnosi, usvojene je na sjednici Vlade od 30. jula 2021. godine. </w:t>
      </w:r>
    </w:p>
    <w:p w14:paraId="72DC9879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en-GB"/>
        </w:rPr>
      </w:pPr>
      <w:r w:rsidRPr="00081468">
        <w:rPr>
          <w:rFonts w:cstheme="minorHAnsi"/>
          <w:lang w:val="en-GB"/>
        </w:rPr>
        <w:t>Mapa puta za pregovaračko poglavlje 30 – Vanjski odnosi, usvojena je na sjednici Vlade od 30. novembra 2021. godine.</w:t>
      </w:r>
    </w:p>
    <w:p w14:paraId="13D25BA9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bs-Latn-BA"/>
        </w:rPr>
      </w:pPr>
      <w:r w:rsidRPr="00081468">
        <w:rPr>
          <w:rFonts w:cstheme="minorHAnsi"/>
          <w:lang w:val="bs-Latn-BA"/>
        </w:rPr>
        <w:t xml:space="preserve">Programom pristupanja Crne Gore Evropskoj uniji 2021-2023, za 2022. godinu, planirana je realizacija ukupno </w:t>
      </w:r>
      <w:r w:rsidRPr="00081468">
        <w:rPr>
          <w:rFonts w:cstheme="minorHAnsi"/>
          <w:b/>
          <w:lang w:val="bs-Latn-BA"/>
        </w:rPr>
        <w:t xml:space="preserve">dvije obaveze, </w:t>
      </w:r>
      <w:r w:rsidRPr="00081468">
        <w:rPr>
          <w:rFonts w:cstheme="minorHAnsi"/>
          <w:lang w:val="bs-Latn-BA"/>
        </w:rPr>
        <w:t>u zakonodavom okviru, od kojih je realizovana jedna obaveza što predstavlja 50 %.</w:t>
      </w:r>
    </w:p>
    <w:p w14:paraId="0813260F" w14:textId="77777777" w:rsidR="00982C8A" w:rsidRPr="00081468" w:rsidRDefault="00982C8A" w:rsidP="00982C8A">
      <w:pPr>
        <w:spacing w:line="240" w:lineRule="auto"/>
        <w:jc w:val="both"/>
        <w:rPr>
          <w:rFonts w:cstheme="minorHAnsi"/>
          <w:b/>
          <w:u w:val="single"/>
          <w:lang w:val="bs-Latn-BA"/>
        </w:rPr>
      </w:pPr>
      <w:r w:rsidRPr="00081468">
        <w:rPr>
          <w:rFonts w:cstheme="minorHAnsi"/>
          <w:b/>
          <w:u w:val="single"/>
          <w:lang w:val="bs-Latn-BA"/>
        </w:rPr>
        <w:t>Programom pristupanja Crne Gore EU 2021-2023, za 2022. godinu, planom Ministarstva ekonomskog razvoja i turizma, u okviru pregovaračkih poglavlja 1, 3, 6, 7, 8, 20, 28 i 30 predviđena je realizacija ukupno 22 obaveze. Realizovano je šest, što predstavlja 27,7 %.</w:t>
      </w:r>
    </w:p>
    <w:p w14:paraId="0B62D764" w14:textId="77777777" w:rsidR="009B0C51" w:rsidRPr="00081468" w:rsidRDefault="009B0C51" w:rsidP="009B0C51">
      <w:pPr>
        <w:spacing w:line="240" w:lineRule="auto"/>
        <w:jc w:val="both"/>
        <w:rPr>
          <w:rFonts w:cstheme="minorHAnsi"/>
          <w:lang w:val="en-GB"/>
        </w:rPr>
      </w:pPr>
    </w:p>
    <w:p w14:paraId="69EDD91D" w14:textId="2AA04B54" w:rsidR="009B0C51" w:rsidRPr="00081468" w:rsidRDefault="009B0C51" w:rsidP="009B0C51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>Od ukupno 7, u nadležnosti Ministarstva ekonomskog razvoja</w:t>
      </w:r>
      <w:r w:rsidR="00982C8A" w:rsidRPr="00081468">
        <w:rPr>
          <w:rFonts w:cstheme="minorHAnsi"/>
        </w:rPr>
        <w:t xml:space="preserve"> i turizma</w:t>
      </w:r>
      <w:r w:rsidRPr="00081468">
        <w:rPr>
          <w:rFonts w:cstheme="minorHAnsi"/>
        </w:rPr>
        <w:t xml:space="preserve"> su</w:t>
      </w:r>
      <w:r w:rsidRPr="00081468">
        <w:rPr>
          <w:rFonts w:cstheme="minorHAnsi"/>
          <w:b/>
        </w:rPr>
        <w:t xml:space="preserve"> </w:t>
      </w:r>
      <w:r w:rsidR="00982C8A" w:rsidRPr="00081468">
        <w:rPr>
          <w:rFonts w:cstheme="minorHAnsi"/>
          <w:b/>
        </w:rPr>
        <w:t>2</w:t>
      </w:r>
      <w:r w:rsidRPr="00081468">
        <w:rPr>
          <w:rFonts w:cstheme="minorHAnsi"/>
          <w:b/>
        </w:rPr>
        <w:t xml:space="preserve"> sektorska pododbora</w:t>
      </w:r>
      <w:r w:rsidRPr="00081468">
        <w:rPr>
          <w:rFonts w:cstheme="minorHAnsi"/>
        </w:rPr>
        <w:t>:</w:t>
      </w:r>
    </w:p>
    <w:p w14:paraId="6A42F906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b/>
          <w:bCs/>
        </w:rPr>
        <w:t xml:space="preserve">PODODBOR ZA UNUTRAŠNJE TRŽIŠTE I KONKURENCIJU – </w:t>
      </w:r>
      <w:r w:rsidRPr="00081468">
        <w:rPr>
          <w:rFonts w:cstheme="minorHAnsi"/>
          <w:bCs/>
        </w:rPr>
        <w:t>XIII sastanak</w:t>
      </w:r>
      <w:r w:rsidRPr="00081468">
        <w:rPr>
          <w:rFonts w:cstheme="minorHAnsi"/>
          <w:b/>
          <w:bCs/>
        </w:rPr>
        <w:t xml:space="preserve"> </w:t>
      </w:r>
      <w:r w:rsidRPr="00081468">
        <w:rPr>
          <w:rFonts w:cstheme="minorHAnsi"/>
          <w:bCs/>
        </w:rPr>
        <w:t>održan je 9. juna 2022.</w:t>
      </w:r>
      <w:r w:rsidRPr="00081468">
        <w:rPr>
          <w:rFonts w:cstheme="minorHAnsi"/>
          <w:b/>
          <w:bCs/>
        </w:rPr>
        <w:t xml:space="preserve"> </w:t>
      </w:r>
      <w:proofErr w:type="gramStart"/>
      <w:r w:rsidRPr="00081468">
        <w:rPr>
          <w:rFonts w:cstheme="minorHAnsi"/>
          <w:bCs/>
        </w:rPr>
        <w:t>u  Briselu</w:t>
      </w:r>
      <w:proofErr w:type="gramEnd"/>
      <w:r w:rsidRPr="00081468">
        <w:rPr>
          <w:rFonts w:cstheme="minorHAnsi"/>
          <w:bCs/>
        </w:rPr>
        <w:t>. P</w:t>
      </w:r>
      <w:r w:rsidRPr="00081468">
        <w:rPr>
          <w:rFonts w:cstheme="minorHAnsi"/>
        </w:rPr>
        <w:t xml:space="preserve">redstavljeni su rezultati u veoma važnim pregovaračkim poglavljima (3, 4, 5, 6, 7, 8, 9 i 28,) oblasti konkurencije, državne pomoći, zaštite potrošača i zdravlja, kao i reforme u sektoru bankarstva, osiguranja i drugih finansijskih usluga. Na sastanku su razmotreni i rezultati ostvareni u oblasti prava osnivanja preduzeća i slobode pružanja usluga, prava intelektualne, industrijske i trgovinske svojine, kao i stanje u oblasti javnih nabavki i privrednog prava. Ovom prilikom, EK je istakla posvećenost ka ostvarenju </w:t>
      </w:r>
      <w:proofErr w:type="gramStart"/>
      <w:r w:rsidRPr="00081468">
        <w:rPr>
          <w:rFonts w:cstheme="minorHAnsi"/>
        </w:rPr>
        <w:t>standarda  za</w:t>
      </w:r>
      <w:proofErr w:type="gramEnd"/>
      <w:r w:rsidRPr="00081468">
        <w:rPr>
          <w:rFonts w:cstheme="minorHAnsi"/>
        </w:rPr>
        <w:t xml:space="preserve"> postepenu integraciju Crne Gore   u sistem unutrašnjeg tržišta uz jasan cilj da jača sopstvene kapacitete na putu ka krajnjoj integraciji. </w:t>
      </w:r>
    </w:p>
    <w:p w14:paraId="265842A8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  <w:b/>
          <w:bCs/>
        </w:rPr>
        <w:t xml:space="preserve">PODODBOR ZA TRGOVINU, INDUSTRIJU, CARINE I POREZE – </w:t>
      </w:r>
      <w:r w:rsidRPr="00081468">
        <w:rPr>
          <w:rFonts w:cstheme="minorHAnsi"/>
        </w:rPr>
        <w:t xml:space="preserve">na XV sastanku ovog Pododbora između Crne Gore i Evropske unije, koji je održan 4. oktobra 2022. u Podgorici, a koji pokriva poglavlja 1 – Sloboda kretanja robe, 16 – Porezi, 20 – Preduzetništvo i industrijska politika, 29 – Carinska unija i 30 – Vanjski </w:t>
      </w:r>
      <w:r w:rsidRPr="00081468">
        <w:rPr>
          <w:rFonts w:cstheme="minorHAnsi"/>
        </w:rPr>
        <w:lastRenderedPageBreak/>
        <w:t xml:space="preserve">odnosi, predstavnici crnogorskih nadležnih institucija su upoznali predstavnike EK sa aktivnostima sprovedenim u prethodnom periodu u ovim oblastima. </w:t>
      </w:r>
    </w:p>
    <w:p w14:paraId="2301FAF4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 xml:space="preserve">Predstavanici EK su pozdravili proaktivan i konstruktivan angažman Crne Gore, kako na regionalnom novou i aktivnostima na uspostavljanju Zajedničkog regionalnog tržišta, tako u u vezi sa Svjetskom trgovinskom organizacijom (STO). EK je ohrabrila Crnu Goru da nastavi sa </w:t>
      </w:r>
      <w:proofErr w:type="gramStart"/>
      <w:r w:rsidRPr="00081468">
        <w:rPr>
          <w:rFonts w:cstheme="minorHAnsi"/>
        </w:rPr>
        <w:t>sprovođenjem  strategija</w:t>
      </w:r>
      <w:proofErr w:type="gramEnd"/>
      <w:r w:rsidRPr="00081468">
        <w:rPr>
          <w:rFonts w:cstheme="minorHAnsi"/>
        </w:rPr>
        <w:t xml:space="preserve"> i akcionih planova u svim oblastima koje su predmet ovog Pododbora.</w:t>
      </w:r>
    </w:p>
    <w:p w14:paraId="1E0526E7" w14:textId="77777777" w:rsidR="00982C8A" w:rsidRPr="00081468" w:rsidRDefault="00982C8A" w:rsidP="00982C8A">
      <w:p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  <w:bCs/>
        </w:rPr>
        <w:t>Pored direktne nadležnosti u pomenuta dva pododbora, Ministarstvo ekonomskog razvoja i turizma ima značajan dio obaveza u</w:t>
      </w:r>
      <w:r w:rsidRPr="00081468">
        <w:rPr>
          <w:rFonts w:cstheme="minorHAnsi"/>
          <w:b/>
          <w:bCs/>
        </w:rPr>
        <w:t xml:space="preserve"> PODODOBORU ZA EKONOMSKA I FINANSIJSKA PITANJA I STATISTIKU</w:t>
      </w:r>
      <w:r w:rsidRPr="00081468">
        <w:rPr>
          <w:rFonts w:cstheme="minorHAnsi"/>
        </w:rPr>
        <w:t xml:space="preserve">. Na sastanku Pododbora, koji je održan 22. oktobra 2022. godine, u Briselu, a koji pokriva ekonomska i finansijska pitanja i izazove, kao i politike u okviru poglavlja 17, 18, 32 i 33, predstavnici crnogorskih nadležnih institucija su upoznali predstavnike EK sa aktivnostima sprovedenim u prethodnom periodu u ovim oblastima. </w:t>
      </w:r>
    </w:p>
    <w:p w14:paraId="46B2319A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bs-Latn-BA"/>
        </w:rPr>
      </w:pPr>
      <w:r w:rsidRPr="00081468">
        <w:rPr>
          <w:rFonts w:cstheme="minorHAnsi"/>
          <w:lang w:val="bs-Latn-BA"/>
        </w:rPr>
        <w:t xml:space="preserve">Aktivnosti Direkcije za evropske integracije za 2022. godinu: </w:t>
      </w:r>
    </w:p>
    <w:p w14:paraId="3D25B7F0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 xml:space="preserve">Preduzimanje aktivnosti u cilju </w:t>
      </w:r>
      <w:r w:rsidRPr="00081468">
        <w:rPr>
          <w:rFonts w:cstheme="minorHAnsi"/>
          <w:bCs/>
        </w:rPr>
        <w:t>izmjena i dopuna Odluke o obrazovanju radne grupe za pripremu pregovora o pristupanju Crne Gore Evropskoj Uniji za oblast pravne tekovine Evropske Unije koja se odnosi na pregovaračka poglavlja iz nadležnosti MER: 1 – Sloboda kretanja robe, 3 – Pravo osnivanja preduzeća i sloboda pružanja usluga, 6 – Privredno pravo, 7 – Pravo intelektualne svojine, 8 – konkurencija, 20 – Preduzetništvo i industrijska politika, 28 – Zaštita potrošača i zdravlja,  30 – Vanjski odnosi;</w:t>
      </w:r>
    </w:p>
    <w:p w14:paraId="6B0E479A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Praćenje Programa pristupanja Crne Gore Evropskoj uniji (PPCG) za </w:t>
      </w:r>
      <w:r w:rsidRPr="00081468">
        <w:rPr>
          <w:rFonts w:cstheme="minorHAnsi"/>
          <w:bCs/>
        </w:rPr>
        <w:t>pregovaračka poglavlja u nadležnosti MERT-a</w:t>
      </w:r>
      <w:r w:rsidRPr="00081468">
        <w:rPr>
          <w:rFonts w:cstheme="minorHAnsi"/>
          <w:lang w:val="sr-Latn-ME"/>
        </w:rPr>
        <w:t>;</w:t>
      </w:r>
    </w:p>
    <w:p w14:paraId="1DDDE1D9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Izrada izvještaja ( petnaestodnevno) o realizaciji PPCG-a za 2022. godinu;</w:t>
      </w:r>
    </w:p>
    <w:p w14:paraId="642E01E5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</w:rPr>
      </w:pPr>
      <w:r w:rsidRPr="00081468">
        <w:rPr>
          <w:rFonts w:cstheme="minorHAnsi"/>
        </w:rPr>
        <w:t xml:space="preserve">Prilog Izvještaju Evropske komisije o Crnoj Gori 2022. </w:t>
      </w:r>
      <w:r w:rsidRPr="00081468">
        <w:rPr>
          <w:rFonts w:cstheme="minorHAnsi"/>
          <w:lang w:val="sr-Latn-ME"/>
        </w:rPr>
        <w:t>za pregovaračka  poglavlja u nadležnosti MERT-a;</w:t>
      </w:r>
    </w:p>
    <w:p w14:paraId="540B93A5" w14:textId="05768430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Priprema tabele o aktivnostima na ispunjenju završnih mjerila za pregovarčka poglavlja u nadležnosti MERT-a;</w:t>
      </w:r>
    </w:p>
    <w:p w14:paraId="5B2BF888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Priprema priloga za održavanje XIII sastanka Pododbora za unutrašnje tržište i konkurenciju;</w:t>
      </w:r>
    </w:p>
    <w:p w14:paraId="40EA6035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Priprema priloga za održavanje XV sastanka Pododbora za trgovinu, industriju, carine poreze i saradnju sa drugim zemljama kandidatima;</w:t>
      </w:r>
    </w:p>
    <w:p w14:paraId="7A79B32F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Priprema dijela priloga, u nadležnosti MERT-a, za sastanak Pododbora </w:t>
      </w:r>
      <w:r w:rsidRPr="00081468">
        <w:rPr>
          <w:rFonts w:cstheme="minorHAnsi"/>
          <w:lang w:val="sr-Latn-CS"/>
        </w:rPr>
        <w:t>za ekonomska i finansijska pitanja i statistiku;</w:t>
      </w:r>
    </w:p>
    <w:p w14:paraId="29DBFB6D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Koordinacija aktivnosti u cilju pripreme zapisnika/izvještaja sa sastanka Pododbora za unutrašnje tržište i konkurenciju;</w:t>
      </w:r>
    </w:p>
    <w:p w14:paraId="7749470E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Koordinacija aktivnosti u cilju pripreme zapisnika/izvještaja sa sastanka Pododbora za</w:t>
      </w:r>
      <w:r w:rsidRPr="00081468">
        <w:rPr>
          <w:rFonts w:cstheme="minorHAnsi"/>
          <w:bCs/>
          <w:iCs/>
          <w:lang w:val="sr-Latn-ME"/>
        </w:rPr>
        <w:t xml:space="preserve"> trgovinu, industriju, carine, poreze i saradnju sa drugim zemljama kandidatima</w:t>
      </w:r>
      <w:r w:rsidRPr="00081468">
        <w:rPr>
          <w:rFonts w:cstheme="minorHAnsi"/>
          <w:lang w:val="sr-Latn-ME"/>
        </w:rPr>
        <w:t>;</w:t>
      </w:r>
    </w:p>
    <w:p w14:paraId="5137E8B5" w14:textId="77777777" w:rsidR="00982C8A" w:rsidRPr="00081468" w:rsidRDefault="00982C8A" w:rsidP="00982C8A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Aktivnosti u vezi sa implemetacijom Strategije informisanja javnosti u vezi sa pristupanjem Crne Gore EU 2019 – 2022. godine (</w:t>
      </w:r>
      <w:r w:rsidRPr="00081468">
        <w:rPr>
          <w:rFonts w:cstheme="minorHAnsi"/>
        </w:rPr>
        <w:t>Izrada Akcionog plan u vezi sa Strategijom kojom se definisu promotivne aktivnosti za tekuću godinu i Izvještaja o</w:t>
      </w:r>
      <w:r w:rsidRPr="00081468">
        <w:rPr>
          <w:rFonts w:cstheme="minorHAnsi"/>
          <w:lang w:val="sr-Latn-ME"/>
        </w:rPr>
        <w:t xml:space="preserve"> realizaciji Akcionog plana za sprovođenje Strategije informisanja javnosti o pristupanju Crne Gore EU).</w:t>
      </w:r>
    </w:p>
    <w:p w14:paraId="68E75512" w14:textId="77777777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</w:p>
    <w:p w14:paraId="0DB79445" w14:textId="77777777" w:rsidR="00982C8A" w:rsidRPr="00081468" w:rsidRDefault="00982C8A" w:rsidP="00982C8A">
      <w:pPr>
        <w:spacing w:line="240" w:lineRule="auto"/>
        <w:jc w:val="both"/>
        <w:rPr>
          <w:rFonts w:cstheme="minorHAnsi"/>
          <w:b/>
          <w:bCs/>
          <w:lang w:val="en-GB"/>
        </w:rPr>
      </w:pPr>
    </w:p>
    <w:p w14:paraId="29938154" w14:textId="77777777" w:rsidR="009B0C51" w:rsidRPr="00081468" w:rsidRDefault="009B0C51" w:rsidP="009B0C51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Koordinacija aktivnosti u cilju pripreme zapisnika/izvještaja sa sastanka Pododbora za unutrašnje tržište i konkurenciju;</w:t>
      </w:r>
    </w:p>
    <w:p w14:paraId="1AD53FB8" w14:textId="77777777" w:rsidR="009B0C51" w:rsidRPr="00081468" w:rsidRDefault="009B0C51" w:rsidP="009B0C51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Koordinacija aktivnosti u cilju pripreme zapisnika/izvještaja sa sastanka Pododbora za</w:t>
      </w:r>
      <w:r w:rsidRPr="00081468">
        <w:rPr>
          <w:rFonts w:cstheme="minorHAnsi"/>
          <w:bCs/>
          <w:iCs/>
          <w:lang w:val="sr-Latn-ME"/>
        </w:rPr>
        <w:t xml:space="preserve"> trgovinu, industriju, carine, poreze i saradnju sa drugim zemljama kandidatima</w:t>
      </w:r>
      <w:r w:rsidRPr="00081468">
        <w:rPr>
          <w:rFonts w:cstheme="minorHAnsi"/>
          <w:lang w:val="sr-Latn-ME"/>
        </w:rPr>
        <w:t>;</w:t>
      </w:r>
    </w:p>
    <w:p w14:paraId="01FA4546" w14:textId="77777777" w:rsidR="009B0C51" w:rsidRPr="00081468" w:rsidRDefault="009B0C51" w:rsidP="009B0C51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Koordinacija ocjene relevantnosti novog paketa pravne tekovine Evropske unije (celexi) za </w:t>
      </w:r>
      <w:r w:rsidRPr="00081468">
        <w:rPr>
          <w:rFonts w:cstheme="minorHAnsi"/>
          <w:bCs/>
        </w:rPr>
        <w:t>pregovaračka poglavlja iz nadležnosti MER</w:t>
      </w:r>
      <w:r w:rsidRPr="00081468">
        <w:rPr>
          <w:rFonts w:cstheme="minorHAnsi"/>
          <w:lang w:val="sr-Latn-ME"/>
        </w:rPr>
        <w:t xml:space="preserve">: raspoređivanje celexa, određivanje relevantnosti i lica nosilaca; </w:t>
      </w:r>
    </w:p>
    <w:p w14:paraId="79403038" w14:textId="77777777" w:rsidR="009B0C51" w:rsidRPr="00081468" w:rsidRDefault="009B0C51" w:rsidP="009B0C51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Priprema sastanaka Klastera 2 – Unutrašnje tržište i koordinacija aktivnosti unutra klastera;</w:t>
      </w:r>
    </w:p>
    <w:p w14:paraId="2E86D17A" w14:textId="77777777" w:rsidR="009B0C51" w:rsidRPr="00081468" w:rsidRDefault="009B0C51" w:rsidP="009B0C51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Koordinacija izrade Akcionog plana za adresiranje preporuka iz Izvještaja EK za pregovaračka poglavlja iz nadležnosti MER;</w:t>
      </w:r>
    </w:p>
    <w:p w14:paraId="07BBF56B" w14:textId="0211F8B6" w:rsidR="009B0C51" w:rsidRPr="00081468" w:rsidRDefault="009B0C51" w:rsidP="00BD2D20">
      <w:pPr>
        <w:numPr>
          <w:ilvl w:val="0"/>
          <w:numId w:val="83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Aktivnosti u vezi sa implemetacijom Strategije informisanja javnosti u vezi sa pristupanjem Crne Gore EU 2019 – 2022. godine (</w:t>
      </w:r>
      <w:r w:rsidRPr="00081468">
        <w:rPr>
          <w:rFonts w:cstheme="minorHAnsi"/>
        </w:rPr>
        <w:t>Izrada Akcionog plan u vezi sa Strategijom kojom se definisu promotivne aktivnosti za tekuću godinu i Izvještaja o</w:t>
      </w:r>
      <w:r w:rsidRPr="00081468">
        <w:rPr>
          <w:rFonts w:cstheme="minorHAnsi"/>
          <w:lang w:val="sr-Latn-ME"/>
        </w:rPr>
        <w:t xml:space="preserve"> realizaciji Akcionog plana za sprovođenje Strategije informisanja javnosti o pristupanju Crne Gore EU).</w:t>
      </w:r>
    </w:p>
    <w:p w14:paraId="067EFC78" w14:textId="50A82A5D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</w:p>
    <w:p w14:paraId="5E6E070B" w14:textId="3E1116AD" w:rsidR="00982C8A" w:rsidRPr="00081468" w:rsidRDefault="00982C8A" w:rsidP="00982C8A">
      <w:pPr>
        <w:spacing w:line="240" w:lineRule="auto"/>
        <w:jc w:val="both"/>
        <w:rPr>
          <w:rFonts w:cstheme="minorHAnsi"/>
          <w:lang w:val="sr-Latn-ME"/>
        </w:rPr>
      </w:pPr>
    </w:p>
    <w:p w14:paraId="309FB0FB" w14:textId="53B294FA" w:rsidR="00982C8A" w:rsidRPr="00081468" w:rsidRDefault="00982C8A" w:rsidP="00982C8A">
      <w:pPr>
        <w:spacing w:line="240" w:lineRule="auto"/>
        <w:jc w:val="both"/>
        <w:rPr>
          <w:rFonts w:cstheme="minorHAnsi"/>
          <w:b/>
          <w:lang w:val="sr-Latn-ME"/>
        </w:rPr>
      </w:pPr>
      <w:r w:rsidRPr="00081468">
        <w:rPr>
          <w:rFonts w:cstheme="minorHAnsi"/>
          <w:b/>
          <w:lang w:val="sr-Latn-ME"/>
        </w:rPr>
        <w:t>DIREKCIJA ZA PROGRAMIRANJE I IMLEMENTACIJU EU FONDOVA</w:t>
      </w:r>
    </w:p>
    <w:p w14:paraId="5BE0BA3E" w14:textId="77777777" w:rsidR="009B0C51" w:rsidRPr="00081468" w:rsidRDefault="009B0C51" w:rsidP="00BD2D20">
      <w:pPr>
        <w:spacing w:line="240" w:lineRule="auto"/>
        <w:rPr>
          <w:rFonts w:cstheme="minorHAnsi"/>
          <w:lang w:val="sr-Latn-ME"/>
        </w:rPr>
      </w:pPr>
    </w:p>
    <w:p w14:paraId="584E1D39" w14:textId="59CE0FBA" w:rsidR="00182266" w:rsidRPr="00081468" w:rsidRDefault="00BD2D20" w:rsidP="00BD2D20">
      <w:pPr>
        <w:spacing w:line="240" w:lineRule="auto"/>
        <w:jc w:val="center"/>
        <w:rPr>
          <w:rFonts w:cstheme="minorHAnsi"/>
          <w:b/>
          <w:bCs/>
          <w:u w:val="single"/>
          <w:lang w:val="sr-Latn-ME"/>
        </w:rPr>
      </w:pPr>
      <w:r w:rsidRPr="00081468">
        <w:rPr>
          <w:rFonts w:cstheme="minorHAnsi"/>
          <w:b/>
          <w:bCs/>
          <w:u w:val="single"/>
          <w:lang w:val="sr-Latn-ME"/>
        </w:rPr>
        <w:t>REALIZOVANE AKTIVNOSTI KOJE SU PREDVIĐENE PROGRAMOM RADA VLADE CRNE GORE ZA 202</w:t>
      </w:r>
      <w:r w:rsidR="00982C8A" w:rsidRPr="00081468">
        <w:rPr>
          <w:rFonts w:cstheme="minorHAnsi"/>
          <w:b/>
          <w:bCs/>
          <w:u w:val="single"/>
          <w:lang w:val="sr-Latn-ME"/>
        </w:rPr>
        <w:t>2</w:t>
      </w:r>
      <w:r w:rsidRPr="00081468">
        <w:rPr>
          <w:rFonts w:cstheme="minorHAnsi"/>
          <w:b/>
          <w:bCs/>
          <w:u w:val="single"/>
          <w:lang w:val="sr-Latn-ME"/>
        </w:rPr>
        <w:t xml:space="preserve"> GODINU</w:t>
      </w:r>
    </w:p>
    <w:p w14:paraId="015CF92C" w14:textId="7B92F91F" w:rsidR="00182266" w:rsidRPr="00081468" w:rsidRDefault="001922CB" w:rsidP="00BD2D20">
      <w:pPr>
        <w:spacing w:line="240" w:lineRule="auto"/>
        <w:jc w:val="both"/>
        <w:rPr>
          <w:rFonts w:cstheme="minorHAnsi"/>
          <w:b/>
          <w:bCs/>
          <w:lang w:val="sr-Latn-ME"/>
        </w:rPr>
      </w:pPr>
      <w:r w:rsidRPr="00081468">
        <w:rPr>
          <w:rFonts w:cstheme="minorHAnsi"/>
          <w:b/>
          <w:bCs/>
          <w:lang w:val="sr-Latn-ME"/>
        </w:rPr>
        <w:t xml:space="preserve">NORMATIVNI DIO </w:t>
      </w:r>
    </w:p>
    <w:p w14:paraId="187B19FF" w14:textId="43CA201F" w:rsidR="00722956" w:rsidRPr="00081468" w:rsidRDefault="00722956" w:rsidP="00FC4CFC">
      <w:pPr>
        <w:pStyle w:val="ListParagraph"/>
        <w:numPr>
          <w:ilvl w:val="0"/>
          <w:numId w:val="75"/>
        </w:numPr>
        <w:spacing w:line="240" w:lineRule="auto"/>
        <w:ind w:left="360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Nije bilo aktivnosti predvi</w:t>
      </w:r>
      <w:r w:rsidR="004E3E35" w:rsidRPr="00081468">
        <w:rPr>
          <w:rFonts w:cstheme="minorHAnsi"/>
          <w:lang w:val="sr-Latn-ME"/>
        </w:rPr>
        <w:t>đ</w:t>
      </w:r>
      <w:r w:rsidRPr="00081468">
        <w:rPr>
          <w:rFonts w:cstheme="minorHAnsi"/>
          <w:lang w:val="sr-Latn-ME"/>
        </w:rPr>
        <w:t>enih programom rada Vlade za 202</w:t>
      </w:r>
      <w:r w:rsidR="00EE1635" w:rsidRPr="00081468">
        <w:rPr>
          <w:rFonts w:cstheme="minorHAnsi"/>
          <w:lang w:val="sr-Latn-ME"/>
        </w:rPr>
        <w:t>2</w:t>
      </w:r>
      <w:r w:rsidRPr="00081468">
        <w:rPr>
          <w:rFonts w:cstheme="minorHAnsi"/>
          <w:lang w:val="sr-Latn-ME"/>
        </w:rPr>
        <w:t xml:space="preserve">. </w:t>
      </w:r>
    </w:p>
    <w:p w14:paraId="484E609D" w14:textId="5EA79452" w:rsidR="00182266" w:rsidRPr="00081468" w:rsidRDefault="001922CB" w:rsidP="00BD2D20">
      <w:pPr>
        <w:spacing w:line="240" w:lineRule="auto"/>
        <w:jc w:val="both"/>
        <w:rPr>
          <w:rFonts w:cstheme="minorHAnsi"/>
          <w:b/>
          <w:bCs/>
          <w:lang w:val="sr-Latn-ME"/>
        </w:rPr>
      </w:pPr>
      <w:r w:rsidRPr="00081468">
        <w:rPr>
          <w:rFonts w:cstheme="minorHAnsi"/>
          <w:b/>
          <w:bCs/>
          <w:lang w:val="sr-Latn-ME"/>
        </w:rPr>
        <w:t xml:space="preserve">TEMATSKI DIO </w:t>
      </w:r>
    </w:p>
    <w:p w14:paraId="1FA447D6" w14:textId="5681E407" w:rsidR="00182266" w:rsidRPr="00081468" w:rsidRDefault="0019252F" w:rsidP="00FC4CFC">
      <w:pPr>
        <w:pStyle w:val="ListParagraph"/>
        <w:numPr>
          <w:ilvl w:val="0"/>
          <w:numId w:val="74"/>
        </w:numPr>
        <w:spacing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U skladu sa nadležnostima</w:t>
      </w:r>
      <w:r w:rsidR="001922CB" w:rsidRPr="00081468">
        <w:rPr>
          <w:rFonts w:cstheme="minorHAnsi"/>
          <w:lang w:val="sr-Latn-ME"/>
        </w:rPr>
        <w:t xml:space="preserve"> i Programskim okvirom Instrumenta pretpristupne podrške IPA 2021 – 2027 (IPA III)</w:t>
      </w:r>
      <w:r w:rsidRPr="00081468">
        <w:rPr>
          <w:rFonts w:cstheme="minorHAnsi"/>
          <w:lang w:val="sr-Latn-ME"/>
        </w:rPr>
        <w:t xml:space="preserve">, za koordinirajući resor </w:t>
      </w:r>
      <w:r w:rsidRPr="00081468">
        <w:rPr>
          <w:rFonts w:cstheme="minorHAnsi"/>
          <w:u w:val="single"/>
          <w:lang w:val="sr-Latn-ME"/>
        </w:rPr>
        <w:t>tematske cjeline IV Konkurentnost i inklu</w:t>
      </w:r>
      <w:r w:rsidR="00923ADC" w:rsidRPr="00081468">
        <w:rPr>
          <w:rFonts w:cstheme="minorHAnsi"/>
          <w:u w:val="single"/>
          <w:lang w:val="sr-Latn-ME"/>
        </w:rPr>
        <w:t>z</w:t>
      </w:r>
      <w:r w:rsidRPr="00081468">
        <w:rPr>
          <w:rFonts w:cstheme="minorHAnsi"/>
          <w:u w:val="single"/>
          <w:lang w:val="sr-Latn-ME"/>
        </w:rPr>
        <w:t>ivni r</w:t>
      </w:r>
      <w:r w:rsidR="00923ADC" w:rsidRPr="00081468">
        <w:rPr>
          <w:rFonts w:cstheme="minorHAnsi"/>
          <w:u w:val="single"/>
          <w:lang w:val="sr-Latn-ME"/>
        </w:rPr>
        <w:t>a</w:t>
      </w:r>
      <w:r w:rsidRPr="00081468">
        <w:rPr>
          <w:rFonts w:cstheme="minorHAnsi"/>
          <w:u w:val="single"/>
          <w:lang w:val="sr-Latn-ME"/>
        </w:rPr>
        <w:t>st</w:t>
      </w:r>
      <w:r w:rsidRPr="00081468">
        <w:rPr>
          <w:rFonts w:cstheme="minorHAnsi"/>
          <w:lang w:val="sr-Latn-ME"/>
        </w:rPr>
        <w:t xml:space="preserve"> u okviru </w:t>
      </w:r>
      <w:r w:rsidR="001922CB" w:rsidRPr="00081468">
        <w:rPr>
          <w:rFonts w:cstheme="minorHAnsi"/>
          <w:lang w:val="sr-Latn-ME"/>
        </w:rPr>
        <w:t xml:space="preserve">programa </w:t>
      </w:r>
      <w:r w:rsidRPr="00081468">
        <w:rPr>
          <w:rFonts w:cstheme="minorHAnsi"/>
          <w:lang w:val="sr-Latn-ME"/>
        </w:rPr>
        <w:t xml:space="preserve">IPA 2021-2027 </w:t>
      </w:r>
      <w:r w:rsidR="00153CF8" w:rsidRPr="00081468">
        <w:rPr>
          <w:rFonts w:cstheme="minorHAnsi"/>
          <w:lang w:val="sr-Latn-ME"/>
        </w:rPr>
        <w:t>imenovano je</w:t>
      </w:r>
      <w:r w:rsidRPr="00081468">
        <w:rPr>
          <w:rFonts w:cstheme="minorHAnsi"/>
          <w:lang w:val="sr-Latn-ME"/>
        </w:rPr>
        <w:t xml:space="preserve"> Ministarstvo ekonomskog razvoja</w:t>
      </w:r>
      <w:r w:rsidR="00EE1635" w:rsidRPr="00081468">
        <w:rPr>
          <w:rFonts w:cstheme="minorHAnsi"/>
          <w:lang w:val="sr-Latn-ME"/>
        </w:rPr>
        <w:t xml:space="preserve"> i turizma</w:t>
      </w:r>
      <w:r w:rsidRPr="00081468">
        <w:rPr>
          <w:rFonts w:cstheme="minorHAnsi"/>
          <w:lang w:val="sr-Latn-ME"/>
        </w:rPr>
        <w:t>.</w:t>
      </w:r>
      <w:r w:rsidR="00923ADC" w:rsidRPr="00081468">
        <w:rPr>
          <w:rFonts w:cstheme="minorHAnsi"/>
          <w:lang w:val="sr-Latn-ME"/>
        </w:rPr>
        <w:t xml:space="preserve"> U </w:t>
      </w:r>
      <w:r w:rsidR="001922CB" w:rsidRPr="00081468">
        <w:rPr>
          <w:rFonts w:cstheme="minorHAnsi"/>
          <w:lang w:val="sr-Latn-ME"/>
        </w:rPr>
        <w:t>oktobru 202</w:t>
      </w:r>
      <w:r w:rsidR="00EE1635" w:rsidRPr="00081468">
        <w:rPr>
          <w:rFonts w:cstheme="minorHAnsi"/>
          <w:lang w:val="sr-Latn-ME"/>
        </w:rPr>
        <w:t>2</w:t>
      </w:r>
      <w:r w:rsidR="001922CB" w:rsidRPr="00081468">
        <w:rPr>
          <w:rFonts w:cstheme="minorHAnsi"/>
          <w:lang w:val="sr-Latn-ME"/>
        </w:rPr>
        <w:t>. godine</w:t>
      </w:r>
      <w:r w:rsidR="00923ADC" w:rsidRPr="00081468">
        <w:rPr>
          <w:rFonts w:cstheme="minorHAnsi"/>
          <w:lang w:val="sr-Latn-ME"/>
        </w:rPr>
        <w:t xml:space="preserve"> </w:t>
      </w:r>
      <w:r w:rsidR="00EE1635" w:rsidRPr="00081468">
        <w:rPr>
          <w:rFonts w:cstheme="minorHAnsi"/>
          <w:lang w:val="sr-Latn-ME"/>
        </w:rPr>
        <w:t xml:space="preserve">revidiran je sastav </w:t>
      </w:r>
      <w:r w:rsidRPr="00081468">
        <w:rPr>
          <w:rFonts w:cstheme="minorHAnsi"/>
          <w:lang w:val="sr-Latn-ME"/>
        </w:rPr>
        <w:t>Rad</w:t>
      </w:r>
      <w:r w:rsidR="00EE1635" w:rsidRPr="00081468">
        <w:rPr>
          <w:rFonts w:cstheme="minorHAnsi"/>
          <w:lang w:val="sr-Latn-ME"/>
        </w:rPr>
        <w:t xml:space="preserve">ne </w:t>
      </w:r>
      <w:r w:rsidRPr="00081468">
        <w:rPr>
          <w:rFonts w:cstheme="minorHAnsi"/>
          <w:lang w:val="sr-Latn-ME"/>
        </w:rPr>
        <w:t>grup</w:t>
      </w:r>
      <w:r w:rsidR="00EE1635" w:rsidRPr="00081468">
        <w:rPr>
          <w:rFonts w:cstheme="minorHAnsi"/>
          <w:lang w:val="sr-Latn-ME"/>
        </w:rPr>
        <w:t>e</w:t>
      </w:r>
      <w:r w:rsidRPr="00081468">
        <w:rPr>
          <w:rFonts w:cstheme="minorHAnsi"/>
          <w:lang w:val="sr-Latn-ME"/>
        </w:rPr>
        <w:t xml:space="preserve"> </w:t>
      </w:r>
      <w:bookmarkStart w:id="1" w:name="_Hlk95481281"/>
      <w:r w:rsidRPr="00081468">
        <w:rPr>
          <w:rFonts w:cstheme="minorHAnsi"/>
          <w:lang w:val="sr-Latn-ME"/>
        </w:rPr>
        <w:t>za programiranje pretpristupne podrške EU za oblast Konkurentnost i inkluzivni rast</w:t>
      </w:r>
      <w:bookmarkEnd w:id="1"/>
      <w:r w:rsidRPr="00081468">
        <w:rPr>
          <w:rFonts w:cstheme="minorHAnsi"/>
          <w:lang w:val="sr-Latn-ME"/>
        </w:rPr>
        <w:t xml:space="preserve"> </w:t>
      </w:r>
      <w:r w:rsidR="00722956" w:rsidRPr="00081468">
        <w:rPr>
          <w:rFonts w:cstheme="minorHAnsi"/>
          <w:lang w:val="sr-Latn-ME"/>
        </w:rPr>
        <w:t xml:space="preserve">koja je zadužena za tematske prioritete: </w:t>
      </w:r>
      <w:r w:rsidR="001922CB" w:rsidRPr="00081468">
        <w:rPr>
          <w:rFonts w:cstheme="minorHAnsi"/>
          <w:lang w:val="sr-Latn-ME"/>
        </w:rPr>
        <w:t xml:space="preserve">(1) </w:t>
      </w:r>
      <w:r w:rsidRPr="00081468">
        <w:rPr>
          <w:rFonts w:cstheme="minorHAnsi"/>
          <w:lang w:val="sr-Latn-ME"/>
        </w:rPr>
        <w:t>r</w:t>
      </w:r>
      <w:r w:rsidR="00722956" w:rsidRPr="00081468">
        <w:rPr>
          <w:rFonts w:cstheme="minorHAnsi"/>
          <w:lang w:val="sr-Latn-ME"/>
        </w:rPr>
        <w:t xml:space="preserve">azvoj privatnog sektora, trgovina, istraživanje i inovacije; </w:t>
      </w:r>
      <w:r w:rsidR="001922CB" w:rsidRPr="00081468">
        <w:rPr>
          <w:rFonts w:cstheme="minorHAnsi"/>
          <w:lang w:val="sr-Latn-ME"/>
        </w:rPr>
        <w:t xml:space="preserve">(2) </w:t>
      </w:r>
      <w:r w:rsidRPr="00081468">
        <w:rPr>
          <w:rFonts w:cstheme="minorHAnsi"/>
          <w:lang w:val="sr-Latn-ME"/>
        </w:rPr>
        <w:t>p</w:t>
      </w:r>
      <w:r w:rsidR="00722956" w:rsidRPr="00081468">
        <w:rPr>
          <w:rFonts w:cstheme="minorHAnsi"/>
          <w:lang w:val="sr-Latn-ME"/>
        </w:rPr>
        <w:t xml:space="preserve">oljoprivreda i ruralni razvoj; </w:t>
      </w:r>
      <w:r w:rsidR="001922CB" w:rsidRPr="00081468">
        <w:rPr>
          <w:rFonts w:cstheme="minorHAnsi"/>
          <w:lang w:val="sr-Latn-ME"/>
        </w:rPr>
        <w:t xml:space="preserve">(3) </w:t>
      </w:r>
      <w:r w:rsidRPr="00081468">
        <w:rPr>
          <w:rFonts w:cstheme="minorHAnsi"/>
          <w:lang w:val="sr-Latn-ME"/>
        </w:rPr>
        <w:t>r</w:t>
      </w:r>
      <w:r w:rsidR="00722956" w:rsidRPr="00081468">
        <w:rPr>
          <w:rFonts w:cstheme="minorHAnsi"/>
          <w:lang w:val="sr-Latn-ME"/>
        </w:rPr>
        <w:t>ibarstvo</w:t>
      </w:r>
      <w:r w:rsidR="001922CB" w:rsidRPr="00081468">
        <w:rPr>
          <w:rFonts w:cstheme="minorHAnsi"/>
          <w:lang w:val="sr-Latn-ME"/>
        </w:rPr>
        <w:t xml:space="preserve"> i (4) </w:t>
      </w:r>
      <w:r w:rsidRPr="00081468">
        <w:rPr>
          <w:rFonts w:cstheme="minorHAnsi"/>
          <w:lang w:val="sr-Latn-ME"/>
        </w:rPr>
        <w:t>o</w:t>
      </w:r>
      <w:r w:rsidR="00722956" w:rsidRPr="00081468">
        <w:rPr>
          <w:rFonts w:cstheme="minorHAnsi"/>
          <w:lang w:val="sr-Latn-ME"/>
        </w:rPr>
        <w:t xml:space="preserve">brazovanje, zapošljavanje, socijalna zaštita, inkluzivna politika i </w:t>
      </w:r>
      <w:r w:rsidRPr="00081468">
        <w:rPr>
          <w:rFonts w:cstheme="minorHAnsi"/>
          <w:lang w:val="sr-Latn-ME"/>
        </w:rPr>
        <w:t>zdravlj</w:t>
      </w:r>
      <w:r w:rsidR="00153CF8" w:rsidRPr="00081468">
        <w:rPr>
          <w:rFonts w:cstheme="minorHAnsi"/>
          <w:lang w:val="sr-Latn-ME"/>
        </w:rPr>
        <w:t>e</w:t>
      </w:r>
      <w:r w:rsidRPr="00081468">
        <w:rPr>
          <w:rFonts w:cstheme="minorHAnsi"/>
          <w:lang w:val="sr-Latn-ME"/>
        </w:rPr>
        <w:t xml:space="preserve">. </w:t>
      </w:r>
    </w:p>
    <w:p w14:paraId="4650240C" w14:textId="77777777" w:rsidR="00BD2D20" w:rsidRPr="00081468" w:rsidRDefault="00BD2D20" w:rsidP="00BD2D20">
      <w:pPr>
        <w:pStyle w:val="ListParagraph"/>
        <w:spacing w:line="240" w:lineRule="auto"/>
        <w:ind w:left="360"/>
        <w:jc w:val="both"/>
        <w:rPr>
          <w:rFonts w:cstheme="minorHAnsi"/>
          <w:lang w:val="sr-Latn-ME"/>
        </w:rPr>
      </w:pPr>
    </w:p>
    <w:p w14:paraId="67983ABA" w14:textId="537A1457" w:rsidR="00426B96" w:rsidRPr="00081468" w:rsidRDefault="00BD2D20" w:rsidP="00BD2D20">
      <w:pPr>
        <w:spacing w:line="240" w:lineRule="auto"/>
        <w:jc w:val="center"/>
        <w:rPr>
          <w:rFonts w:cstheme="minorHAnsi"/>
          <w:b/>
          <w:bCs/>
          <w:u w:val="single"/>
          <w:lang w:val="sr-Latn-ME"/>
        </w:rPr>
      </w:pPr>
      <w:r w:rsidRPr="00081468">
        <w:rPr>
          <w:rFonts w:cstheme="minorHAnsi"/>
          <w:b/>
          <w:bCs/>
          <w:u w:val="single"/>
          <w:lang w:val="sr-Latn-ME"/>
        </w:rPr>
        <w:t xml:space="preserve">REALIZOVANE AKTIVNOSTI KOJE NIJESU PREDVIĐENE PROGRAMOM RADA VLADE CRNE GORE ZA </w:t>
      </w:r>
      <w:r w:rsidR="0060519C" w:rsidRPr="00081468">
        <w:rPr>
          <w:rFonts w:cstheme="minorHAnsi"/>
          <w:b/>
          <w:bCs/>
          <w:u w:val="single"/>
          <w:lang w:val="sr-Latn-ME"/>
        </w:rPr>
        <w:t>2022</w:t>
      </w:r>
      <w:r w:rsidRPr="00081468">
        <w:rPr>
          <w:rFonts w:cstheme="minorHAnsi"/>
          <w:b/>
          <w:bCs/>
          <w:u w:val="single"/>
          <w:lang w:val="sr-Latn-ME"/>
        </w:rPr>
        <w:t>. GODINU</w:t>
      </w:r>
    </w:p>
    <w:p w14:paraId="03AA3E06" w14:textId="5B14A427" w:rsidR="006472D4" w:rsidRPr="00081468" w:rsidRDefault="00982C8A" w:rsidP="00FC4CFC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Koordinacija </w:t>
      </w:r>
      <w:r w:rsidR="001922CB" w:rsidRPr="00081468">
        <w:rPr>
          <w:rFonts w:cstheme="minorHAnsi"/>
          <w:lang w:val="sr-Latn-ME"/>
        </w:rPr>
        <w:t>Radne grupe za programiranje IPA 2021-2027  podrške u okviru tematskog IV</w:t>
      </w:r>
      <w:r w:rsidR="006472D4" w:rsidRPr="00081468">
        <w:rPr>
          <w:rFonts w:cstheme="minorHAnsi"/>
          <w:lang w:val="sr-Latn-ME"/>
        </w:rPr>
        <w:t xml:space="preserve"> Konkurentnost i inkluzivni rast.</w:t>
      </w:r>
      <w:r w:rsidR="00426B96" w:rsidRPr="00081468">
        <w:rPr>
          <w:rFonts w:cstheme="minorHAnsi"/>
          <w:lang w:val="sr-Latn-ME"/>
        </w:rPr>
        <w:t xml:space="preserve"> </w:t>
      </w:r>
    </w:p>
    <w:p w14:paraId="351A1E62" w14:textId="315D6188" w:rsidR="006472D4" w:rsidRPr="00081468" w:rsidRDefault="006472D4" w:rsidP="00FC4CFC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bookmarkStart w:id="2" w:name="_Hlk95481421"/>
      <w:r w:rsidRPr="00081468">
        <w:rPr>
          <w:rFonts w:cstheme="minorHAnsi"/>
          <w:lang w:val="sr-Latn-ME"/>
        </w:rPr>
        <w:lastRenderedPageBreak/>
        <w:t xml:space="preserve">Učešće u radu Radne grupe za programiranje IPA 2021-2027  podrške u okviru tematskog prozora II </w:t>
      </w:r>
      <w:bookmarkEnd w:id="2"/>
      <w:r w:rsidRPr="00081468">
        <w:rPr>
          <w:rFonts w:cstheme="minorHAnsi"/>
          <w:lang w:val="sr-Latn-ME"/>
        </w:rPr>
        <w:t xml:space="preserve"> Dobro upravljanje, usklađivanje sa pravnom tekovinom, strateško komuniciranje i dobrosusjedski odnosi.</w:t>
      </w:r>
      <w:r w:rsidR="00426B96" w:rsidRPr="00081468">
        <w:rPr>
          <w:rFonts w:cstheme="minorHAnsi"/>
          <w:lang w:val="sr-Latn-ME"/>
        </w:rPr>
        <w:t xml:space="preserve"> </w:t>
      </w:r>
    </w:p>
    <w:p w14:paraId="460C63E7" w14:textId="37A91F71" w:rsidR="006472D4" w:rsidRPr="00081468" w:rsidRDefault="006472D4" w:rsidP="00FC4CFC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Učešće u radu Radne grupe za programiranje IPA 2021-2027  podrške u okviru tematskog prozora III   Zelena agenda i održivo povezivanje.</w:t>
      </w:r>
    </w:p>
    <w:p w14:paraId="646167A3" w14:textId="07B8A66C" w:rsidR="006472D4" w:rsidRPr="00081468" w:rsidRDefault="006472D4" w:rsidP="00FC4CFC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Učešće u radu Radne grupe za Pregovaračko poglavlje 22 - Regionalna politika i koordinacija strukturnih instrumenata</w:t>
      </w:r>
      <w:r w:rsidR="00923ADC" w:rsidRPr="00081468">
        <w:rPr>
          <w:rFonts w:cstheme="minorHAnsi"/>
          <w:lang w:val="sr-Latn-ME"/>
        </w:rPr>
        <w:t>.</w:t>
      </w:r>
    </w:p>
    <w:p w14:paraId="59F67E91" w14:textId="6D276D71" w:rsidR="005B4761" w:rsidRPr="00081468" w:rsidRDefault="00923ADC" w:rsidP="00FC4CFC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Pripremljen je nacrt strateškog odgovora</w:t>
      </w:r>
      <w:r w:rsidR="00812601" w:rsidRPr="00081468">
        <w:rPr>
          <w:rFonts w:cstheme="minorHAnsi"/>
          <w:lang w:val="sr-Latn-ME"/>
        </w:rPr>
        <w:t xml:space="preserve"> i Action Fiche</w:t>
      </w:r>
      <w:r w:rsidRPr="00081468">
        <w:rPr>
          <w:rFonts w:cstheme="minorHAnsi"/>
          <w:lang w:val="sr-Latn-ME"/>
        </w:rPr>
        <w:t xml:space="preserve"> u okviru Prozora </w:t>
      </w:r>
      <w:r w:rsidR="001922CB" w:rsidRPr="00081468">
        <w:rPr>
          <w:rFonts w:cstheme="minorHAnsi"/>
          <w:lang w:val="sr-Latn-ME"/>
        </w:rPr>
        <w:t>IV</w:t>
      </w:r>
      <w:r w:rsidRPr="00081468">
        <w:rPr>
          <w:rFonts w:cstheme="minorHAnsi"/>
          <w:lang w:val="sr-Latn-ME"/>
        </w:rPr>
        <w:t xml:space="preserve"> – Konkurentnost i inkluzivni rast za i Tematski prioritet 2: Razvoj privatnog sektora, trgovina, istraživanje i inovacije, Tematski prioritet 3: Poljoprivreda i ruralni razvoj i Tematski prioritet 4: Ribarstvo. </w:t>
      </w:r>
      <w:r w:rsidR="007A2E33" w:rsidRPr="00081468">
        <w:rPr>
          <w:rFonts w:cstheme="minorHAnsi"/>
          <w:lang w:val="sr-Latn-ME"/>
        </w:rPr>
        <w:t xml:space="preserve">U narednom periodu </w:t>
      </w:r>
      <w:r w:rsidR="000405B9" w:rsidRPr="00081468">
        <w:rPr>
          <w:rFonts w:cstheme="minorHAnsi"/>
          <w:lang w:val="sr-Latn-ME"/>
        </w:rPr>
        <w:t xml:space="preserve">se očekuje izrada jednog akcionog dokumenta za program IPA 2024 koji bi u oblastima konkurentnosti i inovacija predstavljao nastavak aktivnosti koji se realizuju u okviru EU instrumenta za podršku reformama iz programa IPA 2021 </w:t>
      </w:r>
      <w:r w:rsidR="007A2E33" w:rsidRPr="00081468">
        <w:rPr>
          <w:rFonts w:cstheme="minorHAnsi"/>
          <w:lang w:val="sr-Latn-ME"/>
        </w:rPr>
        <w:t>.</w:t>
      </w:r>
    </w:p>
    <w:p w14:paraId="1C9E66B0" w14:textId="4C17E082" w:rsidR="00EE1635" w:rsidRPr="00081468" w:rsidRDefault="00EE1635" w:rsidP="00FC4CFC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Započet je proces definisanja predloga za implementaciju EU Reformskog instrumenta IPA 2021 ukupne vrijednsti 10 miliona eura</w:t>
      </w:r>
    </w:p>
    <w:p w14:paraId="4B0CC254" w14:textId="7D4C3ABF" w:rsidR="00EE1635" w:rsidRPr="00081468" w:rsidRDefault="00EE1635" w:rsidP="00FC4CFC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Uspješno je definisan nacrt predloga za podršku razvoju privarnog sektora u okviru Paketa pomoći Evropske unije za prevazilaženje posljedica energetske krize ukupna vrijednosti 30 miliona eura, od čega će za dva programa za podršku privatno</w:t>
      </w:r>
      <w:r w:rsidR="00081468" w:rsidRPr="00081468">
        <w:rPr>
          <w:rFonts w:cstheme="minorHAnsi"/>
          <w:lang w:val="sr-Latn-ME"/>
        </w:rPr>
        <w:t>m</w:t>
      </w:r>
      <w:r w:rsidRPr="00081468">
        <w:rPr>
          <w:rFonts w:cstheme="minorHAnsi"/>
          <w:lang w:val="sr-Latn-ME"/>
        </w:rPr>
        <w:t xml:space="preserve"> sektoru biti izdvojeno 5 miliona eura</w:t>
      </w:r>
      <w:r w:rsidR="00081468" w:rsidRPr="00081468">
        <w:rPr>
          <w:rFonts w:cstheme="minorHAnsi"/>
          <w:lang w:val="sr-Latn-ME"/>
        </w:rPr>
        <w:t>. Implementacija programa planirana je u 2023. godini.</w:t>
      </w:r>
    </w:p>
    <w:p w14:paraId="18D43C3F" w14:textId="60FE373D" w:rsidR="001516E6" w:rsidRPr="00081468" w:rsidRDefault="00BD2D20" w:rsidP="000405B9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U toku 202</w:t>
      </w:r>
      <w:r w:rsidR="00BC5EED" w:rsidRPr="00081468">
        <w:rPr>
          <w:rFonts w:cstheme="minorHAnsi"/>
          <w:lang w:val="sr-Latn-ME"/>
        </w:rPr>
        <w:t>2</w:t>
      </w:r>
      <w:r w:rsidRPr="00081468">
        <w:rPr>
          <w:rFonts w:cstheme="minorHAnsi"/>
          <w:lang w:val="sr-Latn-ME"/>
        </w:rPr>
        <w:t>. godine sprovedeno je redovno praćenje realizacije projekata u okviru Godišnjeg akcijskog programa IPA za 2016. godinu, u nadležnosti Ministarstva ekonomskog razvoja</w:t>
      </w:r>
      <w:r w:rsidR="00BC5EED" w:rsidRPr="00081468">
        <w:rPr>
          <w:rFonts w:cstheme="minorHAnsi"/>
          <w:lang w:val="sr-Latn-ME"/>
        </w:rPr>
        <w:t xml:space="preserve"> i turizma</w:t>
      </w:r>
      <w:r w:rsidRPr="00081468">
        <w:rPr>
          <w:rFonts w:cstheme="minorHAnsi"/>
          <w:lang w:val="sr-Latn-ME"/>
        </w:rPr>
        <w:t xml:space="preserve"> za sedam projekta, za čiju je realizaciju opredijeljeno 5,</w:t>
      </w:r>
      <w:r w:rsidR="001922CB" w:rsidRPr="00081468">
        <w:rPr>
          <w:rFonts w:cstheme="minorHAnsi"/>
          <w:lang w:val="sr-Latn-ME"/>
        </w:rPr>
        <w:t>6 miliona eura</w:t>
      </w:r>
      <w:r w:rsidRPr="00081468">
        <w:rPr>
          <w:rFonts w:cstheme="minorHAnsi"/>
          <w:lang w:val="sr-Latn-ME"/>
        </w:rPr>
        <w:t xml:space="preserve">. Od ukupno 9 predviđenih projekata, 7 je ugovoreno, uspješno su realizovana </w:t>
      </w:r>
      <w:r w:rsidR="00BC5EED" w:rsidRPr="00081468">
        <w:rPr>
          <w:rFonts w:cstheme="minorHAnsi"/>
          <w:lang w:val="sr-Latn-ME"/>
        </w:rPr>
        <w:t>6</w:t>
      </w:r>
      <w:r w:rsidRPr="00081468">
        <w:rPr>
          <w:rFonts w:cstheme="minorHAnsi"/>
          <w:lang w:val="sr-Latn-ME"/>
        </w:rPr>
        <w:t xml:space="preserve"> projekta, dok se </w:t>
      </w:r>
      <w:r w:rsidR="00BC5EED" w:rsidRPr="00081468">
        <w:rPr>
          <w:rFonts w:cstheme="minorHAnsi"/>
          <w:lang w:val="sr-Latn-ME"/>
        </w:rPr>
        <w:t xml:space="preserve">1 </w:t>
      </w:r>
      <w:r w:rsidRPr="00081468">
        <w:rPr>
          <w:rFonts w:cstheme="minorHAnsi"/>
          <w:lang w:val="sr-Latn-ME"/>
        </w:rPr>
        <w:t>projek</w:t>
      </w:r>
      <w:r w:rsidR="00BC5EED" w:rsidRPr="00081468">
        <w:rPr>
          <w:rFonts w:cstheme="minorHAnsi"/>
          <w:lang w:val="sr-Latn-ME"/>
        </w:rPr>
        <w:t>at</w:t>
      </w:r>
      <w:r w:rsidRPr="00081468">
        <w:rPr>
          <w:rFonts w:cstheme="minorHAnsi"/>
          <w:lang w:val="sr-Latn-ME"/>
        </w:rPr>
        <w:t xml:space="preserve"> još uvijek sprovod</w:t>
      </w:r>
      <w:r w:rsidR="00BC5EED" w:rsidRPr="00081468">
        <w:rPr>
          <w:rFonts w:cstheme="minorHAnsi"/>
          <w:lang w:val="sr-Latn-ME"/>
        </w:rPr>
        <w:t>i</w:t>
      </w:r>
      <w:r w:rsidRPr="00081468">
        <w:rPr>
          <w:rFonts w:cstheme="minorHAnsi"/>
          <w:lang w:val="sr-Latn-ME"/>
        </w:rPr>
        <w:t xml:space="preserve">. </w:t>
      </w:r>
    </w:p>
    <w:p w14:paraId="62A8AA32" w14:textId="43805A36" w:rsidR="00B056FB" w:rsidRPr="00081468" w:rsidRDefault="004F4A20" w:rsidP="008D59FF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iCs/>
          <w:lang w:val="sr-Latn-ME"/>
        </w:rPr>
      </w:pPr>
      <w:r w:rsidRPr="00081468">
        <w:rPr>
          <w:rFonts w:cstheme="minorHAnsi"/>
          <w:lang w:val="sr-Latn-ME"/>
        </w:rPr>
        <w:t>U okviru Akcijskog dokumenta za jačanje Konkurentnosti i inovacija IPA 2020, od ukupno predviđenih 6 projekata</w:t>
      </w:r>
      <w:r w:rsidR="0060519C" w:rsidRPr="00081468">
        <w:rPr>
          <w:rFonts w:cstheme="minorHAnsi"/>
          <w:lang w:val="sr-Latn-ME"/>
        </w:rPr>
        <w:t xml:space="preserve"> za koje je opredijeno 4,3 miliona eura</w:t>
      </w:r>
      <w:r w:rsidRPr="00081468">
        <w:rPr>
          <w:rFonts w:cstheme="minorHAnsi"/>
          <w:lang w:val="sr-Latn-ME"/>
        </w:rPr>
        <w:t xml:space="preserve">, započela je realizacija </w:t>
      </w:r>
      <w:r w:rsidR="0060519C" w:rsidRPr="00081468">
        <w:rPr>
          <w:rFonts w:cstheme="minorHAnsi"/>
          <w:lang w:val="sr-Latn-ME"/>
        </w:rPr>
        <w:t>tri</w:t>
      </w:r>
      <w:r w:rsidRPr="00081468">
        <w:rPr>
          <w:rFonts w:cstheme="minorHAnsi"/>
          <w:lang w:val="sr-Latn-ME"/>
        </w:rPr>
        <w:t xml:space="preserve"> ugovora, dok </w:t>
      </w:r>
      <w:r w:rsidR="0060519C" w:rsidRPr="00081468">
        <w:rPr>
          <w:rFonts w:cstheme="minorHAnsi"/>
          <w:lang w:val="sr-Latn-ME"/>
        </w:rPr>
        <w:t>su</w:t>
      </w:r>
      <w:r w:rsidRPr="00081468">
        <w:rPr>
          <w:rFonts w:cstheme="minorHAnsi"/>
          <w:lang w:val="sr-Latn-ME"/>
        </w:rPr>
        <w:t xml:space="preserve"> preostala </w:t>
      </w:r>
      <w:r w:rsidR="0060519C" w:rsidRPr="00081468">
        <w:rPr>
          <w:rFonts w:cstheme="minorHAnsi"/>
          <w:lang w:val="sr-Latn-ME"/>
        </w:rPr>
        <w:t>četiri</w:t>
      </w:r>
      <w:r w:rsidRPr="00081468">
        <w:rPr>
          <w:rFonts w:cstheme="minorHAnsi"/>
          <w:lang w:val="sr-Latn-ME"/>
        </w:rPr>
        <w:t xml:space="preserve"> ugovora</w:t>
      </w:r>
      <w:r w:rsidR="0060519C" w:rsidRPr="00081468">
        <w:rPr>
          <w:rFonts w:cstheme="minorHAnsi"/>
          <w:lang w:val="sr-Latn-ME"/>
        </w:rPr>
        <w:t xml:space="preserve"> u fazi ugovaranja</w:t>
      </w:r>
      <w:r w:rsidRPr="00081468">
        <w:rPr>
          <w:rFonts w:cstheme="minorHAnsi"/>
          <w:lang w:val="sr-Latn-ME"/>
        </w:rPr>
        <w:t xml:space="preserve">  </w:t>
      </w:r>
      <w:r w:rsidR="002C743A" w:rsidRPr="00081468">
        <w:rPr>
          <w:rFonts w:cstheme="minorHAnsi"/>
          <w:bCs/>
          <w:lang w:val="sr-Latn-ME"/>
        </w:rPr>
        <w:t>i to: (1) grant šem</w:t>
      </w:r>
      <w:r w:rsidR="0060519C" w:rsidRPr="00081468">
        <w:rPr>
          <w:rFonts w:cstheme="minorHAnsi"/>
          <w:bCs/>
          <w:lang w:val="sr-Latn-ME"/>
        </w:rPr>
        <w:t>a</w:t>
      </w:r>
      <w:r w:rsidR="002C743A" w:rsidRPr="00081468">
        <w:rPr>
          <w:rFonts w:cstheme="minorHAnsi"/>
          <w:bCs/>
          <w:lang w:val="sr-Latn-ME"/>
        </w:rPr>
        <w:t xml:space="preserve"> “Unapređenje konkurentnosti malih i srednjih preduzeća kroz podršku ženskom preduzetništvu i preduzetništvu mladih”, (2) grant šem</w:t>
      </w:r>
      <w:r w:rsidR="0060519C" w:rsidRPr="00081468">
        <w:rPr>
          <w:rFonts w:cstheme="minorHAnsi"/>
          <w:bCs/>
          <w:lang w:val="sr-Latn-ME"/>
        </w:rPr>
        <w:t>a</w:t>
      </w:r>
      <w:r w:rsidR="002C743A" w:rsidRPr="00081468">
        <w:rPr>
          <w:rFonts w:cstheme="minorHAnsi"/>
          <w:bCs/>
          <w:lang w:val="sr-Latn-ME"/>
        </w:rPr>
        <w:t xml:space="preserve"> „Podrška implementaciji Strategije pamentne specijalizacije (S3) kroz projekte” i (3) ugovor o uslugama „</w:t>
      </w:r>
      <w:r w:rsidR="00AF1C85" w:rsidRPr="00081468">
        <w:rPr>
          <w:rFonts w:cstheme="minorHAnsi"/>
          <w:bCs/>
          <w:lang w:val="sr-Latn-ME"/>
        </w:rPr>
        <w:t>Uspostavljanje naprednih usluga za podršku razvoju malih i srednjih preduzeća“</w:t>
      </w:r>
      <w:r w:rsidR="0060519C" w:rsidRPr="00081468">
        <w:rPr>
          <w:rFonts w:cstheme="minorHAnsi"/>
          <w:lang w:val="sr-Latn-ME"/>
        </w:rPr>
        <w:t xml:space="preserve"> i </w:t>
      </w:r>
      <w:r w:rsidR="0060519C" w:rsidRPr="00081468">
        <w:rPr>
          <w:rFonts w:cstheme="minorHAnsi"/>
          <w:bCs/>
          <w:lang w:val="sr-Latn-ME"/>
        </w:rPr>
        <w:t xml:space="preserve">(4) </w:t>
      </w:r>
      <w:r w:rsidR="00B056FB" w:rsidRPr="00081468">
        <w:rPr>
          <w:rFonts w:cstheme="minorHAnsi"/>
          <w:lang w:val="sr-Latn-ME"/>
        </w:rPr>
        <w:t>„Poboljšanje tehničkih kapaciteta institucija uključenih u sektor konkurentnosti i inovacija – laboratorijska oprema za metrologiju (Lot 2)“.</w:t>
      </w:r>
    </w:p>
    <w:p w14:paraId="42D2E9F7" w14:textId="19A9905C" w:rsidR="004F4A20" w:rsidRPr="00081468" w:rsidRDefault="004F4A20" w:rsidP="004F4A20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iCs/>
          <w:lang w:val="sr-Latn-ME"/>
        </w:rPr>
      </w:pPr>
      <w:r w:rsidRPr="00081468">
        <w:rPr>
          <w:rFonts w:cstheme="minorHAnsi"/>
          <w:iCs/>
          <w:lang w:val="sr-Latn-ME"/>
        </w:rPr>
        <w:t xml:space="preserve">Ministarstvo ekonomskog razvoja i turizma u saradnji sa Ministarstvom finansija, uz podršku Delegacije Evropske unije u Crnoj Gori je </w:t>
      </w:r>
      <w:r w:rsidR="001743F6" w:rsidRPr="00081468">
        <w:rPr>
          <w:rFonts w:cstheme="minorHAnsi"/>
          <w:iCs/>
          <w:lang w:val="sr-Latn-ME"/>
        </w:rPr>
        <w:t>u oktobru 202</w:t>
      </w:r>
      <w:r w:rsidR="00081468" w:rsidRPr="00081468">
        <w:rPr>
          <w:rFonts w:cstheme="minorHAnsi"/>
          <w:iCs/>
          <w:lang w:val="sr-Latn-ME"/>
        </w:rPr>
        <w:t>2</w:t>
      </w:r>
      <w:r w:rsidR="001743F6" w:rsidRPr="00081468">
        <w:rPr>
          <w:rFonts w:cstheme="minorHAnsi"/>
          <w:iCs/>
          <w:lang w:val="sr-Latn-ME"/>
        </w:rPr>
        <w:t xml:space="preserve">. godine je objavilo Poziv za dodjelu bespovratnih sredstava u okviru grant šeme </w:t>
      </w:r>
      <w:r w:rsidRPr="00081468">
        <w:rPr>
          <w:rFonts w:cstheme="minorHAnsi"/>
          <w:iCs/>
          <w:lang w:val="sr-Latn-ME"/>
        </w:rPr>
        <w:t>„Unapređenje konkurentnosti malih i srednjih preduzeća kroz podršku ženskom preduzetništvu i preduzetništvu mladih”</w:t>
      </w:r>
      <w:r w:rsidR="001743F6" w:rsidRPr="00081468">
        <w:rPr>
          <w:rFonts w:cstheme="minorHAnsi"/>
          <w:iCs/>
          <w:lang w:val="sr-Latn-ME"/>
        </w:rPr>
        <w:t>. Grant šema će pružiti podršku projektima koji za cilj imaju jačanje kapaciteta mikro, malih i srednjih preduzeća (MMSP) u vlasništvu žena i u vlasništvu mladih, kroz direktnu grant podršku, sa ciljem doprinosa ekonomskom rastu.</w:t>
      </w:r>
      <w:r w:rsidR="001743F6" w:rsidRPr="00081468">
        <w:rPr>
          <w:rFonts w:cstheme="minorHAnsi"/>
        </w:rPr>
        <w:t xml:space="preserve"> Cilj</w:t>
      </w:r>
      <w:r w:rsidR="00307259" w:rsidRPr="00081468">
        <w:rPr>
          <w:rFonts w:cstheme="minorHAnsi"/>
        </w:rPr>
        <w:t>n</w:t>
      </w:r>
      <w:r w:rsidR="001743F6" w:rsidRPr="00081468">
        <w:rPr>
          <w:rFonts w:cstheme="minorHAnsi"/>
        </w:rPr>
        <w:t>e grupe poziva su</w:t>
      </w:r>
      <w:r w:rsidR="001743F6" w:rsidRPr="00081468">
        <w:rPr>
          <w:rFonts w:cstheme="minorHAnsi"/>
          <w:iCs/>
          <w:lang w:val="sr-Latn-ME"/>
        </w:rPr>
        <w:t xml:space="preserve"> MMSP u vlasništvu žena, MMSP u vlasništvu mladih, inovaciono-preduzetnički centar, poslovno-tehnološki inkubator i centar za transfer tehnologija definisani Zakonom o inovacionoj delatnosti, kao i NVO koje se bave oblastima razvoja poslovanja, ženskog preduzetništva, preduzetništva mladih, promocije izvoza itd.</w:t>
      </w:r>
      <w:r w:rsidR="001743F6" w:rsidRPr="00081468">
        <w:rPr>
          <w:rFonts w:cstheme="minorHAnsi"/>
        </w:rPr>
        <w:t xml:space="preserve"> </w:t>
      </w:r>
      <w:r w:rsidR="001743F6" w:rsidRPr="00081468">
        <w:rPr>
          <w:rFonts w:cstheme="minorHAnsi"/>
          <w:iCs/>
          <w:lang w:val="sr-Latn-ME"/>
        </w:rPr>
        <w:t xml:space="preserve">Ukupan raspoloživi iznos sredstava je 300.000,00 EUR. U cilju upoznavanja potencijalnih aplikanata sa glavnim karakteristikama poziva i načinom apliciranja organizovane je pet (5) infomativnih sesija. Dodatno, u okviru projekta Smart Adria Blue Growth programa prekogranične saradnje Italija-Albanija-Crna Gora, organizovana je obuka za pisanje sažetaka projekata (Concep Note) za navedenu grant šemu. </w:t>
      </w:r>
    </w:p>
    <w:p w14:paraId="5821F378" w14:textId="21EBEB71" w:rsidR="009B0C51" w:rsidRPr="00081468" w:rsidRDefault="001743F6" w:rsidP="000A1CCD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iCs/>
          <w:lang w:val="sr-Latn-ME"/>
        </w:rPr>
      </w:pPr>
      <w:r w:rsidRPr="00081468">
        <w:rPr>
          <w:rFonts w:cstheme="minorHAnsi"/>
          <w:iCs/>
          <w:lang w:val="sr-Latn-ME"/>
        </w:rPr>
        <w:t xml:space="preserve">Takođe, Ministarstvo ekonomskog razvoja i turizma u saradnji sa Ministarstvom finansija i Ministarstvom nauke i tehnološkog razvoja, uz podršku Delegacije Evropske unije u Crnoj Gori, objavilo je Poziv za dodjelu bespovratnih sredstava u okviru grant šeme “Podrška implementaciji </w:t>
      </w:r>
      <w:r w:rsidRPr="00081468">
        <w:rPr>
          <w:rFonts w:cstheme="minorHAnsi"/>
          <w:iCs/>
          <w:lang w:val="sr-Latn-ME"/>
        </w:rPr>
        <w:lastRenderedPageBreak/>
        <w:t>Strategije pamentne specijalizacije (S3) kroz projekte”. Grant šema ima za cilj da doprinese jačanju ekonomske konkurentnosti i inovacionih kapaciteta Crne Gore kroz jačanje veza između nauke i industrije.</w:t>
      </w:r>
      <w:r w:rsidRPr="00081468">
        <w:rPr>
          <w:rFonts w:cstheme="minorHAnsi"/>
        </w:rPr>
        <w:t xml:space="preserve"> </w:t>
      </w:r>
      <w:r w:rsidR="00307259" w:rsidRPr="00081468">
        <w:rPr>
          <w:rFonts w:cstheme="minorHAnsi"/>
        </w:rPr>
        <w:t xml:space="preserve">Ciljne grupe Poziva su mikro, mala ili srednja preduzeća, naučno-istraživačke ustanove, javni Iili privatni univerziteti, kao i subjekti inovacione infrastrukture. </w:t>
      </w:r>
      <w:r w:rsidRPr="00081468">
        <w:rPr>
          <w:rFonts w:cstheme="minorHAnsi"/>
          <w:iCs/>
          <w:lang w:val="sr-Latn-ME"/>
        </w:rPr>
        <w:t xml:space="preserve">Ukupan raspoloživi iznos sredstava je 900.000,00 EUR. U cilju upoznavanja potencijalnih aplikanata sa glavnim karakteristikama poziva i načinom apliciranja </w:t>
      </w:r>
      <w:r w:rsidR="00307259" w:rsidRPr="00081468">
        <w:rPr>
          <w:rFonts w:cstheme="minorHAnsi"/>
          <w:iCs/>
          <w:lang w:val="sr-Latn-ME"/>
        </w:rPr>
        <w:t xml:space="preserve">u </w:t>
      </w:r>
      <w:r w:rsidR="0060519C" w:rsidRPr="00081468">
        <w:rPr>
          <w:rFonts w:cstheme="minorHAnsi"/>
          <w:iCs/>
          <w:lang w:val="sr-Latn-ME"/>
        </w:rPr>
        <w:t>januaru 2023.</w:t>
      </w:r>
      <w:r w:rsidR="00307259" w:rsidRPr="00081468">
        <w:rPr>
          <w:rFonts w:cstheme="minorHAnsi"/>
          <w:iCs/>
          <w:lang w:val="sr-Latn-ME"/>
        </w:rPr>
        <w:t xml:space="preserve"> </w:t>
      </w:r>
      <w:r w:rsidR="0060519C" w:rsidRPr="00081468">
        <w:rPr>
          <w:rFonts w:cstheme="minorHAnsi"/>
          <w:iCs/>
          <w:lang w:val="sr-Latn-ME"/>
        </w:rPr>
        <w:t>je planirano da se organizuju</w:t>
      </w:r>
      <w:r w:rsidRPr="00081468">
        <w:rPr>
          <w:rFonts w:cstheme="minorHAnsi"/>
          <w:iCs/>
          <w:lang w:val="sr-Latn-ME"/>
        </w:rPr>
        <w:t xml:space="preserve"> četiri (</w:t>
      </w:r>
      <w:r w:rsidR="00307259" w:rsidRPr="00081468">
        <w:rPr>
          <w:rFonts w:cstheme="minorHAnsi"/>
          <w:iCs/>
          <w:lang w:val="sr-Latn-ME"/>
        </w:rPr>
        <w:t>4</w:t>
      </w:r>
      <w:r w:rsidRPr="00081468">
        <w:rPr>
          <w:rFonts w:cstheme="minorHAnsi"/>
          <w:iCs/>
          <w:lang w:val="sr-Latn-ME"/>
        </w:rPr>
        <w:t>) infomativn</w:t>
      </w:r>
      <w:r w:rsidR="00307259" w:rsidRPr="00081468">
        <w:rPr>
          <w:rFonts w:cstheme="minorHAnsi"/>
          <w:iCs/>
          <w:lang w:val="sr-Latn-ME"/>
        </w:rPr>
        <w:t>e</w:t>
      </w:r>
      <w:r w:rsidRPr="00081468">
        <w:rPr>
          <w:rFonts w:cstheme="minorHAnsi"/>
          <w:iCs/>
          <w:lang w:val="sr-Latn-ME"/>
        </w:rPr>
        <w:t xml:space="preserve"> sesij</w:t>
      </w:r>
      <w:r w:rsidR="00307259" w:rsidRPr="00081468">
        <w:rPr>
          <w:rFonts w:cstheme="minorHAnsi"/>
          <w:iCs/>
          <w:lang w:val="sr-Latn-ME"/>
        </w:rPr>
        <w:t>e. Dodatno, u okviru projekta „Jačanje kapaciteta za podršku primjeni Strategije pametne specijalizacije“</w:t>
      </w:r>
      <w:r w:rsidR="0060519C" w:rsidRPr="00081468">
        <w:rPr>
          <w:rFonts w:cstheme="minorHAnsi"/>
          <w:iCs/>
          <w:lang w:val="sr-Latn-ME"/>
        </w:rPr>
        <w:t xml:space="preserve"> i </w:t>
      </w:r>
      <w:r w:rsidR="00307259" w:rsidRPr="00081468">
        <w:rPr>
          <w:rFonts w:cstheme="minorHAnsi"/>
          <w:iCs/>
          <w:lang w:val="sr-Latn-ME"/>
        </w:rPr>
        <w:t xml:space="preserve">obuka za pisanje sažetaka projekata (Concept Note).  </w:t>
      </w:r>
    </w:p>
    <w:p w14:paraId="3C12F4DC" w14:textId="4EA582EF" w:rsidR="00182266" w:rsidRPr="00081468" w:rsidRDefault="00182266" w:rsidP="000A1CCD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Učešće u radu zajedničkih odbora za nadgledanje u okviru IPA programa prekogranične saradnje Crna Gora-Albanija, Crna Gora-Kosovo, Srbija-Crna Gora i Bosna i Hercegovina-Crna Gora</w:t>
      </w:r>
      <w:r w:rsidR="005719E1" w:rsidRPr="00081468">
        <w:rPr>
          <w:rFonts w:cstheme="minorHAnsi"/>
          <w:lang w:val="sr-Latn-ME"/>
        </w:rPr>
        <w:t xml:space="preserve">, Italija -Albanija – Crna Gora, Hrvatske – Bosna i Hercegovina – Crna Gora. </w:t>
      </w:r>
    </w:p>
    <w:p w14:paraId="3E9CDAFF" w14:textId="4F8A0565" w:rsidR="005719E1" w:rsidRPr="00081468" w:rsidRDefault="005719E1" w:rsidP="000A1CCD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 xml:space="preserve">Koordinacija u sprovođenju Programa unije (SMP). </w:t>
      </w:r>
    </w:p>
    <w:p w14:paraId="3E4861C1" w14:textId="3C0174FE" w:rsidR="00182266" w:rsidRPr="00081468" w:rsidRDefault="00182266" w:rsidP="000A1CCD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t>Koordinacija donatorske podrške Ministarstva ekonomskog razvoja</w:t>
      </w:r>
      <w:r w:rsidR="001516E6" w:rsidRPr="00081468">
        <w:rPr>
          <w:rFonts w:cstheme="minorHAnsi"/>
          <w:lang w:val="sr-Latn-ME"/>
        </w:rPr>
        <w:t xml:space="preserve"> i turizma</w:t>
      </w:r>
      <w:r w:rsidRPr="00081468">
        <w:rPr>
          <w:rFonts w:cstheme="minorHAnsi"/>
          <w:lang w:val="sr-Latn-ME"/>
        </w:rPr>
        <w:t xml:space="preserve"> – pripremljena je donatorska matrica sa predgledom svih projekata i ista se kvartalno ažurira i kontinuirano prati. </w:t>
      </w:r>
    </w:p>
    <w:p w14:paraId="1E595786" w14:textId="77777777" w:rsidR="00BD2D20" w:rsidRPr="00081468" w:rsidRDefault="00BD2D20" w:rsidP="000A1CCD">
      <w:pPr>
        <w:spacing w:after="0"/>
        <w:jc w:val="both"/>
        <w:rPr>
          <w:rFonts w:cstheme="minorHAnsi"/>
          <w:b/>
          <w:bCs/>
          <w:lang w:val="en-GB"/>
        </w:rPr>
      </w:pPr>
    </w:p>
    <w:p w14:paraId="1DD9A791" w14:textId="77777777" w:rsidR="00B64913" w:rsidRPr="00081468" w:rsidRDefault="00B64913" w:rsidP="000A1CCD">
      <w:pPr>
        <w:spacing w:after="0"/>
        <w:jc w:val="both"/>
        <w:rPr>
          <w:rFonts w:cstheme="minorHAnsi"/>
          <w:b/>
          <w:bCs/>
          <w:lang w:val="en-GB"/>
        </w:rPr>
      </w:pPr>
    </w:p>
    <w:p w14:paraId="6ED43EDB" w14:textId="77777777" w:rsidR="000A1CCD" w:rsidRPr="00081468" w:rsidRDefault="000A1CCD" w:rsidP="00B64913">
      <w:pPr>
        <w:spacing w:after="0"/>
        <w:rPr>
          <w:rFonts w:cstheme="minorHAnsi"/>
          <w:b/>
          <w:bCs/>
          <w:lang w:val="en-GB"/>
        </w:rPr>
      </w:pPr>
    </w:p>
    <w:p w14:paraId="3C3D73D5" w14:textId="77777777" w:rsidR="000A1CCD" w:rsidRPr="00081468" w:rsidRDefault="000A1CCD" w:rsidP="00B64913">
      <w:pPr>
        <w:spacing w:after="0"/>
        <w:rPr>
          <w:rFonts w:cstheme="minorHAnsi"/>
          <w:b/>
          <w:bCs/>
          <w:lang w:val="en-GB"/>
        </w:rPr>
      </w:pPr>
    </w:p>
    <w:p w14:paraId="780FA2D2" w14:textId="5F7C3D03" w:rsidR="00B64913" w:rsidRPr="00081468" w:rsidRDefault="00182266" w:rsidP="00B64913">
      <w:pPr>
        <w:spacing w:after="0"/>
        <w:rPr>
          <w:rFonts w:cstheme="minorHAnsi"/>
          <w:b/>
          <w:bCs/>
          <w:lang w:val="sr-Latn-ME"/>
        </w:rPr>
      </w:pPr>
      <w:r w:rsidRPr="00081468">
        <w:rPr>
          <w:rFonts w:cstheme="minorHAnsi"/>
          <w:b/>
          <w:bCs/>
          <w:lang w:val="en-GB"/>
        </w:rPr>
        <w:t xml:space="preserve">Prilog 1: </w:t>
      </w:r>
      <w:r w:rsidRPr="00081468">
        <w:rPr>
          <w:rFonts w:cstheme="minorHAnsi"/>
          <w:b/>
          <w:bCs/>
          <w:lang w:val="sr-Latn-ME"/>
        </w:rPr>
        <w:t xml:space="preserve">Pregled IPA projekata Ministarstva ekonomskog razvoja </w:t>
      </w:r>
      <w:r w:rsidR="00B64913" w:rsidRPr="00081468">
        <w:rPr>
          <w:rFonts w:cstheme="minorHAnsi"/>
          <w:b/>
          <w:bCs/>
          <w:lang w:val="sr-Latn-ME"/>
        </w:rPr>
        <w:t>i turizma</w:t>
      </w:r>
      <w:r w:rsidRPr="00081468">
        <w:rPr>
          <w:rFonts w:cstheme="minorHAnsi"/>
          <w:b/>
          <w:bCs/>
          <w:lang w:val="sr-Latn-ME"/>
        </w:rPr>
        <w:t xml:space="preserve">           </w:t>
      </w:r>
    </w:p>
    <w:p w14:paraId="3E84D9B7" w14:textId="77777777" w:rsidR="00B64913" w:rsidRPr="00081468" w:rsidRDefault="00B64913" w:rsidP="00B64913">
      <w:pPr>
        <w:spacing w:after="0"/>
        <w:rPr>
          <w:rFonts w:cstheme="minorHAnsi"/>
          <w:b/>
          <w:bCs/>
          <w:lang w:val="sr-Latn-ME"/>
        </w:rPr>
      </w:pPr>
    </w:p>
    <w:p w14:paraId="6E9A54C5" w14:textId="49A6C4B5" w:rsidR="00D07E96" w:rsidRPr="00081468" w:rsidRDefault="00B64913" w:rsidP="00B64913">
      <w:pPr>
        <w:spacing w:after="0"/>
        <w:rPr>
          <w:rFonts w:cstheme="minorHAnsi"/>
          <w:b/>
          <w:bCs/>
          <w:lang w:val="sr-Latn-ME"/>
        </w:rPr>
      </w:pPr>
      <w:r w:rsidRPr="00081468">
        <w:rPr>
          <w:rFonts w:cstheme="minorHAnsi"/>
          <w:b/>
          <w:bCs/>
          <w:lang w:val="sr-Latn-ME"/>
        </w:rPr>
        <w:t xml:space="preserve">                               </w:t>
      </w:r>
      <w:r w:rsidR="00D07E96" w:rsidRPr="00081468">
        <w:rPr>
          <w:rFonts w:cstheme="minorHAnsi"/>
          <w:b/>
          <w:bCs/>
          <w:lang w:val="sr-Latn-ME"/>
        </w:rPr>
        <w:t xml:space="preserve">PROJEKTI MINISTARSTVA EKONOMSKOG RAZVOJA </w:t>
      </w:r>
      <w:r w:rsidR="00EC701B" w:rsidRPr="00081468">
        <w:rPr>
          <w:rFonts w:cstheme="minorHAnsi"/>
          <w:b/>
          <w:bCs/>
          <w:lang w:val="sr-Latn-ME"/>
        </w:rPr>
        <w:t xml:space="preserve">I TURIZMA </w:t>
      </w:r>
      <w:r w:rsidR="00D07E96" w:rsidRPr="00081468">
        <w:rPr>
          <w:rFonts w:cstheme="minorHAnsi"/>
          <w:b/>
          <w:bCs/>
          <w:lang w:val="sr-Latn-ME"/>
        </w:rPr>
        <w:t>IPA 2016</w:t>
      </w:r>
    </w:p>
    <w:p w14:paraId="31B306C6" w14:textId="77777777" w:rsidR="00D07E96" w:rsidRPr="00081468" w:rsidRDefault="00D07E96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3C17A17D" w14:textId="2EBB7685" w:rsidR="00D07E96" w:rsidRPr="00081468" w:rsidRDefault="00D07E96" w:rsidP="00D07E96">
      <w:pPr>
        <w:spacing w:after="0" w:line="240" w:lineRule="auto"/>
        <w:jc w:val="both"/>
        <w:rPr>
          <w:rFonts w:eastAsia="Calibri" w:cstheme="minorHAnsi"/>
          <w:color w:val="000000" w:themeColor="text1"/>
          <w:lang w:val="sr-Latn-ME"/>
        </w:rPr>
      </w:pPr>
      <w:bookmarkStart w:id="3" w:name="_Hlk95739090"/>
      <w:r w:rsidRPr="00081468">
        <w:rPr>
          <w:rFonts w:eastAsia="Calibri" w:cstheme="minorHAnsi"/>
          <w:color w:val="000000" w:themeColor="text1"/>
          <w:lang w:val="sr-Latn-ME"/>
        </w:rPr>
        <w:t>Godišnjim akcijskim programom IPA za 2016. godinu, utvrđena je nadležnost Ministarstva ekonom</w:t>
      </w:r>
      <w:r w:rsidR="00B64913" w:rsidRPr="00081468">
        <w:rPr>
          <w:rFonts w:eastAsia="Calibri" w:cstheme="minorHAnsi"/>
          <w:color w:val="000000" w:themeColor="text1"/>
          <w:lang w:val="sr-Latn-ME"/>
        </w:rPr>
        <w:t>skog razvoja i turizma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za sprovođenje </w:t>
      </w:r>
      <w:r w:rsidR="0060519C" w:rsidRPr="00081468">
        <w:rPr>
          <w:rFonts w:eastAsia="Calibri" w:cstheme="minorHAnsi"/>
          <w:color w:val="000000" w:themeColor="text1"/>
          <w:lang w:val="sr-Latn-ME"/>
        </w:rPr>
        <w:t xml:space="preserve">devet 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projekta, za čiju je realizaciju opredijeljeno 5,621,000.00 EUR. Od ukupno 9 predviđenih projekata, 7 je ugovoreno, </w:t>
      </w:r>
      <w:r w:rsidR="0060519C" w:rsidRPr="00081468">
        <w:rPr>
          <w:rFonts w:eastAsia="Calibri" w:cstheme="minorHAnsi"/>
          <w:color w:val="000000" w:themeColor="text1"/>
          <w:lang w:val="sr-Latn-ME"/>
        </w:rPr>
        <w:t xml:space="preserve">2 su otkazana, dok je zaključno sa 31.12.2022. </w:t>
      </w:r>
      <w:r w:rsidRPr="00081468">
        <w:rPr>
          <w:rFonts w:eastAsia="Calibri" w:cstheme="minorHAnsi"/>
          <w:color w:val="000000" w:themeColor="text1"/>
          <w:lang w:val="sr-Latn-ME"/>
        </w:rPr>
        <w:t>uspješno  realizovan</w:t>
      </w:r>
      <w:r w:rsidR="003A0E0C" w:rsidRPr="00081468">
        <w:rPr>
          <w:rFonts w:eastAsia="Calibri" w:cstheme="minorHAnsi"/>
          <w:color w:val="000000" w:themeColor="text1"/>
          <w:lang w:val="sr-Latn-ME"/>
        </w:rPr>
        <w:t>o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</w:t>
      </w:r>
      <w:r w:rsidR="003A0E0C" w:rsidRPr="00081468">
        <w:rPr>
          <w:rFonts w:eastAsia="Calibri" w:cstheme="minorHAnsi"/>
          <w:color w:val="000000" w:themeColor="text1"/>
          <w:lang w:val="sr-Latn-ME"/>
        </w:rPr>
        <w:t>6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projek</w:t>
      </w:r>
      <w:r w:rsidR="0060519C" w:rsidRPr="00081468">
        <w:rPr>
          <w:rFonts w:eastAsia="Calibri" w:cstheme="minorHAnsi"/>
          <w:color w:val="000000" w:themeColor="text1"/>
          <w:lang w:val="sr-Latn-ME"/>
        </w:rPr>
        <w:t>a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ta, </w:t>
      </w:r>
      <w:r w:rsidR="0060519C" w:rsidRPr="00081468">
        <w:rPr>
          <w:rFonts w:eastAsia="Calibri" w:cstheme="minorHAnsi"/>
          <w:color w:val="000000" w:themeColor="text1"/>
          <w:lang w:val="sr-Latn-ME"/>
        </w:rPr>
        <w:t>a</w:t>
      </w:r>
      <w:r w:rsidR="003A0E0C" w:rsidRPr="00081468">
        <w:rPr>
          <w:rFonts w:eastAsia="Calibri" w:cstheme="minorHAnsi"/>
          <w:color w:val="000000" w:themeColor="text1"/>
          <w:lang w:val="sr-Latn-ME"/>
        </w:rPr>
        <w:t xml:space="preserve"> jedan </w:t>
      </w:r>
      <w:r w:rsidRPr="00081468">
        <w:rPr>
          <w:rFonts w:eastAsia="Calibri" w:cstheme="minorHAnsi"/>
          <w:color w:val="000000" w:themeColor="text1"/>
          <w:lang w:val="sr-Latn-ME"/>
        </w:rPr>
        <w:t>projek</w:t>
      </w:r>
      <w:r w:rsidR="00BC5EED" w:rsidRPr="00081468">
        <w:rPr>
          <w:rFonts w:eastAsia="Calibri" w:cstheme="minorHAnsi"/>
          <w:color w:val="000000" w:themeColor="text1"/>
          <w:lang w:val="sr-Latn-ME"/>
        </w:rPr>
        <w:t>at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još uvijek sprovod</w:t>
      </w:r>
      <w:r w:rsidR="003A0E0C" w:rsidRPr="00081468">
        <w:rPr>
          <w:rFonts w:eastAsia="Calibri" w:cstheme="minorHAnsi"/>
          <w:color w:val="000000" w:themeColor="text1"/>
          <w:lang w:val="sr-Latn-ME"/>
        </w:rPr>
        <w:t>i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. </w:t>
      </w:r>
    </w:p>
    <w:bookmarkEnd w:id="3"/>
    <w:p w14:paraId="7697E2DB" w14:textId="41F9D0D0" w:rsidR="00D07E96" w:rsidRPr="00081468" w:rsidRDefault="00D03E95" w:rsidP="00D07E96">
      <w:pPr>
        <w:jc w:val="both"/>
        <w:rPr>
          <w:rFonts w:eastAsia="Calibri" w:cstheme="minorHAnsi"/>
          <w:b/>
          <w:color w:val="000000" w:themeColor="text1"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t xml:space="preserve">                               </w:t>
      </w:r>
    </w:p>
    <w:p w14:paraId="3BE6EB50" w14:textId="01C890ED" w:rsidR="00D07E96" w:rsidRPr="00081468" w:rsidRDefault="00D07E96" w:rsidP="00FC4CFC">
      <w:pPr>
        <w:numPr>
          <w:ilvl w:val="0"/>
          <w:numId w:val="25"/>
        </w:numPr>
        <w:suppressAutoHyphens/>
        <w:spacing w:after="0" w:line="240" w:lineRule="auto"/>
        <w:contextualSpacing/>
        <w:rPr>
          <w:rFonts w:eastAsia="Calibri" w:cstheme="minorHAnsi"/>
          <w:b/>
          <w:bCs/>
          <w:lang w:val="sr-Latn-ME"/>
        </w:rPr>
      </w:pPr>
      <w:r w:rsidRPr="00081468">
        <w:rPr>
          <w:rFonts w:eastAsia="Calibri" w:cstheme="minorHAnsi"/>
          <w:b/>
          <w:bCs/>
          <w:lang w:val="sr-Latn-ME"/>
        </w:rPr>
        <w:t>Direktni grant Evropskoj banci za obnovu i razvoj (EBRD) za unapređenje preduzetništva kroz naprednu savjetodavnu podršku i informacione servise  IPA 2016 – CFCU/MNE/143</w:t>
      </w:r>
    </w:p>
    <w:p w14:paraId="066C9789" w14:textId="77777777" w:rsidR="00D07E96" w:rsidRPr="00081468" w:rsidRDefault="00D07E96" w:rsidP="00D07E96">
      <w:pPr>
        <w:suppressAutoHyphens/>
        <w:spacing w:after="0" w:line="240" w:lineRule="auto"/>
        <w:contextualSpacing/>
        <w:rPr>
          <w:rFonts w:eastAsia="Calibri" w:cstheme="minorHAnsi"/>
          <w:b/>
          <w:bCs/>
          <w:lang w:val="sr-Latn-ME"/>
        </w:rPr>
      </w:pPr>
    </w:p>
    <w:p w14:paraId="24DE2A5D" w14:textId="77777777" w:rsidR="00D07E96" w:rsidRPr="00081468" w:rsidRDefault="00D07E96" w:rsidP="00FC4CFC">
      <w:pPr>
        <w:pStyle w:val="ListParagraph"/>
        <w:numPr>
          <w:ilvl w:val="0"/>
          <w:numId w:val="59"/>
        </w:numPr>
        <w:suppressAutoHyphens/>
        <w:spacing w:after="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Ukupna ugovorena vrijednosti: 1,747,000.00 EUR</w:t>
      </w:r>
    </w:p>
    <w:p w14:paraId="7A0C0481" w14:textId="77777777" w:rsidR="00D07E96" w:rsidRPr="00081468" w:rsidRDefault="00D07E96" w:rsidP="00FC4CFC">
      <w:pPr>
        <w:pStyle w:val="ListParagraph"/>
        <w:numPr>
          <w:ilvl w:val="0"/>
          <w:numId w:val="59"/>
        </w:numPr>
        <w:suppressAutoHyphens/>
        <w:spacing w:after="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Trajanje projekta: 18 mjeseci, 18/12/2020 -18/12/2023</w:t>
      </w:r>
    </w:p>
    <w:p w14:paraId="73484105" w14:textId="49C8B906" w:rsidR="00D07E96" w:rsidRPr="00081468" w:rsidRDefault="00D07E96" w:rsidP="00FC4CFC">
      <w:pPr>
        <w:pStyle w:val="ListParagraph"/>
        <w:numPr>
          <w:ilvl w:val="0"/>
          <w:numId w:val="59"/>
        </w:numPr>
        <w:suppressAutoHyphens/>
        <w:spacing w:after="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 xml:space="preserve">Korisnici: Ministarstvo ekonomskog razvoja </w:t>
      </w:r>
      <w:r w:rsidR="00D858A8" w:rsidRPr="00081468">
        <w:rPr>
          <w:rFonts w:eastAsia="Calibri" w:cstheme="minorHAnsi"/>
          <w:color w:val="000000" w:themeColor="text1"/>
          <w:lang w:val="sr-Latn-ME"/>
        </w:rPr>
        <w:t xml:space="preserve">i turizma </w:t>
      </w:r>
      <w:r w:rsidRPr="00081468">
        <w:rPr>
          <w:rFonts w:eastAsia="Calibri" w:cstheme="minorHAnsi"/>
          <w:color w:val="000000" w:themeColor="text1"/>
          <w:lang w:val="sr-Latn-ME"/>
        </w:rPr>
        <w:t>i MMSP</w:t>
      </w:r>
    </w:p>
    <w:p w14:paraId="596DAA4F" w14:textId="7C82A3D6" w:rsidR="00D07E96" w:rsidRPr="00081468" w:rsidRDefault="00D07E96" w:rsidP="00FC4CFC">
      <w:pPr>
        <w:pStyle w:val="ListParagraph"/>
        <w:numPr>
          <w:ilvl w:val="0"/>
          <w:numId w:val="59"/>
        </w:numPr>
        <w:suppressAutoHyphens/>
        <w:spacing w:after="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t>Značaj projekta: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Cilj projekta je pružanje podrške mikro, malim i srednjim preduzećima u Crnoj Gori kroz Program savjetodavne podrške za mala i srednja preduzeća Evropske banke za obnovu i razvoj, kao i unaprijeđenje kapaciteta Ministarstva ekonomskog razvoja </w:t>
      </w:r>
      <w:r w:rsidR="00D858A8" w:rsidRPr="00081468">
        <w:rPr>
          <w:rFonts w:eastAsia="Calibri" w:cstheme="minorHAnsi"/>
          <w:color w:val="000000" w:themeColor="text1"/>
          <w:lang w:val="sr-Latn-ME"/>
        </w:rPr>
        <w:t xml:space="preserve">i turizma </w:t>
      </w:r>
      <w:r w:rsidRPr="00081468">
        <w:rPr>
          <w:rFonts w:eastAsia="Calibri" w:cstheme="minorHAnsi"/>
          <w:color w:val="000000" w:themeColor="text1"/>
          <w:lang w:val="sr-Latn-ME"/>
        </w:rPr>
        <w:t>u oblasti razvojnih politika usmjerenih na MMSP.</w:t>
      </w:r>
    </w:p>
    <w:p w14:paraId="5F2B7409" w14:textId="77777777" w:rsidR="00D07E96" w:rsidRPr="00081468" w:rsidRDefault="00D07E96" w:rsidP="00FC4CFC">
      <w:pPr>
        <w:pStyle w:val="ListParagraph"/>
        <w:numPr>
          <w:ilvl w:val="0"/>
          <w:numId w:val="59"/>
        </w:numPr>
        <w:suppressAutoHyphens/>
        <w:spacing w:after="0" w:line="240" w:lineRule="auto"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Projekat je planiran kroz dvije komponente.</w:t>
      </w:r>
    </w:p>
    <w:p w14:paraId="210F6738" w14:textId="77777777" w:rsidR="00D07E96" w:rsidRPr="00081468" w:rsidRDefault="00D07E96" w:rsidP="00D07E96">
      <w:pPr>
        <w:suppressAutoHyphens/>
        <w:spacing w:after="0" w:line="240" w:lineRule="auto"/>
        <w:jc w:val="both"/>
        <w:rPr>
          <w:rFonts w:cstheme="minorHAnsi"/>
          <w:b/>
          <w:bCs/>
          <w:u w:val="single"/>
          <w:lang w:val="sr-Latn-ME"/>
        </w:rPr>
      </w:pPr>
    </w:p>
    <w:p w14:paraId="66F7A309" w14:textId="77777777" w:rsidR="00D07E96" w:rsidRPr="00081468" w:rsidRDefault="00D07E96" w:rsidP="00D07E96">
      <w:pPr>
        <w:suppressAutoHyphens/>
        <w:spacing w:after="0" w:line="240" w:lineRule="auto"/>
        <w:ind w:left="360"/>
        <w:jc w:val="both"/>
        <w:rPr>
          <w:rFonts w:eastAsia="Calibri" w:cstheme="minorHAnsi"/>
          <w:b/>
          <w:color w:val="000000" w:themeColor="text1"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t>Ključne realizovane aktivnosti:</w:t>
      </w:r>
    </w:p>
    <w:p w14:paraId="236C4581" w14:textId="77777777" w:rsidR="000A1CCD" w:rsidRPr="00081468" w:rsidRDefault="00D07E96" w:rsidP="00FC4CF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t>Komponenta 1: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</w:t>
      </w:r>
    </w:p>
    <w:p w14:paraId="45368C5A" w14:textId="27773656" w:rsidR="00D07E96" w:rsidRPr="00081468" w:rsidRDefault="00D07E96" w:rsidP="00FC4CF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 xml:space="preserve">Savjetodavni program podrške mikro, malim i srednjim preduzećima u Crnoj Gori odvija se u skladu sa dinamikom projektnog tima EBRD-a. Pružanje direktne nefinansijske podrške odabranim malim i srednjim preduzećima u kombinaciji sa mentorskim programom se sprovodi u skladu sa rokovima. </w:t>
      </w:r>
      <w:r w:rsidR="00A166EA" w:rsidRPr="00081468">
        <w:rPr>
          <w:rFonts w:eastAsia="Calibri" w:cstheme="minorHAnsi"/>
          <w:color w:val="000000" w:themeColor="text1"/>
          <w:lang w:val="sr-Latn-ME"/>
        </w:rPr>
        <w:t xml:space="preserve">Ovakav vid podrške je do sada dobilo 40 preduzeća.  </w:t>
      </w:r>
      <w:r w:rsidR="00F93776" w:rsidRPr="00081468">
        <w:rPr>
          <w:rFonts w:eastAsia="Calibri" w:cstheme="minorHAnsi"/>
          <w:color w:val="000000" w:themeColor="text1"/>
          <w:lang w:val="sr-Latn-ME"/>
        </w:rPr>
        <w:t xml:space="preserve">Dodatno, održane su 3 obuke za MMSP o različitim temama. </w:t>
      </w:r>
    </w:p>
    <w:p w14:paraId="739A70D9" w14:textId="77777777" w:rsidR="000A1CCD" w:rsidRPr="00081468" w:rsidRDefault="00D07E96" w:rsidP="00FC4CF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lastRenderedPageBreak/>
        <w:t>Komponenta 2: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</w:t>
      </w:r>
    </w:p>
    <w:p w14:paraId="58B32ABE" w14:textId="0BB32B8D" w:rsidR="00D07E96" w:rsidRPr="00081468" w:rsidRDefault="00D07E96" w:rsidP="00FC4CF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Jačanje kapaciteta MER</w:t>
      </w:r>
      <w:r w:rsidR="00D858A8" w:rsidRPr="00081468">
        <w:rPr>
          <w:rFonts w:eastAsia="Calibri" w:cstheme="minorHAnsi"/>
          <w:color w:val="000000" w:themeColor="text1"/>
          <w:lang w:val="sr-Latn-ME"/>
        </w:rPr>
        <w:t>T</w:t>
      </w:r>
      <w:r w:rsidRPr="00081468">
        <w:rPr>
          <w:rFonts w:eastAsia="Calibri" w:cstheme="minorHAnsi"/>
          <w:color w:val="000000" w:themeColor="text1"/>
          <w:lang w:val="sr-Latn-ME"/>
        </w:rPr>
        <w:t>-a i uspostavljanje IT portala Single Access Point za preduzeća</w:t>
      </w:r>
    </w:p>
    <w:p w14:paraId="6C7B90E4" w14:textId="21FF59FF" w:rsidR="00D07E96" w:rsidRPr="00081468" w:rsidRDefault="00D07E96" w:rsidP="00FC4CFC">
      <w:pPr>
        <w:numPr>
          <w:ilvl w:val="1"/>
          <w:numId w:val="11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Jačanje kapaciteta MER</w:t>
      </w:r>
      <w:r w:rsidR="00D858A8" w:rsidRPr="00081468">
        <w:rPr>
          <w:rFonts w:eastAsia="Calibri" w:cstheme="minorHAnsi"/>
          <w:color w:val="000000" w:themeColor="text1"/>
          <w:lang w:val="sr-Latn-ME"/>
        </w:rPr>
        <w:t>T</w:t>
      </w:r>
      <w:r w:rsidRPr="00081468">
        <w:rPr>
          <w:rFonts w:eastAsia="Calibri" w:cstheme="minorHAnsi"/>
          <w:color w:val="000000" w:themeColor="text1"/>
          <w:lang w:val="sr-Latn-ME"/>
        </w:rPr>
        <w:t>-a (</w:t>
      </w:r>
      <w:r w:rsidR="00A166EA" w:rsidRPr="00081468">
        <w:rPr>
          <w:rFonts w:eastAsia="Calibri" w:cstheme="minorHAnsi"/>
          <w:color w:val="000000" w:themeColor="text1"/>
          <w:lang w:val="sr-Latn-ME"/>
        </w:rPr>
        <w:t xml:space="preserve">sprovodi  PwC </w:t>
      </w:r>
      <w:r w:rsidR="00F93776" w:rsidRPr="00081468">
        <w:rPr>
          <w:rFonts w:eastAsia="Calibri" w:cstheme="minorHAnsi"/>
          <w:color w:val="000000" w:themeColor="text1"/>
          <w:lang w:val="sr-Latn-ME"/>
        </w:rPr>
        <w:t>- PriceVaterhouse Beograd (ostali članovi konzorcijuma: PricevaterhouseCoopers doo, Podgorica Crna Gora i IPER – Institut za preduzetništvo i ekonomski razvoj, Podgorica Crna Gora</w:t>
      </w:r>
      <w:r w:rsidRPr="00081468">
        <w:rPr>
          <w:rFonts w:eastAsia="Calibri" w:cstheme="minorHAnsi"/>
          <w:color w:val="000000" w:themeColor="text1"/>
          <w:lang w:val="sr-Latn-ME"/>
        </w:rPr>
        <w:t>)</w:t>
      </w:r>
      <w:r w:rsidR="00F93776" w:rsidRPr="00081468">
        <w:rPr>
          <w:rFonts w:eastAsia="Calibri" w:cstheme="minorHAnsi"/>
          <w:color w:val="000000" w:themeColor="text1"/>
          <w:lang w:val="sr-Latn-ME"/>
        </w:rPr>
        <w:t>)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: Prioriteti koji su </w:t>
      </w:r>
      <w:r w:rsidR="0051787F" w:rsidRPr="00081468">
        <w:rPr>
          <w:rFonts w:eastAsia="Calibri" w:cstheme="minorHAnsi"/>
          <w:color w:val="000000" w:themeColor="text1"/>
          <w:lang w:val="sr-Latn-ME"/>
        </w:rPr>
        <w:t xml:space="preserve">definisani i realizovani 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godi</w:t>
      </w:r>
      <w:r w:rsidR="0051787F" w:rsidRPr="00081468">
        <w:rPr>
          <w:rFonts w:eastAsia="Calibri" w:cstheme="minorHAnsi"/>
          <w:color w:val="000000" w:themeColor="text1"/>
          <w:lang w:val="sr-Latn-ME"/>
        </w:rPr>
        <w:t>š</w:t>
      </w:r>
      <w:r w:rsidRPr="00081468">
        <w:rPr>
          <w:rFonts w:eastAsia="Calibri" w:cstheme="minorHAnsi"/>
          <w:color w:val="000000" w:themeColor="text1"/>
          <w:lang w:val="sr-Latn-ME"/>
        </w:rPr>
        <w:t>njim planom rada</w:t>
      </w:r>
      <w:r w:rsidR="0051787F" w:rsidRPr="00081468">
        <w:rPr>
          <w:rFonts w:eastAsia="Calibri" w:cstheme="minorHAnsi"/>
          <w:color w:val="000000" w:themeColor="text1"/>
          <w:lang w:val="sr-Latn-ME"/>
        </w:rPr>
        <w:t xml:space="preserve"> </w:t>
      </w:r>
      <w:r w:rsidRPr="00081468">
        <w:rPr>
          <w:rFonts w:eastAsia="Calibri" w:cstheme="minorHAnsi"/>
          <w:color w:val="000000" w:themeColor="text1"/>
          <w:lang w:val="sr-Latn-ME"/>
        </w:rPr>
        <w:t>su sljedeći:</w:t>
      </w:r>
    </w:p>
    <w:p w14:paraId="5B725ACF" w14:textId="77777777" w:rsidR="00D07E96" w:rsidRPr="00081468" w:rsidRDefault="00D07E96" w:rsidP="00FC4CFC">
      <w:pPr>
        <w:numPr>
          <w:ilvl w:val="2"/>
          <w:numId w:val="11"/>
        </w:numPr>
        <w:suppressAutoHyphens/>
        <w:spacing w:after="20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Zakon o privrednim društvima;</w:t>
      </w:r>
    </w:p>
    <w:p w14:paraId="4D12AB43" w14:textId="77777777" w:rsidR="00D07E96" w:rsidRPr="00081468" w:rsidRDefault="00D07E96" w:rsidP="00FC4CFC">
      <w:pPr>
        <w:numPr>
          <w:ilvl w:val="2"/>
          <w:numId w:val="11"/>
        </w:numPr>
        <w:suppressAutoHyphens/>
        <w:spacing w:after="20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Program unapređenja konkurentnosti privrede za 2022. godinu;</w:t>
      </w:r>
    </w:p>
    <w:p w14:paraId="6041110A" w14:textId="77777777" w:rsidR="00D07E96" w:rsidRPr="00081468" w:rsidRDefault="00D07E96" w:rsidP="00FC4CFC">
      <w:pPr>
        <w:numPr>
          <w:ilvl w:val="2"/>
          <w:numId w:val="11"/>
        </w:numPr>
        <w:suppressAutoHyphens/>
        <w:spacing w:after="20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Regulativa o biznis zonama;</w:t>
      </w:r>
    </w:p>
    <w:p w14:paraId="3B379575" w14:textId="77777777" w:rsidR="00D07E96" w:rsidRPr="00081468" w:rsidRDefault="00D07E96" w:rsidP="00FC4CFC">
      <w:pPr>
        <w:numPr>
          <w:ilvl w:val="2"/>
          <w:numId w:val="11"/>
        </w:numPr>
        <w:suppressAutoHyphens/>
        <w:spacing w:after="20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Program ekonomskog oporavka.</w:t>
      </w:r>
    </w:p>
    <w:p w14:paraId="5F380926" w14:textId="35616083" w:rsidR="00EE1635" w:rsidRPr="00081468" w:rsidRDefault="00D07E96" w:rsidP="00081468">
      <w:pPr>
        <w:numPr>
          <w:ilvl w:val="1"/>
          <w:numId w:val="11"/>
        </w:numPr>
        <w:suppressAutoHyphens/>
        <w:spacing w:after="20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 xml:space="preserve">Uspostavljanje IT portala </w:t>
      </w:r>
      <w:r w:rsidR="00EE1635" w:rsidRPr="00081468">
        <w:rPr>
          <w:rFonts w:eastAsia="Calibri" w:cstheme="minorHAnsi"/>
          <w:color w:val="000000" w:themeColor="text1"/>
          <w:lang w:val="sr-Latn-ME"/>
        </w:rPr>
        <w:t xml:space="preserve">biznis.gov.me 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(konsultant: Fleka</w:t>
      </w:r>
      <w:r w:rsidR="00A166EA" w:rsidRPr="00081468">
        <w:rPr>
          <w:rFonts w:eastAsia="Calibri" w:cstheme="minorHAnsi"/>
          <w:color w:val="000000" w:themeColor="text1"/>
          <w:lang w:val="sr-Latn-ME"/>
        </w:rPr>
        <w:t xml:space="preserve"> d.o.o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): </w:t>
      </w:r>
      <w:r w:rsidR="00EE1635" w:rsidRPr="00081468">
        <w:rPr>
          <w:rFonts w:eastAsia="Calibri" w:cstheme="minorHAnsi"/>
          <w:color w:val="000000" w:themeColor="text1"/>
          <w:lang w:val="sr-Latn-ME"/>
        </w:rPr>
        <w:t>P</w:t>
      </w:r>
      <w:r w:rsidR="00D03E95" w:rsidRPr="00081468">
        <w:rPr>
          <w:rFonts w:eastAsia="Calibri" w:cstheme="minorHAnsi"/>
          <w:color w:val="000000" w:themeColor="text1"/>
          <w:lang w:val="sr-Latn-ME"/>
        </w:rPr>
        <w:t>ortal</w:t>
      </w:r>
      <w:hyperlink r:id="rId8" w:history="1"/>
      <w:r w:rsidR="00EE1635" w:rsidRPr="00081468">
        <w:rPr>
          <w:rFonts w:cstheme="minorHAnsi"/>
          <w:color w:val="000000" w:themeColor="text1"/>
        </w:rPr>
        <w:t xml:space="preserve"> je porenut 15. juna 2022. godine</w:t>
      </w:r>
      <w:r w:rsidR="00D03E95" w:rsidRPr="00081468">
        <w:rPr>
          <w:rFonts w:eastAsia="Calibri" w:cstheme="minorHAnsi"/>
          <w:color w:val="000000" w:themeColor="text1"/>
          <w:lang w:val="sr-Latn-ME"/>
        </w:rPr>
        <w:t xml:space="preserve"> </w:t>
      </w:r>
      <w:r w:rsidR="00EE1635" w:rsidRPr="00081468">
        <w:rPr>
          <w:rFonts w:eastAsia="Calibri" w:cstheme="minorHAnsi"/>
          <w:color w:val="000000" w:themeColor="text1"/>
          <w:lang w:val="sr-Latn-ME"/>
        </w:rPr>
        <w:t>i sadržo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sve informacije o aktuelnim programima podrške koju pruža MER</w:t>
      </w:r>
      <w:r w:rsidR="00D03E95" w:rsidRPr="00081468">
        <w:rPr>
          <w:rFonts w:eastAsia="Calibri" w:cstheme="minorHAnsi"/>
          <w:color w:val="000000" w:themeColor="text1"/>
          <w:lang w:val="sr-Latn-ME"/>
        </w:rPr>
        <w:t>T</w:t>
      </w:r>
      <w:r w:rsidRPr="00081468">
        <w:rPr>
          <w:rFonts w:eastAsia="Calibri" w:cstheme="minorHAnsi"/>
          <w:color w:val="000000" w:themeColor="text1"/>
          <w:lang w:val="sr-Latn-ME"/>
        </w:rPr>
        <w:t>, zatim politikama i podsticajima od značaja (poput jačanja žesnkog preduzetništva), različite savjetodavne alate za registraciju preduzeća, pravnu regulativu.</w:t>
      </w:r>
    </w:p>
    <w:p w14:paraId="0CD9FC94" w14:textId="21BB7530" w:rsidR="00EE1635" w:rsidRPr="00081468" w:rsidRDefault="00EE1635" w:rsidP="00D07E96">
      <w:pPr>
        <w:suppressAutoHyphens/>
        <w:spacing w:after="0"/>
        <w:jc w:val="both"/>
        <w:rPr>
          <w:rFonts w:cstheme="minorHAnsi"/>
          <w:color w:val="000000"/>
          <w:lang w:val="sr-Latn-ME" w:eastAsia="ar-SA"/>
        </w:rPr>
      </w:pPr>
    </w:p>
    <w:p w14:paraId="2F8B677D" w14:textId="77777777" w:rsidR="00EE1635" w:rsidRPr="00081468" w:rsidRDefault="00EE1635" w:rsidP="00D07E96">
      <w:pPr>
        <w:suppressAutoHyphens/>
        <w:spacing w:after="0"/>
        <w:jc w:val="both"/>
        <w:rPr>
          <w:rFonts w:cstheme="minorHAnsi"/>
          <w:color w:val="000000"/>
          <w:lang w:val="sr-Latn-ME" w:eastAsia="ar-SA"/>
        </w:rPr>
      </w:pPr>
    </w:p>
    <w:p w14:paraId="1DDC360A" w14:textId="77777777" w:rsidR="00D07E96" w:rsidRPr="00081468" w:rsidRDefault="00D07E96" w:rsidP="00FC4CFC">
      <w:pPr>
        <w:numPr>
          <w:ilvl w:val="0"/>
          <w:numId w:val="25"/>
        </w:numPr>
        <w:spacing w:after="200" w:line="276" w:lineRule="auto"/>
        <w:contextualSpacing/>
        <w:rPr>
          <w:rFonts w:eastAsia="Calibri" w:cstheme="minorHAnsi"/>
          <w:b/>
          <w:color w:val="000000" w:themeColor="text1"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t>Promocija internacionalizacije crnogorske ekonomije sa fokusom na mala i srednja preduzeća IPA 2016 – CFCU/MNE/142</w:t>
      </w:r>
    </w:p>
    <w:p w14:paraId="2411D070" w14:textId="42C6C679" w:rsidR="00D07E96" w:rsidRPr="00081468" w:rsidRDefault="00D07E96" w:rsidP="00FC4CFC">
      <w:pPr>
        <w:pStyle w:val="ListParagraph"/>
        <w:numPr>
          <w:ilvl w:val="0"/>
          <w:numId w:val="11"/>
        </w:numPr>
        <w:spacing w:after="20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 xml:space="preserve">Ukupna ugovorena vrijednost: 294,800.00 EUR </w:t>
      </w:r>
    </w:p>
    <w:p w14:paraId="5A761202" w14:textId="616CDFB8" w:rsidR="00D07E96" w:rsidRPr="00081468" w:rsidRDefault="00D07E96" w:rsidP="00FC4CFC">
      <w:pPr>
        <w:pStyle w:val="ListParagraph"/>
        <w:numPr>
          <w:ilvl w:val="0"/>
          <w:numId w:val="11"/>
        </w:numPr>
        <w:spacing w:after="20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Trajanje projekta: 24 mjeseca (27/04/2020 – 27/04/202</w:t>
      </w:r>
      <w:r w:rsidR="006F78CE" w:rsidRPr="00081468">
        <w:rPr>
          <w:rFonts w:eastAsia="Calibri" w:cstheme="minorHAnsi"/>
          <w:color w:val="000000" w:themeColor="text1"/>
          <w:lang w:val="sr-Latn-ME"/>
        </w:rPr>
        <w:t>2</w:t>
      </w:r>
      <w:r w:rsidRPr="00081468">
        <w:rPr>
          <w:rFonts w:eastAsia="Calibri" w:cstheme="minorHAnsi"/>
          <w:color w:val="000000" w:themeColor="text1"/>
          <w:lang w:val="sr-Latn-ME"/>
        </w:rPr>
        <w:t>)</w:t>
      </w:r>
    </w:p>
    <w:p w14:paraId="7E9DAED7" w14:textId="6028EA27" w:rsidR="00D07E96" w:rsidRPr="00081468" w:rsidRDefault="00D07E96" w:rsidP="00FC4CFC">
      <w:pPr>
        <w:pStyle w:val="ListParagraph"/>
        <w:numPr>
          <w:ilvl w:val="0"/>
          <w:numId w:val="11"/>
        </w:numPr>
        <w:spacing w:after="20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Korisnici: Direktorat za unaprijeđenje konkurentnosti (MER</w:t>
      </w:r>
      <w:r w:rsidR="00CB6D32" w:rsidRPr="00081468">
        <w:rPr>
          <w:rFonts w:eastAsia="Calibri" w:cstheme="minorHAnsi"/>
          <w:color w:val="000000" w:themeColor="text1"/>
          <w:lang w:val="sr-Latn-ME"/>
        </w:rPr>
        <w:t>T</w:t>
      </w:r>
      <w:r w:rsidRPr="00081468">
        <w:rPr>
          <w:rFonts w:eastAsia="Calibri" w:cstheme="minorHAnsi"/>
          <w:color w:val="000000" w:themeColor="text1"/>
          <w:lang w:val="sr-Latn-ME"/>
        </w:rPr>
        <w:t>), Privredna komora, mala i srednja preduzeća</w:t>
      </w:r>
    </w:p>
    <w:p w14:paraId="7416D9E7" w14:textId="77777777" w:rsidR="00D07E96" w:rsidRPr="00081468" w:rsidRDefault="00D07E96" w:rsidP="00FC4CFC">
      <w:pPr>
        <w:pStyle w:val="ListParagraph"/>
        <w:numPr>
          <w:ilvl w:val="0"/>
          <w:numId w:val="11"/>
        </w:numPr>
        <w:spacing w:after="20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Konzorcijum: Particip Gmbh</w:t>
      </w:r>
    </w:p>
    <w:p w14:paraId="08DDA1A5" w14:textId="22FA36D9" w:rsidR="00D07E96" w:rsidRPr="00081468" w:rsidRDefault="00D07E96" w:rsidP="00FC4CFC">
      <w:pPr>
        <w:pStyle w:val="ListParagraph"/>
        <w:numPr>
          <w:ilvl w:val="0"/>
          <w:numId w:val="11"/>
        </w:numPr>
        <w:spacing w:after="200" w:line="240" w:lineRule="auto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t>Značaj projekta: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Projekat pruža nefinansijsku podršku malim i srednjim preduzećima koja su ujedno izvoznicim ili potencijalni izvoznici u oblastima koje se odnose na procedure izvoza, obaveza koje izvozne aktivnosti nameću i  pruža podršku u pripremi preduzeća za promociju na međunarodnim sajmovima. </w:t>
      </w:r>
    </w:p>
    <w:p w14:paraId="398EF37C" w14:textId="77777777" w:rsidR="00D07E96" w:rsidRPr="00081468" w:rsidRDefault="00D07E96" w:rsidP="00D07E96">
      <w:pPr>
        <w:suppressAutoHyphens/>
        <w:spacing w:after="0" w:line="240" w:lineRule="auto"/>
        <w:jc w:val="both"/>
        <w:rPr>
          <w:rFonts w:eastAsia="Calibri" w:cstheme="minorHAnsi"/>
          <w:lang w:val="sr-Latn-ME"/>
        </w:rPr>
      </w:pPr>
    </w:p>
    <w:p w14:paraId="3C1FACE5" w14:textId="77777777" w:rsidR="00D07E96" w:rsidRPr="00081468" w:rsidRDefault="00D07E96" w:rsidP="00D07E96">
      <w:pPr>
        <w:suppressAutoHyphens/>
        <w:spacing w:after="0" w:line="240" w:lineRule="auto"/>
        <w:ind w:left="360"/>
        <w:jc w:val="both"/>
        <w:rPr>
          <w:rFonts w:eastAsia="Calibri" w:cstheme="minorHAnsi"/>
          <w:b/>
          <w:color w:val="000000" w:themeColor="text1"/>
          <w:u w:val="single"/>
          <w:lang w:val="sr-Latn-ME"/>
        </w:rPr>
      </w:pPr>
      <w:r w:rsidRPr="00081468">
        <w:rPr>
          <w:rFonts w:eastAsia="Calibri" w:cstheme="minorHAnsi"/>
          <w:b/>
          <w:color w:val="000000" w:themeColor="text1"/>
          <w:u w:val="single"/>
          <w:lang w:val="sr-Latn-ME"/>
        </w:rPr>
        <w:t>Ključne realizovane aktivnosti:</w:t>
      </w:r>
    </w:p>
    <w:p w14:paraId="2638A6A8" w14:textId="77777777" w:rsidR="00D07E96" w:rsidRPr="00081468" w:rsidRDefault="00D07E96" w:rsidP="00FC4CF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 xml:space="preserve">Pripremljen je alat za MMSP koji treba da omogući procjenu spremnosti za izvoz od strane predueća - Upitnik za procjenu spremnosti za izvoz (Export Readiness Assesment). </w:t>
      </w:r>
    </w:p>
    <w:p w14:paraId="665E5039" w14:textId="77777777" w:rsidR="00D07E96" w:rsidRPr="00081468" w:rsidRDefault="00D07E96" w:rsidP="00FC4CF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 xml:space="preserve">Pripremljen je „Vodič za pokretanje izvoza“ čija je namjena da pripremi mala i srednja preduzeća u Crnoj Gori za izvoz korišćenjem pristupa “korak-po-korak” za razmatranja najvažnijih pitanja za uspješan izvoz (procjena potencijala za izvoz; priprema plana izvoza; identifikovanje ciljnog izvoznog tržišta; izrada strategije izvoznog marketinga; ulazak na ciljno tržište; isporuka robe; identifikovanje zahtjeva za finansiranje izvoza; razumijevanje pravne strane međunarodne trgovine; E-trgovina za izvoznike). </w:t>
      </w:r>
    </w:p>
    <w:p w14:paraId="4B3888B4" w14:textId="28CF7681" w:rsidR="00D07E96" w:rsidRPr="00081468" w:rsidRDefault="00CB6D32" w:rsidP="00FC4CF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 xml:space="preserve">Realizovana </w:t>
      </w:r>
      <w:r w:rsidR="00D07E96" w:rsidRPr="00081468">
        <w:rPr>
          <w:rFonts w:eastAsia="Calibri" w:cstheme="minorHAnsi"/>
          <w:color w:val="000000" w:themeColor="text1"/>
          <w:lang w:val="sr-Latn-ME"/>
        </w:rPr>
        <w:t>obuka za MMSP u cilju jačanja kapaciteta za uspješan izvoz (poslovno planiranje; strategije za tržište izvoza; načini ulaska na tržišta, učešće na sajmovima itd.).</w:t>
      </w:r>
    </w:p>
    <w:p w14:paraId="52E12DBE" w14:textId="6D614A3D" w:rsidR="00D07E96" w:rsidRPr="00081468" w:rsidRDefault="00CB6D32" w:rsidP="00FC4CF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Organizovan</w:t>
      </w:r>
      <w:r w:rsidR="00EE1635" w:rsidRPr="00081468">
        <w:rPr>
          <w:rFonts w:eastAsia="Calibri" w:cstheme="minorHAnsi"/>
          <w:color w:val="000000" w:themeColor="text1"/>
          <w:lang w:val="sr-Latn-ME"/>
        </w:rPr>
        <w:t xml:space="preserve">o je ućešće na </w:t>
      </w:r>
      <w:r w:rsidR="00D07E96" w:rsidRPr="00081468">
        <w:rPr>
          <w:rFonts w:eastAsia="Calibri" w:cstheme="minorHAnsi"/>
          <w:color w:val="000000" w:themeColor="text1"/>
          <w:lang w:val="sr-Latn-ME"/>
        </w:rPr>
        <w:t>međunardon</w:t>
      </w:r>
      <w:r w:rsidR="00EE1635" w:rsidRPr="00081468">
        <w:rPr>
          <w:rFonts w:eastAsia="Calibri" w:cstheme="minorHAnsi"/>
          <w:color w:val="000000" w:themeColor="text1"/>
          <w:lang w:val="sr-Latn-ME"/>
        </w:rPr>
        <w:t>om</w:t>
      </w:r>
      <w:r w:rsidR="00D07E96" w:rsidRPr="00081468">
        <w:rPr>
          <w:rFonts w:eastAsia="Calibri" w:cstheme="minorHAnsi"/>
          <w:color w:val="000000" w:themeColor="text1"/>
          <w:lang w:val="sr-Latn-ME"/>
        </w:rPr>
        <w:t xml:space="preserve"> sajm</w:t>
      </w:r>
      <w:r w:rsidR="00EE1635" w:rsidRPr="00081468">
        <w:rPr>
          <w:rFonts w:eastAsia="Calibri" w:cstheme="minorHAnsi"/>
          <w:color w:val="000000" w:themeColor="text1"/>
          <w:lang w:val="sr-Latn-ME"/>
        </w:rPr>
        <w:t>u</w:t>
      </w:r>
      <w:r w:rsidR="00D07E96" w:rsidRPr="00081468">
        <w:rPr>
          <w:rFonts w:eastAsia="Calibri" w:cstheme="minorHAnsi"/>
          <w:color w:val="000000" w:themeColor="text1"/>
          <w:lang w:val="sr-Latn-ME"/>
        </w:rPr>
        <w:t xml:space="preserve"> Food EXPO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u</w:t>
      </w:r>
      <w:r w:rsidR="00D07E96" w:rsidRPr="00081468">
        <w:rPr>
          <w:rFonts w:eastAsia="Calibri" w:cstheme="minorHAnsi"/>
          <w:color w:val="000000" w:themeColor="text1"/>
          <w:lang w:val="sr-Latn-ME"/>
        </w:rPr>
        <w:t xml:space="preserve"> Atin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i na kom su učešće uz prethodno objavljen javni poziv imala predstavnici odabranih preduzeća.  </w:t>
      </w:r>
    </w:p>
    <w:p w14:paraId="582BC178" w14:textId="77777777" w:rsidR="00D07E96" w:rsidRPr="00081468" w:rsidRDefault="00D07E96" w:rsidP="00D07E96">
      <w:pPr>
        <w:jc w:val="both"/>
        <w:rPr>
          <w:rFonts w:eastAsia="Calibri" w:cstheme="minorHAnsi"/>
          <w:b/>
          <w:bCs/>
          <w:color w:val="000000" w:themeColor="text1"/>
          <w:lang w:val="sr-Latn-ME"/>
        </w:rPr>
      </w:pPr>
    </w:p>
    <w:p w14:paraId="21AA0A43" w14:textId="77777777" w:rsidR="00D07E96" w:rsidRPr="00081468" w:rsidRDefault="00D07E96" w:rsidP="00D07E96">
      <w:pPr>
        <w:spacing w:line="240" w:lineRule="auto"/>
        <w:jc w:val="both"/>
        <w:rPr>
          <w:rFonts w:cstheme="minorHAnsi"/>
          <w:color w:val="000000"/>
          <w:lang w:val="sr-Latn-ME"/>
        </w:rPr>
      </w:pPr>
    </w:p>
    <w:p w14:paraId="135874E0" w14:textId="77777777" w:rsidR="00D07E96" w:rsidRPr="00081468" w:rsidRDefault="00D07E96" w:rsidP="00FC4CFC">
      <w:pPr>
        <w:numPr>
          <w:ilvl w:val="0"/>
          <w:numId w:val="25"/>
        </w:numPr>
        <w:spacing w:after="0" w:line="276" w:lineRule="auto"/>
        <w:contextualSpacing/>
        <w:jc w:val="both"/>
        <w:rPr>
          <w:rFonts w:eastAsia="Calibri" w:cstheme="minorHAnsi"/>
          <w:b/>
          <w:iCs/>
          <w:color w:val="000000"/>
          <w:lang w:val="sr-Latn-ME"/>
        </w:rPr>
      </w:pPr>
      <w:r w:rsidRPr="00081468">
        <w:rPr>
          <w:rFonts w:eastAsia="Calibri" w:cstheme="minorHAnsi"/>
          <w:b/>
          <w:iCs/>
          <w:color w:val="000000"/>
          <w:lang w:val="sr-Latn-ME"/>
        </w:rPr>
        <w:lastRenderedPageBreak/>
        <w:t xml:space="preserve">Twinning: Pružanje tehničke podrške institutu za ljekove i medicinska sredstva br: </w:t>
      </w:r>
      <w:bookmarkStart w:id="4" w:name="_Hlk91164364"/>
      <w:r w:rsidRPr="00081468">
        <w:rPr>
          <w:rFonts w:eastAsia="Calibri" w:cstheme="minorHAnsi"/>
          <w:b/>
          <w:iCs/>
          <w:color w:val="000000"/>
          <w:lang w:val="sr-Latn-ME"/>
        </w:rPr>
        <w:t>MN 16 IPA HE 01 20</w:t>
      </w:r>
      <w:bookmarkEnd w:id="4"/>
    </w:p>
    <w:p w14:paraId="43886242" w14:textId="77777777" w:rsidR="00D07E96" w:rsidRPr="00081468" w:rsidRDefault="00D07E96" w:rsidP="00FC4C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Ukupna vrijednost: 400,000.00 EUR</w:t>
      </w:r>
    </w:p>
    <w:p w14:paraId="622E503F" w14:textId="1411DF41" w:rsidR="00D07E96" w:rsidRPr="00081468" w:rsidRDefault="00D07E96" w:rsidP="00FC4C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Trajanje projekta: 21 mjesec (</w:t>
      </w:r>
      <w:r w:rsidR="00575058" w:rsidRPr="00081468">
        <w:rPr>
          <w:rFonts w:eastAsia="Calibri" w:cstheme="minorHAnsi"/>
          <w:color w:val="000000" w:themeColor="text1"/>
          <w:lang w:val="sr-Latn-ME"/>
        </w:rPr>
        <w:t>21/01/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2020 – </w:t>
      </w:r>
      <w:r w:rsidR="00575058" w:rsidRPr="00081468">
        <w:rPr>
          <w:rFonts w:eastAsia="Calibri" w:cstheme="minorHAnsi"/>
          <w:color w:val="000000" w:themeColor="text1"/>
          <w:lang w:val="sr-Latn-ME"/>
        </w:rPr>
        <w:t>29/07/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2022)</w:t>
      </w:r>
    </w:p>
    <w:p w14:paraId="25C96BA9" w14:textId="77777777" w:rsidR="00D07E96" w:rsidRPr="00081468" w:rsidRDefault="00D07E96" w:rsidP="00FC4C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Konzorcijum: HALMED - Agencija za lijekove i medicinske proizvode Hrvatska</w:t>
      </w:r>
    </w:p>
    <w:p w14:paraId="0256ADAE" w14:textId="77777777" w:rsidR="00D07E96" w:rsidRPr="00081468" w:rsidRDefault="00D07E96" w:rsidP="00FC4CFC">
      <w:pPr>
        <w:numPr>
          <w:ilvl w:val="0"/>
          <w:numId w:val="24"/>
        </w:numPr>
        <w:spacing w:after="0" w:line="240" w:lineRule="auto"/>
        <w:contextualSpacing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Korisnik: Institut za ljekove i medicinska sredstva Crne Gore</w:t>
      </w:r>
    </w:p>
    <w:p w14:paraId="28E6A1DD" w14:textId="56A48D61" w:rsidR="00D07E96" w:rsidRPr="00081468" w:rsidRDefault="00D07E96" w:rsidP="00D07E96">
      <w:pPr>
        <w:spacing w:after="0"/>
        <w:jc w:val="both"/>
        <w:rPr>
          <w:rFonts w:cstheme="minorHAnsi"/>
          <w:b/>
          <w:bCs/>
          <w:lang w:val="sr-Latn-ME"/>
        </w:rPr>
      </w:pPr>
      <w:r w:rsidRPr="00081468">
        <w:rPr>
          <w:rFonts w:eastAsia="Calibri" w:cstheme="minorHAnsi"/>
          <w:b/>
          <w:color w:val="000000" w:themeColor="text1"/>
          <w:lang w:val="sr-Latn-ME"/>
        </w:rPr>
        <w:t>Značaj projekta: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 Cilj projekta je unapređenje kapaciteta Instituta za ljekove i medicinska sredstva Crna Gora za harmonizaciju i implementaciju EU zakonodavnog okvira i međunarodnih standarda u oblasti ljekova i medicinskih sredstava i jačanje post-marketinškog nadzora ljekova i medicinskih sredstava (Post-Marketing Pharmacovigilance System and Medical Devices Surveillance System).</w:t>
      </w:r>
      <w:r w:rsidR="00EE1635" w:rsidRPr="00081468">
        <w:rPr>
          <w:rFonts w:eastAsia="Calibri" w:cstheme="minorHAnsi"/>
          <w:color w:val="000000" w:themeColor="text1"/>
          <w:lang w:val="sr-Latn-ME"/>
        </w:rPr>
        <w:t xml:space="preserve"> Projekat je uspješno završen u septembru 2022. </w:t>
      </w:r>
    </w:p>
    <w:p w14:paraId="04944980" w14:textId="77777777" w:rsidR="00575058" w:rsidRPr="00081468" w:rsidRDefault="00575058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32DC54AF" w14:textId="01D0B02A" w:rsidR="00D07E96" w:rsidRPr="00081468" w:rsidRDefault="00D07E96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3E02DA47" w14:textId="0E7CB748" w:rsidR="00EE1635" w:rsidRPr="00081468" w:rsidRDefault="00EE1635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618FF555" w14:textId="6AC3B636" w:rsidR="00EE1635" w:rsidRPr="00081468" w:rsidRDefault="00EE1635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3B0EBF03" w14:textId="3FC2AECE" w:rsidR="00EE1635" w:rsidRPr="00081468" w:rsidRDefault="00EE1635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2AB8F113" w14:textId="14053062" w:rsidR="00EE1635" w:rsidRPr="00081468" w:rsidRDefault="00EE1635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261DE836" w14:textId="64621377" w:rsidR="00EE1635" w:rsidRPr="00081468" w:rsidRDefault="00EE1635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2191B0BF" w14:textId="6D36542B" w:rsidR="00EE1635" w:rsidRPr="00081468" w:rsidRDefault="00EE1635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5847EC15" w14:textId="77777777" w:rsidR="00EE1635" w:rsidRPr="00081468" w:rsidRDefault="00EE1635" w:rsidP="00D07E96">
      <w:pPr>
        <w:spacing w:after="0"/>
        <w:jc w:val="both"/>
        <w:rPr>
          <w:rFonts w:cstheme="minorHAnsi"/>
          <w:b/>
          <w:bCs/>
          <w:lang w:val="sr-Latn-ME"/>
        </w:rPr>
      </w:pPr>
    </w:p>
    <w:p w14:paraId="3BBCB629" w14:textId="39D940EC" w:rsidR="00EC701B" w:rsidRPr="00081468" w:rsidRDefault="00EC701B" w:rsidP="00EC701B">
      <w:pPr>
        <w:spacing w:after="0"/>
        <w:jc w:val="center"/>
        <w:rPr>
          <w:rFonts w:cstheme="minorHAnsi"/>
          <w:b/>
          <w:bCs/>
          <w:lang w:val="sr-Latn-ME"/>
        </w:rPr>
      </w:pPr>
      <w:r w:rsidRPr="00081468">
        <w:rPr>
          <w:rFonts w:cstheme="minorHAnsi"/>
          <w:b/>
          <w:bCs/>
          <w:lang w:val="sr-Latn-ME"/>
        </w:rPr>
        <w:t>PROJEKTI MINISTARSTVA EKONOMSKOG RAZVOJA I TURIZMA IPA 2020</w:t>
      </w:r>
    </w:p>
    <w:p w14:paraId="49A981CC" w14:textId="77777777" w:rsidR="00D07E96" w:rsidRPr="00081468" w:rsidRDefault="00D07E96" w:rsidP="00D07E96">
      <w:pPr>
        <w:spacing w:after="0"/>
        <w:jc w:val="center"/>
        <w:rPr>
          <w:rFonts w:cstheme="minorHAnsi"/>
          <w:b/>
          <w:bCs/>
          <w:lang w:val="sr-Latn-ME"/>
        </w:rPr>
      </w:pPr>
    </w:p>
    <w:p w14:paraId="06E5447E" w14:textId="77777777" w:rsidR="00D07E96" w:rsidRPr="00081468" w:rsidRDefault="00D07E96" w:rsidP="00D07E96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</w:p>
    <w:p w14:paraId="24815B9C" w14:textId="44563903" w:rsidR="00D07E96" w:rsidRPr="00081468" w:rsidRDefault="00C659E9" w:rsidP="00D07E96">
      <w:pPr>
        <w:suppressAutoHyphens/>
        <w:spacing w:after="0" w:line="240" w:lineRule="auto"/>
        <w:jc w:val="both"/>
        <w:rPr>
          <w:rFonts w:eastAsia="Calibri" w:cstheme="minorHAnsi"/>
          <w:color w:val="000000" w:themeColor="text1"/>
          <w:lang w:val="sr-Latn-ME"/>
        </w:rPr>
      </w:pPr>
      <w:r w:rsidRPr="00081468">
        <w:rPr>
          <w:rFonts w:eastAsia="Calibri" w:cstheme="minorHAnsi"/>
          <w:color w:val="000000" w:themeColor="text1"/>
          <w:lang w:val="sr-Latn-ME"/>
        </w:rPr>
        <w:t>Godišnjim akcijskim programom IPA za 20</w:t>
      </w:r>
      <w:r w:rsidR="0060519C" w:rsidRPr="00081468">
        <w:rPr>
          <w:rFonts w:eastAsia="Calibri" w:cstheme="minorHAnsi"/>
          <w:color w:val="000000" w:themeColor="text1"/>
          <w:lang w:val="sr-Latn-ME"/>
        </w:rPr>
        <w:t>20</w:t>
      </w:r>
      <w:r w:rsidRPr="00081468">
        <w:rPr>
          <w:rFonts w:eastAsia="Calibri" w:cstheme="minorHAnsi"/>
          <w:color w:val="000000" w:themeColor="text1"/>
          <w:lang w:val="sr-Latn-ME"/>
        </w:rPr>
        <w:t xml:space="preserve">. godinu, utvrđena je nadležnost Ministarstva ekonomskog razvoja i turizma </w:t>
      </w:r>
      <w:r w:rsidR="00C2535E" w:rsidRPr="00081468">
        <w:rPr>
          <w:rFonts w:eastAsia="Calibri" w:cstheme="minorHAnsi"/>
          <w:color w:val="000000" w:themeColor="text1"/>
          <w:lang w:val="sr-Latn-ME"/>
        </w:rPr>
        <w:t xml:space="preserve">za sprovođenje </w:t>
      </w:r>
      <w:r w:rsidR="004F4A20" w:rsidRPr="00081468">
        <w:rPr>
          <w:rFonts w:eastAsia="Calibri" w:cstheme="minorHAnsi"/>
          <w:color w:val="000000" w:themeColor="text1"/>
          <w:lang w:val="sr-Latn-ME"/>
        </w:rPr>
        <w:t>7</w:t>
      </w:r>
      <w:r w:rsidR="00C2535E" w:rsidRPr="00081468">
        <w:rPr>
          <w:rFonts w:eastAsia="Calibri" w:cstheme="minorHAnsi"/>
          <w:color w:val="000000" w:themeColor="text1"/>
          <w:lang w:val="sr-Latn-ME"/>
        </w:rPr>
        <w:t xml:space="preserve"> projekata, za čiju je realizaciju opredjeljeno</w:t>
      </w:r>
      <w:r w:rsidR="00F67443" w:rsidRPr="00081468">
        <w:rPr>
          <w:rFonts w:eastAsia="Calibri" w:cstheme="minorHAnsi"/>
          <w:color w:val="000000" w:themeColor="text1"/>
          <w:lang w:val="sr-Latn-ME"/>
        </w:rPr>
        <w:t xml:space="preserve"> </w:t>
      </w:r>
      <w:r w:rsidR="0060519C" w:rsidRPr="00081468">
        <w:rPr>
          <w:rFonts w:eastAsia="Calibri" w:cstheme="minorHAnsi"/>
          <w:color w:val="000000" w:themeColor="text1"/>
          <w:lang w:val="sr-Latn-ME"/>
        </w:rPr>
        <w:t>4,3 miliona eura.</w:t>
      </w:r>
      <w:r w:rsidR="0060519C" w:rsidRPr="00081468" w:rsidDel="0060519C">
        <w:rPr>
          <w:rFonts w:eastAsia="Calibri" w:cstheme="minorHAnsi"/>
          <w:color w:val="000000" w:themeColor="text1"/>
          <w:lang w:val="sr-Latn-ME"/>
        </w:rPr>
        <w:t xml:space="preserve"> </w:t>
      </w:r>
      <w:r w:rsidR="00F67443" w:rsidRPr="00081468">
        <w:rPr>
          <w:rFonts w:eastAsia="Calibri" w:cstheme="minorHAnsi"/>
          <w:color w:val="000000" w:themeColor="text1"/>
          <w:lang w:val="sr-Latn-ME"/>
        </w:rPr>
        <w:t xml:space="preserve">Tri projekta </w:t>
      </w:r>
      <w:r w:rsidR="00C2535E" w:rsidRPr="00081468">
        <w:rPr>
          <w:rFonts w:eastAsia="Calibri" w:cstheme="minorHAnsi"/>
          <w:color w:val="000000" w:themeColor="text1"/>
          <w:lang w:val="sr-Latn-ME"/>
        </w:rPr>
        <w:t>je ugovoreno</w:t>
      </w:r>
      <w:r w:rsidR="00F67443" w:rsidRPr="00081468">
        <w:rPr>
          <w:rFonts w:eastAsia="Calibri" w:cstheme="minorHAnsi"/>
          <w:color w:val="000000" w:themeColor="text1"/>
          <w:lang w:val="sr-Latn-ME"/>
        </w:rPr>
        <w:t xml:space="preserve"> i počelo sa implementacijom u 2022. godini, dok su ostali ostali planirani projekti u fazi ugovaranja</w:t>
      </w:r>
      <w:r w:rsidR="000A1CCD" w:rsidRPr="00081468">
        <w:rPr>
          <w:rFonts w:eastAsia="Calibri" w:cstheme="minorHAnsi"/>
          <w:color w:val="000000" w:themeColor="text1"/>
          <w:lang w:val="sr-Latn-ME"/>
        </w:rPr>
        <w:t>.</w:t>
      </w:r>
    </w:p>
    <w:p w14:paraId="76FD9373" w14:textId="790E89E0" w:rsidR="00F30400" w:rsidRPr="00081468" w:rsidRDefault="00F30400" w:rsidP="00D07E96">
      <w:pPr>
        <w:suppressAutoHyphens/>
        <w:spacing w:after="0" w:line="240" w:lineRule="auto"/>
        <w:jc w:val="both"/>
        <w:rPr>
          <w:rFonts w:eastAsia="Calibri" w:cstheme="minorHAnsi"/>
          <w:color w:val="000000" w:themeColor="text1"/>
          <w:lang w:val="sr-Latn-ME"/>
        </w:rPr>
      </w:pPr>
    </w:p>
    <w:p w14:paraId="196EA5B7" w14:textId="6080E6DF" w:rsidR="00F159D8" w:rsidRPr="00081468" w:rsidRDefault="007F6026" w:rsidP="000466EF">
      <w:pPr>
        <w:pStyle w:val="ListParagraph"/>
        <w:numPr>
          <w:ilvl w:val="0"/>
          <w:numId w:val="109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Povećavanje kapaciteta institucija nadležnih za harmonizaciju i implementaciju EU zakonskog okvira u oblasti konkurentnosti i inovativnosti (NEAR/TGD/2021/EA-RP/0144)</w:t>
      </w:r>
    </w:p>
    <w:p w14:paraId="56D66025" w14:textId="3D0880B6" w:rsidR="002D0DBE" w:rsidRPr="00081468" w:rsidRDefault="002D0DBE" w:rsidP="00F159D8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Budžet projekta: 932.360,00 EUR </w:t>
      </w:r>
    </w:p>
    <w:p w14:paraId="5C4155C0" w14:textId="77CC2B4F" w:rsidR="002D0DBE" w:rsidRPr="00081468" w:rsidRDefault="002D0DBE" w:rsidP="00F159D8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Trajanje projekta: 30 mjeseci (20</w:t>
      </w:r>
      <w:r w:rsidR="00F5362C" w:rsidRPr="00081468">
        <w:rPr>
          <w:rFonts w:cstheme="minorHAnsi"/>
          <w:bCs/>
          <w:iCs/>
          <w:lang w:val="sr-Latn-ME"/>
        </w:rPr>
        <w:t>/</w:t>
      </w:r>
      <w:r w:rsidRPr="00081468">
        <w:rPr>
          <w:rFonts w:cstheme="minorHAnsi"/>
          <w:bCs/>
          <w:iCs/>
          <w:lang w:val="sr-Latn-ME"/>
        </w:rPr>
        <w:t>06</w:t>
      </w:r>
      <w:r w:rsidR="00F5362C" w:rsidRPr="00081468">
        <w:rPr>
          <w:rFonts w:cstheme="minorHAnsi"/>
          <w:bCs/>
          <w:iCs/>
          <w:lang w:val="sr-Latn-ME"/>
        </w:rPr>
        <w:t>/</w:t>
      </w:r>
      <w:r w:rsidRPr="00081468">
        <w:rPr>
          <w:rFonts w:cstheme="minorHAnsi"/>
          <w:bCs/>
          <w:iCs/>
          <w:lang w:val="sr-Latn-ME"/>
        </w:rPr>
        <w:t>2022 – 30</w:t>
      </w:r>
      <w:r w:rsidR="00F5362C" w:rsidRPr="00081468">
        <w:rPr>
          <w:rFonts w:cstheme="minorHAnsi"/>
          <w:bCs/>
          <w:iCs/>
          <w:lang w:val="sr-Latn-ME"/>
        </w:rPr>
        <w:t>/</w:t>
      </w:r>
      <w:r w:rsidRPr="00081468">
        <w:rPr>
          <w:rFonts w:cstheme="minorHAnsi"/>
          <w:bCs/>
          <w:iCs/>
          <w:lang w:val="sr-Latn-ME"/>
        </w:rPr>
        <w:t>12</w:t>
      </w:r>
      <w:r w:rsidR="00F5362C" w:rsidRPr="00081468">
        <w:rPr>
          <w:rFonts w:cstheme="minorHAnsi"/>
          <w:bCs/>
          <w:iCs/>
          <w:lang w:val="sr-Latn-ME"/>
        </w:rPr>
        <w:t>/</w:t>
      </w:r>
      <w:r w:rsidRPr="00081468">
        <w:rPr>
          <w:rFonts w:cstheme="minorHAnsi"/>
          <w:bCs/>
          <w:iCs/>
          <w:lang w:val="sr-Latn-ME"/>
        </w:rPr>
        <w:t>2024)</w:t>
      </w:r>
    </w:p>
    <w:p w14:paraId="3076B18E" w14:textId="40BEDDA0" w:rsidR="002D0DBE" w:rsidRPr="00081468" w:rsidRDefault="002D0DBE" w:rsidP="00F159D8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Ugo</w:t>
      </w:r>
      <w:r w:rsidR="00BC5EED" w:rsidRPr="00081468">
        <w:rPr>
          <w:rFonts w:cstheme="minorHAnsi"/>
          <w:bCs/>
          <w:iCs/>
          <w:lang w:val="sr-Latn-ME"/>
        </w:rPr>
        <w:t>varačko</w:t>
      </w:r>
      <w:r w:rsidRPr="00081468">
        <w:rPr>
          <w:rFonts w:cstheme="minorHAnsi"/>
          <w:bCs/>
          <w:iCs/>
          <w:lang w:val="sr-Latn-ME"/>
        </w:rPr>
        <w:t xml:space="preserve"> tijelo: Delegacija Evropske unije u Crnoj Gori</w:t>
      </w:r>
    </w:p>
    <w:p w14:paraId="44747C5D" w14:textId="4B4D9D09" w:rsidR="002D0DBE" w:rsidRPr="00081468" w:rsidRDefault="002D0DBE" w:rsidP="00F159D8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Konzorcijum: EPRD u konzorcijumu sa Britanskom institucijom za standarde (BSI)</w:t>
      </w:r>
    </w:p>
    <w:p w14:paraId="3DC48844" w14:textId="77777777" w:rsidR="000A1CCD" w:rsidRPr="00081468" w:rsidRDefault="002D0DBE" w:rsidP="00F159D8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bookmarkStart w:id="5" w:name="_Hlk126049574"/>
      <w:r w:rsidRPr="00081468">
        <w:rPr>
          <w:rFonts w:cstheme="minorHAnsi"/>
          <w:bCs/>
          <w:iCs/>
          <w:lang w:val="sr-Latn-ME"/>
        </w:rPr>
        <w:t xml:space="preserve">Glavni korisnici: Ministarstvo ekonomskog razvoja i turizma, Ministarstvo finansija i Agencija za zaštitu konkurencije </w:t>
      </w:r>
    </w:p>
    <w:p w14:paraId="4E5C4C52" w14:textId="3AD5F92A" w:rsidR="002D0DBE" w:rsidRPr="00081468" w:rsidRDefault="002D0DBE" w:rsidP="00F159D8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Značaj projekta:</w:t>
      </w:r>
      <w:r w:rsidRPr="00081468">
        <w:rPr>
          <w:rFonts w:cstheme="minorHAnsi"/>
          <w:bCs/>
          <w:iCs/>
          <w:lang w:val="sr-Latn-ME"/>
        </w:rPr>
        <w:t xml:space="preserve"> Opšti cilj projekta je da podrži razvoj daljeg administrativnog kapaciteta i stepena usklađenosti sa pravnim tekovinama EU u oblasti konkurentnosti i inovacija, posebno u oblastima usluga, standardizacije, akreditacije, konkurencije i državne pomoći, čime se omogućava Crnoj Gori da ispuni kriterijume za pristupanje relevantnih pregovaračkih poglavlja.</w:t>
      </w:r>
    </w:p>
    <w:p w14:paraId="1DB688D5" w14:textId="220A6207" w:rsidR="009A0403" w:rsidRPr="00081468" w:rsidRDefault="009A0403" w:rsidP="00F159D8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Projekat je planiran kroz 3 komponente.</w:t>
      </w:r>
    </w:p>
    <w:p w14:paraId="035F74D9" w14:textId="77777777" w:rsidR="00545025" w:rsidRPr="00081468" w:rsidRDefault="00545025" w:rsidP="00E963BB">
      <w:pPr>
        <w:pStyle w:val="ListParagraph"/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</w:p>
    <w:p w14:paraId="5082542E" w14:textId="0D1B4A49" w:rsidR="009A0403" w:rsidRPr="00081468" w:rsidRDefault="009A0403" w:rsidP="00E963BB">
      <w:pPr>
        <w:pStyle w:val="ListParagraph"/>
        <w:numPr>
          <w:ilvl w:val="0"/>
          <w:numId w:val="103"/>
        </w:numPr>
        <w:suppressAutoHyphens/>
        <w:spacing w:after="0" w:line="240" w:lineRule="auto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 xml:space="preserve">Ključne realizovane aktivnosti: </w:t>
      </w:r>
    </w:p>
    <w:p w14:paraId="75F0D729" w14:textId="77777777" w:rsidR="009A0403" w:rsidRPr="00081468" w:rsidRDefault="009A0403" w:rsidP="009A0403">
      <w:pPr>
        <w:pStyle w:val="ListParagraph"/>
        <w:rPr>
          <w:rFonts w:cstheme="minorHAnsi"/>
          <w:bCs/>
          <w:iCs/>
          <w:lang w:val="sr-Latn-ME"/>
        </w:rPr>
      </w:pPr>
    </w:p>
    <w:p w14:paraId="15FBDF9F" w14:textId="446B74F8" w:rsidR="009A0403" w:rsidRPr="00081468" w:rsidRDefault="009A0403" w:rsidP="00A63084">
      <w:pPr>
        <w:pStyle w:val="ListParagraph"/>
        <w:numPr>
          <w:ilvl w:val="0"/>
          <w:numId w:val="103"/>
        </w:numPr>
        <w:suppressAutoHyphens/>
        <w:spacing w:after="0" w:line="240" w:lineRule="auto"/>
        <w:ind w:left="1080"/>
        <w:jc w:val="both"/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t>Komponenta 1</w:t>
      </w:r>
      <w:r w:rsidR="00A63084" w:rsidRPr="00081468">
        <w:rPr>
          <w:rFonts w:cstheme="minorHAnsi"/>
          <w:b/>
          <w:bCs/>
          <w:iCs/>
          <w:u w:val="single"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>Usklađivanje i implementacija zakona u oblasti usluga</w:t>
      </w:r>
      <w:r w:rsidR="00A63084" w:rsidRPr="00081468">
        <w:rPr>
          <w:rFonts w:cstheme="minorHAnsi"/>
          <w:bCs/>
          <w:iCs/>
          <w:lang w:val="sr-Latn-ME"/>
        </w:rPr>
        <w:t xml:space="preserve"> (Pregovaračko poglavlje 3)</w:t>
      </w:r>
      <w:r w:rsidRPr="00081468">
        <w:rPr>
          <w:rFonts w:cstheme="minorHAnsi"/>
          <w:bCs/>
          <w:iCs/>
          <w:lang w:val="sr-Latn-ME"/>
        </w:rPr>
        <w:t>:</w:t>
      </w:r>
    </w:p>
    <w:p w14:paraId="2D6FF809" w14:textId="77777777" w:rsidR="009A0403" w:rsidRPr="00081468" w:rsidRDefault="009A0403" w:rsidP="00EE1635">
      <w:pPr>
        <w:pStyle w:val="ListParagraph"/>
        <w:ind w:left="1080"/>
        <w:rPr>
          <w:rFonts w:cstheme="minorHAnsi"/>
          <w:bCs/>
          <w:iCs/>
          <w:lang w:val="sr-Latn-ME"/>
        </w:rPr>
      </w:pPr>
    </w:p>
    <w:p w14:paraId="20182EF8" w14:textId="6A5FB407" w:rsidR="009A0403" w:rsidRPr="00081468" w:rsidRDefault="000528EE" w:rsidP="00EE1635">
      <w:pPr>
        <w:pStyle w:val="ListParagraph"/>
        <w:numPr>
          <w:ilvl w:val="0"/>
          <w:numId w:val="87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Predstavljena k</w:t>
      </w:r>
      <w:r w:rsidR="009A0403" w:rsidRPr="00081468">
        <w:rPr>
          <w:rFonts w:cstheme="minorHAnsi"/>
          <w:bCs/>
          <w:iCs/>
          <w:lang w:val="sr-Latn-ME"/>
        </w:rPr>
        <w:t>omparativna studija o PSC (Jedinstvena kontakt tačka) u EU i informacije za regulisane profesije</w:t>
      </w:r>
    </w:p>
    <w:p w14:paraId="638CDEE9" w14:textId="4B46ABAA" w:rsidR="00860B7D" w:rsidRPr="00081468" w:rsidRDefault="009A0403" w:rsidP="00EE1635">
      <w:pPr>
        <w:pStyle w:val="ListParagraph"/>
        <w:numPr>
          <w:ilvl w:val="0"/>
          <w:numId w:val="87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Organizovana</w:t>
      </w:r>
      <w:r w:rsidR="00A63084" w:rsidRPr="00081468">
        <w:rPr>
          <w:rFonts w:cstheme="minorHAnsi"/>
          <w:bCs/>
          <w:iCs/>
          <w:lang w:val="sr-Latn-ME"/>
        </w:rPr>
        <w:t xml:space="preserve"> je dvodnevna</w:t>
      </w:r>
      <w:r w:rsidRPr="00081468">
        <w:rPr>
          <w:rFonts w:cstheme="minorHAnsi"/>
          <w:bCs/>
          <w:iCs/>
          <w:lang w:val="sr-Latn-ME"/>
        </w:rPr>
        <w:t xml:space="preserve"> radionica za predstavljanje komparativne studije </w:t>
      </w:r>
      <w:bookmarkEnd w:id="5"/>
      <w:r w:rsidRPr="00081468">
        <w:rPr>
          <w:rFonts w:cstheme="minorHAnsi"/>
          <w:bCs/>
          <w:iCs/>
          <w:lang w:val="sr-Latn-ME"/>
        </w:rPr>
        <w:t>sa primjerima dobre prakse</w:t>
      </w:r>
      <w:r w:rsidR="00A63084" w:rsidRPr="00081468">
        <w:rPr>
          <w:rFonts w:cstheme="minorHAnsi"/>
          <w:bCs/>
          <w:iCs/>
          <w:lang w:val="sr-Latn-ME"/>
        </w:rPr>
        <w:t xml:space="preserve"> i obukom za pripremu sektorskih obrazaca za PSC</w:t>
      </w:r>
    </w:p>
    <w:p w14:paraId="15A04068" w14:textId="6989416E" w:rsidR="00D07E96" w:rsidRPr="00081468" w:rsidRDefault="00860B7D" w:rsidP="00EE1635">
      <w:pPr>
        <w:pStyle w:val="ListParagraph"/>
        <w:numPr>
          <w:ilvl w:val="0"/>
          <w:numId w:val="87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Pripremljen Akcioni plan za razvoj i implementaciju PSC-a</w:t>
      </w:r>
      <w:r w:rsidR="009A0403" w:rsidRPr="00081468">
        <w:rPr>
          <w:rFonts w:cstheme="minorHAnsi"/>
          <w:bCs/>
          <w:iCs/>
          <w:lang w:val="sr-Latn-ME"/>
        </w:rPr>
        <w:t xml:space="preserve"> </w:t>
      </w:r>
    </w:p>
    <w:p w14:paraId="696A0072" w14:textId="53D95AF6" w:rsidR="00860B7D" w:rsidRPr="00081468" w:rsidRDefault="00860B7D" w:rsidP="00EE1635">
      <w:pPr>
        <w:pStyle w:val="ListParagraph"/>
        <w:numPr>
          <w:ilvl w:val="0"/>
          <w:numId w:val="87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Održana </w:t>
      </w:r>
      <w:r w:rsidR="00A63084" w:rsidRPr="00081468">
        <w:rPr>
          <w:rFonts w:cstheme="minorHAnsi"/>
          <w:bCs/>
          <w:iCs/>
          <w:lang w:val="sr-Latn-ME"/>
        </w:rPr>
        <w:t xml:space="preserve">je dvodnevna </w:t>
      </w:r>
      <w:r w:rsidRPr="00081468">
        <w:rPr>
          <w:rFonts w:cstheme="minorHAnsi"/>
          <w:bCs/>
          <w:iCs/>
          <w:lang w:val="sr-Latn-ME"/>
        </w:rPr>
        <w:t>obuka o upravljanju i održavanju PSC-a za predstavnike državne uprave</w:t>
      </w:r>
    </w:p>
    <w:p w14:paraId="09EE17C4" w14:textId="65A841E5" w:rsidR="00860B7D" w:rsidRPr="00081468" w:rsidRDefault="00860B7D" w:rsidP="00EE1635">
      <w:pPr>
        <w:pStyle w:val="ListParagraph"/>
        <w:numPr>
          <w:ilvl w:val="0"/>
          <w:numId w:val="87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Angažovan IT ekspert za pripremu web dizajna PSC-a</w:t>
      </w:r>
    </w:p>
    <w:p w14:paraId="02F4D346" w14:textId="77777777" w:rsidR="00860B7D" w:rsidRPr="00081468" w:rsidRDefault="00860B7D" w:rsidP="000466EF">
      <w:pPr>
        <w:pStyle w:val="ListParagraph"/>
        <w:suppressAutoHyphens/>
        <w:spacing w:after="0" w:line="240" w:lineRule="auto"/>
        <w:ind w:left="1440"/>
        <w:jc w:val="both"/>
        <w:rPr>
          <w:rFonts w:cstheme="minorHAnsi"/>
          <w:b/>
          <w:bCs/>
          <w:iCs/>
          <w:u w:val="single"/>
          <w:lang w:val="sr-Latn-ME"/>
        </w:rPr>
      </w:pPr>
    </w:p>
    <w:p w14:paraId="57E07EA5" w14:textId="7486F4A9" w:rsidR="00860B7D" w:rsidRPr="00081468" w:rsidRDefault="00860B7D" w:rsidP="00A63084">
      <w:pPr>
        <w:pStyle w:val="ListParagraph"/>
        <w:numPr>
          <w:ilvl w:val="0"/>
          <w:numId w:val="104"/>
        </w:numPr>
        <w:suppressAutoHyphens/>
        <w:spacing w:after="0" w:line="240" w:lineRule="auto"/>
        <w:jc w:val="both"/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t>Komponenta 2</w:t>
      </w:r>
      <w:r w:rsidR="00A63084" w:rsidRPr="00081468">
        <w:rPr>
          <w:rFonts w:cstheme="minorHAnsi"/>
          <w:b/>
          <w:bCs/>
          <w:iCs/>
          <w:u w:val="single"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 xml:space="preserve">Standardizacija i akreditacija: </w:t>
      </w:r>
    </w:p>
    <w:p w14:paraId="62ED8EC1" w14:textId="3920912A" w:rsidR="00860B7D" w:rsidRPr="00081468" w:rsidRDefault="000528EE" w:rsidP="00EE1635">
      <w:pPr>
        <w:pStyle w:val="ListParagraph"/>
        <w:numPr>
          <w:ilvl w:val="0"/>
          <w:numId w:val="88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Pripremljen  plan obuka za naredni period</w:t>
      </w:r>
    </w:p>
    <w:p w14:paraId="316DC6EF" w14:textId="77777777" w:rsidR="000528EE" w:rsidRPr="00081468" w:rsidRDefault="000528EE" w:rsidP="00EE1635">
      <w:pPr>
        <w:pStyle w:val="ListParagraph"/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</w:p>
    <w:p w14:paraId="58867418" w14:textId="1169671F" w:rsidR="000528EE" w:rsidRPr="00081468" w:rsidRDefault="000528EE" w:rsidP="00A63084">
      <w:pPr>
        <w:pStyle w:val="ListParagraph"/>
        <w:numPr>
          <w:ilvl w:val="0"/>
          <w:numId w:val="105"/>
        </w:numPr>
        <w:suppressAutoHyphens/>
        <w:spacing w:after="0" w:line="240" w:lineRule="auto"/>
        <w:ind w:left="1080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Komponenta 3:</w:t>
      </w:r>
      <w:r w:rsidR="00A63084" w:rsidRPr="00081468">
        <w:rPr>
          <w:rFonts w:cstheme="minorHAnsi"/>
          <w:b/>
          <w:bCs/>
          <w:iCs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>Konkurencija i državna pomoć:</w:t>
      </w:r>
    </w:p>
    <w:p w14:paraId="52595505" w14:textId="27BDB01C" w:rsidR="000528EE" w:rsidRPr="00081468" w:rsidRDefault="000528EE" w:rsidP="00EE1635">
      <w:pPr>
        <w:pStyle w:val="ListParagraph"/>
        <w:numPr>
          <w:ilvl w:val="0"/>
          <w:numId w:val="88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Plan mentorstva za zaposlene u Agenciji za zaštitu kokurencije u oblasti primjene Zakona o zaštiti konkurencije</w:t>
      </w:r>
      <w:r w:rsidRPr="00081468">
        <w:rPr>
          <w:rFonts w:cstheme="minorHAnsi"/>
        </w:rPr>
        <w:t xml:space="preserve"> </w:t>
      </w:r>
      <w:r w:rsidRPr="00081468">
        <w:rPr>
          <w:rFonts w:cstheme="minorHAnsi"/>
          <w:bCs/>
          <w:iCs/>
          <w:lang w:val="sr-Latn-ME"/>
        </w:rPr>
        <w:t>i Zakona o kontroli državne pomoći</w:t>
      </w:r>
    </w:p>
    <w:p w14:paraId="38B41A67" w14:textId="08901DDF" w:rsidR="000528EE" w:rsidRPr="00081468" w:rsidRDefault="000528EE" w:rsidP="00EE1635">
      <w:pPr>
        <w:pStyle w:val="ListParagraph"/>
        <w:numPr>
          <w:ilvl w:val="0"/>
          <w:numId w:val="88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Razviti rješenje za evidentiranje predmeta sudskih postupaka i uspostaviti povezivanje sa registrom Poreske uprave</w:t>
      </w:r>
    </w:p>
    <w:p w14:paraId="1BD696EE" w14:textId="413E8367" w:rsidR="000528EE" w:rsidRPr="00081468" w:rsidRDefault="000528EE" w:rsidP="00EE1635">
      <w:pPr>
        <w:pStyle w:val="ListParagraph"/>
        <w:numPr>
          <w:ilvl w:val="0"/>
          <w:numId w:val="88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Pripremljen je periodični izvještaj o napretku ispunjenja završnog mjerila za Poglavlje 8 – Konkurencija </w:t>
      </w:r>
    </w:p>
    <w:p w14:paraId="1643DDDD" w14:textId="45AB7944" w:rsidR="000528EE" w:rsidRPr="00081468" w:rsidRDefault="000528EE" w:rsidP="00EE1635">
      <w:pPr>
        <w:pStyle w:val="ListParagraph"/>
        <w:numPr>
          <w:ilvl w:val="0"/>
          <w:numId w:val="88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Pripremljen prijedlog Mentorskog programa na radnom mjestu u relevantnim oblastima državne pomoći</w:t>
      </w:r>
    </w:p>
    <w:p w14:paraId="5E57FE6B" w14:textId="715228DF" w:rsidR="000528EE" w:rsidRPr="00081468" w:rsidRDefault="000528EE" w:rsidP="00EE1635">
      <w:pPr>
        <w:pStyle w:val="ListParagraph"/>
        <w:numPr>
          <w:ilvl w:val="0"/>
          <w:numId w:val="88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Kontinuirana praktična podrška/pomoć za analizu zakona i podzakonskih akata, ex-ante i ex-post procjene i/ili istrage složenih slučajeva u oblasti konkurencije i državne pomoći</w:t>
      </w:r>
    </w:p>
    <w:p w14:paraId="77F6EE57" w14:textId="13A5C7C9" w:rsidR="000528EE" w:rsidRPr="00081468" w:rsidRDefault="000528EE" w:rsidP="00EE1635">
      <w:pPr>
        <w:pStyle w:val="ListParagraph"/>
        <w:numPr>
          <w:ilvl w:val="0"/>
          <w:numId w:val="88"/>
        </w:numPr>
        <w:suppressAutoHyphens/>
        <w:spacing w:after="0" w:line="240" w:lineRule="auto"/>
        <w:ind w:left="180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Sprovedeno preliminarno istraživanje mjera za postizanje završnih mjerila iz </w:t>
      </w:r>
      <w:r w:rsidR="004D3373" w:rsidRPr="00081468">
        <w:rPr>
          <w:rFonts w:cstheme="minorHAnsi"/>
          <w:bCs/>
          <w:iCs/>
          <w:lang w:val="sr-Latn-ME"/>
        </w:rPr>
        <w:t>P</w:t>
      </w:r>
      <w:r w:rsidRPr="00081468">
        <w:rPr>
          <w:rFonts w:cstheme="minorHAnsi"/>
          <w:bCs/>
          <w:iCs/>
          <w:lang w:val="sr-Latn-ME"/>
        </w:rPr>
        <w:t>oglavlja 8</w:t>
      </w:r>
    </w:p>
    <w:p w14:paraId="59EE3459" w14:textId="16BF08C3" w:rsidR="00A63084" w:rsidRPr="00081468" w:rsidRDefault="00A63084" w:rsidP="00A63084">
      <w:p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</w:p>
    <w:p w14:paraId="39BFCF5F" w14:textId="0E8341A3" w:rsidR="00A63084" w:rsidRPr="00081468" w:rsidRDefault="00A63084" w:rsidP="00A63084">
      <w:p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</w:p>
    <w:p w14:paraId="5C79C0B0" w14:textId="77777777" w:rsidR="00A63084" w:rsidRPr="00081468" w:rsidRDefault="00A63084" w:rsidP="00A63084">
      <w:p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</w:p>
    <w:p w14:paraId="40E3CEDA" w14:textId="77777777" w:rsidR="000F3DB2" w:rsidRPr="00081468" w:rsidRDefault="000F3DB2" w:rsidP="000466EF">
      <w:pPr>
        <w:pStyle w:val="ListParagraph"/>
        <w:suppressAutoHyphens/>
        <w:spacing w:after="0" w:line="240" w:lineRule="auto"/>
        <w:ind w:left="1440"/>
        <w:jc w:val="both"/>
        <w:rPr>
          <w:rFonts w:cstheme="minorHAnsi"/>
          <w:bCs/>
          <w:iCs/>
          <w:u w:val="single"/>
          <w:lang w:val="sr-Latn-ME"/>
        </w:rPr>
      </w:pPr>
    </w:p>
    <w:p w14:paraId="4E0086B0" w14:textId="09959794" w:rsidR="00F5362C" w:rsidRPr="00081468" w:rsidRDefault="00F5362C" w:rsidP="000466EF">
      <w:pPr>
        <w:pStyle w:val="ListParagraph"/>
        <w:numPr>
          <w:ilvl w:val="0"/>
          <w:numId w:val="109"/>
        </w:numPr>
        <w:suppressAutoHyphens/>
        <w:spacing w:after="0" w:line="240" w:lineRule="auto"/>
        <w:jc w:val="both"/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t>Jačanje kapaciteta za podršku primjeni Strategije pametne specijalizacije CFCU/MNE/191</w:t>
      </w:r>
    </w:p>
    <w:p w14:paraId="7193C94A" w14:textId="27F0EF2B" w:rsidR="00F5362C" w:rsidRPr="00081468" w:rsidRDefault="00F5362C" w:rsidP="006744C4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Bužet projekta: 285.000,00 EUR </w:t>
      </w:r>
    </w:p>
    <w:p w14:paraId="36F6D114" w14:textId="268755A4" w:rsidR="00F5362C" w:rsidRPr="00081468" w:rsidRDefault="00F5362C" w:rsidP="006744C4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Trajanje projekta: 16 mjeseci (25/01/2022 – 25/05/2023)</w:t>
      </w:r>
    </w:p>
    <w:p w14:paraId="681F0145" w14:textId="66207AD5" w:rsidR="00F5362C" w:rsidRPr="00081468" w:rsidRDefault="00F5362C" w:rsidP="006744C4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Konzorcijum:</w:t>
      </w:r>
      <w:r w:rsidRPr="00081468">
        <w:rPr>
          <w:rFonts w:cstheme="minorHAnsi"/>
        </w:rPr>
        <w:t xml:space="preserve"> </w:t>
      </w:r>
      <w:r w:rsidRPr="00081468">
        <w:rPr>
          <w:rFonts w:cstheme="minorHAnsi"/>
          <w:bCs/>
          <w:iCs/>
          <w:lang w:val="sr-Latn-ME"/>
        </w:rPr>
        <w:t>WYG Consulting Limited</w:t>
      </w:r>
    </w:p>
    <w:p w14:paraId="42555019" w14:textId="765E9421" w:rsidR="00F5362C" w:rsidRPr="00081468" w:rsidRDefault="00F5362C" w:rsidP="006744C4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Glavni korisnici: Ministarstvo nauke i tehnološkog razvoja i Ministarstvo ekonomskog razvoja i turizma</w:t>
      </w:r>
    </w:p>
    <w:p w14:paraId="3D7783CA" w14:textId="7DA13C1B" w:rsidR="00F5362C" w:rsidRPr="00081468" w:rsidRDefault="00F5362C" w:rsidP="006744C4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Značaj projekta</w:t>
      </w:r>
      <w:r w:rsidRPr="00081468">
        <w:rPr>
          <w:rFonts w:cstheme="minorHAnsi"/>
          <w:bCs/>
          <w:iCs/>
          <w:lang w:val="sr-Latn-ME"/>
        </w:rPr>
        <w:t>: Podrška uspostavljanju funkcionalnog inovacionog eko-sistema zasnovanog na S3 konceptu kroz izgradnju institucionalnih kapaciteta i unapređenje inovacionih kapaciteta crnogorskih MMSP.</w:t>
      </w:r>
    </w:p>
    <w:p w14:paraId="4B379717" w14:textId="226F399A" w:rsidR="00DC4639" w:rsidRPr="00081468" w:rsidRDefault="00DC4639" w:rsidP="006744C4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Projekat je plairan kroz 5 komponenti. </w:t>
      </w:r>
    </w:p>
    <w:p w14:paraId="200185B7" w14:textId="77777777" w:rsidR="006744C4" w:rsidRPr="00081468" w:rsidRDefault="006744C4" w:rsidP="002C7A5A">
      <w:pPr>
        <w:pStyle w:val="ListParagraph"/>
        <w:suppressAutoHyphens/>
        <w:spacing w:after="0" w:line="240" w:lineRule="auto"/>
        <w:jc w:val="both"/>
        <w:rPr>
          <w:rFonts w:cstheme="minorHAnsi"/>
          <w:bCs/>
          <w:iCs/>
          <w:u w:val="single"/>
          <w:lang w:val="sr-Latn-ME"/>
        </w:rPr>
      </w:pPr>
    </w:p>
    <w:p w14:paraId="4FE4DDE9" w14:textId="1B443874" w:rsidR="00DC4639" w:rsidRPr="00081468" w:rsidRDefault="00DC4639" w:rsidP="00A63084">
      <w:pPr>
        <w:pStyle w:val="ListParagraph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t>Komponenta 1:</w:t>
      </w:r>
      <w:r w:rsidR="00A63084" w:rsidRPr="00081468">
        <w:rPr>
          <w:rFonts w:cstheme="minorHAnsi"/>
          <w:b/>
          <w:bCs/>
          <w:iCs/>
          <w:u w:val="single"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>Ojačani kapaciteti za sprovođenje inovacione politike zasnovane na S3 konceptu u javnoj upravi i institucijama u okviru nacionalnog inovacionog sistema u Crnoj Gori kroz organizovanje obuka na radnom mestu, radionica i studijskih putovanja</w:t>
      </w:r>
    </w:p>
    <w:p w14:paraId="043249FF" w14:textId="609E160B" w:rsidR="00196C67" w:rsidRPr="00081468" w:rsidRDefault="006744C4" w:rsidP="00196C67">
      <w:pPr>
        <w:pStyle w:val="ListParagraph"/>
        <w:numPr>
          <w:ilvl w:val="0"/>
          <w:numId w:val="91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Organizove obuka na temu praćenja projekata i evaluacija uticaja programa, uslovima za dodjelu državne pomoći za istraživanje i razvoj i inovacije, politika inovacija i finansiranja EU, javne nabavke, evaluacija inovativnoh projekata. </w:t>
      </w:r>
    </w:p>
    <w:p w14:paraId="468A1D63" w14:textId="153427EB" w:rsidR="00DC4639" w:rsidRPr="00081468" w:rsidRDefault="00DC4639" w:rsidP="00A63084">
      <w:pPr>
        <w:pStyle w:val="ListParagraph"/>
        <w:numPr>
          <w:ilvl w:val="0"/>
          <w:numId w:val="93"/>
        </w:numPr>
        <w:suppressAutoHyphens/>
        <w:spacing w:after="0" w:line="240" w:lineRule="auto"/>
        <w:jc w:val="both"/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lastRenderedPageBreak/>
        <w:t>Komponenta 2:</w:t>
      </w:r>
      <w:r w:rsidR="00A63084" w:rsidRPr="00081468">
        <w:rPr>
          <w:rFonts w:cstheme="minorHAnsi"/>
          <w:b/>
          <w:bCs/>
          <w:iCs/>
          <w:u w:val="single"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>Razvoj efikasne strukture upravljanja za implementaciju S3</w:t>
      </w:r>
    </w:p>
    <w:p w14:paraId="0149E1BD" w14:textId="51A65694" w:rsidR="006744C4" w:rsidRPr="00081468" w:rsidRDefault="006744C4" w:rsidP="000466EF">
      <w:pPr>
        <w:pStyle w:val="ListParagraph"/>
        <w:numPr>
          <w:ilvl w:val="0"/>
          <w:numId w:val="93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Prioriteti koji su definisani planom rada su sljedeći:</w:t>
      </w:r>
    </w:p>
    <w:p w14:paraId="75545064" w14:textId="324B996F" w:rsidR="006744C4" w:rsidRPr="00081468" w:rsidRDefault="002C7A5A" w:rsidP="002C7A5A">
      <w:pPr>
        <w:pStyle w:val="ListParagraph"/>
        <w:numPr>
          <w:ilvl w:val="0"/>
          <w:numId w:val="91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Izrada smjernica koje propisuju strukturu upravljanja za implementaciju S3, specifične uloge, zahtjeve i dužnosti </w:t>
      </w:r>
    </w:p>
    <w:p w14:paraId="3BCE94B5" w14:textId="77777777" w:rsidR="002C7A5A" w:rsidRPr="00081468" w:rsidRDefault="002C7A5A" w:rsidP="002C7A5A">
      <w:pPr>
        <w:pStyle w:val="ListParagraph"/>
        <w:numPr>
          <w:ilvl w:val="0"/>
          <w:numId w:val="91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Pružanje podrške u upravljanju S3 okvira </w:t>
      </w:r>
    </w:p>
    <w:p w14:paraId="53EDFA8A" w14:textId="72604FC5" w:rsidR="00DC4639" w:rsidRPr="00081468" w:rsidRDefault="00DC4639" w:rsidP="00A63084">
      <w:pPr>
        <w:pStyle w:val="ListParagraph"/>
        <w:numPr>
          <w:ilvl w:val="0"/>
          <w:numId w:val="95"/>
        </w:numPr>
        <w:suppressAutoHyphens/>
        <w:spacing w:after="0" w:line="240" w:lineRule="auto"/>
        <w:jc w:val="both"/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t>Komponenta 3:</w:t>
      </w:r>
      <w:r w:rsidR="00A63084" w:rsidRPr="00081468">
        <w:rPr>
          <w:rFonts w:cstheme="minorHAnsi"/>
          <w:b/>
          <w:bCs/>
          <w:iCs/>
          <w:u w:val="single"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>Stvaranje efikasnog okvira za implementaciju inovacionih programa i programa zasnovanih na S3 konceptu</w:t>
      </w:r>
    </w:p>
    <w:p w14:paraId="548D4D55" w14:textId="77777777" w:rsidR="002C7A5A" w:rsidRPr="00081468" w:rsidRDefault="002C7A5A" w:rsidP="002C7A5A">
      <w:pPr>
        <w:pStyle w:val="ListParagraph"/>
        <w:numPr>
          <w:ilvl w:val="0"/>
          <w:numId w:val="95"/>
        </w:numPr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Prioriteti koji su definisani planom rada su sljedeći:</w:t>
      </w:r>
    </w:p>
    <w:p w14:paraId="4463B7A6" w14:textId="7EC64717" w:rsidR="002C7A5A" w:rsidRPr="00081468" w:rsidRDefault="002C7A5A" w:rsidP="002C7A5A">
      <w:pPr>
        <w:pStyle w:val="ListParagraph"/>
        <w:numPr>
          <w:ilvl w:val="0"/>
          <w:numId w:val="96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Priprema dokumentacije za odabir i praćenje projekata za </w:t>
      </w:r>
      <w:r w:rsidR="00752ADB" w:rsidRPr="00081468">
        <w:rPr>
          <w:rFonts w:cstheme="minorHAnsi"/>
          <w:bCs/>
          <w:iCs/>
          <w:lang w:val="sr-Latn-ME"/>
        </w:rPr>
        <w:t>Sekretarija i Fonda za inovacije</w:t>
      </w:r>
    </w:p>
    <w:p w14:paraId="17A23060" w14:textId="390DDF90" w:rsidR="00752ADB" w:rsidRPr="00081468" w:rsidRDefault="00752ADB" w:rsidP="002C7A5A">
      <w:pPr>
        <w:pStyle w:val="ListParagraph"/>
        <w:numPr>
          <w:ilvl w:val="0"/>
          <w:numId w:val="96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Razvoj inovacionih programa za Fond za inovacije sa fokusom na konkurentnost MMSP</w:t>
      </w:r>
    </w:p>
    <w:p w14:paraId="64466277" w14:textId="74D814ED" w:rsidR="00752ADB" w:rsidRPr="00081468" w:rsidRDefault="00752ADB" w:rsidP="00752ADB">
      <w:pPr>
        <w:pStyle w:val="ListParagraph"/>
        <w:numPr>
          <w:ilvl w:val="0"/>
          <w:numId w:val="96"/>
        </w:num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Razvoj inovacionih programa zasnovanih na koceptu S3</w:t>
      </w:r>
    </w:p>
    <w:p w14:paraId="2ABD89A5" w14:textId="77777777" w:rsidR="000A1CCD" w:rsidRPr="00081468" w:rsidRDefault="000A1CCD" w:rsidP="00A63084">
      <w:pPr>
        <w:suppressAutoHyphens/>
        <w:spacing w:after="0" w:line="240" w:lineRule="auto"/>
        <w:jc w:val="both"/>
        <w:rPr>
          <w:rFonts w:cstheme="minorHAnsi"/>
          <w:bCs/>
          <w:iCs/>
          <w:lang w:val="sr-Latn-ME"/>
        </w:rPr>
      </w:pPr>
    </w:p>
    <w:p w14:paraId="69DD355E" w14:textId="6F6CCF70" w:rsidR="00DC4639" w:rsidRPr="00081468" w:rsidRDefault="00DC4639" w:rsidP="00A63084">
      <w:pPr>
        <w:pStyle w:val="ListParagraph"/>
        <w:numPr>
          <w:ilvl w:val="0"/>
          <w:numId w:val="97"/>
        </w:numPr>
        <w:suppressAutoHyphens/>
        <w:spacing w:after="0" w:line="240" w:lineRule="auto"/>
        <w:jc w:val="both"/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t>Komponenta 4:</w:t>
      </w:r>
      <w:r w:rsidR="00A63084" w:rsidRPr="00081468">
        <w:rPr>
          <w:rFonts w:cstheme="minorHAnsi"/>
          <w:b/>
          <w:bCs/>
          <w:iCs/>
          <w:u w:val="single"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>Poboljšani kapaciteti MMSP i preduzetnika za učešće na pozive za dodjelu bespovratnih sredstava (grantove) za S3 projekte i za mobilizaciju resursa za stvaranje inovacija i zajednički rad na zajednički identifikovanim izazovima, čime se povećava društvena i komercijalna vrednost inovacija</w:t>
      </w:r>
    </w:p>
    <w:p w14:paraId="0EEB374F" w14:textId="643A4F8D" w:rsidR="00752ADB" w:rsidRPr="00081468" w:rsidRDefault="00752ADB" w:rsidP="00752ADB">
      <w:pPr>
        <w:pStyle w:val="ListParagraph"/>
        <w:numPr>
          <w:ilvl w:val="0"/>
          <w:numId w:val="99"/>
        </w:numPr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Prioriteti koji su definisani planom rada su sljedeći:Organizovanje obuka i radionica za boje razumjevanje S3 prioriteta, kao i pisanje punih aplikacija za prijavu na grant šeme </w:t>
      </w:r>
    </w:p>
    <w:p w14:paraId="3152F44C" w14:textId="61885A26" w:rsidR="00752ADB" w:rsidRPr="00081468" w:rsidRDefault="00752ADB" w:rsidP="00A63084">
      <w:pPr>
        <w:pStyle w:val="ListParagraph"/>
        <w:numPr>
          <w:ilvl w:val="0"/>
          <w:numId w:val="101"/>
        </w:numPr>
        <w:rPr>
          <w:rFonts w:cstheme="minorHAnsi"/>
          <w:b/>
          <w:bCs/>
          <w:iCs/>
          <w:u w:val="single"/>
          <w:lang w:val="sr-Latn-ME"/>
        </w:rPr>
      </w:pPr>
      <w:r w:rsidRPr="00081468">
        <w:rPr>
          <w:rFonts w:cstheme="minorHAnsi"/>
          <w:b/>
          <w:bCs/>
          <w:iCs/>
          <w:u w:val="single"/>
          <w:lang w:val="sr-Latn-ME"/>
        </w:rPr>
        <w:t>Komponenta 5:</w:t>
      </w:r>
      <w:r w:rsidR="00A63084" w:rsidRPr="00081468">
        <w:rPr>
          <w:rFonts w:cstheme="minorHAnsi"/>
          <w:b/>
          <w:bCs/>
          <w:iCs/>
          <w:u w:val="single"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>Povećani kapaciteti odabranih korisnika grantova za upravljanje i implementaciju projekata koje finansira EU</w:t>
      </w:r>
    </w:p>
    <w:p w14:paraId="3AE08049" w14:textId="12FCBCB1" w:rsidR="00752ADB" w:rsidRPr="00081468" w:rsidRDefault="00752ADB" w:rsidP="000A1CCD">
      <w:pPr>
        <w:pStyle w:val="ListParagraph"/>
        <w:numPr>
          <w:ilvl w:val="0"/>
          <w:numId w:val="101"/>
        </w:numPr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Prioriteti koji su definisani planom rada su sljedeći:</w:t>
      </w:r>
    </w:p>
    <w:p w14:paraId="04DF9D75" w14:textId="0F5FFF55" w:rsidR="00752ADB" w:rsidRPr="00081468" w:rsidRDefault="00752ADB" w:rsidP="00E963BB">
      <w:pPr>
        <w:pStyle w:val="ListParagraph"/>
        <w:numPr>
          <w:ilvl w:val="0"/>
          <w:numId w:val="99"/>
        </w:numPr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Organizacija radionica za grant korisnike (upravljanje projektnim ciklusom, praćenje projekta i sl.) </w:t>
      </w:r>
    </w:p>
    <w:p w14:paraId="70D3257C" w14:textId="77777777" w:rsidR="004D3373" w:rsidRPr="00081468" w:rsidRDefault="004D3373" w:rsidP="00FF4EC8">
      <w:pPr>
        <w:rPr>
          <w:rFonts w:cstheme="minorHAnsi"/>
          <w:bCs/>
          <w:iCs/>
          <w:u w:val="single"/>
          <w:lang w:val="sr-Latn-ME"/>
        </w:rPr>
      </w:pPr>
    </w:p>
    <w:p w14:paraId="5D317A98" w14:textId="77777777" w:rsidR="005F13F3" w:rsidRPr="00081468" w:rsidRDefault="004D3373" w:rsidP="00FF4EC8">
      <w:pPr>
        <w:pStyle w:val="ListParagraph"/>
        <w:numPr>
          <w:ilvl w:val="0"/>
          <w:numId w:val="109"/>
        </w:numPr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 xml:space="preserve">Ugovor o nabavci opreme: </w:t>
      </w:r>
    </w:p>
    <w:p w14:paraId="456C800D" w14:textId="621E3356" w:rsidR="00FF4EC8" w:rsidRPr="00081468" w:rsidRDefault="00D70117" w:rsidP="000466EF">
      <w:pPr>
        <w:pStyle w:val="ListParagraph"/>
        <w:ind w:left="630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Poboljšanje tehničkih kapaciteta institucija uključenih u sektor konkurentnosti i inovacija</w:t>
      </w:r>
      <w:r w:rsidR="00E65314" w:rsidRPr="00081468">
        <w:rPr>
          <w:rFonts w:cstheme="minorHAnsi"/>
          <w:b/>
          <w:bCs/>
          <w:iCs/>
          <w:lang w:val="sr-Latn-ME"/>
        </w:rPr>
        <w:t xml:space="preserve"> – nabavka IT softverske opreme</w:t>
      </w:r>
      <w:r w:rsidRPr="00081468">
        <w:rPr>
          <w:rFonts w:cstheme="minorHAnsi"/>
          <w:b/>
          <w:bCs/>
          <w:iCs/>
          <w:lang w:val="sr-Latn-ME"/>
        </w:rPr>
        <w:t xml:space="preserve"> </w:t>
      </w:r>
      <w:r w:rsidR="00B356B3" w:rsidRPr="00081468">
        <w:rPr>
          <w:rFonts w:cstheme="minorHAnsi"/>
          <w:b/>
          <w:bCs/>
          <w:iCs/>
          <w:lang w:val="sr-Latn-ME"/>
        </w:rPr>
        <w:t>(Lot 1)</w:t>
      </w:r>
      <w:r w:rsidR="00A63084" w:rsidRPr="00081468">
        <w:rPr>
          <w:rFonts w:cstheme="minorHAnsi"/>
          <w:b/>
          <w:bCs/>
          <w:iCs/>
          <w:lang w:val="sr-Latn-ME"/>
        </w:rPr>
        <w:t xml:space="preserve"> – </w:t>
      </w:r>
      <w:r w:rsidR="00081468" w:rsidRPr="00081468">
        <w:rPr>
          <w:rFonts w:cstheme="minorHAnsi"/>
          <w:b/>
          <w:bCs/>
          <w:iCs/>
          <w:lang w:val="sr-Latn-ME"/>
        </w:rPr>
        <w:t>CFCU/MNE/191</w:t>
      </w:r>
    </w:p>
    <w:p w14:paraId="7A2C27A1" w14:textId="055E0F35" w:rsidR="004D3373" w:rsidRPr="00081468" w:rsidRDefault="004D3373" w:rsidP="00A63084">
      <w:pPr>
        <w:pStyle w:val="ListParagrap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Budžet ugovora: </w:t>
      </w:r>
      <w:r w:rsidR="00E65314" w:rsidRPr="00081468">
        <w:rPr>
          <w:rFonts w:cstheme="minorHAnsi"/>
          <w:bCs/>
          <w:iCs/>
          <w:lang w:val="sr-Latn-ME"/>
        </w:rPr>
        <w:t>297</w:t>
      </w:r>
      <w:r w:rsidRPr="00081468">
        <w:rPr>
          <w:rFonts w:cstheme="minorHAnsi"/>
          <w:bCs/>
          <w:iCs/>
          <w:lang w:val="sr-Latn-ME"/>
        </w:rPr>
        <w:t>,</w:t>
      </w:r>
      <w:r w:rsidR="00E65314" w:rsidRPr="00081468">
        <w:rPr>
          <w:rFonts w:cstheme="minorHAnsi"/>
          <w:bCs/>
          <w:iCs/>
          <w:lang w:val="sr-Latn-ME"/>
        </w:rPr>
        <w:t>896</w:t>
      </w:r>
      <w:r w:rsidRPr="00081468">
        <w:rPr>
          <w:rFonts w:cstheme="minorHAnsi"/>
          <w:bCs/>
          <w:iCs/>
          <w:lang w:val="sr-Latn-ME"/>
        </w:rPr>
        <w:t>.</w:t>
      </w:r>
      <w:r w:rsidR="00E65314" w:rsidRPr="00081468">
        <w:rPr>
          <w:rFonts w:cstheme="minorHAnsi"/>
          <w:bCs/>
          <w:iCs/>
          <w:lang w:val="sr-Latn-ME"/>
        </w:rPr>
        <w:t xml:space="preserve">31 </w:t>
      </w:r>
      <w:r w:rsidRPr="00081468">
        <w:rPr>
          <w:rFonts w:cstheme="minorHAnsi"/>
          <w:bCs/>
          <w:iCs/>
          <w:lang w:val="sr-Latn-ME"/>
        </w:rPr>
        <w:t>EUR</w:t>
      </w:r>
    </w:p>
    <w:p w14:paraId="78047FBD" w14:textId="6BECFDA5" w:rsidR="00B356B3" w:rsidRPr="00081468" w:rsidRDefault="00B356B3" w:rsidP="00A63084">
      <w:pPr>
        <w:pStyle w:val="ListParagrap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Glavni korisnik: Uprava za inspekcijske poslove</w:t>
      </w:r>
    </w:p>
    <w:p w14:paraId="7DCB90C8" w14:textId="35B41A57" w:rsidR="00B356B3" w:rsidRPr="00081468" w:rsidRDefault="00B356B3" w:rsidP="00A63084">
      <w:pPr>
        <w:pStyle w:val="ListParagrap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Trajanje ugovora: 12 mjeseci (13/06/2022-13/06/2023)</w:t>
      </w:r>
    </w:p>
    <w:p w14:paraId="55D499C3" w14:textId="4DC34551" w:rsidR="00A63084" w:rsidRPr="00081468" w:rsidRDefault="00A63084" w:rsidP="00A63084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theme="minorHAnsi"/>
          <w:b/>
          <w:bCs/>
          <w:color w:val="000000"/>
          <w:lang w:val="sr-Latn-ME"/>
        </w:rPr>
      </w:pPr>
      <w:r w:rsidRPr="00081468">
        <w:rPr>
          <w:rFonts w:cstheme="minorHAnsi"/>
          <w:b/>
          <w:bCs/>
          <w:color w:val="000000"/>
          <w:lang w:val="sr-Latn-ME"/>
        </w:rPr>
        <w:t>Značaj projekta:</w:t>
      </w:r>
      <w:r w:rsidRPr="00081468">
        <w:rPr>
          <w:rFonts w:cstheme="minorHAnsi"/>
          <w:color w:val="000000"/>
          <w:lang w:val="sr-Latn-ME"/>
        </w:rPr>
        <w:t xml:space="preserve">  Jačanje kapaciteta institucija koje sačinjavaju infrastrukturu kvaliteta unutrašnjeg tržišta u skladu sa zahtjevima pravne tekovine Evropske unije</w:t>
      </w:r>
      <w:r w:rsidR="00081468" w:rsidRPr="00081468">
        <w:rPr>
          <w:rFonts w:cstheme="minorHAnsi"/>
          <w:color w:val="000000"/>
          <w:lang w:val="sr-Latn-ME"/>
        </w:rPr>
        <w:t xml:space="preserve"> u pogledu obezbjeđivanja adekvane infrastrukture kvaliteta i principa unutrašnjeg tržišta</w:t>
      </w:r>
      <w:r w:rsidRPr="00081468">
        <w:rPr>
          <w:rFonts w:cstheme="minorHAnsi"/>
          <w:color w:val="000000"/>
          <w:lang w:val="sr-Latn-ME"/>
        </w:rPr>
        <w:t>. Isporuka opreme je u okviru Lota 1 za Upravu za inspekcijske poslove je u toku, iako je zbog k</w:t>
      </w:r>
      <w:r w:rsidR="00081468" w:rsidRPr="00081468">
        <w:rPr>
          <w:rFonts w:cstheme="minorHAnsi"/>
          <w:color w:val="000000"/>
          <w:lang w:val="sr-Latn-ME"/>
        </w:rPr>
        <w:t>ri</w:t>
      </w:r>
      <w:r w:rsidRPr="00081468">
        <w:rPr>
          <w:rFonts w:cstheme="minorHAnsi"/>
          <w:color w:val="000000"/>
          <w:lang w:val="sr-Latn-ME"/>
        </w:rPr>
        <w:t xml:space="preserve">ze izazvane ratom u Ukrajini bilo određenih kašnjenja u isporuci opreme.  Nakon isporuke opreme planirana je  kontrola instalacije i funkcionalnosti opreme u Upravi za inspekcijske poslove . </w:t>
      </w:r>
    </w:p>
    <w:p w14:paraId="581BBBAF" w14:textId="77777777" w:rsidR="00A63084" w:rsidRPr="00081468" w:rsidRDefault="00A63084" w:rsidP="00A63084">
      <w:pPr>
        <w:spacing w:after="0" w:line="240" w:lineRule="auto"/>
        <w:jc w:val="both"/>
        <w:rPr>
          <w:rFonts w:cstheme="minorHAnsi"/>
          <w:b/>
          <w:bCs/>
          <w:color w:val="000000"/>
          <w:lang w:val="sr-Latn-ME"/>
        </w:rPr>
      </w:pPr>
    </w:p>
    <w:p w14:paraId="3AFC0D5A" w14:textId="77777777" w:rsidR="00A63084" w:rsidRPr="00081468" w:rsidRDefault="00A63084" w:rsidP="00A63084">
      <w:pPr>
        <w:spacing w:after="0" w:line="240" w:lineRule="auto"/>
        <w:jc w:val="center"/>
        <w:rPr>
          <w:rFonts w:cstheme="minorHAnsi"/>
          <w:b/>
          <w:bCs/>
          <w:color w:val="000000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1558"/>
      </w:tblGrid>
      <w:tr w:rsidR="00A63084" w:rsidRPr="00081468" w14:paraId="6708A10E" w14:textId="77777777" w:rsidTr="00EA22AE">
        <w:tc>
          <w:tcPr>
            <w:tcW w:w="3397" w:type="dxa"/>
          </w:tcPr>
          <w:p w14:paraId="72991B4C" w14:textId="6374F693" w:rsidR="00A63084" w:rsidRPr="00081468" w:rsidRDefault="00A63084" w:rsidP="00EA22AE">
            <w:pPr>
              <w:jc w:val="center"/>
              <w:rPr>
                <w:rFonts w:cstheme="minorHAnsi"/>
                <w:b/>
                <w:bCs/>
                <w:color w:val="000000"/>
                <w:lang w:val="sr-Latn-ME"/>
              </w:rPr>
            </w:pPr>
            <w:bookmarkStart w:id="6" w:name="_Hlk52530077"/>
            <w:r w:rsidRPr="00081468">
              <w:rPr>
                <w:rFonts w:cstheme="minorHAnsi"/>
                <w:b/>
                <w:bCs/>
                <w:color w:val="000000"/>
                <w:lang w:val="sr-Latn-ME"/>
              </w:rPr>
              <w:t>Korisnik Lot 1</w:t>
            </w:r>
          </w:p>
        </w:tc>
        <w:tc>
          <w:tcPr>
            <w:tcW w:w="4395" w:type="dxa"/>
          </w:tcPr>
          <w:p w14:paraId="76B91822" w14:textId="77777777" w:rsidR="00A63084" w:rsidRPr="00081468" w:rsidRDefault="00A63084" w:rsidP="00EA22AE">
            <w:pPr>
              <w:jc w:val="center"/>
              <w:rPr>
                <w:rFonts w:cstheme="minorHAnsi"/>
                <w:b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/>
                <w:bCs/>
                <w:color w:val="000000"/>
                <w:lang w:val="sr-Latn-ME"/>
              </w:rPr>
              <w:t>Tip opreme</w:t>
            </w:r>
          </w:p>
        </w:tc>
        <w:tc>
          <w:tcPr>
            <w:tcW w:w="1558" w:type="dxa"/>
          </w:tcPr>
          <w:p w14:paraId="35DFD55A" w14:textId="77777777" w:rsidR="00A63084" w:rsidRPr="00081468" w:rsidRDefault="00A63084" w:rsidP="00EA22AE">
            <w:pPr>
              <w:jc w:val="center"/>
              <w:rPr>
                <w:rFonts w:cstheme="minorHAnsi"/>
                <w:b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/>
                <w:bCs/>
                <w:color w:val="000000"/>
                <w:lang w:val="sr-Latn-ME"/>
              </w:rPr>
              <w:t>Vrijednost €</w:t>
            </w:r>
          </w:p>
        </w:tc>
      </w:tr>
      <w:tr w:rsidR="00A63084" w:rsidRPr="00081468" w14:paraId="3EFE9554" w14:textId="77777777" w:rsidTr="00EA22AE">
        <w:tc>
          <w:tcPr>
            <w:tcW w:w="3397" w:type="dxa"/>
          </w:tcPr>
          <w:p w14:paraId="36098351" w14:textId="77777777" w:rsidR="00A63084" w:rsidRPr="00081468" w:rsidRDefault="00A63084" w:rsidP="00EA22AE">
            <w:pPr>
              <w:jc w:val="both"/>
              <w:rPr>
                <w:rFonts w:cstheme="minorHAnsi"/>
                <w:color w:val="000000"/>
                <w:lang w:val="sr-Latn-ME"/>
              </w:rPr>
            </w:pPr>
            <w:r w:rsidRPr="00081468">
              <w:rPr>
                <w:rFonts w:cstheme="minorHAnsi"/>
                <w:color w:val="000000"/>
                <w:lang w:val="sr-Latn-ME"/>
              </w:rPr>
              <w:t>Uprava za inspekcijske poslove</w:t>
            </w:r>
          </w:p>
        </w:tc>
        <w:tc>
          <w:tcPr>
            <w:tcW w:w="4395" w:type="dxa"/>
          </w:tcPr>
          <w:p w14:paraId="25FF922B" w14:textId="12EC8458" w:rsidR="00A63084" w:rsidRPr="00081468" w:rsidRDefault="00A63084" w:rsidP="00EA22AE">
            <w:pPr>
              <w:jc w:val="both"/>
              <w:rPr>
                <w:rFonts w:cstheme="minorHAnsi"/>
                <w:color w:val="000000"/>
                <w:lang w:val="sr-Latn-ME"/>
              </w:rPr>
            </w:pPr>
            <w:r w:rsidRPr="00081468">
              <w:rPr>
                <w:rFonts w:cstheme="minorHAnsi"/>
                <w:color w:val="000000"/>
                <w:lang w:val="sr-Latn-ME"/>
              </w:rPr>
              <w:t>Softver i kompjuterska oprema</w:t>
            </w:r>
          </w:p>
        </w:tc>
        <w:tc>
          <w:tcPr>
            <w:tcW w:w="1558" w:type="dxa"/>
          </w:tcPr>
          <w:p w14:paraId="589749FF" w14:textId="6669D636" w:rsidR="00A63084" w:rsidRPr="00081468" w:rsidRDefault="00081468" w:rsidP="00EA22AE">
            <w:pPr>
              <w:jc w:val="both"/>
              <w:rPr>
                <w:rFonts w:cstheme="minorHAnsi"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iCs/>
                <w:color w:val="000000"/>
                <w:lang w:val="sr-Latn-ME"/>
              </w:rPr>
              <w:t xml:space="preserve">297,896.31 </w:t>
            </w:r>
          </w:p>
        </w:tc>
      </w:tr>
      <w:bookmarkEnd w:id="6"/>
    </w:tbl>
    <w:p w14:paraId="471688E8" w14:textId="77777777" w:rsidR="00A63084" w:rsidRPr="00081468" w:rsidRDefault="00A63084" w:rsidP="00A63084">
      <w:pPr>
        <w:spacing w:after="0" w:line="240" w:lineRule="auto"/>
        <w:jc w:val="both"/>
        <w:rPr>
          <w:rFonts w:cstheme="minorHAnsi"/>
          <w:b/>
          <w:bCs/>
          <w:i/>
          <w:color w:val="000000"/>
          <w:lang w:val="sr-Latn-ME"/>
        </w:rPr>
      </w:pPr>
    </w:p>
    <w:p w14:paraId="59635BBD" w14:textId="77777777" w:rsidR="00A63084" w:rsidRPr="00081468" w:rsidRDefault="00A63084" w:rsidP="00A63084">
      <w:pPr>
        <w:pStyle w:val="ListParagraph"/>
        <w:rPr>
          <w:rFonts w:cstheme="minorHAnsi"/>
          <w:bCs/>
          <w:iCs/>
          <w:lang w:val="sr-Latn-ME"/>
        </w:rPr>
      </w:pPr>
    </w:p>
    <w:p w14:paraId="3485EC98" w14:textId="10D25006" w:rsidR="00EB2AFA" w:rsidRPr="00081468" w:rsidRDefault="00EB2AFA" w:rsidP="00FF4EC8">
      <w:pPr>
        <w:pStyle w:val="ListParagraph"/>
        <w:ind w:left="630"/>
        <w:rPr>
          <w:rFonts w:cstheme="minorHAnsi"/>
          <w:bCs/>
          <w:iCs/>
          <w:lang w:val="sr-Latn-ME"/>
        </w:rPr>
      </w:pPr>
    </w:p>
    <w:p w14:paraId="79B553A9" w14:textId="4D1BD1D9" w:rsidR="00E65314" w:rsidRPr="00081468" w:rsidRDefault="00EB2AFA" w:rsidP="000405B9">
      <w:pPr>
        <w:pStyle w:val="ListParagraph"/>
        <w:ind w:left="630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lastRenderedPageBreak/>
        <w:t xml:space="preserve">Tenderski postupak za Lot 2 </w:t>
      </w:r>
      <w:r w:rsidRPr="00081468">
        <w:rPr>
          <w:rFonts w:cstheme="minorHAnsi"/>
          <w:b/>
          <w:bCs/>
          <w:iCs/>
          <w:lang w:val="sr-Latn-ME"/>
        </w:rPr>
        <w:t>Poboljšanje tehničkih kapaciteta institucija uključenih u sektor konkurentnosti i inovacija – laboratorijska oprema za metrologiju</w:t>
      </w:r>
      <w:r w:rsidRPr="00081468">
        <w:rPr>
          <w:rFonts w:cstheme="minorHAnsi"/>
          <w:bCs/>
          <w:iCs/>
          <w:lang w:val="sr-Latn-ME"/>
        </w:rPr>
        <w:t xml:space="preserve"> je ponovljen. Ugovaranje je u toku, a očekivani početak sprovođenja ugovora je IIQ 2023.</w:t>
      </w:r>
    </w:p>
    <w:p w14:paraId="3F4E582F" w14:textId="77777777" w:rsidR="000405B9" w:rsidRPr="00081468" w:rsidRDefault="000405B9" w:rsidP="000405B9">
      <w:pPr>
        <w:pStyle w:val="ListParagraph"/>
        <w:ind w:left="630"/>
        <w:rPr>
          <w:rFonts w:cstheme="minorHAnsi"/>
          <w:bCs/>
          <w:iCs/>
          <w:lang w:val="sr-Latn-ME"/>
        </w:rPr>
      </w:pPr>
    </w:p>
    <w:p w14:paraId="44FBAC75" w14:textId="77777777" w:rsidR="00D07E96" w:rsidRPr="00081468" w:rsidRDefault="00D07E96" w:rsidP="00D07E96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</w:p>
    <w:p w14:paraId="0613CB3D" w14:textId="0E177CC3" w:rsidR="00D07E96" w:rsidRPr="00081468" w:rsidRDefault="00365093" w:rsidP="00365093">
      <w:pPr>
        <w:suppressAutoHyphens/>
        <w:spacing w:after="0" w:line="240" w:lineRule="auto"/>
        <w:jc w:val="center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REGIONALNI IPA PROJEKTI</w:t>
      </w:r>
    </w:p>
    <w:p w14:paraId="4068A89E" w14:textId="77777777" w:rsidR="00D07E96" w:rsidRPr="00081468" w:rsidRDefault="00D07E96" w:rsidP="00365093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</w:p>
    <w:p w14:paraId="1CF371A0" w14:textId="77777777" w:rsidR="00365093" w:rsidRPr="00081468" w:rsidRDefault="00365093" w:rsidP="00365093">
      <w:pPr>
        <w:spacing w:after="0"/>
        <w:rPr>
          <w:rFonts w:cstheme="minorHAnsi"/>
          <w:b/>
          <w:bCs/>
          <w:iCs/>
          <w:lang w:val="sr-Latn-ME"/>
        </w:rPr>
      </w:pPr>
    </w:p>
    <w:p w14:paraId="0B27924B" w14:textId="3619F5B2" w:rsidR="00D07E96" w:rsidRPr="00081468" w:rsidRDefault="00D07E96" w:rsidP="00FC4CFC">
      <w:pPr>
        <w:pStyle w:val="ListParagraph"/>
        <w:numPr>
          <w:ilvl w:val="0"/>
          <w:numId w:val="61"/>
        </w:numPr>
        <w:spacing w:after="0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 xml:space="preserve">Interreg 2014 -2020 Smart Adria Blue Growth (SABG) </w:t>
      </w:r>
    </w:p>
    <w:p w14:paraId="082408A0" w14:textId="6A407C3F" w:rsidR="00D07E96" w:rsidRPr="00081468" w:rsidRDefault="00D07E96" w:rsidP="00FC4CFC">
      <w:pPr>
        <w:numPr>
          <w:ilvl w:val="0"/>
          <w:numId w:val="18"/>
        </w:numPr>
        <w:spacing w:after="0" w:line="240" w:lineRule="auto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Vodeći partner: Ministarstvo ekonomskog razvoja </w:t>
      </w:r>
      <w:r w:rsidR="00791F18" w:rsidRPr="00081468">
        <w:rPr>
          <w:rFonts w:cstheme="minorHAnsi"/>
          <w:bCs/>
          <w:iCs/>
          <w:lang w:val="sr-Latn-ME"/>
        </w:rPr>
        <w:t>i turizma</w:t>
      </w:r>
    </w:p>
    <w:p w14:paraId="696B94E3" w14:textId="2C0AC810" w:rsidR="00D07E96" w:rsidRPr="00081468" w:rsidRDefault="00D07E96" w:rsidP="00FC4CFC">
      <w:pPr>
        <w:numPr>
          <w:ilvl w:val="0"/>
          <w:numId w:val="18"/>
        </w:numPr>
        <w:spacing w:after="0" w:line="240" w:lineRule="auto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Partneri na projektu: Crna Gora (</w:t>
      </w:r>
      <w:r w:rsidR="00791F18" w:rsidRPr="00081468">
        <w:rPr>
          <w:rFonts w:cstheme="minorHAnsi"/>
          <w:bCs/>
          <w:iCs/>
          <w:lang w:val="sr-Latn-ME"/>
        </w:rPr>
        <w:t xml:space="preserve">Ministarstvo evropskih poslova </w:t>
      </w:r>
      <w:r w:rsidRPr="00081468">
        <w:rPr>
          <w:rFonts w:cstheme="minorHAnsi"/>
          <w:bCs/>
          <w:iCs/>
          <w:lang w:val="sr-Latn-ME"/>
        </w:rPr>
        <w:t xml:space="preserve"> i Privredna komora Crne Gore, pridruženi partner), Italija: Regija Pulja, Regija Molize i Uniocamere Puglia (Unija privrednih komora regije Pulja) i Albanija: Ministarstvo evropskih i vanjskih poslova Albanije i UCCIAL (Unija privrednih komora Albanije).</w:t>
      </w:r>
    </w:p>
    <w:p w14:paraId="5F3BB7D8" w14:textId="741A8F7E" w:rsidR="00D07E96" w:rsidRPr="00081468" w:rsidRDefault="00D07E96" w:rsidP="00FC4CFC">
      <w:pPr>
        <w:numPr>
          <w:ilvl w:val="0"/>
          <w:numId w:val="18"/>
        </w:numPr>
        <w:spacing w:after="0" w:line="240" w:lineRule="auto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Vrijeme trajanja projekta: 15.05.2019 – 31.</w:t>
      </w:r>
      <w:r w:rsidR="00791F18" w:rsidRPr="00081468">
        <w:rPr>
          <w:rFonts w:cstheme="minorHAnsi"/>
          <w:bCs/>
          <w:iCs/>
          <w:lang w:val="sr-Latn-ME"/>
        </w:rPr>
        <w:t>03</w:t>
      </w:r>
      <w:r w:rsidRPr="00081468">
        <w:rPr>
          <w:rFonts w:cstheme="minorHAnsi"/>
          <w:bCs/>
          <w:iCs/>
          <w:lang w:val="sr-Latn-ME"/>
        </w:rPr>
        <w:t>.202</w:t>
      </w:r>
      <w:r w:rsidR="00791F18" w:rsidRPr="00081468">
        <w:rPr>
          <w:rFonts w:cstheme="minorHAnsi"/>
          <w:bCs/>
          <w:iCs/>
          <w:lang w:val="sr-Latn-ME"/>
        </w:rPr>
        <w:t>3</w:t>
      </w:r>
      <w:r w:rsidRPr="00081468">
        <w:rPr>
          <w:rFonts w:cstheme="minorHAnsi"/>
          <w:bCs/>
          <w:iCs/>
          <w:lang w:val="sr-Latn-ME"/>
        </w:rPr>
        <w:t>.</w:t>
      </w:r>
    </w:p>
    <w:p w14:paraId="1108C6DE" w14:textId="77777777" w:rsidR="00D07E96" w:rsidRPr="00081468" w:rsidRDefault="00D07E96" w:rsidP="00FC4CFC">
      <w:pPr>
        <w:numPr>
          <w:ilvl w:val="0"/>
          <w:numId w:val="18"/>
        </w:numPr>
        <w:spacing w:after="0" w:line="240" w:lineRule="auto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Budžet projekta: 2,154,970.67 EUR (85% IPA kontribucija, 15% nacionalno kofinansiranje)</w:t>
      </w:r>
    </w:p>
    <w:p w14:paraId="26F35819" w14:textId="2718C6E1" w:rsidR="00365093" w:rsidRPr="00081468" w:rsidRDefault="00D07E96" w:rsidP="00FC4CFC">
      <w:pPr>
        <w:numPr>
          <w:ilvl w:val="0"/>
          <w:numId w:val="18"/>
        </w:numPr>
        <w:spacing w:after="0" w:line="240" w:lineRule="auto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Budžet MER-a: 62</w:t>
      </w:r>
      <w:r w:rsidR="00791F18" w:rsidRPr="00081468">
        <w:rPr>
          <w:rFonts w:cstheme="minorHAnsi"/>
          <w:bCs/>
          <w:iCs/>
          <w:lang w:val="sr-Latn-ME"/>
        </w:rPr>
        <w:t>2</w:t>
      </w:r>
      <w:r w:rsidRPr="00081468">
        <w:rPr>
          <w:rFonts w:cstheme="minorHAnsi"/>
          <w:bCs/>
          <w:iCs/>
          <w:lang w:val="sr-Latn-ME"/>
        </w:rPr>
        <w:t>,</w:t>
      </w:r>
      <w:r w:rsidR="00791F18" w:rsidRPr="00081468">
        <w:rPr>
          <w:rFonts w:cstheme="minorHAnsi"/>
          <w:bCs/>
          <w:iCs/>
          <w:lang w:val="sr-Latn-ME"/>
        </w:rPr>
        <w:t>521</w:t>
      </w:r>
      <w:r w:rsidRPr="00081468">
        <w:rPr>
          <w:rFonts w:cstheme="minorHAnsi"/>
          <w:bCs/>
          <w:iCs/>
          <w:lang w:val="sr-Latn-ME"/>
        </w:rPr>
        <w:t>.58 EUR (85% IPA kontribucija, 15% nacionalno kofinansiranje)</w:t>
      </w:r>
    </w:p>
    <w:p w14:paraId="43EF0E80" w14:textId="23BEEF93" w:rsidR="00D07E96" w:rsidRPr="00081468" w:rsidRDefault="00D07E96" w:rsidP="00FC4CFC">
      <w:pPr>
        <w:numPr>
          <w:ilvl w:val="0"/>
          <w:numId w:val="18"/>
        </w:numPr>
        <w:spacing w:after="0" w:line="240" w:lineRule="auto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Značaj projekta: Projekat se odnosi na mapiranje perspektivnih privrednih sektora u oblasti plavog rasta/ribarstva i unapređenje okvira za razvoj MSP u oblasti plavog rasta. Imajući u vidu da je oblast plavog rasta u nadležnosti Ministarstva poljoprivrede</w:t>
      </w:r>
      <w:r w:rsidR="009A3D7E" w:rsidRPr="00081468">
        <w:rPr>
          <w:rFonts w:cstheme="minorHAnsi"/>
          <w:bCs/>
          <w:iCs/>
          <w:lang w:val="sr-Latn-ME"/>
        </w:rPr>
        <w:t>, šumarstva i vodoprivrede</w:t>
      </w:r>
      <w:r w:rsidRPr="00081468">
        <w:rPr>
          <w:rFonts w:cstheme="minorHAnsi"/>
          <w:bCs/>
          <w:iCs/>
          <w:lang w:val="sr-Latn-ME"/>
        </w:rPr>
        <w:t xml:space="preserve">, projektni tim se fokusirao na oblast inovacija i </w:t>
      </w:r>
      <w:r w:rsidR="00EB2AFA" w:rsidRPr="00081468">
        <w:rPr>
          <w:rFonts w:cstheme="minorHAnsi"/>
          <w:bCs/>
          <w:iCs/>
          <w:lang w:val="sr-Latn-ME"/>
        </w:rPr>
        <w:t xml:space="preserve">implementaciju </w:t>
      </w:r>
      <w:r w:rsidR="009A3D7E" w:rsidRPr="00081468">
        <w:rPr>
          <w:rFonts w:cstheme="minorHAnsi"/>
          <w:bCs/>
          <w:iCs/>
          <w:lang w:val="sr-Latn-ME"/>
        </w:rPr>
        <w:t>Strategije pametne specijalizacije (</w:t>
      </w:r>
      <w:r w:rsidRPr="00081468">
        <w:rPr>
          <w:rFonts w:cstheme="minorHAnsi"/>
          <w:bCs/>
          <w:iCs/>
          <w:lang w:val="sr-Latn-ME"/>
        </w:rPr>
        <w:t>S3</w:t>
      </w:r>
      <w:r w:rsidR="009A3D7E" w:rsidRPr="00081468">
        <w:rPr>
          <w:rFonts w:cstheme="minorHAnsi"/>
          <w:bCs/>
          <w:iCs/>
          <w:lang w:val="sr-Latn-ME"/>
        </w:rPr>
        <w:t xml:space="preserve">) </w:t>
      </w:r>
      <w:r w:rsidRPr="00081468">
        <w:rPr>
          <w:rFonts w:cstheme="minorHAnsi"/>
          <w:bCs/>
          <w:iCs/>
          <w:lang w:val="sr-Latn-ME"/>
        </w:rPr>
        <w:t xml:space="preserve"> u oblasti plavog rasta. Ovaj projekat ima značaj za službenike koji su uključeni u realizaciju istog u pogledu samostalnog upravljanja projektom, sprovođenja tenderskih postupaka u svojstvu ugovornog tijela i pripreme za upravljanje strukturnim fondovima. </w:t>
      </w:r>
    </w:p>
    <w:p w14:paraId="450C2FB9" w14:textId="77777777" w:rsidR="00D07E96" w:rsidRPr="00081468" w:rsidRDefault="00D07E96" w:rsidP="00D07E96">
      <w:pPr>
        <w:spacing w:after="0" w:line="240" w:lineRule="auto"/>
        <w:ind w:firstLine="360"/>
        <w:rPr>
          <w:rFonts w:cstheme="minorHAnsi"/>
          <w:bCs/>
          <w:iCs/>
          <w:lang w:val="sr-Latn-ME"/>
        </w:rPr>
      </w:pPr>
    </w:p>
    <w:p w14:paraId="7F8FA345" w14:textId="229C3D46" w:rsidR="00D07E96" w:rsidRPr="00081468" w:rsidRDefault="00D07E96" w:rsidP="00D07E96">
      <w:pPr>
        <w:spacing w:after="0" w:line="240" w:lineRule="auto"/>
        <w:ind w:firstLine="360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Ključne realizovane aktivnosti:</w:t>
      </w:r>
    </w:p>
    <w:p w14:paraId="5EE76EF5" w14:textId="77777777" w:rsidR="009A3D7E" w:rsidRPr="00081468" w:rsidRDefault="009A3D7E" w:rsidP="00D07E96">
      <w:pPr>
        <w:spacing w:after="0" w:line="240" w:lineRule="auto"/>
        <w:ind w:firstLine="360"/>
        <w:rPr>
          <w:rFonts w:cstheme="minorHAnsi"/>
          <w:bCs/>
          <w:iCs/>
          <w:lang w:val="sr-Latn-ME"/>
        </w:rPr>
      </w:pPr>
    </w:p>
    <w:p w14:paraId="5D4BE821" w14:textId="5515A98E" w:rsidR="009A3D7E" w:rsidRPr="00081468" w:rsidRDefault="009A3D7E" w:rsidP="002B088D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Realizovana je procedura za nabavku ekspertskih usluga za izradu Idejnog rješenja budućeg Centra za preradu ribe i morskih plodova u opštini Kotor. </w:t>
      </w:r>
      <w:r w:rsidR="002B088D" w:rsidRPr="00081468">
        <w:rPr>
          <w:rFonts w:cstheme="minorHAnsi"/>
          <w:bCs/>
          <w:iCs/>
          <w:lang w:val="sr-Latn-ME"/>
        </w:rPr>
        <w:t xml:space="preserve">Pripremom idejnog rješenja za budući Centar za preradu ribe i morskih plodova će </w:t>
      </w:r>
      <w:r w:rsidR="00E56602" w:rsidRPr="00081468">
        <w:rPr>
          <w:rFonts w:cstheme="minorHAnsi"/>
          <w:bCs/>
          <w:iCs/>
          <w:lang w:val="sr-Latn-ME"/>
        </w:rPr>
        <w:t xml:space="preserve">se </w:t>
      </w:r>
      <w:r w:rsidR="002B088D" w:rsidRPr="00081468">
        <w:rPr>
          <w:rFonts w:cstheme="minorHAnsi"/>
          <w:bCs/>
          <w:iCs/>
          <w:lang w:val="sr-Latn-ME"/>
        </w:rPr>
        <w:t>doprinjeti unaprijeđenju uslova za komercijalizaciju aktovnosti u sektoru ribarstva.</w:t>
      </w:r>
    </w:p>
    <w:p w14:paraId="447790D1" w14:textId="27164BB0" w:rsidR="00D07E96" w:rsidRPr="00081468" w:rsidRDefault="00A57945" w:rsidP="00CC08C1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Izrađena je Best practice study </w:t>
      </w:r>
      <w:r w:rsidR="00CC08C1" w:rsidRPr="00081468">
        <w:rPr>
          <w:rFonts w:cstheme="minorHAnsi"/>
          <w:bCs/>
          <w:iCs/>
          <w:lang w:val="sr-Latn-ME"/>
        </w:rPr>
        <w:t xml:space="preserve">kojom su definisani ključni prioriteti, analiza trenutnog stanja ribarstva u </w:t>
      </w:r>
      <w:r w:rsidR="004D4691" w:rsidRPr="00081468">
        <w:rPr>
          <w:rFonts w:cstheme="minorHAnsi"/>
          <w:bCs/>
          <w:iCs/>
          <w:lang w:val="sr-Latn-ME"/>
        </w:rPr>
        <w:t>C</w:t>
      </w:r>
      <w:r w:rsidR="00CC08C1" w:rsidRPr="00081468">
        <w:rPr>
          <w:rFonts w:cstheme="minorHAnsi"/>
          <w:bCs/>
          <w:iCs/>
          <w:lang w:val="sr-Latn-ME"/>
        </w:rPr>
        <w:t>rnoj Gori, jačanje uloge klastera plavog rasta, posebno u dijelu tranfera tehnologije i umrežavanja sa sličnim klasterima kroz Jadransko – jonski i Mediteranski region, prijedlozi za prevazilaženje ograničenja za razvoj sektora ribarstva i marikulture u Crnoj Gori</w:t>
      </w:r>
      <w:r w:rsidR="004D4691" w:rsidRPr="00081468">
        <w:rPr>
          <w:rFonts w:cstheme="minorHAnsi"/>
          <w:bCs/>
          <w:iCs/>
          <w:lang w:val="sr-Latn-ME"/>
        </w:rPr>
        <w:t xml:space="preserve"> i sl. </w:t>
      </w:r>
    </w:p>
    <w:p w14:paraId="4FB477FF" w14:textId="14CA761D" w:rsidR="00E55DE1" w:rsidRPr="00081468" w:rsidRDefault="00A57945" w:rsidP="00E55DE1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Organizovana je Proljećna škola na temu „Održivo korišćenje resursa u morskim i priobalnim područjima“ na Univerzitetu Molize u Termoliju, Italija (maj 2022). Pored predstavnika Ministrstva ekonomskog razvoja i turizma, </w:t>
      </w:r>
      <w:r w:rsidR="00E55DE1" w:rsidRPr="00081468">
        <w:rPr>
          <w:rFonts w:cstheme="minorHAnsi"/>
          <w:bCs/>
          <w:iCs/>
          <w:lang w:val="sr-Latn-ME"/>
        </w:rPr>
        <w:t xml:space="preserve">Ministarstva evropskih poslova, </w:t>
      </w:r>
      <w:r w:rsidRPr="00081468">
        <w:rPr>
          <w:rFonts w:cstheme="minorHAnsi"/>
          <w:bCs/>
          <w:iCs/>
          <w:lang w:val="sr-Latn-ME"/>
        </w:rPr>
        <w:t xml:space="preserve">učešće su </w:t>
      </w:r>
      <w:r w:rsidR="00E55DE1" w:rsidRPr="00081468">
        <w:rPr>
          <w:rFonts w:cstheme="minorHAnsi"/>
          <w:bCs/>
          <w:iCs/>
          <w:lang w:val="sr-Latn-ME"/>
        </w:rPr>
        <w:t>imale i tri studentkinje magistarskih studija iz Crne Gore. Proljećna škola je okupila skoro stotinu učesnika, uključujući predstavnike akademske zajednice, biznisa i javnog sektora iz Italije, Albanije i Crne Gore.</w:t>
      </w:r>
    </w:p>
    <w:p w14:paraId="562514CF" w14:textId="3093355F" w:rsidR="00A57945" w:rsidRPr="00081468" w:rsidRDefault="00A57945" w:rsidP="00852FFF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Organizovan je trend watch</w:t>
      </w:r>
      <w:r w:rsidR="003C0DD6" w:rsidRPr="00081468">
        <w:rPr>
          <w:rFonts w:cstheme="minorHAnsi"/>
          <w:bCs/>
          <w:iCs/>
          <w:lang w:val="sr-Latn-ME"/>
        </w:rPr>
        <w:t xml:space="preserve">ing događaj (maj 2022) na kom su predstavljene mogućnosti regionalne saradnje u oblasti inovacija, pametne specijalizacije i plavog rasta. Na događaju su prisustvovali udruženja crnogorskih ribara, predstavnici Instituta za biologiju mora, PKCG, Ministarstva poljoprivrede, šumarstva i vodoprivrede, Fonda za inovacije, Tehnopolisa. Tom </w:t>
      </w:r>
      <w:r w:rsidR="003C0DD6" w:rsidRPr="00081468">
        <w:rPr>
          <w:rFonts w:cstheme="minorHAnsi"/>
          <w:bCs/>
          <w:iCs/>
          <w:lang w:val="sr-Latn-ME"/>
        </w:rPr>
        <w:lastRenderedPageBreak/>
        <w:t xml:space="preserve">prilikom, kao jedan od dobrih inovativnih primjera, prdstavljen je primjer pametne hranilice za ribe. </w:t>
      </w:r>
    </w:p>
    <w:p w14:paraId="1A735063" w14:textId="255D154F" w:rsidR="00173FFE" w:rsidRPr="00081468" w:rsidRDefault="00173FFE" w:rsidP="00561C98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Organizovan je trend watching događaj u Albaniji (jul 2022) </w:t>
      </w:r>
      <w:r w:rsidR="00561C98" w:rsidRPr="00081468">
        <w:rPr>
          <w:rFonts w:cstheme="minorHAnsi"/>
          <w:bCs/>
          <w:iCs/>
          <w:lang w:val="sr-Latn-ME"/>
        </w:rPr>
        <w:t>na temu „Akvakultura kao promoter plavog održivog razvoja“ sa ciljem da podstakne povezivanje i diskusiju između aktera plave ekonomije, posebno malih i srednjih preduzeća, o potencijalima akvakulture na regionalnom nivou i korišćenju inovacija za poboljšanje efikasnosti pomorskog saobraćaja.</w:t>
      </w:r>
      <w:r w:rsidR="00E56602" w:rsidRPr="00081468">
        <w:rPr>
          <w:rFonts w:cstheme="minorHAnsi"/>
          <w:bCs/>
          <w:iCs/>
          <w:lang w:val="sr-Latn-ME"/>
        </w:rPr>
        <w:t xml:space="preserve"> </w:t>
      </w:r>
      <w:r w:rsidRPr="00081468">
        <w:rPr>
          <w:rFonts w:cstheme="minorHAnsi"/>
          <w:bCs/>
          <w:iCs/>
          <w:lang w:val="sr-Latn-ME"/>
        </w:rPr>
        <w:t xml:space="preserve">Pored predstavnika Ministarstva ekonomskog razvoja i turizma, učešće </w:t>
      </w:r>
      <w:r w:rsidR="00561C98" w:rsidRPr="00081468">
        <w:rPr>
          <w:rFonts w:cstheme="minorHAnsi"/>
          <w:bCs/>
          <w:iCs/>
          <w:lang w:val="sr-Latn-ME"/>
        </w:rPr>
        <w:t xml:space="preserve">je uz prethodno objavljenog konkursa imao jedan predstavnik iz udruženja ribara. </w:t>
      </w:r>
      <w:r w:rsidRPr="00081468">
        <w:rPr>
          <w:rFonts w:cstheme="minorHAnsi"/>
          <w:bCs/>
          <w:iCs/>
          <w:lang w:val="sr-Latn-ME"/>
        </w:rPr>
        <w:t xml:space="preserve"> </w:t>
      </w:r>
    </w:p>
    <w:p w14:paraId="66D06006" w14:textId="6F38BD47" w:rsidR="00631292" w:rsidRPr="00081468" w:rsidRDefault="00FF445C" w:rsidP="007604C3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Uz prethodno objavljeni Javni poziv za članstvo u NVO “Udruženje klaster plavog rasta Crna Gora”</w:t>
      </w:r>
      <w:r w:rsidR="00631292" w:rsidRPr="00081468">
        <w:rPr>
          <w:rFonts w:cstheme="minorHAnsi"/>
          <w:bCs/>
          <w:iCs/>
          <w:lang w:val="sr-Latn-ME"/>
        </w:rPr>
        <w:t xml:space="preserve"> u saradnji sa </w:t>
      </w:r>
      <w:r w:rsidR="00E53FDA" w:rsidRPr="00081468">
        <w:rPr>
          <w:rFonts w:cstheme="minorHAnsi"/>
          <w:bCs/>
          <w:iCs/>
          <w:lang w:val="sr-Latn-ME"/>
        </w:rPr>
        <w:t>Univerzitet</w:t>
      </w:r>
      <w:r w:rsidR="00631292" w:rsidRPr="00081468">
        <w:rPr>
          <w:rFonts w:cstheme="minorHAnsi"/>
          <w:bCs/>
          <w:iCs/>
          <w:lang w:val="sr-Latn-ME"/>
        </w:rPr>
        <w:t>om</w:t>
      </w:r>
      <w:r w:rsidR="00E53FDA" w:rsidRPr="00081468">
        <w:rPr>
          <w:rFonts w:cstheme="minorHAnsi"/>
          <w:bCs/>
          <w:iCs/>
          <w:lang w:val="sr-Latn-ME"/>
        </w:rPr>
        <w:t xml:space="preserve"> Crne Gore – Institut</w:t>
      </w:r>
      <w:r w:rsidR="00631292" w:rsidRPr="00081468">
        <w:rPr>
          <w:rFonts w:cstheme="minorHAnsi"/>
          <w:bCs/>
          <w:iCs/>
          <w:lang w:val="sr-Latn-ME"/>
        </w:rPr>
        <w:t>om</w:t>
      </w:r>
      <w:r w:rsidR="00E53FDA" w:rsidRPr="00081468">
        <w:rPr>
          <w:rFonts w:cstheme="minorHAnsi"/>
          <w:bCs/>
          <w:iCs/>
          <w:lang w:val="sr-Latn-ME"/>
        </w:rPr>
        <w:t xml:space="preserve"> za biologiju mora</w:t>
      </w:r>
      <w:r w:rsidR="00631292" w:rsidRPr="00081468">
        <w:rPr>
          <w:rFonts w:cstheme="minorHAnsi"/>
          <w:bCs/>
          <w:iCs/>
          <w:lang w:val="sr-Latn-ME"/>
        </w:rPr>
        <w:t>, uspotavljen je klaster plavog rasta REGROW. Klaster ima za cilj da poveže sve relevantne aktere iz oblasti ribarstava i akvakulture, pomorskog saobraćaja, turizma, obnovljivih izvora energije iz mora, brodogradnje, IT sektora , kao i da im pruži podršku za razvoj i unapređenje zajedničkog poslovanja kroz: transfer tehnologija iz svih oblasti iz EU, pripremu prijava za učešće na međunarodnim i nacionalnim pozivima za projekte, povezivanje sa klasterima plavog rasta na nivou EU, razvijanje novih ekoloških i inovativnih tehnologija i njihova primjena u svim oblastima, a naročito za članove/ice udruženja koji imaju proizvodne kapacitete</w:t>
      </w:r>
      <w:r w:rsidR="00E817EC" w:rsidRPr="00081468">
        <w:rPr>
          <w:rFonts w:cstheme="minorHAnsi"/>
          <w:bCs/>
          <w:iCs/>
          <w:lang w:val="sr-Latn-ME"/>
        </w:rPr>
        <w:t>, m</w:t>
      </w:r>
      <w:r w:rsidR="00631292" w:rsidRPr="00081468">
        <w:rPr>
          <w:rFonts w:cstheme="minorHAnsi"/>
          <w:bCs/>
          <w:iCs/>
          <w:lang w:val="sr-Latn-ME"/>
        </w:rPr>
        <w:t>odernizacija poslovanja i prelazak na “zelenu i plavu energiju”</w:t>
      </w:r>
      <w:r w:rsidR="00E817EC" w:rsidRPr="00081468">
        <w:rPr>
          <w:rFonts w:cstheme="minorHAnsi"/>
          <w:bCs/>
          <w:iCs/>
          <w:lang w:val="sr-Latn-ME"/>
        </w:rPr>
        <w:t xml:space="preserve">. </w:t>
      </w:r>
    </w:p>
    <w:p w14:paraId="6EC24B7F" w14:textId="5012D76D" w:rsidR="00426DEA" w:rsidRPr="00081468" w:rsidRDefault="00426DEA" w:rsidP="007604C3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Ministarstvo ekonomskog razvoja i turizma je posredstvom navedenog projekta finansisjki podržalo organizaciju Sajma projekata u oblasti pametne specijalizacije u </w:t>
      </w:r>
      <w:r w:rsidR="005629A4" w:rsidRPr="00081468">
        <w:rPr>
          <w:rFonts w:cstheme="minorHAnsi"/>
          <w:bCs/>
          <w:iCs/>
          <w:lang w:val="sr-Latn-ME"/>
        </w:rPr>
        <w:t xml:space="preserve">okviru manifestacije „Dani nauke i inovacija 2022“ u </w:t>
      </w:r>
      <w:r w:rsidRPr="00081468">
        <w:rPr>
          <w:rFonts w:cstheme="minorHAnsi"/>
          <w:bCs/>
          <w:iCs/>
          <w:lang w:val="sr-Latn-ME"/>
        </w:rPr>
        <w:t xml:space="preserve">organizaciji Ministarstva nauke i tehnološkog razvoja (septembar 2022). Ujedno, predstavnici Ministarstva su na sajmu predstavili projekat Smart Adria Blue Growth. </w:t>
      </w:r>
    </w:p>
    <w:p w14:paraId="1C43EBFB" w14:textId="400F7C81" w:rsidR="003C0DD6" w:rsidRPr="00081468" w:rsidRDefault="00E777C6" w:rsidP="00A0640E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Organizovana je studijska posjeta</w:t>
      </w:r>
      <w:r w:rsidR="0002359D" w:rsidRPr="00081468">
        <w:rPr>
          <w:rFonts w:cstheme="minorHAnsi"/>
          <w:bCs/>
          <w:iCs/>
          <w:lang w:val="sr-Latn-ME"/>
        </w:rPr>
        <w:t xml:space="preserve"> i trend watching događaj</w:t>
      </w:r>
      <w:r w:rsidRPr="00081468">
        <w:rPr>
          <w:rFonts w:cstheme="minorHAnsi"/>
          <w:bCs/>
          <w:iCs/>
          <w:lang w:val="sr-Latn-ME"/>
        </w:rPr>
        <w:t xml:space="preserve"> u Crnoj Gori (maj 2022) na temu razvoj studije najbolje prakse o potrebama plavog rasta i ribarstvu u </w:t>
      </w:r>
      <w:r w:rsidR="0002359D" w:rsidRPr="00081468">
        <w:rPr>
          <w:rFonts w:cstheme="minorHAnsi"/>
          <w:bCs/>
          <w:iCs/>
          <w:lang w:val="sr-Latn-ME"/>
        </w:rPr>
        <w:t>Italiji – Albaniji – Crnoj Gori.  Studijska posjeta je bila prilika da učesnici posjete odabrane lokacije najbolje prakse plavog rasta</w:t>
      </w:r>
      <w:r w:rsidR="00AC2E45" w:rsidRPr="00081468">
        <w:rPr>
          <w:rFonts w:cstheme="minorHAnsi"/>
          <w:bCs/>
          <w:iCs/>
          <w:lang w:val="sr-Latn-ME"/>
        </w:rPr>
        <w:t xml:space="preserve"> u Bokokotroskom zalivu</w:t>
      </w:r>
      <w:r w:rsidR="0002359D" w:rsidRPr="00081468">
        <w:rPr>
          <w:rFonts w:cstheme="minorHAnsi"/>
          <w:bCs/>
          <w:iCs/>
          <w:lang w:val="sr-Latn-ME"/>
        </w:rPr>
        <w:t xml:space="preserve">. </w:t>
      </w:r>
    </w:p>
    <w:p w14:paraId="1D7C5FDB" w14:textId="1AA32980" w:rsidR="00E53FDA" w:rsidRPr="00081468" w:rsidRDefault="00E53FDA" w:rsidP="00852FFF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U okviru projekta realizovana</w:t>
      </w:r>
      <w:r w:rsidR="00FF445C" w:rsidRPr="00081468">
        <w:rPr>
          <w:rFonts w:cstheme="minorHAnsi"/>
          <w:bCs/>
          <w:iCs/>
          <w:lang w:val="sr-Latn-ME"/>
        </w:rPr>
        <w:t xml:space="preserve"> je </w:t>
      </w:r>
      <w:r w:rsidRPr="00081468">
        <w:rPr>
          <w:rFonts w:cstheme="minorHAnsi"/>
          <w:bCs/>
          <w:iCs/>
          <w:lang w:val="sr-Latn-ME"/>
        </w:rPr>
        <w:t xml:space="preserve">obuka za pisanje sažetaka projekata za grant šemu </w:t>
      </w:r>
      <w:bookmarkStart w:id="7" w:name="_Hlk125959103"/>
      <w:r w:rsidRPr="00081468">
        <w:rPr>
          <w:rFonts w:cstheme="minorHAnsi"/>
          <w:bCs/>
          <w:iCs/>
          <w:lang w:val="sr-Latn-ME"/>
        </w:rPr>
        <w:t xml:space="preserve">„Unapređenje konkurentnosti malih i srednjih preduzeća kroz podršku ženskom preduzetnišvu i preduzetništvu mladih“ </w:t>
      </w:r>
      <w:bookmarkEnd w:id="7"/>
      <w:r w:rsidRPr="00081468">
        <w:rPr>
          <w:rFonts w:cstheme="minorHAnsi"/>
          <w:bCs/>
          <w:iCs/>
          <w:lang w:val="sr-Latn-ME"/>
        </w:rPr>
        <w:t>(decembar 2022)</w:t>
      </w:r>
      <w:r w:rsidR="00FF445C" w:rsidRPr="00081468">
        <w:rPr>
          <w:rFonts w:cstheme="minorHAnsi"/>
          <w:bCs/>
          <w:iCs/>
          <w:lang w:val="sr-Latn-ME"/>
        </w:rPr>
        <w:t>.</w:t>
      </w:r>
    </w:p>
    <w:p w14:paraId="74EAA8BD" w14:textId="6FFE93D1" w:rsidR="008C123D" w:rsidRPr="00081468" w:rsidRDefault="008C123D" w:rsidP="00852FFF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Tokom referentnog perioda obezbjeđena je promocija projekta na sajtu i društvenim mrežama posredsvom  ugovora za povećanje vidljivosti za projekat Smart Adria Blue Growth</w:t>
      </w:r>
      <w:r w:rsidR="00A0640E" w:rsidRPr="00081468">
        <w:rPr>
          <w:rFonts w:cstheme="minorHAnsi"/>
          <w:bCs/>
          <w:iCs/>
          <w:lang w:val="sr-Latn-ME"/>
        </w:rPr>
        <w:t xml:space="preserve">. Takođe, u okviru pomemutog projekta, izrađen je promotivni materijal, kao i knjiga grafičkih standara za klaster plavog rasta. </w:t>
      </w:r>
    </w:p>
    <w:p w14:paraId="21753701" w14:textId="36E813CD" w:rsidR="00AE3C93" w:rsidRPr="00081468" w:rsidRDefault="00AE3C93" w:rsidP="00AE3C93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U okviru ugovora o uslugama za povećanje vidljivosti za projekat Smart Adria Blue Growth, u narednom periodu planirano je uspostavljanje sajta za klaster plavog rasta „REGROW“. </w:t>
      </w:r>
    </w:p>
    <w:p w14:paraId="3D5BC412" w14:textId="7F0739C8" w:rsidR="0002359D" w:rsidRPr="00081468" w:rsidRDefault="0002359D" w:rsidP="00A0640E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Zbog brojnih finansijskih ograničenja sa kojima se albanski partneri MEFA i UCCIAL suočavali na ovom projektu, </w:t>
      </w:r>
      <w:r w:rsidR="00845E68" w:rsidRPr="00081468">
        <w:rPr>
          <w:rFonts w:cstheme="minorHAnsi"/>
          <w:bCs/>
          <w:iCs/>
          <w:lang w:val="sr-Latn-ME"/>
        </w:rPr>
        <w:t xml:space="preserve">Ministarstvo ekonomskog razvoja i turizma je kao vodeći partner, uz prethodnu saglasnost partnera na projektu podnio zahtjev za </w:t>
      </w:r>
      <w:r w:rsidR="003D3658" w:rsidRPr="00081468">
        <w:rPr>
          <w:rFonts w:cstheme="minorHAnsi"/>
          <w:bCs/>
          <w:iCs/>
          <w:lang w:val="sr-Latn-ME"/>
        </w:rPr>
        <w:t xml:space="preserve">izmjenu budžeta i </w:t>
      </w:r>
      <w:r w:rsidR="00845E68" w:rsidRPr="00081468">
        <w:rPr>
          <w:rFonts w:cstheme="minorHAnsi"/>
          <w:bCs/>
          <w:iCs/>
          <w:lang w:val="sr-Latn-ME"/>
        </w:rPr>
        <w:t xml:space="preserve">produženje trajanja ugovora (31.03.2023.), </w:t>
      </w:r>
      <w:r w:rsidRPr="00081468">
        <w:rPr>
          <w:rFonts w:cstheme="minorHAnsi"/>
          <w:bCs/>
          <w:iCs/>
          <w:lang w:val="sr-Latn-ME"/>
        </w:rPr>
        <w:t xml:space="preserve">bez </w:t>
      </w:r>
      <w:r w:rsidR="00845E68" w:rsidRPr="00081468">
        <w:rPr>
          <w:rFonts w:cstheme="minorHAnsi"/>
          <w:bCs/>
          <w:iCs/>
          <w:lang w:val="sr-Latn-ME"/>
        </w:rPr>
        <w:t xml:space="preserve">dodatnih </w:t>
      </w:r>
      <w:r w:rsidRPr="00081468">
        <w:rPr>
          <w:rFonts w:cstheme="minorHAnsi"/>
          <w:bCs/>
          <w:iCs/>
          <w:lang w:val="sr-Latn-ME"/>
        </w:rPr>
        <w:t>troškova.</w:t>
      </w:r>
    </w:p>
    <w:p w14:paraId="5340B5CD" w14:textId="2E5CFEA8" w:rsidR="00E56602" w:rsidRPr="00081468" w:rsidRDefault="00E56602" w:rsidP="00A0640E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Osnovane su tri (3) virtualne Blue Labs – Italija – Albanija – Crna Gora koje za cilj imaju komercijalnu eksploataciju, testiranje i pilotiranje inovativnih proizvoda i usluga. </w:t>
      </w:r>
    </w:p>
    <w:p w14:paraId="40A24514" w14:textId="54E24C3F" w:rsidR="00E56602" w:rsidRPr="00081468" w:rsidRDefault="003273CA" w:rsidP="00A0640E">
      <w:pPr>
        <w:numPr>
          <w:ilvl w:val="0"/>
          <w:numId w:val="15"/>
        </w:numPr>
        <w:spacing w:after="0" w:line="240" w:lineRule="auto"/>
        <w:ind w:left="1080"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U narednom periodu, planirano je održavanje završne konferencije u Crnoj Gori i Italiji, organizacija obuke za pisanje pune aplikacije za grant šemu „Unapređenje konkurentnosti malih i srednjih preduzeća kroz podršku ženskom preduzetnišvu i preduzetništvu mladih“, sertifikovanje troškova, kao i podnošenje završnog izvještaja i propratne dokumentacije </w:t>
      </w:r>
      <w:r w:rsidR="00AF1C85" w:rsidRPr="00081468">
        <w:rPr>
          <w:rFonts w:cstheme="minorHAnsi"/>
          <w:bCs/>
          <w:iCs/>
          <w:lang w:val="sr-Latn-ME"/>
        </w:rPr>
        <w:t>za</w:t>
      </w:r>
      <w:r w:rsidRPr="00081468">
        <w:rPr>
          <w:rFonts w:cstheme="minorHAnsi"/>
          <w:bCs/>
          <w:iCs/>
          <w:lang w:val="sr-Latn-ME"/>
        </w:rPr>
        <w:t xml:space="preserve"> projek</w:t>
      </w:r>
      <w:r w:rsidR="00AF1C85" w:rsidRPr="00081468">
        <w:rPr>
          <w:rFonts w:cstheme="minorHAnsi"/>
          <w:bCs/>
          <w:iCs/>
          <w:lang w:val="sr-Latn-ME"/>
        </w:rPr>
        <w:t>ta</w:t>
      </w:r>
      <w:r w:rsidRPr="00081468">
        <w:rPr>
          <w:rFonts w:cstheme="minorHAnsi"/>
          <w:bCs/>
          <w:iCs/>
          <w:lang w:val="sr-Latn-ME"/>
        </w:rPr>
        <w:t>.</w:t>
      </w:r>
    </w:p>
    <w:p w14:paraId="047DB525" w14:textId="77777777" w:rsidR="0002359D" w:rsidRPr="00081468" w:rsidRDefault="0002359D" w:rsidP="00661814">
      <w:pPr>
        <w:spacing w:after="0" w:line="240" w:lineRule="auto"/>
        <w:ind w:left="720"/>
        <w:jc w:val="both"/>
        <w:rPr>
          <w:rFonts w:cstheme="minorHAnsi"/>
          <w:bCs/>
          <w:iCs/>
          <w:lang w:val="sr-Latn-ME"/>
        </w:rPr>
      </w:pPr>
    </w:p>
    <w:p w14:paraId="5F548542" w14:textId="2D283E86" w:rsidR="00D07E96" w:rsidRPr="00081468" w:rsidRDefault="00D07E96" w:rsidP="00D07E96">
      <w:pPr>
        <w:rPr>
          <w:rFonts w:cstheme="minorHAnsi"/>
          <w:b/>
          <w:bCs/>
          <w:lang w:val="sr-Latn-ME"/>
        </w:rPr>
      </w:pPr>
    </w:p>
    <w:p w14:paraId="7BF37677" w14:textId="4614A0A0" w:rsidR="00AC2E45" w:rsidRPr="00081468" w:rsidRDefault="00AC2E45" w:rsidP="00D07E96">
      <w:pPr>
        <w:rPr>
          <w:rFonts w:cstheme="minorHAnsi"/>
          <w:b/>
          <w:bCs/>
          <w:lang w:val="sr-Latn-ME"/>
        </w:rPr>
      </w:pPr>
    </w:p>
    <w:p w14:paraId="2062FB76" w14:textId="10558F79" w:rsidR="00AC2E45" w:rsidRPr="00081468" w:rsidRDefault="00AC2E45" w:rsidP="00D07E96">
      <w:pPr>
        <w:rPr>
          <w:rFonts w:cstheme="minorHAnsi"/>
          <w:b/>
          <w:bCs/>
          <w:lang w:val="sr-Latn-ME"/>
        </w:rPr>
      </w:pPr>
    </w:p>
    <w:p w14:paraId="3D6DD1E0" w14:textId="39194BB4" w:rsidR="00AC2E45" w:rsidRPr="00081468" w:rsidRDefault="00AC2E45" w:rsidP="00D07E96">
      <w:pPr>
        <w:rPr>
          <w:rFonts w:cstheme="minorHAnsi"/>
          <w:b/>
          <w:bCs/>
          <w:lang w:val="sr-Latn-ME"/>
        </w:rPr>
      </w:pPr>
    </w:p>
    <w:p w14:paraId="1A79FD41" w14:textId="77777777" w:rsidR="00AC2E45" w:rsidRPr="00081468" w:rsidRDefault="00AC2E45" w:rsidP="00D07E96">
      <w:pPr>
        <w:rPr>
          <w:rFonts w:cstheme="minorHAnsi"/>
          <w:b/>
          <w:bCs/>
          <w:lang w:val="sr-Latn-ME"/>
        </w:rPr>
      </w:pPr>
    </w:p>
    <w:p w14:paraId="48892AD7" w14:textId="77D52E44" w:rsidR="00D07E96" w:rsidRPr="00081468" w:rsidRDefault="00D07E96" w:rsidP="00FC4CFC">
      <w:pPr>
        <w:pStyle w:val="ListParagraph"/>
        <w:numPr>
          <w:ilvl w:val="0"/>
          <w:numId w:val="61"/>
        </w:numPr>
        <w:rPr>
          <w:rFonts w:cstheme="minorHAnsi"/>
          <w:b/>
          <w:bCs/>
          <w:lang w:val="sr-Latn-ME"/>
        </w:rPr>
      </w:pPr>
      <w:r w:rsidRPr="00081468">
        <w:rPr>
          <w:rFonts w:cstheme="minorHAnsi"/>
          <w:b/>
          <w:bCs/>
          <w:lang w:val="sr-Latn-ME"/>
        </w:rPr>
        <w:t>Interreg 2014 – 2020 Prekogranična razmjena sa ciljem razvoja kulture i kreativnih industrija – 3C</w:t>
      </w:r>
    </w:p>
    <w:p w14:paraId="513D493B" w14:textId="1479A846" w:rsidR="00D07E96" w:rsidRPr="00081468" w:rsidRDefault="00D07E96" w:rsidP="00FC4CFC">
      <w:pPr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Vodeći partner: </w:t>
      </w:r>
      <w:r w:rsidR="00122F68" w:rsidRPr="00081468">
        <w:rPr>
          <w:rFonts w:cstheme="minorHAnsi"/>
          <w:bCs/>
          <w:iCs/>
          <w:lang w:val="sr-Latn-ME"/>
        </w:rPr>
        <w:t>: Ministarstvo kulture i medija Crne Gore</w:t>
      </w:r>
    </w:p>
    <w:p w14:paraId="372F2F15" w14:textId="5DC18F84" w:rsidR="00D07E96" w:rsidRPr="00081468" w:rsidRDefault="00D07E96" w:rsidP="00FC4CFC">
      <w:pPr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Partneri na projektu: Crna Gora (Ministarstvo ekonomskog razvoja</w:t>
      </w:r>
      <w:r w:rsidR="00122F68" w:rsidRPr="00081468">
        <w:rPr>
          <w:rFonts w:cstheme="minorHAnsi"/>
          <w:bCs/>
          <w:iCs/>
          <w:lang w:val="sr-Latn-ME"/>
        </w:rPr>
        <w:t xml:space="preserve"> i turizma</w:t>
      </w:r>
      <w:r w:rsidRPr="00081468">
        <w:rPr>
          <w:rFonts w:cstheme="minorHAnsi"/>
          <w:bCs/>
          <w:iCs/>
          <w:lang w:val="sr-Latn-ME"/>
        </w:rPr>
        <w:t>), Italija: Regija Pulja - Odjeljenje za turizam, ekonomiju, kulturu i teritorijalni razvoj, Regija Molize, Fondacija kulture, Molize i Fondacija Gramsci, Pulja, pridruženi partner) i Albanija: Ministarstvo kulture, Institut za zaštitu spomenika kulture “Gani Strazimiri” i Nacionalni centar za kinematografiju, pridruženi partner)</w:t>
      </w:r>
    </w:p>
    <w:p w14:paraId="282DF985" w14:textId="5929F644" w:rsidR="00D07E96" w:rsidRPr="00081468" w:rsidRDefault="00D07E96" w:rsidP="00FC4CFC">
      <w:pPr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Vrijeme trajanja projekta: </w:t>
      </w:r>
      <w:r w:rsidR="00575058" w:rsidRPr="00081468">
        <w:rPr>
          <w:rFonts w:cstheme="minorHAnsi"/>
          <w:bCs/>
          <w:iCs/>
          <w:lang w:val="sr-Latn-ME"/>
        </w:rPr>
        <w:t>15.05.2019 – 30.04.2023.</w:t>
      </w:r>
    </w:p>
    <w:p w14:paraId="06CA2256" w14:textId="77777777" w:rsidR="00D07E96" w:rsidRPr="00081468" w:rsidRDefault="00D07E96" w:rsidP="00FC4CFC">
      <w:pPr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Budžet projekta: 4,281,675.26 EUR  (85% IPA kontribucija, 15% nacionalno kofinansiranje)</w:t>
      </w:r>
    </w:p>
    <w:p w14:paraId="2781826F" w14:textId="558763D5" w:rsidR="00365093" w:rsidRPr="00081468" w:rsidRDefault="00D07E96" w:rsidP="00FC4CFC">
      <w:pPr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Budžet Ministarstva ekonomskog razvoja</w:t>
      </w:r>
      <w:r w:rsidR="00122F68" w:rsidRPr="00081468">
        <w:rPr>
          <w:rFonts w:cstheme="minorHAnsi"/>
          <w:bCs/>
          <w:iCs/>
          <w:lang w:val="sr-Latn-ME"/>
        </w:rPr>
        <w:t xml:space="preserve"> i turizma</w:t>
      </w:r>
      <w:r w:rsidRPr="00081468">
        <w:rPr>
          <w:rFonts w:cstheme="minorHAnsi"/>
          <w:bCs/>
          <w:iCs/>
          <w:lang w:val="sr-Latn-ME"/>
        </w:rPr>
        <w:t>: 91,457.50 EUR (85% IPA kontribucija, 15% nacionalno kofinansiranje)</w:t>
      </w:r>
      <w:r w:rsidR="000405B9" w:rsidRPr="00081468">
        <w:rPr>
          <w:rFonts w:cstheme="minorHAnsi"/>
          <w:bCs/>
          <w:iCs/>
          <w:lang w:val="sr-Latn-ME"/>
        </w:rPr>
        <w:t>.</w:t>
      </w:r>
    </w:p>
    <w:p w14:paraId="232784CB" w14:textId="4B08B12A" w:rsidR="00D07E96" w:rsidRPr="00081468" w:rsidRDefault="00D07E96" w:rsidP="00FC4CFC">
      <w:pPr>
        <w:numPr>
          <w:ilvl w:val="0"/>
          <w:numId w:val="19"/>
        </w:numPr>
        <w:spacing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Značaj projekta:</w:t>
      </w:r>
      <w:r w:rsidRPr="00081468">
        <w:rPr>
          <w:rFonts w:cstheme="minorHAnsi"/>
          <w:bCs/>
          <w:iCs/>
          <w:lang w:val="sr-Latn-ME"/>
        </w:rPr>
        <w:t xml:space="preserve"> Promocija i razvoj kreativnog sektora i kreativnih industrija u Crnoj Gori. U okviru projekta restaurirana je zgrada zatvora u Starom gradu u Kotoru i pretvorena u Kulturni hab namijenjen lokalnim stvaraocima, malim i srednjim preduzećima koje se bave kreativnim industrijama i rezidencijalnoj umjetnosti. </w:t>
      </w:r>
    </w:p>
    <w:p w14:paraId="7CC6FCCF" w14:textId="77777777" w:rsidR="00365093" w:rsidRPr="00081468" w:rsidRDefault="00365093" w:rsidP="00D07E96">
      <w:pPr>
        <w:spacing w:after="0" w:line="240" w:lineRule="auto"/>
        <w:ind w:left="360"/>
        <w:jc w:val="both"/>
        <w:rPr>
          <w:rFonts w:cstheme="minorHAnsi"/>
          <w:bCs/>
          <w:iCs/>
          <w:lang w:val="sr-Latn-ME"/>
        </w:rPr>
      </w:pPr>
    </w:p>
    <w:p w14:paraId="3E1E2641" w14:textId="6DE6A4F4" w:rsidR="00D07E96" w:rsidRPr="00081468" w:rsidRDefault="00D07E96" w:rsidP="00365093">
      <w:pPr>
        <w:spacing w:after="0" w:line="240" w:lineRule="auto"/>
        <w:ind w:left="720"/>
        <w:jc w:val="both"/>
        <w:rPr>
          <w:rFonts w:cstheme="minorHAnsi"/>
          <w:b/>
          <w:bCs/>
          <w:iCs/>
          <w:lang w:val="sr-Latn-ME"/>
        </w:rPr>
      </w:pPr>
      <w:r w:rsidRPr="00081468">
        <w:rPr>
          <w:rFonts w:cstheme="minorHAnsi"/>
          <w:b/>
          <w:bCs/>
          <w:iCs/>
          <w:lang w:val="sr-Latn-ME"/>
        </w:rPr>
        <w:t>Ključne realizovane aktivnosti:</w:t>
      </w:r>
    </w:p>
    <w:p w14:paraId="22E926C9" w14:textId="1A3935E9" w:rsidR="00575058" w:rsidRPr="00081468" w:rsidRDefault="00575058" w:rsidP="00503EBA">
      <w:pPr>
        <w:spacing w:after="0" w:line="240" w:lineRule="auto"/>
        <w:contextualSpacing/>
        <w:jc w:val="both"/>
        <w:rPr>
          <w:rFonts w:cstheme="minorHAnsi"/>
          <w:bCs/>
          <w:iCs/>
          <w:lang w:val="sr-Latn-ME"/>
        </w:rPr>
      </w:pPr>
    </w:p>
    <w:p w14:paraId="6581C0DD" w14:textId="0DF044AD" w:rsidR="00575058" w:rsidRPr="00081468" w:rsidRDefault="00EB2AFA" w:rsidP="00575058">
      <w:pPr>
        <w:numPr>
          <w:ilvl w:val="0"/>
          <w:numId w:val="15"/>
        </w:numPr>
        <w:spacing w:after="0"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Sprovedena je nabavka IT opreme za </w:t>
      </w:r>
      <w:r w:rsidR="00575058" w:rsidRPr="00081468">
        <w:rPr>
          <w:rFonts w:cstheme="minorHAnsi"/>
          <w:bCs/>
          <w:iCs/>
          <w:lang w:val="sr-Latn-ME"/>
        </w:rPr>
        <w:t xml:space="preserve">Kulturni Hub </w:t>
      </w:r>
      <w:r w:rsidRPr="00081468">
        <w:rPr>
          <w:rFonts w:cstheme="minorHAnsi"/>
          <w:bCs/>
          <w:iCs/>
          <w:lang w:val="sr-Latn-ME"/>
        </w:rPr>
        <w:t>koji funkcioniše u okviru restaurirane zgrade Starog zatvora</w:t>
      </w:r>
      <w:r w:rsidR="000405B9" w:rsidRPr="00081468">
        <w:rPr>
          <w:rFonts w:cstheme="minorHAnsi"/>
          <w:bCs/>
          <w:iCs/>
          <w:lang w:val="sr-Latn-ME"/>
        </w:rPr>
        <w:t>.</w:t>
      </w:r>
    </w:p>
    <w:p w14:paraId="3DD0C1F1" w14:textId="77777777" w:rsidR="00575058" w:rsidRPr="00081468" w:rsidRDefault="00575058" w:rsidP="00575058">
      <w:pPr>
        <w:numPr>
          <w:ilvl w:val="0"/>
          <w:numId w:val="15"/>
        </w:numPr>
        <w:spacing w:after="0"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>Realizovane stručne mentorske usluge u oblasti Kickstarter kampanje, registracije patenata i mentorstvo u izradi biznis plana.</w:t>
      </w:r>
    </w:p>
    <w:p w14:paraId="0CAD045C" w14:textId="77777777" w:rsidR="00575058" w:rsidRPr="00081468" w:rsidRDefault="00575058" w:rsidP="00575058">
      <w:pPr>
        <w:numPr>
          <w:ilvl w:val="0"/>
          <w:numId w:val="15"/>
        </w:numPr>
        <w:spacing w:after="0" w:line="240" w:lineRule="auto"/>
        <w:contextualSpacing/>
        <w:jc w:val="both"/>
        <w:rPr>
          <w:rFonts w:cstheme="minorHAnsi"/>
          <w:bCs/>
          <w:iCs/>
          <w:lang w:val="sr-Latn-ME"/>
        </w:rPr>
      </w:pPr>
      <w:r w:rsidRPr="00081468">
        <w:rPr>
          <w:rFonts w:cstheme="minorHAnsi"/>
          <w:bCs/>
          <w:iCs/>
          <w:lang w:val="sr-Latn-ME"/>
        </w:rPr>
        <w:t xml:space="preserve">Održane radionice u dijelu unaprijeđenja konkurentnosti u oblasti kreativnih industrija koje je organizovalo Ministarstvo ekonomskog razvoja u saradnji sa vodećim partnerom Ministarstvom kulture i medija. Radionice su imale za cilj da dizejniranjem prototipa doprinesu unapređenju lokalnih i regionalnih umjetnika, kulturnih radnika i profesionalaca iz oblasti kreativne industrije da razviju proizvode, povećaju mobilnost i prezentuju svoje proizvode. </w:t>
      </w:r>
    </w:p>
    <w:p w14:paraId="4BABA34A" w14:textId="77777777" w:rsidR="00586E5B" w:rsidRPr="00081468" w:rsidRDefault="00586E5B" w:rsidP="00D07E96">
      <w:pPr>
        <w:spacing w:after="0" w:line="240" w:lineRule="auto"/>
        <w:ind w:left="720"/>
        <w:contextualSpacing/>
        <w:jc w:val="both"/>
        <w:rPr>
          <w:rFonts w:eastAsia="Calibri" w:cstheme="minorHAnsi"/>
          <w:lang w:val="sr-Latn-ME"/>
        </w:rPr>
        <w:sectPr w:rsidR="00586E5B" w:rsidRPr="00081468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1ED872" w14:textId="77777777" w:rsidR="00586E5B" w:rsidRPr="00081468" w:rsidRDefault="00586E5B" w:rsidP="00586E5B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</w:p>
    <w:p w14:paraId="0B624AA2" w14:textId="77777777" w:rsidR="00586E5B" w:rsidRPr="00081468" w:rsidRDefault="00586E5B" w:rsidP="00586E5B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  <w:r w:rsidRPr="00081468">
        <w:rPr>
          <w:rFonts w:cstheme="minorHAnsi"/>
          <w:b/>
          <w:color w:val="000000"/>
          <w:lang w:val="sr-Latn-ME"/>
        </w:rPr>
        <w:t>PROJEKTI KOJI SU U PROCESU UGOVARANJA</w:t>
      </w:r>
    </w:p>
    <w:p w14:paraId="54D5EBB0" w14:textId="77777777" w:rsidR="00586E5B" w:rsidRPr="00081468" w:rsidRDefault="00586E5B" w:rsidP="00586E5B">
      <w:pPr>
        <w:suppressAutoHyphens/>
        <w:spacing w:after="0" w:line="240" w:lineRule="auto"/>
        <w:jc w:val="both"/>
        <w:rPr>
          <w:rFonts w:cstheme="minorHAnsi"/>
          <w:bCs/>
        </w:rPr>
      </w:pPr>
      <w:r w:rsidRPr="00081468">
        <w:rPr>
          <w:rFonts w:cstheme="minorHAnsi"/>
          <w:bCs/>
          <w:color w:val="000000"/>
          <w:lang w:val="sr-Latn-ME"/>
        </w:rPr>
        <w:fldChar w:fldCharType="begin"/>
      </w:r>
      <w:r w:rsidRPr="00081468">
        <w:rPr>
          <w:rFonts w:cstheme="minorHAnsi"/>
          <w:bCs/>
          <w:color w:val="000000"/>
          <w:lang w:val="sr-Latn-ME"/>
        </w:rPr>
        <w:instrText xml:space="preserve"> LINK Excel.Sheet.12 "C:\\Users\\iv.jankovic\\AppData\\Local\\Microsoft\\Windows\\INetCache\\Content.Outlook\\YHRJVOQC\\Project Pipeline MER IPA 2020_.xlsx" "Sheet1!C1:C6" \a \f 5 \h  \* MERGEFORMAT </w:instrText>
      </w:r>
      <w:r w:rsidRPr="00081468">
        <w:rPr>
          <w:rFonts w:cstheme="minorHAnsi"/>
          <w:bCs/>
          <w:color w:val="000000"/>
          <w:lang w:val="sr-Latn-ME"/>
        </w:rPr>
        <w:fldChar w:fldCharType="separate"/>
      </w:r>
    </w:p>
    <w:tbl>
      <w:tblPr>
        <w:tblStyle w:val="TableGrid"/>
        <w:tblW w:w="13150" w:type="dxa"/>
        <w:jc w:val="center"/>
        <w:tblLook w:val="04A0" w:firstRow="1" w:lastRow="0" w:firstColumn="1" w:lastColumn="0" w:noHBand="0" w:noVBand="1"/>
      </w:tblPr>
      <w:tblGrid>
        <w:gridCol w:w="3743"/>
        <w:gridCol w:w="955"/>
        <w:gridCol w:w="1385"/>
        <w:gridCol w:w="1772"/>
        <w:gridCol w:w="1886"/>
        <w:gridCol w:w="3557"/>
      </w:tblGrid>
      <w:tr w:rsidR="00586E5B" w:rsidRPr="00081468" w14:paraId="0806A589" w14:textId="77777777" w:rsidTr="000466EF">
        <w:trPr>
          <w:trHeight w:val="766"/>
          <w:jc w:val="center"/>
        </w:trPr>
        <w:tc>
          <w:tcPr>
            <w:tcW w:w="3743" w:type="dxa"/>
            <w:noWrap/>
            <w:vAlign w:val="center"/>
            <w:hideMark/>
          </w:tcPr>
          <w:p w14:paraId="2DBF99AD" w14:textId="77777777" w:rsidR="00586E5B" w:rsidRPr="00081468" w:rsidRDefault="00586E5B" w:rsidP="00791F18">
            <w:pPr>
              <w:suppressAutoHyphens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Projekat</w:t>
            </w:r>
          </w:p>
        </w:tc>
        <w:tc>
          <w:tcPr>
            <w:tcW w:w="821" w:type="dxa"/>
            <w:noWrap/>
            <w:vAlign w:val="center"/>
            <w:hideMark/>
          </w:tcPr>
          <w:p w14:paraId="2A775A6A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Donator</w:t>
            </w:r>
          </w:p>
        </w:tc>
        <w:tc>
          <w:tcPr>
            <w:tcW w:w="1371" w:type="dxa"/>
            <w:noWrap/>
            <w:vAlign w:val="center"/>
            <w:hideMark/>
          </w:tcPr>
          <w:p w14:paraId="3FD462CF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Indikativni budžet</w:t>
            </w:r>
          </w:p>
        </w:tc>
        <w:tc>
          <w:tcPr>
            <w:tcW w:w="1772" w:type="dxa"/>
            <w:vAlign w:val="center"/>
            <w:hideMark/>
          </w:tcPr>
          <w:p w14:paraId="51DF71EB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Dostavljanje tenderske dokumentacije</w:t>
            </w:r>
          </w:p>
        </w:tc>
        <w:tc>
          <w:tcPr>
            <w:tcW w:w="1886" w:type="dxa"/>
            <w:noWrap/>
            <w:vAlign w:val="center"/>
            <w:hideMark/>
          </w:tcPr>
          <w:p w14:paraId="04223298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Krajnji rok za ugovaranje</w:t>
            </w:r>
          </w:p>
        </w:tc>
        <w:tc>
          <w:tcPr>
            <w:tcW w:w="3557" w:type="dxa"/>
            <w:noWrap/>
            <w:vAlign w:val="center"/>
            <w:hideMark/>
          </w:tcPr>
          <w:p w14:paraId="2EFBAC1D" w14:textId="77777777" w:rsidR="00586E5B" w:rsidRPr="00081468" w:rsidRDefault="00586E5B" w:rsidP="00503EBA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Status</w:t>
            </w:r>
          </w:p>
        </w:tc>
      </w:tr>
      <w:tr w:rsidR="00586E5B" w:rsidRPr="00081468" w14:paraId="1AB3C1E9" w14:textId="77777777" w:rsidTr="000466EF">
        <w:trPr>
          <w:trHeight w:val="871"/>
          <w:jc w:val="center"/>
        </w:trPr>
        <w:tc>
          <w:tcPr>
            <w:tcW w:w="3743" w:type="dxa"/>
            <w:vAlign w:val="center"/>
            <w:hideMark/>
          </w:tcPr>
          <w:p w14:paraId="523BBF18" w14:textId="77777777" w:rsidR="00586E5B" w:rsidRPr="00081468" w:rsidRDefault="00586E5B" w:rsidP="00791F18">
            <w:pPr>
              <w:suppressAutoHyphens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Ugovor o uslugama: Uspostavljanje naprednih usluga za podršku razvoju malih i srednjih preduzeća</w:t>
            </w:r>
          </w:p>
        </w:tc>
        <w:tc>
          <w:tcPr>
            <w:tcW w:w="821" w:type="dxa"/>
            <w:noWrap/>
            <w:vAlign w:val="center"/>
            <w:hideMark/>
          </w:tcPr>
          <w:p w14:paraId="591ED508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EU</w:t>
            </w:r>
          </w:p>
        </w:tc>
        <w:tc>
          <w:tcPr>
            <w:tcW w:w="1371" w:type="dxa"/>
            <w:vAlign w:val="center"/>
            <w:hideMark/>
          </w:tcPr>
          <w:p w14:paraId="0EDF8188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€ 1,020,000.00</w:t>
            </w:r>
          </w:p>
        </w:tc>
        <w:tc>
          <w:tcPr>
            <w:tcW w:w="1772" w:type="dxa"/>
            <w:noWrap/>
            <w:vAlign w:val="center"/>
            <w:hideMark/>
          </w:tcPr>
          <w:p w14:paraId="2F78E7EB" w14:textId="7547D2D2" w:rsidR="00586E5B" w:rsidRPr="00081468" w:rsidRDefault="00611994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 xml:space="preserve">Finalizovano </w:t>
            </w:r>
          </w:p>
        </w:tc>
        <w:tc>
          <w:tcPr>
            <w:tcW w:w="1886" w:type="dxa"/>
            <w:noWrap/>
            <w:vAlign w:val="center"/>
            <w:hideMark/>
          </w:tcPr>
          <w:p w14:paraId="4C65EDF9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28/08/2023</w:t>
            </w:r>
          </w:p>
        </w:tc>
        <w:tc>
          <w:tcPr>
            <w:tcW w:w="3557" w:type="dxa"/>
            <w:noWrap/>
            <w:vAlign w:val="center"/>
            <w:hideMark/>
          </w:tcPr>
          <w:p w14:paraId="7F22DA0B" w14:textId="77777777" w:rsidR="00586E5B" w:rsidRPr="00081468" w:rsidRDefault="00586E5B" w:rsidP="00503EBA">
            <w:pPr>
              <w:jc w:val="center"/>
              <w:rPr>
                <w:rFonts w:cstheme="minorHAnsi"/>
                <w:lang w:val="sr-Latn-ME"/>
              </w:rPr>
            </w:pPr>
          </w:p>
          <w:p w14:paraId="7713D233" w14:textId="63220462" w:rsidR="00586E5B" w:rsidRPr="00081468" w:rsidRDefault="00D639E4" w:rsidP="00503EBA">
            <w:pPr>
              <w:jc w:val="center"/>
              <w:rPr>
                <w:rFonts w:cstheme="minorHAnsi"/>
                <w:lang w:val="sr-Latn-ME"/>
              </w:rPr>
            </w:pPr>
            <w:r w:rsidRPr="00081468">
              <w:rPr>
                <w:rFonts w:cstheme="minorHAnsi"/>
                <w:lang w:val="sr-Latn-ME"/>
              </w:rPr>
              <w:t>U fazi ugovaranja.</w:t>
            </w:r>
            <w:r w:rsidR="00A32147" w:rsidRPr="00081468">
              <w:rPr>
                <w:rFonts w:cstheme="minorHAnsi"/>
                <w:lang w:val="sr-Latn-ME"/>
              </w:rPr>
              <w:t xml:space="preserve"> </w:t>
            </w:r>
            <w:r w:rsidR="00812601" w:rsidRPr="00081468">
              <w:rPr>
                <w:rFonts w:cstheme="minorHAnsi"/>
                <w:lang w:val="sr-Latn-ME"/>
              </w:rPr>
              <w:t>Prva faza evaluacije počinje u januaru 2023.</w:t>
            </w:r>
            <w:r w:rsidR="00A32147" w:rsidRPr="00081468">
              <w:rPr>
                <w:rFonts w:cstheme="minorHAnsi"/>
                <w:lang w:val="sr-Latn-ME"/>
              </w:rPr>
              <w:t>.</w:t>
            </w:r>
          </w:p>
          <w:p w14:paraId="4E73F89F" w14:textId="77777777" w:rsidR="00586E5B" w:rsidRPr="00081468" w:rsidRDefault="00586E5B" w:rsidP="00503EBA">
            <w:pPr>
              <w:jc w:val="center"/>
              <w:rPr>
                <w:rFonts w:cstheme="minorHAnsi"/>
                <w:lang w:val="sr-Latn-ME"/>
              </w:rPr>
            </w:pPr>
          </w:p>
          <w:p w14:paraId="5215BC9C" w14:textId="77777777" w:rsidR="00586E5B" w:rsidRPr="00081468" w:rsidRDefault="00586E5B" w:rsidP="00503EBA">
            <w:pPr>
              <w:jc w:val="center"/>
              <w:rPr>
                <w:rFonts w:cstheme="minorHAnsi"/>
                <w:lang w:val="sr-Latn-ME"/>
              </w:rPr>
            </w:pPr>
          </w:p>
          <w:p w14:paraId="26F18623" w14:textId="77777777" w:rsidR="00586E5B" w:rsidRPr="00081468" w:rsidRDefault="00586E5B" w:rsidP="00503EBA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586E5B" w:rsidRPr="00081468" w14:paraId="62CA3F30" w14:textId="77777777" w:rsidTr="000466EF">
        <w:trPr>
          <w:trHeight w:val="1082"/>
          <w:jc w:val="center"/>
        </w:trPr>
        <w:tc>
          <w:tcPr>
            <w:tcW w:w="3743" w:type="dxa"/>
            <w:vAlign w:val="center"/>
            <w:hideMark/>
          </w:tcPr>
          <w:p w14:paraId="7D22CF46" w14:textId="510C1005" w:rsidR="00586E5B" w:rsidRPr="00081468" w:rsidRDefault="00586E5B" w:rsidP="00791F18">
            <w:pPr>
              <w:suppressAutoHyphens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Grant šema</w:t>
            </w:r>
            <w:r w:rsidR="00611994" w:rsidRPr="00081468">
              <w:rPr>
                <w:rFonts w:cstheme="minorHAnsi"/>
                <w:bCs/>
                <w:color w:val="000000"/>
                <w:lang w:val="sr-Latn-ME"/>
              </w:rPr>
              <w:t>: Unapređenje konkurentnosti malih i srednjih preduzeća kroz podršku ženskom preduzetništvu i preduzetništvu mladih</w:t>
            </w:r>
          </w:p>
        </w:tc>
        <w:tc>
          <w:tcPr>
            <w:tcW w:w="821" w:type="dxa"/>
            <w:noWrap/>
            <w:vAlign w:val="center"/>
            <w:hideMark/>
          </w:tcPr>
          <w:p w14:paraId="3B76A325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EU</w:t>
            </w:r>
          </w:p>
        </w:tc>
        <w:tc>
          <w:tcPr>
            <w:tcW w:w="1371" w:type="dxa"/>
            <w:vAlign w:val="center"/>
            <w:hideMark/>
          </w:tcPr>
          <w:p w14:paraId="515D9FE0" w14:textId="0C619800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€</w:t>
            </w:r>
            <w:r w:rsidR="00503EBA" w:rsidRPr="00081468">
              <w:rPr>
                <w:rFonts w:cstheme="minorHAnsi"/>
                <w:bCs/>
                <w:color w:val="000000"/>
                <w:lang w:val="sr-Latn-ME"/>
              </w:rPr>
              <w:t xml:space="preserve"> </w:t>
            </w:r>
            <w:r w:rsidR="001820E6" w:rsidRPr="00081468">
              <w:rPr>
                <w:rFonts w:cstheme="minorHAnsi"/>
                <w:bCs/>
                <w:color w:val="000000"/>
                <w:lang w:val="sr-Latn-ME"/>
              </w:rPr>
              <w:t>30</w:t>
            </w:r>
            <w:bookmarkStart w:id="8" w:name="_GoBack"/>
            <w:bookmarkEnd w:id="8"/>
            <w:r w:rsidRPr="00081468">
              <w:rPr>
                <w:rFonts w:cstheme="minorHAnsi"/>
                <w:bCs/>
                <w:color w:val="000000"/>
                <w:lang w:val="sr-Latn-ME"/>
              </w:rPr>
              <w:t>0,000.00</w:t>
            </w:r>
          </w:p>
        </w:tc>
        <w:tc>
          <w:tcPr>
            <w:tcW w:w="1772" w:type="dxa"/>
            <w:noWrap/>
            <w:vAlign w:val="center"/>
            <w:hideMark/>
          </w:tcPr>
          <w:p w14:paraId="0FCB41A0" w14:textId="5F6FBF1E" w:rsidR="00586E5B" w:rsidRPr="00081468" w:rsidRDefault="00611994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Finalizovano.</w:t>
            </w:r>
          </w:p>
        </w:tc>
        <w:tc>
          <w:tcPr>
            <w:tcW w:w="1886" w:type="dxa"/>
            <w:noWrap/>
            <w:vAlign w:val="center"/>
            <w:hideMark/>
          </w:tcPr>
          <w:p w14:paraId="03A14429" w14:textId="6FD58F8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2</w:t>
            </w:r>
            <w:r w:rsidR="00611994" w:rsidRPr="00081468">
              <w:rPr>
                <w:rFonts w:cstheme="minorHAnsi"/>
                <w:bCs/>
                <w:color w:val="000000"/>
                <w:lang w:val="sr-Latn-ME"/>
              </w:rPr>
              <w:t>8</w:t>
            </w:r>
            <w:r w:rsidRPr="00081468">
              <w:rPr>
                <w:rFonts w:cstheme="minorHAnsi"/>
                <w:bCs/>
                <w:color w:val="000000"/>
                <w:lang w:val="sr-Latn-ME"/>
              </w:rPr>
              <w:t>/08/202</w:t>
            </w:r>
            <w:r w:rsidR="00CF6715" w:rsidRPr="00081468">
              <w:rPr>
                <w:rFonts w:cstheme="minorHAnsi"/>
                <w:bCs/>
                <w:color w:val="000000"/>
                <w:lang w:val="sr-Latn-ME"/>
              </w:rPr>
              <w:t>4</w:t>
            </w:r>
          </w:p>
        </w:tc>
        <w:tc>
          <w:tcPr>
            <w:tcW w:w="3557" w:type="dxa"/>
            <w:noWrap/>
            <w:vAlign w:val="center"/>
            <w:hideMark/>
          </w:tcPr>
          <w:p w14:paraId="0412EEFA" w14:textId="5103E629" w:rsidR="00812601" w:rsidRPr="00081468" w:rsidRDefault="00812601" w:rsidP="00503EBA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Poziv je objavljen 11. novembra 2022. sa rokom za dostavljanje aplikacija do 27. decembra 2022. godine.</w:t>
            </w:r>
          </w:p>
          <w:p w14:paraId="5CC092BD" w14:textId="1D3ACC1D" w:rsidR="00586E5B" w:rsidRPr="00081468" w:rsidRDefault="00586E5B" w:rsidP="00503EBA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U toku je</w:t>
            </w:r>
            <w:r w:rsidR="00812601" w:rsidRPr="00081468">
              <w:rPr>
                <w:rFonts w:cstheme="minorHAnsi"/>
                <w:bCs/>
                <w:color w:val="000000"/>
                <w:lang w:val="sr-Latn-ME"/>
              </w:rPr>
              <w:t xml:space="preserve"> uspostavljanje  komisije za ocjenjivanje i vrednovanje aplikacija.</w:t>
            </w:r>
          </w:p>
        </w:tc>
      </w:tr>
      <w:tr w:rsidR="00586E5B" w:rsidRPr="00081468" w14:paraId="35A0A145" w14:textId="77777777" w:rsidTr="000466EF">
        <w:trPr>
          <w:trHeight w:val="511"/>
          <w:jc w:val="center"/>
        </w:trPr>
        <w:tc>
          <w:tcPr>
            <w:tcW w:w="3743" w:type="dxa"/>
            <w:vAlign w:val="center"/>
            <w:hideMark/>
          </w:tcPr>
          <w:p w14:paraId="2B9B48B8" w14:textId="33B5A9AF" w:rsidR="00586E5B" w:rsidRPr="00081468" w:rsidRDefault="00586E5B" w:rsidP="00791F18">
            <w:pPr>
              <w:suppressAutoHyphens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Grant šema</w:t>
            </w:r>
            <w:r w:rsidR="00611994" w:rsidRPr="00081468">
              <w:rPr>
                <w:rFonts w:cstheme="minorHAnsi"/>
                <w:bCs/>
                <w:color w:val="000000"/>
                <w:lang w:val="sr-Latn-ME"/>
              </w:rPr>
              <w:t xml:space="preserve">: </w:t>
            </w:r>
            <w:r w:rsidRPr="00081468">
              <w:rPr>
                <w:rFonts w:cstheme="minorHAnsi"/>
                <w:bCs/>
                <w:color w:val="000000"/>
                <w:lang w:val="sr-Latn-ME"/>
              </w:rPr>
              <w:t xml:space="preserve"> </w:t>
            </w:r>
            <w:r w:rsidR="00611994" w:rsidRPr="00081468">
              <w:rPr>
                <w:rFonts w:cstheme="minorHAnsi"/>
                <w:bCs/>
                <w:color w:val="000000"/>
                <w:lang w:val="sr-Latn-ME"/>
              </w:rPr>
              <w:t>Podrška implementaciji Strategije pamentne specijalizacije (S3) kroz projekte</w:t>
            </w:r>
          </w:p>
        </w:tc>
        <w:tc>
          <w:tcPr>
            <w:tcW w:w="821" w:type="dxa"/>
            <w:noWrap/>
            <w:vAlign w:val="center"/>
            <w:hideMark/>
          </w:tcPr>
          <w:p w14:paraId="7F4183D2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EU</w:t>
            </w:r>
          </w:p>
        </w:tc>
        <w:tc>
          <w:tcPr>
            <w:tcW w:w="1371" w:type="dxa"/>
            <w:vAlign w:val="center"/>
            <w:hideMark/>
          </w:tcPr>
          <w:p w14:paraId="0F6B0C59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€ 900,000.00</w:t>
            </w:r>
          </w:p>
        </w:tc>
        <w:tc>
          <w:tcPr>
            <w:tcW w:w="1772" w:type="dxa"/>
            <w:noWrap/>
            <w:vAlign w:val="center"/>
            <w:hideMark/>
          </w:tcPr>
          <w:p w14:paraId="18C56BF4" w14:textId="76D26A76" w:rsidR="00586E5B" w:rsidRPr="00081468" w:rsidRDefault="00611994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 xml:space="preserve">Finalizovano. </w:t>
            </w:r>
          </w:p>
        </w:tc>
        <w:tc>
          <w:tcPr>
            <w:tcW w:w="1886" w:type="dxa"/>
            <w:noWrap/>
            <w:vAlign w:val="center"/>
            <w:hideMark/>
          </w:tcPr>
          <w:p w14:paraId="68CB3D44" w14:textId="6EF010B9" w:rsidR="00586E5B" w:rsidRPr="00081468" w:rsidRDefault="00611994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 xml:space="preserve">28/08/2023 </w:t>
            </w:r>
          </w:p>
        </w:tc>
        <w:tc>
          <w:tcPr>
            <w:tcW w:w="3557" w:type="dxa"/>
            <w:noWrap/>
            <w:vAlign w:val="center"/>
            <w:hideMark/>
          </w:tcPr>
          <w:p w14:paraId="57FA3A6F" w14:textId="73B54694" w:rsidR="00586E5B" w:rsidRPr="00081468" w:rsidRDefault="00812601" w:rsidP="00503EBA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 xml:space="preserve">Poziv za dostavljanje aplikacija je objavljen 16. decembra 2022. sa rokom do 30. januara 2023. </w:t>
            </w:r>
            <w:r w:rsidR="00586E5B" w:rsidRPr="00081468">
              <w:rPr>
                <w:rFonts w:cstheme="minorHAnsi"/>
                <w:bCs/>
                <w:color w:val="000000"/>
                <w:lang w:val="sr-Latn-ME"/>
              </w:rPr>
              <w:t xml:space="preserve">U toku je </w:t>
            </w:r>
            <w:r w:rsidRPr="00081468">
              <w:rPr>
                <w:rFonts w:cstheme="minorHAnsi"/>
                <w:bCs/>
                <w:color w:val="000000"/>
                <w:lang w:val="sr-Latn-ME"/>
              </w:rPr>
              <w:t>uspostavljanje</w:t>
            </w:r>
            <w:r w:rsidR="00611994" w:rsidRPr="00081468">
              <w:rPr>
                <w:rFonts w:cstheme="minorHAnsi"/>
                <w:bCs/>
                <w:color w:val="000000"/>
                <w:lang w:val="sr-Latn-ME"/>
              </w:rPr>
              <w:t xml:space="preserve"> komisije za ocjenjivanje i vrednovanje</w:t>
            </w:r>
            <w:r w:rsidR="00D639E4" w:rsidRPr="00081468">
              <w:rPr>
                <w:rFonts w:cstheme="minorHAnsi"/>
                <w:bCs/>
                <w:color w:val="000000"/>
                <w:lang w:val="sr-Latn-ME"/>
              </w:rPr>
              <w:t xml:space="preserve"> </w:t>
            </w:r>
            <w:r w:rsidRPr="00081468">
              <w:rPr>
                <w:rFonts w:cstheme="minorHAnsi"/>
                <w:bCs/>
                <w:color w:val="000000"/>
                <w:lang w:val="sr-Latn-ME"/>
              </w:rPr>
              <w:t>aplikacija.</w:t>
            </w:r>
          </w:p>
        </w:tc>
      </w:tr>
      <w:tr w:rsidR="00586E5B" w:rsidRPr="00081468" w14:paraId="5F980C3E" w14:textId="77777777" w:rsidTr="000466EF">
        <w:trPr>
          <w:trHeight w:val="1067"/>
          <w:jc w:val="center"/>
        </w:trPr>
        <w:tc>
          <w:tcPr>
            <w:tcW w:w="3743" w:type="dxa"/>
            <w:vAlign w:val="center"/>
            <w:hideMark/>
          </w:tcPr>
          <w:p w14:paraId="6E57B1F3" w14:textId="7E0937C2" w:rsidR="00A32147" w:rsidRPr="00081468" w:rsidRDefault="00EB2AFA" w:rsidP="00791F18">
            <w:pPr>
              <w:suppressAutoHyphens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 xml:space="preserve">Poboljšanje tehničkih kapaciteta institucija uključenih u sektor konkurentnosti i inovacija – laboratorijska oprema za metrologiju (Lot 2) </w:t>
            </w:r>
          </w:p>
        </w:tc>
        <w:tc>
          <w:tcPr>
            <w:tcW w:w="821" w:type="dxa"/>
            <w:noWrap/>
            <w:vAlign w:val="center"/>
            <w:hideMark/>
          </w:tcPr>
          <w:p w14:paraId="3552A7F8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EU</w:t>
            </w:r>
          </w:p>
        </w:tc>
        <w:tc>
          <w:tcPr>
            <w:tcW w:w="1371" w:type="dxa"/>
            <w:vAlign w:val="center"/>
            <w:hideMark/>
          </w:tcPr>
          <w:p w14:paraId="3F02B620" w14:textId="0017EE22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€</w:t>
            </w:r>
            <w:r w:rsidR="00503EBA" w:rsidRPr="00081468">
              <w:rPr>
                <w:rFonts w:cstheme="minorHAnsi"/>
                <w:bCs/>
                <w:color w:val="000000"/>
                <w:lang w:val="sr-Latn-ME"/>
              </w:rPr>
              <w:t xml:space="preserve"> </w:t>
            </w:r>
            <w:r w:rsidR="00EB2AFA" w:rsidRPr="00081468">
              <w:rPr>
                <w:rFonts w:cstheme="minorHAnsi"/>
                <w:bCs/>
                <w:color w:val="000000"/>
                <w:lang w:val="sr-Latn-ME"/>
              </w:rPr>
              <w:t xml:space="preserve">517,985.69 </w:t>
            </w:r>
          </w:p>
        </w:tc>
        <w:tc>
          <w:tcPr>
            <w:tcW w:w="1772" w:type="dxa"/>
            <w:noWrap/>
            <w:vAlign w:val="center"/>
            <w:hideMark/>
          </w:tcPr>
          <w:p w14:paraId="6611CC14" w14:textId="77777777" w:rsidR="00586E5B" w:rsidRPr="00081468" w:rsidRDefault="00586E5B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Finalizovano.</w:t>
            </w:r>
          </w:p>
        </w:tc>
        <w:tc>
          <w:tcPr>
            <w:tcW w:w="1886" w:type="dxa"/>
            <w:noWrap/>
            <w:vAlign w:val="center"/>
            <w:hideMark/>
          </w:tcPr>
          <w:p w14:paraId="53CF0F07" w14:textId="05C44903" w:rsidR="00586E5B" w:rsidRPr="00081468" w:rsidRDefault="00A32147" w:rsidP="00791F18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28</w:t>
            </w:r>
            <w:r w:rsidR="00586E5B" w:rsidRPr="00081468">
              <w:rPr>
                <w:rFonts w:cstheme="minorHAnsi"/>
                <w:bCs/>
                <w:color w:val="000000"/>
                <w:lang w:val="sr-Latn-ME"/>
              </w:rPr>
              <w:t>/0</w:t>
            </w:r>
            <w:r w:rsidRPr="00081468">
              <w:rPr>
                <w:rFonts w:cstheme="minorHAnsi"/>
                <w:bCs/>
                <w:color w:val="000000"/>
                <w:lang w:val="sr-Latn-ME"/>
              </w:rPr>
              <w:t>8</w:t>
            </w:r>
            <w:r w:rsidR="00586E5B" w:rsidRPr="00081468">
              <w:rPr>
                <w:rFonts w:cstheme="minorHAnsi"/>
                <w:bCs/>
                <w:color w:val="000000"/>
                <w:lang w:val="sr-Latn-ME"/>
              </w:rPr>
              <w:t>/2023</w:t>
            </w:r>
          </w:p>
        </w:tc>
        <w:tc>
          <w:tcPr>
            <w:tcW w:w="3557" w:type="dxa"/>
            <w:vAlign w:val="center"/>
            <w:hideMark/>
          </w:tcPr>
          <w:p w14:paraId="5BFA9066" w14:textId="77777777" w:rsidR="00A32147" w:rsidRPr="00081468" w:rsidRDefault="00A32147" w:rsidP="00503EBA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LoT 1 - ugovor je u fazi implementacije</w:t>
            </w:r>
          </w:p>
          <w:p w14:paraId="0DFCA51F" w14:textId="77777777" w:rsidR="00586E5B" w:rsidRPr="00081468" w:rsidRDefault="00A32147" w:rsidP="00503EBA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 xml:space="preserve">LoT 2- tenderski postupak je ponovljen i još uvijek je u fazi ugovaranja.  </w:t>
            </w:r>
            <w:r w:rsidR="00812601" w:rsidRPr="00081468">
              <w:rPr>
                <w:rFonts w:cstheme="minorHAnsi"/>
                <w:bCs/>
                <w:color w:val="000000"/>
                <w:lang w:val="sr-Latn-ME"/>
              </w:rPr>
              <w:t>Poziv za dostavljanje ponuda je objavljen 2. decembra 2022. sa rokom do 3. februara 2023.</w:t>
            </w:r>
          </w:p>
          <w:p w14:paraId="498071BC" w14:textId="7942EBB9" w:rsidR="00812601" w:rsidRPr="00081468" w:rsidRDefault="00812601" w:rsidP="00503EBA">
            <w:pPr>
              <w:suppressAutoHyphens/>
              <w:jc w:val="center"/>
              <w:rPr>
                <w:rFonts w:cstheme="minorHAnsi"/>
                <w:bCs/>
                <w:color w:val="000000"/>
                <w:lang w:val="sr-Latn-ME"/>
              </w:rPr>
            </w:pPr>
            <w:r w:rsidRPr="00081468">
              <w:rPr>
                <w:rFonts w:cstheme="minorHAnsi"/>
                <w:bCs/>
                <w:color w:val="000000"/>
                <w:lang w:val="sr-Latn-ME"/>
              </w:rPr>
              <w:t>Glavni korisnik: Zavod za metrologiju Crne Gore</w:t>
            </w:r>
          </w:p>
        </w:tc>
      </w:tr>
    </w:tbl>
    <w:p w14:paraId="7F9F9FE7" w14:textId="77777777" w:rsidR="00586E5B" w:rsidRPr="00081468" w:rsidRDefault="00586E5B" w:rsidP="00586E5B">
      <w:pPr>
        <w:suppressAutoHyphens/>
        <w:spacing w:after="0" w:line="240" w:lineRule="auto"/>
        <w:jc w:val="both"/>
        <w:rPr>
          <w:rFonts w:cstheme="minorHAnsi"/>
          <w:bCs/>
          <w:color w:val="000000"/>
          <w:lang w:val="sr-Latn-ME"/>
        </w:rPr>
      </w:pPr>
      <w:r w:rsidRPr="00081468">
        <w:rPr>
          <w:rFonts w:cstheme="minorHAnsi"/>
          <w:bCs/>
          <w:color w:val="000000"/>
          <w:lang w:val="sr-Latn-ME"/>
        </w:rPr>
        <w:fldChar w:fldCharType="end"/>
      </w:r>
    </w:p>
    <w:p w14:paraId="29C662EC" w14:textId="77777777" w:rsidR="00586E5B" w:rsidRPr="00081468" w:rsidRDefault="00586E5B" w:rsidP="00586E5B">
      <w:pPr>
        <w:rPr>
          <w:rFonts w:cstheme="minorHAnsi"/>
          <w:bCs/>
          <w:color w:val="000000"/>
          <w:lang w:val="sr-Latn-ME"/>
        </w:rPr>
      </w:pPr>
    </w:p>
    <w:p w14:paraId="3ACDB0E8" w14:textId="77777777" w:rsidR="00586E5B" w:rsidRPr="00081468" w:rsidRDefault="00586E5B" w:rsidP="00586E5B">
      <w:pPr>
        <w:tabs>
          <w:tab w:val="left" w:pos="7475"/>
        </w:tabs>
        <w:rPr>
          <w:rFonts w:cstheme="minorHAnsi"/>
          <w:lang w:val="sr-Latn-ME"/>
        </w:rPr>
      </w:pPr>
      <w:r w:rsidRPr="00081468">
        <w:rPr>
          <w:rFonts w:cstheme="minorHAnsi"/>
          <w:lang w:val="sr-Latn-ME"/>
        </w:rPr>
        <w:lastRenderedPageBreak/>
        <w:tab/>
      </w:r>
    </w:p>
    <w:p w14:paraId="00087E77" w14:textId="77777777" w:rsidR="00586E5B" w:rsidRPr="00081468" w:rsidRDefault="00586E5B" w:rsidP="00586E5B">
      <w:pPr>
        <w:jc w:val="both"/>
        <w:rPr>
          <w:rFonts w:cstheme="minorHAnsi"/>
          <w:lang w:val="en-GB"/>
        </w:rPr>
      </w:pPr>
    </w:p>
    <w:p w14:paraId="5FD39EF5" w14:textId="77777777" w:rsidR="00D07E96" w:rsidRPr="00081468" w:rsidRDefault="00D07E96" w:rsidP="00D07E96">
      <w:pPr>
        <w:spacing w:after="0" w:line="240" w:lineRule="auto"/>
        <w:ind w:left="720"/>
        <w:contextualSpacing/>
        <w:jc w:val="both"/>
        <w:rPr>
          <w:rFonts w:eastAsia="Calibri" w:cstheme="minorHAnsi"/>
          <w:lang w:val="sr-Latn-ME"/>
        </w:rPr>
      </w:pPr>
    </w:p>
    <w:p w14:paraId="68B2A07A" w14:textId="77777777" w:rsidR="00D07E96" w:rsidRPr="00081468" w:rsidRDefault="00D07E96" w:rsidP="00D07E96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</w:p>
    <w:p w14:paraId="27C35C9C" w14:textId="77777777" w:rsidR="00D07E96" w:rsidRPr="00081468" w:rsidRDefault="00D07E96" w:rsidP="00D07E96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</w:p>
    <w:p w14:paraId="0CC4A2EB" w14:textId="77777777" w:rsidR="00D07E96" w:rsidRPr="00081468" w:rsidRDefault="00D07E96" w:rsidP="00D07E96">
      <w:pPr>
        <w:suppressAutoHyphens/>
        <w:spacing w:after="0" w:line="240" w:lineRule="auto"/>
        <w:jc w:val="both"/>
        <w:rPr>
          <w:rFonts w:cstheme="minorHAnsi"/>
          <w:b/>
          <w:color w:val="000000"/>
          <w:lang w:val="sr-Latn-ME"/>
        </w:rPr>
      </w:pPr>
    </w:p>
    <w:p w14:paraId="1903081F" w14:textId="4C919559" w:rsidR="00182266" w:rsidRPr="00081468" w:rsidRDefault="00182266" w:rsidP="00182266">
      <w:pPr>
        <w:spacing w:after="0"/>
        <w:jc w:val="both"/>
        <w:rPr>
          <w:rFonts w:cstheme="minorHAnsi"/>
          <w:b/>
          <w:bCs/>
          <w:lang w:val="sr-Latn-ME"/>
        </w:rPr>
        <w:sectPr w:rsidR="00182266" w:rsidRPr="00081468" w:rsidSect="00586E5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081468">
        <w:rPr>
          <w:rFonts w:cstheme="minorHAnsi"/>
          <w:b/>
          <w:bCs/>
          <w:lang w:val="sr-Latn-ME"/>
        </w:rPr>
        <w:t xml:space="preserve">                                                                                      </w:t>
      </w:r>
    </w:p>
    <w:p w14:paraId="245B3A72" w14:textId="77777777" w:rsidR="00182266" w:rsidRPr="00081468" w:rsidRDefault="00182266" w:rsidP="00182266">
      <w:pPr>
        <w:spacing w:after="0"/>
        <w:jc w:val="both"/>
        <w:rPr>
          <w:rFonts w:cstheme="minorHAnsi"/>
          <w:b/>
          <w:bCs/>
          <w:lang w:val="sr-Latn-ME"/>
        </w:rPr>
      </w:pPr>
    </w:p>
    <w:sectPr w:rsidR="00182266" w:rsidRPr="00081468" w:rsidSect="00586E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AC459" w14:textId="77777777" w:rsidR="00DB5E4F" w:rsidRDefault="00DB5E4F" w:rsidP="00182266">
      <w:pPr>
        <w:spacing w:after="0" w:line="240" w:lineRule="auto"/>
      </w:pPr>
      <w:r>
        <w:separator/>
      </w:r>
    </w:p>
  </w:endnote>
  <w:endnote w:type="continuationSeparator" w:id="0">
    <w:p w14:paraId="4C0F658B" w14:textId="77777777" w:rsidR="00DB5E4F" w:rsidRDefault="00DB5E4F" w:rsidP="0018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6D870" w14:textId="77777777" w:rsidR="00DB5E4F" w:rsidRDefault="00DB5E4F" w:rsidP="00182266">
      <w:pPr>
        <w:spacing w:after="0" w:line="240" w:lineRule="auto"/>
      </w:pPr>
      <w:r>
        <w:separator/>
      </w:r>
    </w:p>
  </w:footnote>
  <w:footnote w:type="continuationSeparator" w:id="0">
    <w:p w14:paraId="7D7BB59A" w14:textId="77777777" w:rsidR="00DB5E4F" w:rsidRDefault="00DB5E4F" w:rsidP="0018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FD45" w14:textId="77777777" w:rsidR="00B64913" w:rsidRDefault="00B64913" w:rsidP="00426B96">
    <w:pPr>
      <w:pStyle w:val="Header"/>
    </w:pPr>
  </w:p>
  <w:p w14:paraId="41D20BF8" w14:textId="77777777" w:rsidR="00B64913" w:rsidRDefault="00B64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8B5"/>
    <w:multiLevelType w:val="hybridMultilevel"/>
    <w:tmpl w:val="31C816E4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B6F77"/>
    <w:multiLevelType w:val="hybridMultilevel"/>
    <w:tmpl w:val="01789E62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BDE"/>
    <w:multiLevelType w:val="hybridMultilevel"/>
    <w:tmpl w:val="C39E300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264BD"/>
    <w:multiLevelType w:val="hybridMultilevel"/>
    <w:tmpl w:val="EE7246AC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1490"/>
    <w:multiLevelType w:val="hybridMultilevel"/>
    <w:tmpl w:val="31469EC6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ED3C03"/>
    <w:multiLevelType w:val="hybridMultilevel"/>
    <w:tmpl w:val="058E797E"/>
    <w:lvl w:ilvl="0" w:tplc="91E0C7F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7526BC"/>
    <w:multiLevelType w:val="hybridMultilevel"/>
    <w:tmpl w:val="45F08CE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C21896"/>
    <w:multiLevelType w:val="hybridMultilevel"/>
    <w:tmpl w:val="D1DC9208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13D57"/>
    <w:multiLevelType w:val="hybridMultilevel"/>
    <w:tmpl w:val="DAE409F8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F5458"/>
    <w:multiLevelType w:val="hybridMultilevel"/>
    <w:tmpl w:val="1AE64E8A"/>
    <w:lvl w:ilvl="0" w:tplc="91E0C7F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7E595E"/>
    <w:multiLevelType w:val="hybridMultilevel"/>
    <w:tmpl w:val="88FEE6DA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907A1A"/>
    <w:multiLevelType w:val="hybridMultilevel"/>
    <w:tmpl w:val="71BC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36027"/>
    <w:multiLevelType w:val="hybridMultilevel"/>
    <w:tmpl w:val="2E68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50BDC"/>
    <w:multiLevelType w:val="hybridMultilevel"/>
    <w:tmpl w:val="2FFC6150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D6A4F79"/>
    <w:multiLevelType w:val="hybridMultilevel"/>
    <w:tmpl w:val="2F6E15DC"/>
    <w:lvl w:ilvl="0" w:tplc="6FCA148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6F718F"/>
    <w:multiLevelType w:val="hybridMultilevel"/>
    <w:tmpl w:val="B6FED5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E951CFC"/>
    <w:multiLevelType w:val="hybridMultilevel"/>
    <w:tmpl w:val="5CDA9A08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805218"/>
    <w:multiLevelType w:val="hybridMultilevel"/>
    <w:tmpl w:val="77DE1B8A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D2339"/>
    <w:multiLevelType w:val="hybridMultilevel"/>
    <w:tmpl w:val="824C28D8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B57B0D"/>
    <w:multiLevelType w:val="hybridMultilevel"/>
    <w:tmpl w:val="B058B1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2D8143C"/>
    <w:multiLevelType w:val="hybridMultilevel"/>
    <w:tmpl w:val="73E82BC2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7A64FA"/>
    <w:multiLevelType w:val="hybridMultilevel"/>
    <w:tmpl w:val="4D426EC4"/>
    <w:lvl w:ilvl="0" w:tplc="91E0C7F4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9243EE"/>
    <w:multiLevelType w:val="hybridMultilevel"/>
    <w:tmpl w:val="6BB6A0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5E1161A"/>
    <w:multiLevelType w:val="hybridMultilevel"/>
    <w:tmpl w:val="52BC4C5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619769C"/>
    <w:multiLevelType w:val="hybridMultilevel"/>
    <w:tmpl w:val="FA9E2288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7361CE4"/>
    <w:multiLevelType w:val="hybridMultilevel"/>
    <w:tmpl w:val="DF5669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CC61029"/>
    <w:multiLevelType w:val="hybridMultilevel"/>
    <w:tmpl w:val="4F28338C"/>
    <w:lvl w:ilvl="0" w:tplc="91E0C7F4">
      <w:start w:val="2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1DC53462"/>
    <w:multiLevelType w:val="hybridMultilevel"/>
    <w:tmpl w:val="C0F63580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EE278B6"/>
    <w:multiLevelType w:val="hybridMultilevel"/>
    <w:tmpl w:val="7B701E46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F413739"/>
    <w:multiLevelType w:val="hybridMultilevel"/>
    <w:tmpl w:val="694E672C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C04C9E"/>
    <w:multiLevelType w:val="hybridMultilevel"/>
    <w:tmpl w:val="36D6097E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1B6477"/>
    <w:multiLevelType w:val="hybridMultilevel"/>
    <w:tmpl w:val="E58494F4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1769D"/>
    <w:multiLevelType w:val="hybridMultilevel"/>
    <w:tmpl w:val="768A20AE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B76311"/>
    <w:multiLevelType w:val="hybridMultilevel"/>
    <w:tmpl w:val="A4582FEC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7551AFB"/>
    <w:multiLevelType w:val="hybridMultilevel"/>
    <w:tmpl w:val="79AE8700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B75818"/>
    <w:multiLevelType w:val="hybridMultilevel"/>
    <w:tmpl w:val="BE729E60"/>
    <w:lvl w:ilvl="0" w:tplc="75D6064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9FA242E"/>
    <w:multiLevelType w:val="hybridMultilevel"/>
    <w:tmpl w:val="53AE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7121F"/>
    <w:multiLevelType w:val="hybridMultilevel"/>
    <w:tmpl w:val="B374F164"/>
    <w:lvl w:ilvl="0" w:tplc="6FCA148A">
      <w:start w:val="1"/>
      <w:numFmt w:val="bullet"/>
      <w:lvlText w:val="-"/>
      <w:lvlJc w:val="left"/>
      <w:pPr>
        <w:ind w:left="148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8" w15:restartNumberingAfterBreak="0">
    <w:nsid w:val="2B521D86"/>
    <w:multiLevelType w:val="hybridMultilevel"/>
    <w:tmpl w:val="A236A23A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A62C25"/>
    <w:multiLevelType w:val="hybridMultilevel"/>
    <w:tmpl w:val="AB36E9CC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735F83"/>
    <w:multiLevelType w:val="hybridMultilevel"/>
    <w:tmpl w:val="CCB6DCF6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F0C0C1C"/>
    <w:multiLevelType w:val="hybridMultilevel"/>
    <w:tmpl w:val="7458F79C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F4D463B"/>
    <w:multiLevelType w:val="hybridMultilevel"/>
    <w:tmpl w:val="AB4274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14853C7"/>
    <w:multiLevelType w:val="hybridMultilevel"/>
    <w:tmpl w:val="722A422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1EF5C9C"/>
    <w:multiLevelType w:val="hybridMultilevel"/>
    <w:tmpl w:val="E31EB5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63369D"/>
    <w:multiLevelType w:val="hybridMultilevel"/>
    <w:tmpl w:val="BF9C4F98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602779"/>
    <w:multiLevelType w:val="hybridMultilevel"/>
    <w:tmpl w:val="FA901F1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4BB38C7"/>
    <w:multiLevelType w:val="hybridMultilevel"/>
    <w:tmpl w:val="F2487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4CF264E"/>
    <w:multiLevelType w:val="hybridMultilevel"/>
    <w:tmpl w:val="6EE23320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705A35"/>
    <w:multiLevelType w:val="hybridMultilevel"/>
    <w:tmpl w:val="E7960790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AC2617B"/>
    <w:multiLevelType w:val="hybridMultilevel"/>
    <w:tmpl w:val="0A166402"/>
    <w:lvl w:ilvl="0" w:tplc="3C60B844">
      <w:numFmt w:val="bullet"/>
      <w:lvlText w:val=""/>
      <w:lvlJc w:val="left"/>
      <w:pPr>
        <w:ind w:left="60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208644C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2" w:tplc="40820F8E">
      <w:numFmt w:val="bullet"/>
      <w:lvlText w:val="•"/>
      <w:lvlJc w:val="left"/>
      <w:pPr>
        <w:ind w:left="1877" w:hanging="360"/>
      </w:pPr>
      <w:rPr>
        <w:rFonts w:hint="default"/>
        <w:lang w:eastAsia="en-US" w:bidi="ar-SA"/>
      </w:rPr>
    </w:lvl>
    <w:lvl w:ilvl="3" w:tplc="1D86286C">
      <w:numFmt w:val="bullet"/>
      <w:lvlText w:val="•"/>
      <w:lvlJc w:val="left"/>
      <w:pPr>
        <w:ind w:left="2855" w:hanging="360"/>
      </w:pPr>
      <w:rPr>
        <w:rFonts w:hint="default"/>
        <w:lang w:eastAsia="en-US" w:bidi="ar-SA"/>
      </w:rPr>
    </w:lvl>
    <w:lvl w:ilvl="4" w:tplc="24B24806">
      <w:numFmt w:val="bullet"/>
      <w:lvlText w:val="•"/>
      <w:lvlJc w:val="left"/>
      <w:pPr>
        <w:ind w:left="3833" w:hanging="360"/>
      </w:pPr>
      <w:rPr>
        <w:rFonts w:hint="default"/>
        <w:lang w:eastAsia="en-US" w:bidi="ar-SA"/>
      </w:rPr>
    </w:lvl>
    <w:lvl w:ilvl="5" w:tplc="74C41E8E">
      <w:numFmt w:val="bullet"/>
      <w:lvlText w:val="•"/>
      <w:lvlJc w:val="left"/>
      <w:pPr>
        <w:ind w:left="4811" w:hanging="360"/>
      </w:pPr>
      <w:rPr>
        <w:rFonts w:hint="default"/>
        <w:lang w:eastAsia="en-US" w:bidi="ar-SA"/>
      </w:rPr>
    </w:lvl>
    <w:lvl w:ilvl="6" w:tplc="A1B05B70">
      <w:numFmt w:val="bullet"/>
      <w:lvlText w:val="•"/>
      <w:lvlJc w:val="left"/>
      <w:pPr>
        <w:ind w:left="5788" w:hanging="360"/>
      </w:pPr>
      <w:rPr>
        <w:rFonts w:hint="default"/>
        <w:lang w:eastAsia="en-US" w:bidi="ar-SA"/>
      </w:rPr>
    </w:lvl>
    <w:lvl w:ilvl="7" w:tplc="6C8E0ACE">
      <w:numFmt w:val="bullet"/>
      <w:lvlText w:val="•"/>
      <w:lvlJc w:val="left"/>
      <w:pPr>
        <w:ind w:left="6766" w:hanging="360"/>
      </w:pPr>
      <w:rPr>
        <w:rFonts w:hint="default"/>
        <w:lang w:eastAsia="en-US" w:bidi="ar-SA"/>
      </w:rPr>
    </w:lvl>
    <w:lvl w:ilvl="8" w:tplc="00F61852">
      <w:numFmt w:val="bullet"/>
      <w:lvlText w:val="•"/>
      <w:lvlJc w:val="left"/>
      <w:pPr>
        <w:ind w:left="7744" w:hanging="360"/>
      </w:pPr>
      <w:rPr>
        <w:rFonts w:hint="default"/>
        <w:lang w:eastAsia="en-US" w:bidi="ar-SA"/>
      </w:rPr>
    </w:lvl>
  </w:abstractNum>
  <w:abstractNum w:abstractNumId="51" w15:restartNumberingAfterBreak="0">
    <w:nsid w:val="3B793F26"/>
    <w:multiLevelType w:val="hybridMultilevel"/>
    <w:tmpl w:val="6D5A99EE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BD36046"/>
    <w:multiLevelType w:val="hybridMultilevel"/>
    <w:tmpl w:val="31A2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BD70EC"/>
    <w:multiLevelType w:val="hybridMultilevel"/>
    <w:tmpl w:val="8116C1CE"/>
    <w:lvl w:ilvl="0" w:tplc="ABA2C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741503"/>
    <w:multiLevelType w:val="hybridMultilevel"/>
    <w:tmpl w:val="8ACC59A8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D028BF"/>
    <w:multiLevelType w:val="hybridMultilevel"/>
    <w:tmpl w:val="DD2A176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371EA3"/>
    <w:multiLevelType w:val="hybridMultilevel"/>
    <w:tmpl w:val="04DCDA5A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2E63309"/>
    <w:multiLevelType w:val="hybridMultilevel"/>
    <w:tmpl w:val="18B09B22"/>
    <w:lvl w:ilvl="0" w:tplc="75D6064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3677F22"/>
    <w:multiLevelType w:val="hybridMultilevel"/>
    <w:tmpl w:val="B580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C939C1"/>
    <w:multiLevelType w:val="hybridMultilevel"/>
    <w:tmpl w:val="BC46669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4F114FB"/>
    <w:multiLevelType w:val="hybridMultilevel"/>
    <w:tmpl w:val="427AC204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7C76524"/>
    <w:multiLevelType w:val="hybridMultilevel"/>
    <w:tmpl w:val="D11819B6"/>
    <w:lvl w:ilvl="0" w:tplc="6FCA148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8911AEB"/>
    <w:multiLevelType w:val="hybridMultilevel"/>
    <w:tmpl w:val="B798E768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9783EC1"/>
    <w:multiLevelType w:val="hybridMultilevel"/>
    <w:tmpl w:val="8D9E85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165ECB"/>
    <w:multiLevelType w:val="hybridMultilevel"/>
    <w:tmpl w:val="D72EAB0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C256693"/>
    <w:multiLevelType w:val="hybridMultilevel"/>
    <w:tmpl w:val="5B4CFBA4"/>
    <w:lvl w:ilvl="0" w:tplc="67BE743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6328B9"/>
    <w:multiLevelType w:val="hybridMultilevel"/>
    <w:tmpl w:val="00ECBA2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DAD35AE"/>
    <w:multiLevelType w:val="hybridMultilevel"/>
    <w:tmpl w:val="253AAE5E"/>
    <w:lvl w:ilvl="0" w:tplc="91E0C7F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DC13B78"/>
    <w:multiLevelType w:val="hybridMultilevel"/>
    <w:tmpl w:val="3A868E16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0E3D5D"/>
    <w:multiLevelType w:val="hybridMultilevel"/>
    <w:tmpl w:val="D7F0C5B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E4E5543"/>
    <w:multiLevelType w:val="hybridMultilevel"/>
    <w:tmpl w:val="8182C956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E501890"/>
    <w:multiLevelType w:val="hybridMultilevel"/>
    <w:tmpl w:val="EF121B16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4EA84302"/>
    <w:multiLevelType w:val="hybridMultilevel"/>
    <w:tmpl w:val="B9627F10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3D2441"/>
    <w:multiLevelType w:val="hybridMultilevel"/>
    <w:tmpl w:val="3A181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051B67"/>
    <w:multiLevelType w:val="hybridMultilevel"/>
    <w:tmpl w:val="CE0AFFAC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1794C7E"/>
    <w:multiLevelType w:val="hybridMultilevel"/>
    <w:tmpl w:val="A824F860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614061"/>
    <w:multiLevelType w:val="hybridMultilevel"/>
    <w:tmpl w:val="2B861A2E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F43DAB"/>
    <w:multiLevelType w:val="hybridMultilevel"/>
    <w:tmpl w:val="F1863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8CB32BB"/>
    <w:multiLevelType w:val="hybridMultilevel"/>
    <w:tmpl w:val="C67E4BF4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9154F04"/>
    <w:multiLevelType w:val="hybridMultilevel"/>
    <w:tmpl w:val="1334E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BE0559"/>
    <w:multiLevelType w:val="hybridMultilevel"/>
    <w:tmpl w:val="A71A0368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CB25223"/>
    <w:multiLevelType w:val="hybridMultilevel"/>
    <w:tmpl w:val="3408979A"/>
    <w:lvl w:ilvl="0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2" w15:restartNumberingAfterBreak="0">
    <w:nsid w:val="5CFD1B87"/>
    <w:multiLevelType w:val="hybridMultilevel"/>
    <w:tmpl w:val="5FD860CE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171284"/>
    <w:multiLevelType w:val="hybridMultilevel"/>
    <w:tmpl w:val="7EA60E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DC75B35"/>
    <w:multiLevelType w:val="hybridMultilevel"/>
    <w:tmpl w:val="92CAEADA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06508D"/>
    <w:multiLevelType w:val="hybridMultilevel"/>
    <w:tmpl w:val="EB1E64B2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0A61104"/>
    <w:multiLevelType w:val="hybridMultilevel"/>
    <w:tmpl w:val="EECEEB34"/>
    <w:lvl w:ilvl="0" w:tplc="6FCA14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60DF136C"/>
    <w:multiLevelType w:val="hybridMultilevel"/>
    <w:tmpl w:val="A86A6658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890A2A"/>
    <w:multiLevelType w:val="hybridMultilevel"/>
    <w:tmpl w:val="5B4250E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2B682C"/>
    <w:multiLevelType w:val="hybridMultilevel"/>
    <w:tmpl w:val="3BB4E5FA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3F32675"/>
    <w:multiLevelType w:val="hybridMultilevel"/>
    <w:tmpl w:val="147090EE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8B95DD5"/>
    <w:multiLevelType w:val="hybridMultilevel"/>
    <w:tmpl w:val="FA32F1A4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6C1E198A"/>
    <w:multiLevelType w:val="hybridMultilevel"/>
    <w:tmpl w:val="16700B5E"/>
    <w:lvl w:ilvl="0" w:tplc="91E0C7F4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CF71902"/>
    <w:multiLevelType w:val="hybridMultilevel"/>
    <w:tmpl w:val="46BC1EC4"/>
    <w:lvl w:ilvl="0" w:tplc="91E0C7F4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CFD696A"/>
    <w:multiLevelType w:val="hybridMultilevel"/>
    <w:tmpl w:val="D0D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0418D"/>
    <w:multiLevelType w:val="hybridMultilevel"/>
    <w:tmpl w:val="F7725D10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F6E249E"/>
    <w:multiLevelType w:val="hybridMultilevel"/>
    <w:tmpl w:val="FD6A9848"/>
    <w:lvl w:ilvl="0" w:tplc="6FCA14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72865B82"/>
    <w:multiLevelType w:val="hybridMultilevel"/>
    <w:tmpl w:val="AD4CD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29478DA"/>
    <w:multiLevelType w:val="hybridMultilevel"/>
    <w:tmpl w:val="191A598C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060293"/>
    <w:multiLevelType w:val="hybridMultilevel"/>
    <w:tmpl w:val="BC20C686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73887127"/>
    <w:multiLevelType w:val="hybridMultilevel"/>
    <w:tmpl w:val="6CF690EE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74F664BE"/>
    <w:multiLevelType w:val="hybridMultilevel"/>
    <w:tmpl w:val="1E98F9F6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6072D04"/>
    <w:multiLevelType w:val="hybridMultilevel"/>
    <w:tmpl w:val="6CBE3A1E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83A2A10"/>
    <w:multiLevelType w:val="hybridMultilevel"/>
    <w:tmpl w:val="E3DE4BDA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8D1478A"/>
    <w:multiLevelType w:val="hybridMultilevel"/>
    <w:tmpl w:val="93EA20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A473A0E"/>
    <w:multiLevelType w:val="hybridMultilevel"/>
    <w:tmpl w:val="88C45586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B764BF"/>
    <w:multiLevelType w:val="hybridMultilevel"/>
    <w:tmpl w:val="9170148E"/>
    <w:lvl w:ilvl="0" w:tplc="7BD630F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C761935"/>
    <w:multiLevelType w:val="hybridMultilevel"/>
    <w:tmpl w:val="69963E5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7CD6679D"/>
    <w:multiLevelType w:val="hybridMultilevel"/>
    <w:tmpl w:val="675E14FE"/>
    <w:lvl w:ilvl="0" w:tplc="91E0C7F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D376D59"/>
    <w:multiLevelType w:val="hybridMultilevel"/>
    <w:tmpl w:val="6278172E"/>
    <w:lvl w:ilvl="0" w:tplc="6FCA148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E8227F4"/>
    <w:multiLevelType w:val="hybridMultilevel"/>
    <w:tmpl w:val="078605F8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F96669C"/>
    <w:multiLevelType w:val="hybridMultilevel"/>
    <w:tmpl w:val="683C1BF2"/>
    <w:lvl w:ilvl="0" w:tplc="6FCA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7"/>
  </w:num>
  <w:num w:numId="3">
    <w:abstractNumId w:val="92"/>
  </w:num>
  <w:num w:numId="4">
    <w:abstractNumId w:val="21"/>
  </w:num>
  <w:num w:numId="5">
    <w:abstractNumId w:val="93"/>
  </w:num>
  <w:num w:numId="6">
    <w:abstractNumId w:val="8"/>
  </w:num>
  <w:num w:numId="7">
    <w:abstractNumId w:val="1"/>
  </w:num>
  <w:num w:numId="8">
    <w:abstractNumId w:val="34"/>
  </w:num>
  <w:num w:numId="9">
    <w:abstractNumId w:val="16"/>
  </w:num>
  <w:num w:numId="10">
    <w:abstractNumId w:val="55"/>
  </w:num>
  <w:num w:numId="11">
    <w:abstractNumId w:val="18"/>
  </w:num>
  <w:num w:numId="12">
    <w:abstractNumId w:val="88"/>
  </w:num>
  <w:num w:numId="13">
    <w:abstractNumId w:val="67"/>
  </w:num>
  <w:num w:numId="14">
    <w:abstractNumId w:val="5"/>
  </w:num>
  <w:num w:numId="15">
    <w:abstractNumId w:val="105"/>
  </w:num>
  <w:num w:numId="16">
    <w:abstractNumId w:val="17"/>
  </w:num>
  <w:num w:numId="17">
    <w:abstractNumId w:val="108"/>
  </w:num>
  <w:num w:numId="18">
    <w:abstractNumId w:val="106"/>
  </w:num>
  <w:num w:numId="19">
    <w:abstractNumId w:val="9"/>
  </w:num>
  <w:num w:numId="20">
    <w:abstractNumId w:val="32"/>
  </w:num>
  <w:num w:numId="21">
    <w:abstractNumId w:val="111"/>
  </w:num>
  <w:num w:numId="22">
    <w:abstractNumId w:val="98"/>
  </w:num>
  <w:num w:numId="23">
    <w:abstractNumId w:val="72"/>
  </w:num>
  <w:num w:numId="24">
    <w:abstractNumId w:val="104"/>
  </w:num>
  <w:num w:numId="25">
    <w:abstractNumId w:val="83"/>
  </w:num>
  <w:num w:numId="26">
    <w:abstractNumId w:val="42"/>
  </w:num>
  <w:num w:numId="27">
    <w:abstractNumId w:val="56"/>
  </w:num>
  <w:num w:numId="28">
    <w:abstractNumId w:val="66"/>
  </w:num>
  <w:num w:numId="29">
    <w:abstractNumId w:val="70"/>
  </w:num>
  <w:num w:numId="30">
    <w:abstractNumId w:val="28"/>
  </w:num>
  <w:num w:numId="31">
    <w:abstractNumId w:val="75"/>
  </w:num>
  <w:num w:numId="32">
    <w:abstractNumId w:val="38"/>
  </w:num>
  <w:num w:numId="33">
    <w:abstractNumId w:val="48"/>
  </w:num>
  <w:num w:numId="34">
    <w:abstractNumId w:val="29"/>
  </w:num>
  <w:num w:numId="35">
    <w:abstractNumId w:val="74"/>
  </w:num>
  <w:num w:numId="36">
    <w:abstractNumId w:val="90"/>
  </w:num>
  <w:num w:numId="37">
    <w:abstractNumId w:val="89"/>
  </w:num>
  <w:num w:numId="38">
    <w:abstractNumId w:val="4"/>
  </w:num>
  <w:num w:numId="39">
    <w:abstractNumId w:val="43"/>
  </w:num>
  <w:num w:numId="40">
    <w:abstractNumId w:val="24"/>
  </w:num>
  <w:num w:numId="41">
    <w:abstractNumId w:val="80"/>
  </w:num>
  <w:num w:numId="42">
    <w:abstractNumId w:val="78"/>
  </w:num>
  <w:num w:numId="43">
    <w:abstractNumId w:val="102"/>
  </w:num>
  <w:num w:numId="44">
    <w:abstractNumId w:val="41"/>
  </w:num>
  <w:num w:numId="45">
    <w:abstractNumId w:val="99"/>
  </w:num>
  <w:num w:numId="46">
    <w:abstractNumId w:val="69"/>
  </w:num>
  <w:num w:numId="47">
    <w:abstractNumId w:val="27"/>
  </w:num>
  <w:num w:numId="48">
    <w:abstractNumId w:val="60"/>
  </w:num>
  <w:num w:numId="49">
    <w:abstractNumId w:val="40"/>
  </w:num>
  <w:num w:numId="50">
    <w:abstractNumId w:val="100"/>
  </w:num>
  <w:num w:numId="51">
    <w:abstractNumId w:val="91"/>
  </w:num>
  <w:num w:numId="52">
    <w:abstractNumId w:val="3"/>
  </w:num>
  <w:num w:numId="53">
    <w:abstractNumId w:val="109"/>
  </w:num>
  <w:num w:numId="54">
    <w:abstractNumId w:val="71"/>
  </w:num>
  <w:num w:numId="55">
    <w:abstractNumId w:val="85"/>
  </w:num>
  <w:num w:numId="56">
    <w:abstractNumId w:val="10"/>
  </w:num>
  <w:num w:numId="57">
    <w:abstractNumId w:val="33"/>
  </w:num>
  <w:num w:numId="58">
    <w:abstractNumId w:val="79"/>
  </w:num>
  <w:num w:numId="59">
    <w:abstractNumId w:val="31"/>
  </w:num>
  <w:num w:numId="60">
    <w:abstractNumId w:val="58"/>
  </w:num>
  <w:num w:numId="61">
    <w:abstractNumId w:val="12"/>
  </w:num>
  <w:num w:numId="62">
    <w:abstractNumId w:val="64"/>
  </w:num>
  <w:num w:numId="63">
    <w:abstractNumId w:val="76"/>
  </w:num>
  <w:num w:numId="64">
    <w:abstractNumId w:val="46"/>
  </w:num>
  <w:num w:numId="65">
    <w:abstractNumId w:val="51"/>
  </w:num>
  <w:num w:numId="66">
    <w:abstractNumId w:val="13"/>
  </w:num>
  <w:num w:numId="67">
    <w:abstractNumId w:val="54"/>
  </w:num>
  <w:num w:numId="68">
    <w:abstractNumId w:val="84"/>
  </w:num>
  <w:num w:numId="69">
    <w:abstractNumId w:val="39"/>
  </w:num>
  <w:num w:numId="70">
    <w:abstractNumId w:val="101"/>
  </w:num>
  <w:num w:numId="71">
    <w:abstractNumId w:val="6"/>
  </w:num>
  <w:num w:numId="72">
    <w:abstractNumId w:val="82"/>
  </w:num>
  <w:num w:numId="73">
    <w:abstractNumId w:val="95"/>
  </w:num>
  <w:num w:numId="74">
    <w:abstractNumId w:val="61"/>
  </w:num>
  <w:num w:numId="75">
    <w:abstractNumId w:val="59"/>
  </w:num>
  <w:num w:numId="76">
    <w:abstractNumId w:val="47"/>
  </w:num>
  <w:num w:numId="77">
    <w:abstractNumId w:val="14"/>
  </w:num>
  <w:num w:numId="78">
    <w:abstractNumId w:val="52"/>
  </w:num>
  <w:num w:numId="79">
    <w:abstractNumId w:val="97"/>
  </w:num>
  <w:num w:numId="80">
    <w:abstractNumId w:val="53"/>
  </w:num>
  <w:num w:numId="81">
    <w:abstractNumId w:val="19"/>
  </w:num>
  <w:num w:numId="82">
    <w:abstractNumId w:val="50"/>
  </w:num>
  <w:num w:numId="83">
    <w:abstractNumId w:val="63"/>
  </w:num>
  <w:num w:numId="84">
    <w:abstractNumId w:val="107"/>
  </w:num>
  <w:num w:numId="85">
    <w:abstractNumId w:val="11"/>
  </w:num>
  <w:num w:numId="86">
    <w:abstractNumId w:val="20"/>
  </w:num>
  <w:num w:numId="87">
    <w:abstractNumId w:val="15"/>
  </w:num>
  <w:num w:numId="88">
    <w:abstractNumId w:val="25"/>
  </w:num>
  <w:num w:numId="89">
    <w:abstractNumId w:val="35"/>
  </w:num>
  <w:num w:numId="90">
    <w:abstractNumId w:val="57"/>
  </w:num>
  <w:num w:numId="91">
    <w:abstractNumId w:val="44"/>
  </w:num>
  <w:num w:numId="92">
    <w:abstractNumId w:val="86"/>
  </w:num>
  <w:num w:numId="93">
    <w:abstractNumId w:val="110"/>
  </w:num>
  <w:num w:numId="94">
    <w:abstractNumId w:val="96"/>
  </w:num>
  <w:num w:numId="95">
    <w:abstractNumId w:val="62"/>
  </w:num>
  <w:num w:numId="96">
    <w:abstractNumId w:val="22"/>
  </w:num>
  <w:num w:numId="97">
    <w:abstractNumId w:val="87"/>
  </w:num>
  <w:num w:numId="98">
    <w:abstractNumId w:val="73"/>
  </w:num>
  <w:num w:numId="99">
    <w:abstractNumId w:val="81"/>
  </w:num>
  <w:num w:numId="100">
    <w:abstractNumId w:val="37"/>
  </w:num>
  <w:num w:numId="101">
    <w:abstractNumId w:val="45"/>
  </w:num>
  <w:num w:numId="102">
    <w:abstractNumId w:val="2"/>
  </w:num>
  <w:num w:numId="103">
    <w:abstractNumId w:val="68"/>
  </w:num>
  <w:num w:numId="104">
    <w:abstractNumId w:val="0"/>
  </w:num>
  <w:num w:numId="105">
    <w:abstractNumId w:val="7"/>
  </w:num>
  <w:num w:numId="106">
    <w:abstractNumId w:val="30"/>
  </w:num>
  <w:num w:numId="107">
    <w:abstractNumId w:val="103"/>
  </w:num>
  <w:num w:numId="108">
    <w:abstractNumId w:val="49"/>
  </w:num>
  <w:num w:numId="109">
    <w:abstractNumId w:val="65"/>
  </w:num>
  <w:num w:numId="110">
    <w:abstractNumId w:val="23"/>
  </w:num>
  <w:num w:numId="111">
    <w:abstractNumId w:val="36"/>
  </w:num>
  <w:num w:numId="112">
    <w:abstractNumId w:val="94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66"/>
    <w:rsid w:val="0002359D"/>
    <w:rsid w:val="00024E82"/>
    <w:rsid w:val="000405B9"/>
    <w:rsid w:val="000466EF"/>
    <w:rsid w:val="000528EE"/>
    <w:rsid w:val="00065513"/>
    <w:rsid w:val="00071E0C"/>
    <w:rsid w:val="00081468"/>
    <w:rsid w:val="000A1CCD"/>
    <w:rsid w:val="000B400D"/>
    <w:rsid w:val="000F3DB2"/>
    <w:rsid w:val="001210C1"/>
    <w:rsid w:val="00122F68"/>
    <w:rsid w:val="00123A3E"/>
    <w:rsid w:val="001274FD"/>
    <w:rsid w:val="00134F60"/>
    <w:rsid w:val="00143E25"/>
    <w:rsid w:val="001516E6"/>
    <w:rsid w:val="00153CF8"/>
    <w:rsid w:val="00173FFE"/>
    <w:rsid w:val="001743F6"/>
    <w:rsid w:val="001820E6"/>
    <w:rsid w:val="00182266"/>
    <w:rsid w:val="001922CB"/>
    <w:rsid w:val="0019252F"/>
    <w:rsid w:val="00196C67"/>
    <w:rsid w:val="00211DE4"/>
    <w:rsid w:val="002125C2"/>
    <w:rsid w:val="002217F6"/>
    <w:rsid w:val="00223397"/>
    <w:rsid w:val="002367F4"/>
    <w:rsid w:val="0024087B"/>
    <w:rsid w:val="0028037E"/>
    <w:rsid w:val="002B088D"/>
    <w:rsid w:val="002B20A9"/>
    <w:rsid w:val="002C743A"/>
    <w:rsid w:val="002C7A5A"/>
    <w:rsid w:val="002D0DBE"/>
    <w:rsid w:val="002E672C"/>
    <w:rsid w:val="00307259"/>
    <w:rsid w:val="00315CE4"/>
    <w:rsid w:val="00325487"/>
    <w:rsid w:val="003273CA"/>
    <w:rsid w:val="00360096"/>
    <w:rsid w:val="00365093"/>
    <w:rsid w:val="003805C0"/>
    <w:rsid w:val="00381D9F"/>
    <w:rsid w:val="00394B12"/>
    <w:rsid w:val="00396DD5"/>
    <w:rsid w:val="003A0E0C"/>
    <w:rsid w:val="003C0DD6"/>
    <w:rsid w:val="003D3658"/>
    <w:rsid w:val="00426B96"/>
    <w:rsid w:val="00426DEA"/>
    <w:rsid w:val="00431639"/>
    <w:rsid w:val="0044015A"/>
    <w:rsid w:val="00453D02"/>
    <w:rsid w:val="004C2CA6"/>
    <w:rsid w:val="004D3373"/>
    <w:rsid w:val="004D4691"/>
    <w:rsid w:val="004E3E35"/>
    <w:rsid w:val="004F4A20"/>
    <w:rsid w:val="00503EBA"/>
    <w:rsid w:val="0051787F"/>
    <w:rsid w:val="00545025"/>
    <w:rsid w:val="00561C98"/>
    <w:rsid w:val="005629A4"/>
    <w:rsid w:val="005719E1"/>
    <w:rsid w:val="00575058"/>
    <w:rsid w:val="00586E5B"/>
    <w:rsid w:val="005B4761"/>
    <w:rsid w:val="005F13F3"/>
    <w:rsid w:val="00602BEA"/>
    <w:rsid w:val="0060519C"/>
    <w:rsid w:val="00611994"/>
    <w:rsid w:val="00631292"/>
    <w:rsid w:val="00634F50"/>
    <w:rsid w:val="006472D4"/>
    <w:rsid w:val="00661814"/>
    <w:rsid w:val="006744C4"/>
    <w:rsid w:val="006C17AB"/>
    <w:rsid w:val="006F78CE"/>
    <w:rsid w:val="00722956"/>
    <w:rsid w:val="00732C81"/>
    <w:rsid w:val="00752ADB"/>
    <w:rsid w:val="007604C3"/>
    <w:rsid w:val="00791F18"/>
    <w:rsid w:val="007A2E33"/>
    <w:rsid w:val="007F6026"/>
    <w:rsid w:val="00806A5B"/>
    <w:rsid w:val="00812601"/>
    <w:rsid w:val="0083333F"/>
    <w:rsid w:val="00845E68"/>
    <w:rsid w:val="00852FFF"/>
    <w:rsid w:val="00860B7D"/>
    <w:rsid w:val="00882344"/>
    <w:rsid w:val="008A387F"/>
    <w:rsid w:val="008C123D"/>
    <w:rsid w:val="008D59FF"/>
    <w:rsid w:val="008E450F"/>
    <w:rsid w:val="00923ADC"/>
    <w:rsid w:val="00937FF4"/>
    <w:rsid w:val="009638D1"/>
    <w:rsid w:val="00966806"/>
    <w:rsid w:val="00982C8A"/>
    <w:rsid w:val="009A0403"/>
    <w:rsid w:val="009A3D7E"/>
    <w:rsid w:val="009A4758"/>
    <w:rsid w:val="009B0C51"/>
    <w:rsid w:val="009D552A"/>
    <w:rsid w:val="009E27A2"/>
    <w:rsid w:val="00A0640E"/>
    <w:rsid w:val="00A166EA"/>
    <w:rsid w:val="00A32147"/>
    <w:rsid w:val="00A57945"/>
    <w:rsid w:val="00A63084"/>
    <w:rsid w:val="00AB7373"/>
    <w:rsid w:val="00AC2E45"/>
    <w:rsid w:val="00AE3C93"/>
    <w:rsid w:val="00AF1C85"/>
    <w:rsid w:val="00B056FB"/>
    <w:rsid w:val="00B356B3"/>
    <w:rsid w:val="00B57642"/>
    <w:rsid w:val="00B64913"/>
    <w:rsid w:val="00BB3D42"/>
    <w:rsid w:val="00BC00CF"/>
    <w:rsid w:val="00BC5EED"/>
    <w:rsid w:val="00BD2D20"/>
    <w:rsid w:val="00BF515A"/>
    <w:rsid w:val="00C2535E"/>
    <w:rsid w:val="00C25EFE"/>
    <w:rsid w:val="00C659E9"/>
    <w:rsid w:val="00C762E2"/>
    <w:rsid w:val="00CB6D32"/>
    <w:rsid w:val="00CC08C1"/>
    <w:rsid w:val="00CF6715"/>
    <w:rsid w:val="00D03E95"/>
    <w:rsid w:val="00D07E96"/>
    <w:rsid w:val="00D25B50"/>
    <w:rsid w:val="00D639E4"/>
    <w:rsid w:val="00D70117"/>
    <w:rsid w:val="00D858A8"/>
    <w:rsid w:val="00DB5E4F"/>
    <w:rsid w:val="00DC4639"/>
    <w:rsid w:val="00DF1EF2"/>
    <w:rsid w:val="00E10E28"/>
    <w:rsid w:val="00E3518E"/>
    <w:rsid w:val="00E53FDA"/>
    <w:rsid w:val="00E55DE1"/>
    <w:rsid w:val="00E56602"/>
    <w:rsid w:val="00E56AD9"/>
    <w:rsid w:val="00E65314"/>
    <w:rsid w:val="00E721EA"/>
    <w:rsid w:val="00E777C6"/>
    <w:rsid w:val="00E816C8"/>
    <w:rsid w:val="00E817EC"/>
    <w:rsid w:val="00E963BB"/>
    <w:rsid w:val="00EB2AFA"/>
    <w:rsid w:val="00EC701B"/>
    <w:rsid w:val="00EE1635"/>
    <w:rsid w:val="00F01F1D"/>
    <w:rsid w:val="00F159D8"/>
    <w:rsid w:val="00F30400"/>
    <w:rsid w:val="00F5362C"/>
    <w:rsid w:val="00F67443"/>
    <w:rsid w:val="00F70B1A"/>
    <w:rsid w:val="00F93776"/>
    <w:rsid w:val="00FC4CFC"/>
    <w:rsid w:val="00FD3343"/>
    <w:rsid w:val="00FF445C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013D"/>
  <w15:chartTrackingRefBased/>
  <w15:docId w15:val="{FE557B27-7D61-4604-B745-048396E1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D20"/>
  </w:style>
  <w:style w:type="paragraph" w:styleId="Heading1">
    <w:name w:val="heading 1"/>
    <w:basedOn w:val="Normal"/>
    <w:next w:val="Normal"/>
    <w:link w:val="Heading1Char"/>
    <w:uiPriority w:val="9"/>
    <w:qFormat/>
    <w:rsid w:val="00D07E9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66"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iPriority w:val="99"/>
    <w:semiHidden/>
    <w:unhideWhenUsed/>
    <w:rsid w:val="001822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semiHidden/>
    <w:rsid w:val="00182266"/>
    <w:rPr>
      <w:sz w:val="20"/>
      <w:szCs w:val="20"/>
    </w:rPr>
  </w:style>
  <w:style w:type="character" w:styleId="FootnoteReference">
    <w:name w:val="footnote reference"/>
    <w:aliases w:val="BVI fnr,Footnote symbol"/>
    <w:basedOn w:val="DefaultParagraphFont"/>
    <w:uiPriority w:val="99"/>
    <w:unhideWhenUsed/>
    <w:rsid w:val="00182266"/>
    <w:rPr>
      <w:vertAlign w:val="superscript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34"/>
    <w:qFormat/>
    <w:rsid w:val="00182266"/>
    <w:pPr>
      <w:ind w:left="720"/>
      <w:contextualSpacing/>
    </w:pPr>
  </w:style>
  <w:style w:type="table" w:styleId="TableGrid">
    <w:name w:val="Table Grid"/>
    <w:basedOn w:val="TableNormal"/>
    <w:uiPriority w:val="39"/>
    <w:rsid w:val="0018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7E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D07E96"/>
  </w:style>
  <w:style w:type="paragraph" w:styleId="Footer">
    <w:name w:val="footer"/>
    <w:basedOn w:val="Normal"/>
    <w:link w:val="FooterChar"/>
    <w:uiPriority w:val="99"/>
    <w:unhideWhenUsed/>
    <w:rsid w:val="00D07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E96"/>
  </w:style>
  <w:style w:type="character" w:styleId="Hyperlink">
    <w:name w:val="Hyperlink"/>
    <w:basedOn w:val="DefaultParagraphFont"/>
    <w:uiPriority w:val="99"/>
    <w:unhideWhenUsed/>
    <w:rsid w:val="00D07E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96"/>
    <w:rPr>
      <w:color w:val="605E5C"/>
      <w:shd w:val="clear" w:color="auto" w:fill="E1DFDD"/>
    </w:rPr>
  </w:style>
  <w:style w:type="character" w:customStyle="1" w:styleId="ListParagraphChar">
    <w:name w:val="List Paragraph Char"/>
    <w:aliases w:val="PROVERE 1 Char,Table of contents numbered Char"/>
    <w:link w:val="ListParagraph"/>
    <w:uiPriority w:val="34"/>
    <w:locked/>
    <w:rsid w:val="00D07E96"/>
  </w:style>
  <w:style w:type="table" w:customStyle="1" w:styleId="TableGrid1">
    <w:name w:val="Table Grid1"/>
    <w:basedOn w:val="TableNormal"/>
    <w:next w:val="TableGrid"/>
    <w:uiPriority w:val="39"/>
    <w:rsid w:val="00D0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E96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7E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96"/>
    <w:rPr>
      <w:rFonts w:ascii="Tahoma" w:hAnsi="Tahoma" w:cs="Tahoma"/>
      <w:sz w:val="16"/>
      <w:szCs w:val="1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07E9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7E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07E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C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9B0C5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nis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1549-A5D6-42F6-903F-529146AC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6495</Words>
  <Characters>37025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PIU</dc:creator>
  <cp:keywords/>
  <dc:description/>
  <cp:lastModifiedBy>Ivana Jankovic</cp:lastModifiedBy>
  <cp:revision>6</cp:revision>
  <dcterms:created xsi:type="dcterms:W3CDTF">2023-01-31T14:30:00Z</dcterms:created>
  <dcterms:modified xsi:type="dcterms:W3CDTF">2023-02-01T14:30:00Z</dcterms:modified>
</cp:coreProperties>
</file>