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B9" w:rsidRDefault="00D773B9">
      <w:pPr>
        <w:pStyle w:val="N01Y"/>
      </w:pPr>
      <w:bookmarkStart w:id="0" w:name="_GoBack"/>
      <w:bookmarkEnd w:id="0"/>
      <w:r>
        <w:t>1259.</w:t>
      </w:r>
    </w:p>
    <w:p w:rsidR="00D773B9" w:rsidRDefault="00D773B9">
      <w:pPr>
        <w:pStyle w:val="N02Y"/>
      </w:pPr>
      <w:r>
        <w:t>Na osnovu člana 7 stav 3 Zakona o sprječavanju pranja novca i finansiranja terorizma ("Službeni list CG", br. 33/14 i 44/18), Ministarstvo finansija donijelo je</w:t>
      </w:r>
    </w:p>
    <w:p w:rsidR="00D773B9" w:rsidRDefault="00D773B9">
      <w:pPr>
        <w:pStyle w:val="N03Y"/>
      </w:pPr>
      <w:r>
        <w:t>PRAVILNIK</w:t>
      </w:r>
    </w:p>
    <w:p w:rsidR="00D773B9" w:rsidRDefault="00D773B9">
      <w:pPr>
        <w:pStyle w:val="N03Y"/>
      </w:pPr>
      <w:r>
        <w:t>O SMJERNICAMA ZA IZRADU ANALIZE I FAKTORIMA RIZIKA RADI SPRJEČAVANJA PRANJA NOVCA I FINANSIRANJA TERORIZMA</w:t>
      </w:r>
    </w:p>
    <w:p w:rsidR="00D773B9" w:rsidRDefault="00D773B9">
      <w:pPr>
        <w:pStyle w:val="N05Y"/>
      </w:pPr>
      <w:r>
        <w:t>("Službeni list Crne Gore", br. 065/18 od 09.10.2018)</w:t>
      </w:r>
    </w:p>
    <w:p w:rsidR="00D773B9" w:rsidRDefault="00D773B9">
      <w:pPr>
        <w:pStyle w:val="N01X"/>
      </w:pPr>
      <w:r>
        <w:t>Predmet</w:t>
      </w:r>
    </w:p>
    <w:p w:rsidR="00D773B9" w:rsidRDefault="00D773B9">
      <w:pPr>
        <w:pStyle w:val="C30X"/>
      </w:pPr>
      <w:r>
        <w:t>Član 1</w:t>
      </w:r>
    </w:p>
    <w:p w:rsidR="00D773B9" w:rsidRDefault="00D773B9">
      <w:pPr>
        <w:pStyle w:val="T30X"/>
      </w:pPr>
      <w:r>
        <w:t>Ovim pravilnikom utvrđuju se kriterijumi za izradu smjernica za analizu rizika radi sprječavanja pranja novca i finansiranja terorizma (u daljem tekstu: smjernice) i faktori rizika od pranja novca i finansiranja terorizma.</w:t>
      </w:r>
    </w:p>
    <w:p w:rsidR="00D773B9" w:rsidRDefault="00D773B9">
      <w:pPr>
        <w:pStyle w:val="N01X"/>
      </w:pPr>
      <w:r>
        <w:t>Utvrđivanje smjernica</w:t>
      </w:r>
    </w:p>
    <w:p w:rsidR="00D773B9" w:rsidRDefault="00D773B9">
      <w:pPr>
        <w:pStyle w:val="C30X"/>
      </w:pPr>
      <w:r>
        <w:t>Član 2</w:t>
      </w:r>
    </w:p>
    <w:p w:rsidR="00D773B9" w:rsidRDefault="00D773B9">
      <w:pPr>
        <w:pStyle w:val="T30X"/>
      </w:pPr>
      <w:r>
        <w:t>U zavisnosti od veličine i sastava obveznika, obima i vrste poslova klijenata, kategorije klijenta, vrste proizvoda, načina komunikacije sa klijentima (upotreba tehnoloških sredstava -interneta, bankomata i sličnih sredstava) i drugih elemenata od značaja za procjenu rizika od pranja novca i finansiranja terorizma, nadzorni organi iz člana 94 Zakona o sprječavanju pranja novca i finansiranja terorizma (u daljem tekstu: Zakon), utvrđuje smjernice.</w:t>
      </w:r>
    </w:p>
    <w:p w:rsidR="00D773B9" w:rsidRDefault="00D773B9">
      <w:pPr>
        <w:pStyle w:val="T30X"/>
      </w:pPr>
      <w:r>
        <w:t>Smjernicama iz stava 1 ovog člana bliže se uređuje izrada analize rizika, kojom obveznik utvrđuje procjenu rizičnosti, pojedinog klijenta, grupe klijenata, države ili geografskog područja, poslovnog odnosa, transakcije ili proizvoda, usluga i distributivnih kanala, na osnovu faktora rizika od pranja novca i finansiranja terorizma i rezultata nacionalne procjene rizika.</w:t>
      </w:r>
    </w:p>
    <w:p w:rsidR="00D773B9" w:rsidRDefault="00D773B9">
      <w:pPr>
        <w:pStyle w:val="T30X"/>
      </w:pPr>
      <w:r>
        <w:t>Na osnovu smjernica nadzornog organa obveznik donosi interni akt za analizu rizika radi sprječavanja pranja novca i finansiranja terorizma i faktore rizika od pranja novca i finansiranja terorizma.</w:t>
      </w:r>
    </w:p>
    <w:p w:rsidR="00D773B9" w:rsidRDefault="00D773B9">
      <w:pPr>
        <w:pStyle w:val="T30X"/>
      </w:pPr>
      <w:r>
        <w:t>Smjernicama se utvrđuje sadržina internog akta iz stava 3 ovog člana, i to:</w:t>
      </w:r>
    </w:p>
    <w:p w:rsidR="00D773B9" w:rsidRDefault="00D773B9">
      <w:pPr>
        <w:pStyle w:val="T30X"/>
        <w:ind w:left="567" w:hanging="283"/>
      </w:pPr>
      <w:r>
        <w:t xml:space="preserve">   1) način utvrđivanja mogućnosti poslovanja sa klijentom;</w:t>
      </w:r>
    </w:p>
    <w:p w:rsidR="00D773B9" w:rsidRDefault="00D773B9">
      <w:pPr>
        <w:pStyle w:val="T30X"/>
        <w:ind w:left="567" w:hanging="283"/>
      </w:pPr>
      <w:r>
        <w:t xml:space="preserve">   2) procjena rizičnosti grupa i klijenata;</w:t>
      </w:r>
    </w:p>
    <w:p w:rsidR="00D773B9" w:rsidRDefault="00D773B9">
      <w:pPr>
        <w:pStyle w:val="T30X"/>
        <w:ind w:left="567" w:hanging="283"/>
      </w:pPr>
      <w:r>
        <w:t xml:space="preserve">   3) način utvrđivanja rizičnosti proizvoda i usluga, sa aspekta, sprječavanja pranja novca i finansiranja terorizma;</w:t>
      </w:r>
    </w:p>
    <w:p w:rsidR="00D773B9" w:rsidRDefault="00D773B9">
      <w:pPr>
        <w:pStyle w:val="T30X"/>
        <w:ind w:left="567" w:hanging="283"/>
      </w:pPr>
      <w:r>
        <w:t xml:space="preserve">   4) način identifikacije klijenta;</w:t>
      </w:r>
    </w:p>
    <w:p w:rsidR="00D773B9" w:rsidRDefault="00D773B9">
      <w:pPr>
        <w:pStyle w:val="T30X"/>
        <w:ind w:left="567" w:hanging="283"/>
      </w:pPr>
      <w:r>
        <w:t xml:space="preserve">   5) praćenje poslovnog odnosa i kontrole transakcija nadzor nad računima i transakcijama klijenta;</w:t>
      </w:r>
    </w:p>
    <w:p w:rsidR="00D773B9" w:rsidRDefault="00D773B9">
      <w:pPr>
        <w:pStyle w:val="T30X"/>
        <w:ind w:left="567" w:hanging="283"/>
      </w:pPr>
      <w:r>
        <w:t xml:space="preserve">   6) sprječavanje upotrebe novih tehnologija u svrhu pranja novca ili finansiranja terorizma (odnosi se na banke i druge finansijske institucije);</w:t>
      </w:r>
    </w:p>
    <w:p w:rsidR="00D773B9" w:rsidRDefault="00D773B9">
      <w:pPr>
        <w:pStyle w:val="T30X"/>
        <w:ind w:left="567" w:hanging="283"/>
      </w:pPr>
      <w:r>
        <w:t xml:space="preserve">   7) upravljanje rizicima u oblasti pranja novca i finansiranja terorizma, kojima su obveznici izloženi; i</w:t>
      </w:r>
    </w:p>
    <w:p w:rsidR="00D773B9" w:rsidRDefault="00D773B9">
      <w:pPr>
        <w:pStyle w:val="T30X"/>
        <w:ind w:left="567" w:hanging="283"/>
      </w:pPr>
      <w:r>
        <w:t xml:space="preserve">   8) program obuke zaposlenih.</w:t>
      </w:r>
    </w:p>
    <w:p w:rsidR="00D773B9" w:rsidRDefault="00D773B9">
      <w:pPr>
        <w:pStyle w:val="N01X"/>
      </w:pPr>
      <w:r>
        <w:t>Procjena rizičnosti klijenta</w:t>
      </w:r>
    </w:p>
    <w:p w:rsidR="00D773B9" w:rsidRDefault="00D773B9">
      <w:pPr>
        <w:pStyle w:val="C30X"/>
      </w:pPr>
      <w:r>
        <w:t>Član 3</w:t>
      </w:r>
    </w:p>
    <w:p w:rsidR="00D773B9" w:rsidRDefault="00D773B9">
      <w:pPr>
        <w:pStyle w:val="T30X"/>
      </w:pPr>
      <w:r>
        <w:t>Na osnovu smjernica obveznik procjenjuje stepen rizičnosti klijenta zavisno od faktora rizika, na osnovu kojeg odlučuje o daljem poslovnom odnosu sa tim klijentom.</w:t>
      </w:r>
    </w:p>
    <w:p w:rsidR="00D773B9" w:rsidRDefault="00D773B9">
      <w:pPr>
        <w:pStyle w:val="N01X"/>
      </w:pPr>
      <w:r>
        <w:t>Faktori višeg rizika</w:t>
      </w:r>
    </w:p>
    <w:p w:rsidR="00D773B9" w:rsidRDefault="00D773B9">
      <w:pPr>
        <w:pStyle w:val="C30X"/>
      </w:pPr>
      <w:r>
        <w:t>Član 4</w:t>
      </w:r>
    </w:p>
    <w:p w:rsidR="00D773B9" w:rsidRDefault="00D773B9">
      <w:pPr>
        <w:pStyle w:val="T30X"/>
      </w:pPr>
      <w:r>
        <w:t>Smjernicama se utvrđuju faktori višeg rizika, i to:</w:t>
      </w:r>
    </w:p>
    <w:p w:rsidR="00D773B9" w:rsidRDefault="00D773B9">
      <w:pPr>
        <w:pStyle w:val="T30X"/>
        <w:ind w:left="567" w:hanging="283"/>
      </w:pPr>
      <w:r>
        <w:t xml:space="preserve">   1) faktori višeg rizika za klijenta:</w:t>
      </w:r>
    </w:p>
    <w:p w:rsidR="00D773B9" w:rsidRDefault="00D773B9">
      <w:pPr>
        <w:pStyle w:val="T30X"/>
        <w:ind w:left="1134" w:hanging="283"/>
      </w:pPr>
      <w:r>
        <w:t xml:space="preserve">      a) kada se vrši utvrđivanje i provjera identiteta klijenta u odsustvu;</w:t>
      </w:r>
    </w:p>
    <w:p w:rsidR="00D773B9" w:rsidRDefault="00D773B9">
      <w:pPr>
        <w:pStyle w:val="T30X"/>
        <w:ind w:left="1134" w:hanging="283"/>
      </w:pPr>
      <w:r>
        <w:t xml:space="preserve">      b) ako se poslovni odnos sprovodi pod neuobičajenim okolnostima;</w:t>
      </w:r>
    </w:p>
    <w:p w:rsidR="00D773B9" w:rsidRDefault="00D773B9">
      <w:pPr>
        <w:pStyle w:val="T30X"/>
        <w:ind w:left="1134" w:hanging="283"/>
      </w:pPr>
      <w:r>
        <w:lastRenderedPageBreak/>
        <w:t xml:space="preserve">      c) klijenti koji žive u državama navedenim u tački 3 ovog Člana;</w:t>
      </w:r>
    </w:p>
    <w:p w:rsidR="00D773B9" w:rsidRDefault="00D773B9">
      <w:pPr>
        <w:pStyle w:val="T30X"/>
        <w:ind w:left="1134" w:hanging="283"/>
      </w:pPr>
      <w:r>
        <w:t xml:space="preserve">      c) klijenti koji nijesu rezidenti;</w:t>
      </w:r>
    </w:p>
    <w:p w:rsidR="00D773B9" w:rsidRDefault="00D773B9">
      <w:pPr>
        <w:pStyle w:val="T30X"/>
        <w:ind w:left="1134" w:hanging="283"/>
      </w:pPr>
      <w:r>
        <w:t xml:space="preserve">      d) pravna lica ili aranžmani (trustovi) koji obavljaju djelatnost pružanja usluga čuvanja i upravljanja imovinom;</w:t>
      </w:r>
    </w:p>
    <w:p w:rsidR="00D773B9" w:rsidRDefault="00D773B9">
      <w:pPr>
        <w:pStyle w:val="T30X"/>
        <w:ind w:left="1134" w:hanging="283"/>
      </w:pPr>
      <w:r>
        <w:t xml:space="preserve">      e) privredna društva u čijoj su vlasničkoj strukturi umjesto stvarnih vlasnika nominalno upisani ovlašćeni zastupnici ili čije akcije glase na donosioca;</w:t>
      </w:r>
    </w:p>
    <w:p w:rsidR="00D773B9" w:rsidRDefault="00D773B9">
      <w:pPr>
        <w:pStyle w:val="T30X"/>
        <w:ind w:left="1134" w:hanging="283"/>
      </w:pPr>
      <w:r>
        <w:t xml:space="preserve">      f) pravna lica i privredna društva čija je djelatnost povezana sa gotovinskim transakcijama;</w:t>
      </w:r>
    </w:p>
    <w:p w:rsidR="00D773B9" w:rsidRDefault="00D773B9">
      <w:pPr>
        <w:pStyle w:val="T30X"/>
        <w:ind w:left="1134" w:hanging="283"/>
      </w:pPr>
      <w:r>
        <w:t xml:space="preserve">      g) ako je vlasnička struktura pravnog lica ili privrednog društva neuobičajena ili složena s obzirom na prirodu njegove djelatnosti;</w:t>
      </w:r>
    </w:p>
    <w:p w:rsidR="00D773B9" w:rsidRDefault="00D773B9">
      <w:pPr>
        <w:pStyle w:val="T30X"/>
        <w:ind w:left="567" w:hanging="283"/>
      </w:pPr>
      <w:r>
        <w:t xml:space="preserve">   2) faktori višeg rizika u poslovnim odnosima, transakcijama, uslugama, distributinim kanalima ili za proizvode:</w:t>
      </w:r>
    </w:p>
    <w:p w:rsidR="00D773B9" w:rsidRDefault="00D773B9">
      <w:pPr>
        <w:pStyle w:val="T30X"/>
        <w:ind w:left="1134" w:hanging="283"/>
      </w:pPr>
      <w:r>
        <w:t xml:space="preserve">      a) privatno bankarstvo;</w:t>
      </w:r>
    </w:p>
    <w:p w:rsidR="00D773B9" w:rsidRDefault="00D773B9">
      <w:pPr>
        <w:pStyle w:val="T30X"/>
        <w:ind w:left="1134" w:hanging="283"/>
      </w:pPr>
      <w:r>
        <w:t xml:space="preserve">      b) proizvodi ili transakcije koje omogućavaju prikrivanje identiteta klijenta, odnosno anonimnost klijenta;</w:t>
      </w:r>
    </w:p>
    <w:p w:rsidR="00D773B9" w:rsidRDefault="00D773B9">
      <w:pPr>
        <w:pStyle w:val="T30X"/>
        <w:ind w:left="1134" w:hanging="283"/>
      </w:pPr>
      <w:r>
        <w:t xml:space="preserve">      c) indirektni poslovni odnos ili transakcija;</w:t>
      </w:r>
    </w:p>
    <w:p w:rsidR="00D773B9" w:rsidRDefault="00D773B9">
      <w:pPr>
        <w:pStyle w:val="T30X"/>
        <w:ind w:left="1134" w:hanging="283"/>
      </w:pPr>
      <w:r>
        <w:t xml:space="preserve">      d) novi proizvodi i novi poslovi, uključujući nove mehanizme isporuke, i upotreba novih tehnologija za nove i postojeće proizvode;</w:t>
      </w:r>
    </w:p>
    <w:p w:rsidR="00D773B9" w:rsidRDefault="00D773B9">
      <w:pPr>
        <w:pStyle w:val="T30X"/>
        <w:ind w:left="567" w:hanging="283"/>
      </w:pPr>
      <w:r>
        <w:t xml:space="preserve">   3) faktori višeg rizika koji se odnose na određenu državu odnosno geografsko područje:</w:t>
      </w:r>
    </w:p>
    <w:p w:rsidR="00D773B9" w:rsidRDefault="00D773B9">
      <w:pPr>
        <w:pStyle w:val="T30X"/>
        <w:ind w:left="1134" w:hanging="283"/>
      </w:pPr>
      <w:r>
        <w:t xml:space="preserve">      a) države koje su na osnovu izvještaja relevantnih međunarodnih institucija (npr. Financial Action Task Force: u daljem tekstu: FATF i Committee of Experts on the Evaluation of Anti- Money Laundering Measures and the Financing of Terrorism, u daljem tekstu: MONEYVAL-a) o zajedničkoj evaluaciji identifikovane kao države koje nemaju efikasan sistem borbe protiv pranja novca i finansiranja terorizma;</w:t>
      </w:r>
    </w:p>
    <w:p w:rsidR="00D773B9" w:rsidRDefault="00D773B9">
      <w:pPr>
        <w:pStyle w:val="T30X"/>
        <w:ind w:left="1134" w:hanging="283"/>
      </w:pPr>
      <w:r>
        <w:t xml:space="preserve">      b) države u kojima je utvrđen visok nivo korupcije i drugih kriminalnih aktivnosti;</w:t>
      </w:r>
    </w:p>
    <w:p w:rsidR="00D773B9" w:rsidRDefault="00D773B9">
      <w:pPr>
        <w:pStyle w:val="T30X"/>
        <w:ind w:left="1134" w:hanging="283"/>
      </w:pPr>
      <w:r>
        <w:t xml:space="preserve">      c) države prema kojima su uvedene sankcije, embargo ili slične mjere;</w:t>
      </w:r>
    </w:p>
    <w:p w:rsidR="00D773B9" w:rsidRDefault="00D773B9">
      <w:pPr>
        <w:pStyle w:val="T30X"/>
        <w:ind w:left="1134" w:hanging="283"/>
      </w:pPr>
      <w:r>
        <w:t xml:space="preserve">      d) države koje pružaju novčanu pomoć ili podršku terorističkim aktivnostima ili imaju određene terorističke organizacije koje djeluju u njihovoj zemlji.</w:t>
      </w:r>
    </w:p>
    <w:p w:rsidR="00D773B9" w:rsidRDefault="00D773B9">
      <w:pPr>
        <w:pStyle w:val="T30X"/>
      </w:pPr>
      <w:r>
        <w:t>Nadzorni organi mogu u smjernicama iz člana 2 stav 1 ovog pravilnika, utvrditi i druge faktore višeg rizika od pranja novca i finansiranja terorizma, zavisno od specifičnosti određene oblasti za koju utvrđuju smjerinice.</w:t>
      </w:r>
    </w:p>
    <w:p w:rsidR="00D773B9" w:rsidRDefault="00D773B9">
      <w:pPr>
        <w:pStyle w:val="N01X"/>
      </w:pPr>
      <w:r>
        <w:t>Faktori nižeg rizika</w:t>
      </w:r>
    </w:p>
    <w:p w:rsidR="00D773B9" w:rsidRDefault="00D773B9">
      <w:pPr>
        <w:pStyle w:val="C30X"/>
      </w:pPr>
      <w:r>
        <w:t>Član 5</w:t>
      </w:r>
    </w:p>
    <w:p w:rsidR="00D773B9" w:rsidRDefault="00D773B9">
      <w:pPr>
        <w:pStyle w:val="T30X"/>
      </w:pPr>
      <w:r>
        <w:t>Smjernicama se utvrđuju faktori nižeg rizika, i to:</w:t>
      </w:r>
    </w:p>
    <w:p w:rsidR="00D773B9" w:rsidRDefault="00D773B9">
      <w:pPr>
        <w:pStyle w:val="T30X"/>
        <w:ind w:left="567" w:hanging="283"/>
      </w:pPr>
      <w:r>
        <w:t xml:space="preserve">   1) faktori nižeg rizika sa klijentom, ako je klijent:</w:t>
      </w:r>
    </w:p>
    <w:p w:rsidR="00D773B9" w:rsidRDefault="00D773B9">
      <w:pPr>
        <w:pStyle w:val="T30X"/>
        <w:ind w:left="1134" w:hanging="283"/>
      </w:pPr>
      <w:r>
        <w:t xml:space="preserve">      a) državni organ ili organ lokalne samouprave i drugo pravno lice koje vrši javna ovlašćenja;</w:t>
      </w:r>
    </w:p>
    <w:p w:rsidR="00D773B9" w:rsidRDefault="00D773B9">
      <w:pPr>
        <w:pStyle w:val="T30X"/>
        <w:ind w:left="1134" w:hanging="283"/>
      </w:pPr>
      <w:r>
        <w:t xml:space="preserve">      b) privredno društvo ili drugi oblik obavljanja privredne djelatnosti koje vrši javna ovlašćenja a koje se kotiraju na berzi i koji podliježu obavezi dostavljanja informacija prema pravilima berze ili u skladu sa propisima koji uvode obavezu transparentnosti stvarnog vlasnika tog društva;</w:t>
      </w:r>
    </w:p>
    <w:p w:rsidR="00D773B9" w:rsidRDefault="00D773B9">
      <w:pPr>
        <w:pStyle w:val="T30X"/>
        <w:ind w:left="1134" w:hanging="283"/>
      </w:pPr>
      <w:r>
        <w:t xml:space="preserve">      c) sa geografskog područja koje spada u manje rizična u skladu sa tačkom 3 ovog stava;</w:t>
      </w:r>
    </w:p>
    <w:p w:rsidR="00D773B9" w:rsidRDefault="00D773B9">
      <w:pPr>
        <w:pStyle w:val="T30X"/>
        <w:ind w:left="567" w:hanging="283"/>
      </w:pPr>
      <w:r>
        <w:t xml:space="preserve">   2) faktori nižeg rizika u poslovnim odnosima, transakcijama ili za proizvode:</w:t>
      </w:r>
    </w:p>
    <w:p w:rsidR="00D773B9" w:rsidRDefault="00D773B9">
      <w:pPr>
        <w:pStyle w:val="T30X"/>
        <w:ind w:left="1134" w:hanging="283"/>
      </w:pPr>
      <w:r>
        <w:t xml:space="preserve">      a) polise životnog osiguranja kada su premije niske;</w:t>
      </w:r>
    </w:p>
    <w:p w:rsidR="00D773B9" w:rsidRDefault="00D773B9">
      <w:pPr>
        <w:pStyle w:val="T30X"/>
        <w:ind w:left="1134" w:hanging="283"/>
      </w:pPr>
      <w:r>
        <w:t xml:space="preserve">      b) polise penzionog osiguranja ako ne postoji mogućnost ranijeg otkupa polise koja se ne može iskoristiti kao osiguranje odnosno kolateral;</w:t>
      </w:r>
    </w:p>
    <w:p w:rsidR="00D773B9" w:rsidRDefault="00D773B9">
      <w:pPr>
        <w:pStyle w:val="T30X"/>
        <w:ind w:left="1134" w:hanging="283"/>
      </w:pPr>
      <w:r>
        <w:t xml:space="preserve">      c) penzioni sistem koji obezbjeđuje, odnosno osigurava penzije zaposlenima u slučajevima gdje se doprinosi uplaćuju oduzimanjem od zarade, a pravila sistema ne dozvoljavaju prenos udjela;</w:t>
      </w:r>
    </w:p>
    <w:p w:rsidR="00D773B9" w:rsidRDefault="00D773B9">
      <w:pPr>
        <w:pStyle w:val="T30X"/>
        <w:ind w:left="1134" w:hanging="283"/>
      </w:pPr>
      <w:r>
        <w:t xml:space="preserve">      d) finansijski proizvodi i institucije koje pružaju utvrđene i ograničene usluge određenom tipu klijenta, u svrhu povećanja pristupa finansijskoj inkluziji;</w:t>
      </w:r>
    </w:p>
    <w:p w:rsidR="00D773B9" w:rsidRDefault="00D773B9">
      <w:pPr>
        <w:pStyle w:val="T30X"/>
        <w:ind w:left="1134" w:hanging="283"/>
      </w:pPr>
      <w:r>
        <w:t xml:space="preserve">      e) proizvodi kod kojih rizik od pranja novca i finansiranja terorizma zavisi od drugih faktora, kao što su ograničenja iznosa elektronskog novca ili transparentnost vlasništva;</w:t>
      </w:r>
    </w:p>
    <w:p w:rsidR="00D773B9" w:rsidRDefault="00D773B9">
      <w:pPr>
        <w:pStyle w:val="T30X"/>
        <w:ind w:left="567" w:hanging="283"/>
      </w:pPr>
      <w:r>
        <w:t xml:space="preserve">   3) faktori nižeg rizika koji se odnose na određenu državu odnosno geografsko područje:</w:t>
      </w:r>
    </w:p>
    <w:p w:rsidR="00D773B9" w:rsidRDefault="00D773B9">
      <w:pPr>
        <w:pStyle w:val="T30X"/>
        <w:ind w:left="1134" w:hanging="283"/>
      </w:pPr>
      <w:r>
        <w:t xml:space="preserve">      a) ako su te države članice Evropske unije;</w:t>
      </w:r>
    </w:p>
    <w:p w:rsidR="00D773B9" w:rsidRDefault="00D773B9">
      <w:pPr>
        <w:pStyle w:val="T30X"/>
        <w:ind w:left="1134" w:hanging="283"/>
      </w:pPr>
      <w:r>
        <w:lastRenderedPageBreak/>
        <w:t xml:space="preserve">      b) države imaju efikasan sistem borbe protiv pranja novca i finansiranja terorizma, prepoznat od strane FATF-a;</w:t>
      </w:r>
    </w:p>
    <w:p w:rsidR="00D773B9" w:rsidRDefault="00D773B9">
      <w:pPr>
        <w:pStyle w:val="T30X"/>
        <w:ind w:left="1134" w:hanging="283"/>
      </w:pPr>
      <w:r>
        <w:t xml:space="preserve">      c) države u kojima je utvrđen nizak stepen korupcije i drugih kriminalnih aktivnosti;</w:t>
      </w:r>
    </w:p>
    <w:p w:rsidR="00D773B9" w:rsidRDefault="00D773B9">
      <w:pPr>
        <w:pStyle w:val="T30X"/>
        <w:ind w:left="1134" w:hanging="283"/>
      </w:pPr>
      <w:r>
        <w:t xml:space="preserve">      d) države koje sprovode preporuke FATF-a za borbu protiv pranja novca i finansiranja terorizma i za koje se sprovodi kontrola usklađenosti sa ovim preporukama.</w:t>
      </w:r>
    </w:p>
    <w:p w:rsidR="00D773B9" w:rsidRDefault="00D773B9">
      <w:pPr>
        <w:pStyle w:val="N01X"/>
      </w:pPr>
      <w:r>
        <w:t>Praćenje politički eksponiranih lica</w:t>
      </w:r>
    </w:p>
    <w:p w:rsidR="00D773B9" w:rsidRDefault="00D773B9">
      <w:pPr>
        <w:pStyle w:val="C30X"/>
      </w:pPr>
      <w:r>
        <w:t>Član 6</w:t>
      </w:r>
    </w:p>
    <w:p w:rsidR="00D773B9" w:rsidRDefault="00D773B9">
      <w:pPr>
        <w:pStyle w:val="T30X"/>
      </w:pPr>
      <w:r>
        <w:t>Smjernicama se utvrđuje postupak praćenja poslovnog odnosa i kontrole transakcija, koje obavlja politički eksponirano lice, posebno imajući u vidu svrhu i namjenu transakcije kao i usklađenost sa njegovim uobičajenim poslovanjem.</w:t>
      </w:r>
    </w:p>
    <w:p w:rsidR="00D773B9" w:rsidRDefault="00D773B9">
      <w:pPr>
        <w:pStyle w:val="N01X"/>
      </w:pPr>
      <w:r>
        <w:t>Prestanak važenja</w:t>
      </w:r>
    </w:p>
    <w:p w:rsidR="00D773B9" w:rsidRDefault="00D773B9">
      <w:pPr>
        <w:pStyle w:val="C30X"/>
      </w:pPr>
      <w:r>
        <w:t>Član 7</w:t>
      </w:r>
    </w:p>
    <w:p w:rsidR="00D773B9" w:rsidRDefault="00D773B9">
      <w:pPr>
        <w:pStyle w:val="T30X"/>
      </w:pPr>
      <w:r>
        <w:t>Danom stupanja na snagu ovog pravilnika prestaje da važi Pravilnik o smjernicama za izradu analize i faktorima rizika radi sprječavanja pranja novca i finansiranja terorizma ("Službeni list CG", broj 53/14).</w:t>
      </w:r>
    </w:p>
    <w:p w:rsidR="00D773B9" w:rsidRDefault="00D773B9">
      <w:pPr>
        <w:pStyle w:val="N01X"/>
      </w:pPr>
      <w:r>
        <w:t>Stupanje na snagu</w:t>
      </w:r>
    </w:p>
    <w:p w:rsidR="00D773B9" w:rsidRDefault="00D773B9">
      <w:pPr>
        <w:pStyle w:val="C30X"/>
      </w:pPr>
      <w:r>
        <w:t>Član 8</w:t>
      </w:r>
    </w:p>
    <w:p w:rsidR="00D773B9" w:rsidRDefault="00D773B9">
      <w:pPr>
        <w:pStyle w:val="T30X"/>
      </w:pPr>
      <w:r>
        <w:t>Ovaj pravilnik stupa na snagu osmog dana od dana objavljivanja u "Službenom listu Crne Gore".</w:t>
      </w:r>
    </w:p>
    <w:p w:rsidR="00D773B9" w:rsidRDefault="00D773B9">
      <w:pPr>
        <w:pStyle w:val="N01Z"/>
      </w:pPr>
      <w:r>
        <w:t>Broj: 02-15048/1</w:t>
      </w:r>
    </w:p>
    <w:p w:rsidR="00D773B9" w:rsidRDefault="00D773B9">
      <w:pPr>
        <w:pStyle w:val="N01Z"/>
      </w:pPr>
      <w:r>
        <w:t>Podgorica, 27. septembra 2018. godine</w:t>
      </w:r>
    </w:p>
    <w:p w:rsidR="00D773B9" w:rsidRDefault="00D773B9">
      <w:pPr>
        <w:pStyle w:val="N01Z"/>
      </w:pPr>
      <w:r>
        <w:t>Ministar,</w:t>
      </w:r>
    </w:p>
    <w:p w:rsidR="00D773B9" w:rsidRDefault="00D773B9">
      <w:pPr>
        <w:pStyle w:val="N01Z"/>
      </w:pPr>
      <w:r>
        <w:t>Darko Radunović, s.r.</w:t>
      </w:r>
    </w:p>
    <w:sectPr w:rsidR="00D773B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05" w:rsidRDefault="00030F05">
      <w:r>
        <w:separator/>
      </w:r>
    </w:p>
  </w:endnote>
  <w:endnote w:type="continuationSeparator" w:id="0">
    <w:p w:rsidR="00030F05" w:rsidRDefault="0003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D773B9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D773B9" w:rsidRDefault="00D773B9">
          <w:pPr>
            <w:pStyle w:val="Fotter"/>
          </w:pPr>
          <w:hyperlink w:anchor="http___www_katalogpropisa_me" w:history="1">
            <w:r>
              <w:rPr>
                <w:rStyle w:val="Hyperlink"/>
                <w:rFonts w:cs="Verdana"/>
              </w:rPr>
              <w:t>Nespa computers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D773B9" w:rsidRDefault="00D773B9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926D8F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D773B9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D773B9" w:rsidRDefault="00D773B9">
          <w:pPr>
            <w:pStyle w:val="Fotter"/>
          </w:pPr>
          <w:hyperlink w:anchor="http___www_katalogpropisa_me" w:history="1">
            <w:r>
              <w:rPr>
                <w:rStyle w:val="Hyperlink"/>
                <w:rFonts w:cs="Verdana"/>
              </w:rPr>
              <w:t>Nespa computers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D773B9" w:rsidRDefault="00D773B9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926D8F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05" w:rsidRDefault="00030F05">
      <w:r>
        <w:separator/>
      </w:r>
    </w:p>
  </w:footnote>
  <w:footnote w:type="continuationSeparator" w:id="0">
    <w:p w:rsidR="00030F05" w:rsidRDefault="00030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B9" w:rsidRDefault="00D773B9">
    <w:pPr>
      <w:pStyle w:val="Header"/>
    </w:pPr>
    <w:r>
      <w:t>Katalog propisa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B9" w:rsidRDefault="00D773B9">
    <w:pPr>
      <w:pStyle w:val="Header"/>
    </w:pPr>
    <w:r>
      <w:t>Katalog propisa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D7"/>
    <w:rsid w:val="00030F05"/>
    <w:rsid w:val="00926D8F"/>
    <w:rsid w:val="00962DD7"/>
    <w:rsid w:val="00A104C7"/>
    <w:rsid w:val="00D773B9"/>
    <w:rsid w:val="00D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</vt:lpstr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</dc:title>
  <dc:subject></dc:subject>
  <dc:creator></dc:creator>
  <cp:lastModifiedBy>Sladja</cp:lastModifiedBy>
  <cp:revision>2</cp:revision>
  <dcterms:created xsi:type="dcterms:W3CDTF">2019-01-21T09:06:00Z</dcterms:created>
  <dcterms:modified xsi:type="dcterms:W3CDTF">2019-01-21T09:06:00Z</dcterms:modified>
</cp:coreProperties>
</file>