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59453D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SEPTEMBAR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:rsidR="00C54B26" w:rsidRDefault="0059453D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SEPTEMBAR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97158E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F95B03C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:rsidR="00C54B26" w:rsidRDefault="00855C11">
          <w:pPr>
            <w:spacing w:after="200"/>
            <w:rPr>
              <w:b/>
            </w:rPr>
          </w:pPr>
        </w:p>
      </w:sdtContent>
    </w:sdt>
    <w:p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59453D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:rsidR="001A03FF" w:rsidRPr="0059453D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59453D" w:rsidRPr="0059453D" w:rsidRDefault="0059453D" w:rsidP="0059453D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59453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devet mjeseci 2025. godine iznosili su 2.099,9 mil. € ili 26,5% BDP-a (7.918,5 mil. €), što je za 24,0 mil. € ili 1,2% veće u odnosu na isti period prethodne godine</w:t>
      </w:r>
      <w:bookmarkEnd w:id="0"/>
      <w:r w:rsidRPr="0059453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. U posmatranom periodu naplata budžetskih prihoda realizovana je na nivou od 99% plana, što nedvosmisleno potvrđuje fiskalnu odgovornost, stabilnost i efikasnost upravljanja javnim finansijama.</w:t>
      </w:r>
    </w:p>
    <w:p w:rsidR="0059453D" w:rsidRPr="0059453D" w:rsidRDefault="0059453D" w:rsidP="0059453D">
      <w:pPr>
        <w:shd w:val="clear" w:color="auto" w:fill="FFFFFF"/>
        <w:jc w:val="both"/>
        <w:rPr>
          <w:rFonts w:eastAsia="Times New Roman" w:cstheme="minorHAnsi"/>
          <w:i/>
          <w:color w:val="000000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i/>
          <w:color w:val="000000"/>
          <w:sz w:val="24"/>
          <w:szCs w:val="24"/>
          <w:lang w:val="sr-Latn-ME" w:eastAsia="en-GB"/>
        </w:rPr>
        <w:t>Gotovo sve ključne kategorije budžetskih prihoda bilježe snažan i kontinuiran rast u odnosu na isti period prethodne godine, pri čemu rast prihoda po osnovu indirektnih poreza u potpunosti kompenzuje pad prihoda po osnovu doprinosa za PIO, potvrđujući kredibilnost implementiranih mjera i stabilnost fiskalnog sistema:</w:t>
      </w:r>
    </w:p>
    <w:p w:rsidR="0059453D" w:rsidRPr="00693885" w:rsidRDefault="0059453D" w:rsidP="0059453D">
      <w:pPr>
        <w:shd w:val="clear" w:color="auto" w:fill="FFFFFF"/>
        <w:jc w:val="both"/>
        <w:rPr>
          <w:rFonts w:eastAsia="Times New Roman" w:cstheme="minorHAnsi"/>
          <w:color w:val="000000"/>
          <w:lang w:val="sr-Latn-ME" w:eastAsia="en-GB"/>
        </w:rPr>
      </w:pP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346"/>
        <w:gridCol w:w="1555"/>
        <w:gridCol w:w="1569"/>
        <w:gridCol w:w="1587"/>
        <w:gridCol w:w="1303"/>
      </w:tblGrid>
      <w:tr w:rsidR="0059453D" w:rsidRPr="0031217E" w:rsidTr="00D53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noWrap/>
            <w:hideMark/>
          </w:tcPr>
          <w:p w:rsidR="0059453D" w:rsidRPr="0031217E" w:rsidRDefault="0059453D" w:rsidP="00D53AEC">
            <w:pPr>
              <w:jc w:val="center"/>
              <w:rPr>
                <w:rFonts w:eastAsia="Times New Roman" w:cstheme="minorHAnsi"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sz w:val="22"/>
                <w:lang w:val="sr-Latn-ME"/>
              </w:rPr>
              <w:t>Prihodi budžeta 01/01/2025 - 30/09/2025</w:t>
            </w:r>
          </w:p>
        </w:tc>
      </w:tr>
      <w:tr w:rsidR="0059453D" w:rsidRPr="0031217E" w:rsidTr="00D53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jc w:val="center"/>
              <w:rPr>
                <w:rFonts w:eastAsia="Times New Roman" w:cstheme="minorHAnsi"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sz w:val="22"/>
                <w:lang w:val="sr-Latn-ME"/>
              </w:rPr>
              <w:t>OPIS</w:t>
            </w:r>
          </w:p>
        </w:tc>
        <w:tc>
          <w:tcPr>
            <w:tcW w:w="831" w:type="pct"/>
            <w:hideMark/>
          </w:tcPr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Ostvarenje za period 2024</w:t>
            </w:r>
          </w:p>
        </w:tc>
        <w:tc>
          <w:tcPr>
            <w:tcW w:w="838" w:type="pct"/>
            <w:hideMark/>
          </w:tcPr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Ostvarenje za period 2025</w:t>
            </w:r>
          </w:p>
        </w:tc>
        <w:tc>
          <w:tcPr>
            <w:tcW w:w="848" w:type="pct"/>
            <w:hideMark/>
          </w:tcPr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Apsolutno odstupanje</w:t>
            </w:r>
          </w:p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(mil. €)</w:t>
            </w:r>
          </w:p>
        </w:tc>
        <w:tc>
          <w:tcPr>
            <w:tcW w:w="696" w:type="pct"/>
            <w:hideMark/>
          </w:tcPr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Stopa promjene</w:t>
            </w:r>
          </w:p>
          <w:p w:rsidR="0059453D" w:rsidRPr="0031217E" w:rsidRDefault="0059453D" w:rsidP="00D53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ME"/>
              </w:rPr>
            </w:pPr>
            <w:r w:rsidRPr="0031217E">
              <w:rPr>
                <w:rFonts w:eastAsia="Times New Roman" w:cstheme="minorHAnsi"/>
                <w:i/>
                <w:lang w:val="sr-Latn-ME"/>
              </w:rPr>
              <w:t>(%)</w:t>
            </w:r>
          </w:p>
        </w:tc>
      </w:tr>
      <w:tr w:rsidR="0059453D" w:rsidRPr="0031217E" w:rsidTr="00D53A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rPr>
                <w:rFonts w:eastAsia="Times New Roman" w:cstheme="minorHAnsi"/>
                <w:b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b/>
                <w:sz w:val="22"/>
                <w:lang w:val="sr-Latn-ME"/>
              </w:rPr>
              <w:t>Porez na dohodak fizičkih lica</w:t>
            </w:r>
          </w:p>
        </w:tc>
        <w:tc>
          <w:tcPr>
            <w:tcW w:w="831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59.5</w:t>
            </w:r>
          </w:p>
        </w:tc>
        <w:tc>
          <w:tcPr>
            <w:tcW w:w="83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7</w:t>
            </w:r>
            <w:r>
              <w:rPr>
                <w:rFonts w:eastAsia="Times New Roman" w:cstheme="minorHAnsi"/>
                <w:lang w:val="sr-Latn-ME"/>
              </w:rPr>
              <w:t>7</w:t>
            </w:r>
            <w:r w:rsidRPr="0031217E">
              <w:rPr>
                <w:rFonts w:eastAsia="Times New Roman" w:cstheme="minorHAnsi"/>
                <w:lang w:val="sr-Latn-ME"/>
              </w:rPr>
              <w:t>.9</w:t>
            </w:r>
          </w:p>
        </w:tc>
        <w:tc>
          <w:tcPr>
            <w:tcW w:w="848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18.4</w:t>
            </w:r>
          </w:p>
        </w:tc>
        <w:tc>
          <w:tcPr>
            <w:tcW w:w="696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31.0</w:t>
            </w:r>
          </w:p>
        </w:tc>
      </w:tr>
      <w:tr w:rsidR="0059453D" w:rsidRPr="0031217E" w:rsidTr="00D53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rPr>
                <w:rFonts w:eastAsia="Times New Roman" w:cstheme="minorHAnsi"/>
                <w:b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b/>
                <w:sz w:val="22"/>
                <w:lang w:val="sr-Latn-ME"/>
              </w:rPr>
              <w:t>Porez na dobit pravnih lica</w:t>
            </w:r>
          </w:p>
        </w:tc>
        <w:tc>
          <w:tcPr>
            <w:tcW w:w="831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204.3</w:t>
            </w:r>
          </w:p>
        </w:tc>
        <w:tc>
          <w:tcPr>
            <w:tcW w:w="83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222.5</w:t>
            </w:r>
          </w:p>
        </w:tc>
        <w:tc>
          <w:tcPr>
            <w:tcW w:w="848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18.2</w:t>
            </w:r>
          </w:p>
        </w:tc>
        <w:tc>
          <w:tcPr>
            <w:tcW w:w="696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8.9</w:t>
            </w:r>
          </w:p>
        </w:tc>
      </w:tr>
      <w:tr w:rsidR="0059453D" w:rsidRPr="0031217E" w:rsidTr="00D53A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rPr>
                <w:rFonts w:eastAsia="Times New Roman" w:cstheme="minorHAnsi"/>
                <w:b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b/>
                <w:sz w:val="22"/>
                <w:lang w:val="sr-Latn-ME"/>
              </w:rPr>
              <w:t>Porez na dodatu vrijednost</w:t>
            </w:r>
          </w:p>
        </w:tc>
        <w:tc>
          <w:tcPr>
            <w:tcW w:w="831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901.6</w:t>
            </w:r>
          </w:p>
        </w:tc>
        <w:tc>
          <w:tcPr>
            <w:tcW w:w="83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1030.</w:t>
            </w:r>
            <w:r>
              <w:rPr>
                <w:rFonts w:eastAsia="Times New Roman" w:cstheme="minorHAnsi"/>
                <w:lang w:val="sr-Latn-ME"/>
              </w:rPr>
              <w:t>2</w:t>
            </w:r>
          </w:p>
        </w:tc>
        <w:tc>
          <w:tcPr>
            <w:tcW w:w="848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128.6</w:t>
            </w:r>
          </w:p>
        </w:tc>
        <w:tc>
          <w:tcPr>
            <w:tcW w:w="696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14.3</w:t>
            </w:r>
          </w:p>
        </w:tc>
      </w:tr>
      <w:tr w:rsidR="0059453D" w:rsidRPr="0031217E" w:rsidTr="00D53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rPr>
                <w:rFonts w:eastAsia="Times New Roman" w:cstheme="minorHAnsi"/>
                <w:b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b/>
                <w:sz w:val="22"/>
                <w:lang w:val="sr-Latn-ME"/>
              </w:rPr>
              <w:t xml:space="preserve">Akcize </w:t>
            </w:r>
          </w:p>
        </w:tc>
        <w:tc>
          <w:tcPr>
            <w:tcW w:w="831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276.9</w:t>
            </w:r>
          </w:p>
        </w:tc>
        <w:tc>
          <w:tcPr>
            <w:tcW w:w="83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ME"/>
              </w:rPr>
            </w:pPr>
            <w:r w:rsidRPr="0031217E">
              <w:rPr>
                <w:rFonts w:eastAsia="Times New Roman" w:cstheme="minorHAnsi"/>
                <w:lang w:val="sr-Latn-ME"/>
              </w:rPr>
              <w:t>298.</w:t>
            </w:r>
            <w:r>
              <w:rPr>
                <w:rFonts w:eastAsia="Times New Roman" w:cstheme="minorHAnsi"/>
                <w:lang w:val="sr-Latn-ME"/>
              </w:rPr>
              <w:t>7</w:t>
            </w:r>
          </w:p>
        </w:tc>
        <w:tc>
          <w:tcPr>
            <w:tcW w:w="848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21.7</w:t>
            </w:r>
          </w:p>
        </w:tc>
        <w:tc>
          <w:tcPr>
            <w:tcW w:w="696" w:type="pct"/>
            <w:noWrap/>
            <w:hideMark/>
          </w:tcPr>
          <w:p w:rsidR="0059453D" w:rsidRPr="00ED3CD8" w:rsidRDefault="0059453D" w:rsidP="00D53A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lang w:val="sr-Latn-ME"/>
              </w:rPr>
            </w:pPr>
            <w:r w:rsidRPr="00ED3CD8">
              <w:rPr>
                <w:rFonts w:eastAsia="Times New Roman" w:cstheme="minorHAnsi"/>
                <w:b/>
                <w:color w:val="006100"/>
                <w:lang w:val="sr-Latn-ME"/>
              </w:rPr>
              <w:t>7.8</w:t>
            </w:r>
          </w:p>
        </w:tc>
      </w:tr>
      <w:tr w:rsidR="0059453D" w:rsidRPr="0031217E" w:rsidTr="00D53A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:rsidR="0059453D" w:rsidRPr="0031217E" w:rsidRDefault="0059453D" w:rsidP="00D53AEC">
            <w:pPr>
              <w:rPr>
                <w:rFonts w:eastAsia="Times New Roman" w:cstheme="minorHAnsi"/>
                <w:b/>
                <w:bCs/>
                <w:sz w:val="22"/>
                <w:lang w:val="sr-Latn-ME"/>
              </w:rPr>
            </w:pPr>
            <w:r w:rsidRPr="0031217E">
              <w:rPr>
                <w:rFonts w:eastAsia="Times New Roman" w:cstheme="minorHAnsi"/>
                <w:b/>
                <w:bCs/>
                <w:sz w:val="22"/>
                <w:lang w:val="sr-Latn-ME"/>
              </w:rPr>
              <w:t>Doprinosi</w:t>
            </w:r>
          </w:p>
        </w:tc>
        <w:tc>
          <w:tcPr>
            <w:tcW w:w="831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sr-Latn-ME"/>
              </w:rPr>
            </w:pPr>
            <w:r w:rsidRPr="0031217E">
              <w:rPr>
                <w:rFonts w:eastAsia="Times New Roman" w:cstheme="minorHAnsi"/>
                <w:bCs/>
                <w:lang w:val="sr-Latn-ME"/>
              </w:rPr>
              <w:t>430.</w:t>
            </w:r>
            <w:r>
              <w:rPr>
                <w:rFonts w:eastAsia="Times New Roman" w:cstheme="minorHAnsi"/>
                <w:bCs/>
                <w:lang w:val="sr-Latn-ME"/>
              </w:rPr>
              <w:t>2</w:t>
            </w:r>
          </w:p>
        </w:tc>
        <w:tc>
          <w:tcPr>
            <w:tcW w:w="83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sr-Latn-ME"/>
              </w:rPr>
            </w:pPr>
            <w:r w:rsidRPr="0031217E">
              <w:rPr>
                <w:rFonts w:eastAsia="Times New Roman" w:cstheme="minorHAnsi"/>
                <w:bCs/>
                <w:lang w:val="sr-Latn-ME"/>
              </w:rPr>
              <w:t>290.</w:t>
            </w:r>
            <w:r>
              <w:rPr>
                <w:rFonts w:eastAsia="Times New Roman" w:cstheme="minorHAnsi"/>
                <w:bCs/>
                <w:lang w:val="sr-Latn-ME"/>
              </w:rPr>
              <w:t>7</w:t>
            </w:r>
          </w:p>
        </w:tc>
        <w:tc>
          <w:tcPr>
            <w:tcW w:w="848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9C0006"/>
                <w:lang w:val="sr-Latn-ME"/>
              </w:rPr>
            </w:pPr>
            <w:r w:rsidRPr="0031217E">
              <w:rPr>
                <w:rFonts w:eastAsia="Times New Roman" w:cstheme="minorHAnsi"/>
                <w:bCs/>
                <w:color w:val="9C0006"/>
                <w:lang w:val="sr-Latn-ME"/>
              </w:rPr>
              <w:t>-139.5</w:t>
            </w:r>
          </w:p>
        </w:tc>
        <w:tc>
          <w:tcPr>
            <w:tcW w:w="696" w:type="pct"/>
            <w:noWrap/>
            <w:hideMark/>
          </w:tcPr>
          <w:p w:rsidR="0059453D" w:rsidRPr="0031217E" w:rsidRDefault="0059453D" w:rsidP="00D53A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9C0006"/>
                <w:lang w:val="sr-Latn-ME"/>
              </w:rPr>
            </w:pPr>
            <w:r w:rsidRPr="0031217E">
              <w:rPr>
                <w:rFonts w:eastAsia="Times New Roman" w:cstheme="minorHAnsi"/>
                <w:bCs/>
                <w:color w:val="9C0006"/>
                <w:lang w:val="sr-Latn-ME"/>
              </w:rPr>
              <w:t>-32.4</w:t>
            </w:r>
          </w:p>
        </w:tc>
      </w:tr>
    </w:tbl>
    <w:p w:rsidR="0059453D" w:rsidRPr="00693885" w:rsidRDefault="0059453D" w:rsidP="0059453D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:rsidR="0059453D" w:rsidRPr="0059453D" w:rsidRDefault="0059453D" w:rsidP="0059453D">
      <w:pPr>
        <w:spacing w:line="256" w:lineRule="auto"/>
        <w:jc w:val="both"/>
        <w:rPr>
          <w:rFonts w:eastAsia="Times New Roman" w:cstheme="minorHAnsi"/>
          <w:i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222,5 mil. €, što predstavlja značajan rast, i to za 18,2 mil. € ili 8,9% u odnosu na isti period 2024. godine, što je  i za 13,8 mil. € ili 6,6% više u odnosu na plan za posmatrani period. </w:t>
      </w:r>
      <w:r w:rsidRPr="0059453D">
        <w:rPr>
          <w:rFonts w:eastAsia="Times New Roman" w:cstheme="minorHAnsi"/>
          <w:i/>
          <w:sz w:val="24"/>
          <w:szCs w:val="24"/>
          <w:lang w:val="sr-Latn-ME" w:eastAsia="en-GB"/>
        </w:rPr>
        <w:t>Važno je naglasiti da su prihodi budžeta po osnovu poreza na dobit pravnih lica već nadmašili i godišnji plan ove kategorije za 2,7 mil. €.</w:t>
      </w:r>
    </w:p>
    <w:p w:rsidR="0059453D" w:rsidRPr="0059453D" w:rsidRDefault="0059453D" w:rsidP="0059453D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77,9 mil. €, što je za 18,4 mil. € ili 31% veće u odnosu na isti period 2024. godine i iznad plana za posmatrani period za 3,6 mil. € ili 4,8%.</w:t>
      </w:r>
    </w:p>
    <w:p w:rsidR="0059453D" w:rsidRPr="0059453D" w:rsidRDefault="0059453D" w:rsidP="0059453D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1.030,2 mil. €, što predstavlja snažan rast u odnosu na posmatrani period 2024. godine i to za čak 128,6 mil. € ili 14,3%, 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lastRenderedPageBreak/>
        <w:t>što je i za značajnih 18,9 mil. € ili 1,9% veće u odnosu na plan za devet mjeseci 2025. godine. U navedenom periodu, snažna naplata PDV-a ostvarena je uz istovremeno značajan rast povraćaja PDV-a, koji je bio veći u odnosu na uporedni period 2024. godine za 10,4 mil. € ili 14,4%.</w:t>
      </w:r>
    </w:p>
    <w:p w:rsidR="0059453D" w:rsidRPr="0059453D" w:rsidRDefault="0059453D" w:rsidP="0059453D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298,7 mil. €, što je za 21,7 mil. € ili 7,8% veće u odnosu na isti period 2024. godine, što je 4,0 mil. € ili 1,3% niže od planiranog nivoa za period januar-septembar ove godine. Posmatrano po strukturi akciza, najveći rast na nivou perioda od devet mjeseci bilježe akcize na mineralna i njihove derivate u iznosu od 8.6 mil. € ili 5,8% i akcize na duvan i duvanske proizvode za 10,2 mil. € ili 11,3%.</w:t>
      </w:r>
    </w:p>
    <w:p w:rsidR="0059453D" w:rsidRP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39,8 mil. €, što je za 6,1 mil. € ili 18,1% veće u odnosu na plan, dok je navedena kategorija prihoda manja u odnosu na posmatrani period 2024. godine za 34,6 mil. € ili 46,5%. Razlog odstupanja je prvenstveno izvršenje ove kategorije prihoda budžeta u prvih devet mjeseci 2024. godine, dominantno po osnovu jednokratnih prihoda.</w:t>
      </w:r>
    </w:p>
    <w:p w:rsidR="0059453D" w:rsidRPr="00693885" w:rsidRDefault="0059453D" w:rsidP="0059453D">
      <w:pPr>
        <w:spacing w:line="256" w:lineRule="auto"/>
        <w:jc w:val="both"/>
        <w:rPr>
          <w:rFonts w:eastAsia="Times New Roman" w:cstheme="minorHAnsi"/>
          <w:lang w:val="sr-Latn-ME" w:eastAsia="en-GB"/>
        </w:rPr>
      </w:pPr>
      <w:r w:rsidRPr="0059453D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83AC94F" wp14:editId="75A7136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971800" cy="2238375"/>
            <wp:effectExtent l="0" t="0" r="0" b="0"/>
            <wp:wrapSquare wrapText="bothSides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CEFBF37E-8038-46EF-B8E7-22D5E18104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Sa druge strane, za devet mjeseci 2025. godine </w:t>
      </w:r>
      <w:r w:rsidRPr="0059453D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59453D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290,7 mil. € što je za 139,5 mil. € ili 32,4% manje posmatrano u odnosu na isti period 2024. godine i 22,2 mil. € ili 7,1% manje u odnosu na plan</w:t>
      </w:r>
      <w:r w:rsidRPr="00693885">
        <w:rPr>
          <w:rFonts w:eastAsia="Times New Roman" w:cstheme="minorHAnsi"/>
          <w:lang w:val="sr-Latn-ME" w:eastAsia="en-GB"/>
        </w:rPr>
        <w:t xml:space="preserve">. </w:t>
      </w:r>
    </w:p>
    <w:p w:rsidR="0059453D" w:rsidRPr="0059453D" w:rsidRDefault="0059453D" w:rsidP="0059453D">
      <w:pPr>
        <w:spacing w:line="256" w:lineRule="auto"/>
        <w:jc w:val="both"/>
        <w:rPr>
          <w:rFonts w:eastAsia="Times New Roman" w:cstheme="minorHAnsi"/>
          <w:i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i/>
          <w:sz w:val="24"/>
          <w:szCs w:val="24"/>
          <w:lang w:val="sr-Latn-ME" w:eastAsia="en-GB"/>
        </w:rPr>
        <w:t>Jaz između ostvarenih i planiranih prihoda budžeta po osnovu doprinosa za PIO postepeno se smanjuje u drugoj polovini godine, ukazujući na pozitivne trendove u naplati i stabilizaciji prihoda po ovom osnovu.</w:t>
      </w:r>
    </w:p>
    <w:p w:rsidR="00EF4975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59453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septembru mjesecu ove godine naplaćeno je ukupno 261,6 mil. € prihoda budžeta, što je značajno veće u poređenju sa septembrom prethodne godine, i to za 13,7 mil. € ili 5,5%, kao i u odnosu na plan prihoda budžeta za 8,2 mil. € ili 3,2%.</w:t>
      </w:r>
    </w:p>
    <w:p w:rsid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453D" w:rsidRPr="0059453D" w:rsidRDefault="0059453D" w:rsidP="0059453D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:rsidR="00595EA5" w:rsidRDefault="00595EA5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59453D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Pr="0017603A">
        <w:rPr>
          <w:rFonts w:cstheme="minorHAnsi"/>
          <w:sz w:val="24"/>
          <w:szCs w:val="24"/>
          <w:lang w:val="sr-Latn-ME"/>
        </w:rPr>
        <w:t xml:space="preserve">za </w:t>
      </w:r>
      <w:r w:rsidR="003D0637">
        <w:rPr>
          <w:rFonts w:cstheme="minorHAnsi"/>
          <w:sz w:val="24"/>
          <w:szCs w:val="24"/>
          <w:lang w:val="sr-Latn-ME"/>
        </w:rPr>
        <w:t>period januar-septembar</w:t>
      </w:r>
      <w:r w:rsidRPr="0017603A">
        <w:rPr>
          <w:rFonts w:cstheme="minorHAnsi"/>
          <w:sz w:val="24"/>
          <w:szCs w:val="24"/>
          <w:lang w:val="sr-Latn-ME"/>
        </w:rPr>
        <w:t xml:space="preserve"> 2025. godine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3D0637">
        <w:rPr>
          <w:rFonts w:cstheme="minorHAnsi"/>
          <w:bCs/>
          <w:sz w:val="24"/>
          <w:szCs w:val="24"/>
          <w:lang w:val="sr-Latn-ME"/>
        </w:rPr>
        <w:t>2.188,2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F5DE0" w:rsidRPr="0017603A">
        <w:rPr>
          <w:rFonts w:cstheme="minorHAnsi"/>
          <w:bCs/>
          <w:sz w:val="24"/>
          <w:szCs w:val="24"/>
          <w:lang w:val="sr-Latn-ME"/>
        </w:rPr>
        <w:t>2</w:t>
      </w:r>
      <w:r w:rsidR="003D0637">
        <w:rPr>
          <w:rFonts w:cstheme="minorHAnsi"/>
          <w:bCs/>
          <w:sz w:val="24"/>
          <w:szCs w:val="24"/>
          <w:lang w:val="sr-Latn-ME"/>
        </w:rPr>
        <w:t>7</w:t>
      </w:r>
      <w:r w:rsidRPr="0017603A">
        <w:rPr>
          <w:rFonts w:cstheme="minorHAnsi"/>
          <w:bCs/>
          <w:sz w:val="24"/>
          <w:szCs w:val="24"/>
          <w:lang w:val="sr-Latn-ME"/>
        </w:rPr>
        <w:t>,</w:t>
      </w:r>
      <w:r w:rsidR="003D0637">
        <w:rPr>
          <w:rFonts w:cstheme="minorHAnsi"/>
          <w:bCs/>
          <w:sz w:val="24"/>
          <w:szCs w:val="24"/>
          <w:lang w:val="sr-Latn-ME"/>
        </w:rPr>
        <w:t>6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:rsidR="00544A33" w:rsidRPr="00D93A18" w:rsidRDefault="00D93A18" w:rsidP="005A4CCD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periodu ostvareni su u iznosu od </w:t>
      </w:r>
      <w:r w:rsidR="003D0637">
        <w:rPr>
          <w:rFonts w:ascii="Arial" w:hAnsi="Arial" w:cs="Arial"/>
          <w:bCs/>
          <w:lang w:val="sr-Latn-ME"/>
        </w:rPr>
        <w:t>837,2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predstavlja </w:t>
      </w:r>
      <w:r w:rsidR="00DC5893" w:rsidRPr="00D93A18">
        <w:rPr>
          <w:rFonts w:ascii="Arial" w:hAnsi="Arial" w:cs="Arial"/>
          <w:bCs/>
          <w:lang w:val="sr-Latn-ME"/>
        </w:rPr>
        <w:t>9</w:t>
      </w:r>
      <w:r w:rsidR="00CF45DE">
        <w:rPr>
          <w:rFonts w:ascii="Arial" w:hAnsi="Arial" w:cs="Arial"/>
          <w:bCs/>
          <w:lang w:val="sr-Latn-ME"/>
        </w:rPr>
        <w:t>1</w:t>
      </w:r>
      <w:r w:rsidRPr="00D93A18">
        <w:rPr>
          <w:rFonts w:ascii="Arial" w:hAnsi="Arial" w:cs="Arial"/>
          <w:bCs/>
          <w:lang w:val="sr-Latn-ME"/>
        </w:rPr>
        <w:t>,</w:t>
      </w:r>
      <w:r w:rsidR="003D0637">
        <w:rPr>
          <w:rFonts w:ascii="Arial" w:hAnsi="Arial" w:cs="Arial"/>
          <w:bCs/>
          <w:lang w:val="sr-Latn-ME"/>
        </w:rPr>
        <w:t>9</w:t>
      </w:r>
      <w:r w:rsidRPr="00D93A18">
        <w:rPr>
          <w:rFonts w:ascii="Arial" w:hAnsi="Arial" w:cs="Arial"/>
          <w:bCs/>
          <w:lang w:val="sr-Latn-ME"/>
        </w:rPr>
        <w:t>% plana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Pr="00F14201">
        <w:rPr>
          <w:rFonts w:ascii="Arial" w:hAnsi="Arial" w:cs="Arial"/>
          <w:bCs/>
          <w:lang w:val="sr-Latn-ME"/>
        </w:rPr>
        <w:t xml:space="preserve">kod </w:t>
      </w:r>
      <w:r w:rsidR="00643B3B">
        <w:rPr>
          <w:rFonts w:ascii="Arial" w:hAnsi="Arial" w:cs="Arial"/>
          <w:bCs/>
          <w:lang w:val="sr-Latn-ME"/>
        </w:rPr>
        <w:t xml:space="preserve">svih tekućih izdataka,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 xml:space="preserve">na poziciji </w:t>
      </w:r>
      <w:r w:rsidR="00CD5C65" w:rsidRPr="00585798">
        <w:rPr>
          <w:rFonts w:ascii="Arial" w:hAnsi="Arial" w:cs="Arial"/>
          <w:bCs/>
          <w:lang w:val="sr-Latn-ME"/>
        </w:rPr>
        <w:t>ostalih izdataka.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F121EB" w:rsidRPr="00585798">
        <w:rPr>
          <w:rFonts w:ascii="Arial" w:hAnsi="Arial" w:cs="Arial"/>
          <w:bCs/>
          <w:lang w:val="sr-Latn-ME"/>
        </w:rPr>
        <w:t>1</w:t>
      </w:r>
      <w:r w:rsidR="00CD5C65" w:rsidRPr="00585798">
        <w:rPr>
          <w:rFonts w:ascii="Arial" w:hAnsi="Arial" w:cs="Arial"/>
          <w:bCs/>
          <w:lang w:val="sr-Latn-ME"/>
        </w:rPr>
        <w:t>3</w:t>
      </w:r>
      <w:r w:rsidR="00BA4AD6" w:rsidRPr="00585798">
        <w:rPr>
          <w:rFonts w:ascii="Arial" w:hAnsi="Arial" w:cs="Arial"/>
          <w:bCs/>
          <w:lang w:val="sr-Latn-ME"/>
        </w:rPr>
        <w:t>,</w:t>
      </w:r>
      <w:r w:rsidR="00CD5C65" w:rsidRPr="00585798">
        <w:rPr>
          <w:rFonts w:ascii="Arial" w:hAnsi="Arial" w:cs="Arial"/>
          <w:bCs/>
          <w:lang w:val="sr-Latn-ME"/>
        </w:rPr>
        <w:t>1</w:t>
      </w:r>
      <w:r w:rsidR="00BA4AD6" w:rsidRPr="00585798">
        <w:rPr>
          <w:rFonts w:ascii="Arial" w:hAnsi="Arial" w:cs="Arial"/>
          <w:bCs/>
          <w:lang w:val="sr-Latn-ME"/>
        </w:rPr>
        <w:t xml:space="preserve"> mil. € ili </w:t>
      </w:r>
      <w:r w:rsidR="00F121EB" w:rsidRPr="00585798">
        <w:rPr>
          <w:rFonts w:ascii="Arial" w:hAnsi="Arial" w:cs="Arial"/>
          <w:bCs/>
          <w:lang w:val="sr-Latn-ME"/>
        </w:rPr>
        <w:t>2</w:t>
      </w:r>
      <w:r w:rsidR="00BA4AD6" w:rsidRPr="00585798">
        <w:rPr>
          <w:rFonts w:ascii="Arial" w:hAnsi="Arial" w:cs="Arial"/>
          <w:bCs/>
          <w:lang w:val="sr-Latn-ME"/>
        </w:rPr>
        <w:t>,</w:t>
      </w:r>
      <w:r w:rsidR="00F121EB" w:rsidRPr="00585798">
        <w:rPr>
          <w:rFonts w:ascii="Arial" w:hAnsi="Arial" w:cs="Arial"/>
          <w:bCs/>
          <w:lang w:val="sr-Latn-ME"/>
        </w:rPr>
        <w:t>5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CD5C65">
        <w:rPr>
          <w:rFonts w:ascii="Arial" w:hAnsi="Arial" w:cs="Arial"/>
          <w:bCs/>
          <w:lang w:val="sr-Latn-ME"/>
        </w:rPr>
        <w:t>511,1</w:t>
      </w:r>
      <w:r w:rsidR="00BA4AD6" w:rsidRPr="00BA4AD6">
        <w:rPr>
          <w:rFonts w:ascii="Arial" w:hAnsi="Arial" w:cs="Arial"/>
          <w:bCs/>
          <w:lang w:val="sr-Latn-ME"/>
        </w:rPr>
        <w:t xml:space="preserve"> mil. € ili 9</w:t>
      </w:r>
      <w:r w:rsidR="00F121EB">
        <w:rPr>
          <w:rFonts w:ascii="Arial" w:hAnsi="Arial" w:cs="Arial"/>
          <w:bCs/>
          <w:lang w:val="sr-Latn-ME"/>
        </w:rPr>
        <w:t>7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F121EB">
        <w:rPr>
          <w:rFonts w:ascii="Arial" w:hAnsi="Arial" w:cs="Arial"/>
          <w:bCs/>
          <w:lang w:val="sr-Latn-ME"/>
        </w:rPr>
        <w:t>5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5D1E9F">
        <w:rPr>
          <w:rFonts w:ascii="Arial" w:hAnsi="Arial" w:cs="Arial"/>
          <w:bCs/>
          <w:lang w:val="sr-Latn-ME"/>
        </w:rPr>
        <w:t xml:space="preserve"> plana</w:t>
      </w:r>
      <w:r w:rsidR="00BA4AD6" w:rsidRPr="00BA4AD6">
        <w:rPr>
          <w:rFonts w:ascii="Arial" w:hAnsi="Arial" w:cs="Arial"/>
          <w:bCs/>
          <w:lang w:val="sr-Latn-ME"/>
        </w:rPr>
        <w:t>.</w:t>
      </w: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595EA5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5EE2CA2E" wp14:editId="361ECB36">
            <wp:extent cx="1885950" cy="321314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84" cy="32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47CB13BD" wp14:editId="17328752">
            <wp:extent cx="4026316" cy="3220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001" cy="3222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FE4D99" w:rsidRDefault="00FE4D9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C54B26" w:rsidRPr="006774B4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774B4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71626C">
        <w:rPr>
          <w:rFonts w:cstheme="minorHAnsi"/>
          <w:bCs/>
          <w:sz w:val="24"/>
          <w:szCs w:val="24"/>
          <w:lang w:val="sr-Latn-ME"/>
        </w:rPr>
        <w:t>823,9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F121EB">
        <w:rPr>
          <w:rFonts w:cstheme="minorHAnsi"/>
          <w:bCs/>
          <w:sz w:val="24"/>
          <w:szCs w:val="24"/>
          <w:lang w:val="sr-Latn-ME"/>
        </w:rPr>
        <w:t>99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71626C">
        <w:rPr>
          <w:rFonts w:cstheme="minorHAnsi"/>
          <w:bCs/>
          <w:sz w:val="24"/>
          <w:szCs w:val="24"/>
          <w:lang w:val="sr-Latn-ME"/>
        </w:rPr>
        <w:t>3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 plana i u odnosu na isti period prethodne godine veći su za </w:t>
      </w:r>
      <w:r w:rsidR="0071626C">
        <w:rPr>
          <w:rFonts w:cstheme="minorHAnsi"/>
          <w:bCs/>
          <w:sz w:val="24"/>
          <w:szCs w:val="24"/>
          <w:lang w:val="sr-Latn-ME"/>
        </w:rPr>
        <w:t>83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82100D">
        <w:rPr>
          <w:rFonts w:cstheme="minorHAnsi"/>
          <w:bCs/>
          <w:sz w:val="24"/>
          <w:szCs w:val="24"/>
          <w:lang w:val="sr-Latn-ME"/>
        </w:rPr>
        <w:t>9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ili 1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1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3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  <w:r w:rsidRPr="006774B4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su </w:t>
      </w:r>
      <w:r w:rsidR="0071626C">
        <w:rPr>
          <w:rFonts w:cstheme="minorHAnsi"/>
          <w:bCs/>
          <w:sz w:val="24"/>
          <w:szCs w:val="24"/>
          <w:lang w:val="sr-Latn-ME"/>
        </w:rPr>
        <w:t>309,3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71626C">
        <w:rPr>
          <w:rFonts w:cstheme="minorHAnsi"/>
          <w:bCs/>
          <w:sz w:val="24"/>
          <w:szCs w:val="24"/>
          <w:lang w:val="sr-Latn-ME"/>
        </w:rPr>
        <w:t>41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71626C">
        <w:rPr>
          <w:rFonts w:cstheme="minorHAnsi"/>
          <w:bCs/>
          <w:sz w:val="24"/>
          <w:szCs w:val="24"/>
          <w:lang w:val="sr-Latn-ME"/>
        </w:rPr>
        <w:t>2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F121EB">
        <w:rPr>
          <w:rFonts w:cstheme="minorHAnsi"/>
          <w:bCs/>
          <w:sz w:val="24"/>
          <w:szCs w:val="24"/>
          <w:lang w:val="sr-Latn-ME"/>
        </w:rPr>
        <w:t>11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F121EB">
        <w:rPr>
          <w:rFonts w:cstheme="minorHAnsi"/>
          <w:bCs/>
          <w:sz w:val="24"/>
          <w:szCs w:val="24"/>
          <w:lang w:val="sr-Latn-ME"/>
        </w:rPr>
        <w:t>8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:rsidR="00C54B26" w:rsidRPr="006853B8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u 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DC5893" w:rsidRPr="006774B4">
        <w:rPr>
          <w:rFonts w:cstheme="minorHAnsi"/>
          <w:bCs/>
          <w:sz w:val="24"/>
          <w:szCs w:val="24"/>
        </w:rPr>
        <w:t>1</w:t>
      </w:r>
      <w:r w:rsidR="009A7B18">
        <w:rPr>
          <w:rFonts w:cstheme="minorHAnsi"/>
          <w:bCs/>
          <w:sz w:val="24"/>
          <w:szCs w:val="24"/>
        </w:rPr>
        <w:t>88</w:t>
      </w:r>
      <w:r w:rsidRPr="006774B4">
        <w:rPr>
          <w:rFonts w:cstheme="minorHAnsi"/>
          <w:bCs/>
          <w:sz w:val="24"/>
          <w:szCs w:val="24"/>
        </w:rPr>
        <w:t>,</w:t>
      </w:r>
      <w:r w:rsidR="009A7B18">
        <w:rPr>
          <w:rFonts w:cstheme="minorHAnsi"/>
          <w:bCs/>
          <w:sz w:val="24"/>
          <w:szCs w:val="24"/>
        </w:rPr>
        <w:t>2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>mil. € što predstavlja ostvarenje</w:t>
      </w:r>
      <w:r w:rsidR="006774B4" w:rsidRPr="006774B4">
        <w:rPr>
          <w:rFonts w:cstheme="minorHAnsi"/>
          <w:bCs/>
          <w:sz w:val="24"/>
          <w:szCs w:val="24"/>
        </w:rPr>
        <w:t xml:space="preserve"> </w:t>
      </w:r>
      <w:r w:rsidR="00F121EB">
        <w:rPr>
          <w:rFonts w:cstheme="minorHAnsi"/>
          <w:bCs/>
          <w:sz w:val="24"/>
          <w:szCs w:val="24"/>
        </w:rPr>
        <w:t>9</w:t>
      </w:r>
      <w:r w:rsidR="009A7B18">
        <w:rPr>
          <w:rFonts w:cstheme="minorHAnsi"/>
          <w:bCs/>
          <w:sz w:val="24"/>
          <w:szCs w:val="24"/>
        </w:rPr>
        <w:t>5</w:t>
      </w:r>
      <w:r w:rsidRPr="006774B4">
        <w:rPr>
          <w:rFonts w:cstheme="minorHAnsi"/>
          <w:bCs/>
          <w:sz w:val="24"/>
          <w:szCs w:val="24"/>
        </w:rPr>
        <w:t>,</w:t>
      </w:r>
      <w:r w:rsidR="009A7B18">
        <w:rPr>
          <w:rFonts w:cstheme="minorHAnsi"/>
          <w:bCs/>
          <w:sz w:val="24"/>
          <w:szCs w:val="24"/>
        </w:rPr>
        <w:t>3</w:t>
      </w:r>
      <w:r w:rsidRPr="006774B4">
        <w:rPr>
          <w:rFonts w:cstheme="minorHAnsi"/>
          <w:bCs/>
          <w:sz w:val="24"/>
          <w:szCs w:val="24"/>
          <w:lang w:val="sr-Latn-ME"/>
        </w:rPr>
        <w:t>%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plana</w:t>
      </w:r>
      <w:r w:rsidR="006774B4" w:rsidRPr="00D400A6">
        <w:rPr>
          <w:rFonts w:cstheme="minorHAnsi"/>
          <w:bCs/>
          <w:sz w:val="24"/>
          <w:szCs w:val="24"/>
        </w:rPr>
        <w:t>.</w:t>
      </w:r>
      <w:r w:rsidR="00544EEB" w:rsidRPr="00D400A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na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isti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period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kapit</w:t>
      </w:r>
      <w:r w:rsidR="00CF1DC9">
        <w:rPr>
          <w:rFonts w:cstheme="minorHAnsi"/>
          <w:bCs/>
          <w:sz w:val="24"/>
          <w:szCs w:val="24"/>
        </w:rPr>
        <w:t>al</w:t>
      </w:r>
      <w:r w:rsidR="00EE0C37" w:rsidRPr="00D400A6">
        <w:rPr>
          <w:rFonts w:cstheme="minorHAnsi"/>
          <w:bCs/>
          <w:sz w:val="24"/>
          <w:szCs w:val="24"/>
        </w:rPr>
        <w:t>nih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već</w:t>
      </w:r>
      <w:r w:rsidR="00EE0C37" w:rsidRPr="00D400A6">
        <w:rPr>
          <w:rFonts w:cstheme="minorHAnsi"/>
          <w:bCs/>
          <w:sz w:val="24"/>
          <w:szCs w:val="24"/>
        </w:rPr>
        <w:t>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je</w:t>
      </w:r>
      <w:r w:rsidR="00544EEB" w:rsidRPr="00D400A6">
        <w:rPr>
          <w:rFonts w:cstheme="minorHAnsi"/>
          <w:bCs/>
          <w:sz w:val="24"/>
          <w:szCs w:val="24"/>
        </w:rPr>
        <w:t xml:space="preserve"> za </w:t>
      </w:r>
      <w:r w:rsidR="009A7B18">
        <w:rPr>
          <w:rFonts w:cstheme="minorHAnsi"/>
          <w:bCs/>
          <w:sz w:val="24"/>
          <w:szCs w:val="24"/>
        </w:rPr>
        <w:t>51,0</w:t>
      </w:r>
      <w:r w:rsidR="00DC5893" w:rsidRPr="00D400A6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9A7B18">
        <w:rPr>
          <w:rFonts w:cstheme="minorHAnsi"/>
          <w:bCs/>
          <w:sz w:val="24"/>
          <w:szCs w:val="24"/>
          <w:lang w:val="sr-Latn-ME"/>
        </w:rPr>
        <w:t>37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,</w:t>
      </w:r>
      <w:r w:rsidR="009A7B18">
        <w:rPr>
          <w:rFonts w:cstheme="minorHAnsi"/>
          <w:bCs/>
          <w:sz w:val="24"/>
          <w:szCs w:val="24"/>
          <w:lang w:val="sr-Latn-ME"/>
        </w:rPr>
        <w:t>2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%.</w:t>
      </w:r>
      <w:r w:rsidR="005D1E9F"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</w:t>
      </w:r>
      <w:r w:rsidR="000F6DBE">
        <w:rPr>
          <w:rFonts w:cstheme="minorHAnsi"/>
          <w:bCs/>
          <w:sz w:val="24"/>
          <w:szCs w:val="24"/>
          <w:lang w:val="sr-Latn-ME"/>
        </w:rPr>
        <w:t>al</w:t>
      </w:r>
      <w:r w:rsidR="005D1E9F">
        <w:rPr>
          <w:rFonts w:cstheme="minorHAnsi"/>
          <w:bCs/>
          <w:sz w:val="24"/>
          <w:szCs w:val="24"/>
          <w:lang w:val="sr-Latn-ME"/>
        </w:rPr>
        <w:t>ni budžet u iznosu od 110</w:t>
      </w:r>
      <w:r w:rsidR="00F77A18">
        <w:rPr>
          <w:rFonts w:cstheme="minorHAnsi"/>
          <w:bCs/>
          <w:sz w:val="24"/>
          <w:szCs w:val="24"/>
          <w:lang w:val="sr-Latn-ME"/>
        </w:rPr>
        <w:t>,</w:t>
      </w:r>
      <w:r w:rsidR="005D1E9F">
        <w:rPr>
          <w:rFonts w:cstheme="minorHAnsi"/>
          <w:bCs/>
          <w:sz w:val="24"/>
          <w:szCs w:val="24"/>
          <w:lang w:val="sr-Latn-ME"/>
        </w:rPr>
        <w:t>1 mil</w:t>
      </w:r>
      <w:r w:rsidR="00F77A18">
        <w:rPr>
          <w:rFonts w:cstheme="minorHAnsi"/>
          <w:bCs/>
          <w:sz w:val="24"/>
          <w:szCs w:val="24"/>
          <w:lang w:val="sr-Latn-ME"/>
        </w:rPr>
        <w:t>.</w:t>
      </w:r>
      <w:r w:rsidR="005D1E9F">
        <w:rPr>
          <w:rFonts w:cstheme="minorHAnsi"/>
          <w:bCs/>
          <w:sz w:val="24"/>
          <w:szCs w:val="24"/>
          <w:lang w:val="sr-Latn-ME"/>
        </w:rPr>
        <w:t xml:space="preserve"> €, dok se preostali iznos odnosi na kapitalne izdatke u okviru Tekućeg budžeta i budžeta fondova.</w:t>
      </w:r>
    </w:p>
    <w:p w:rsidR="00C647C7" w:rsidRDefault="00C647C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Hlk204325138"/>
    </w:p>
    <w:p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F5DE0">
        <w:rPr>
          <w:rFonts w:cstheme="minorHAnsi"/>
          <w:sz w:val="24"/>
          <w:szCs w:val="24"/>
          <w:lang w:val="sr-Latn-ME"/>
        </w:rPr>
        <w:t xml:space="preserve">Posmatrajući </w:t>
      </w:r>
      <w:r w:rsidR="009A7B18">
        <w:rPr>
          <w:rFonts w:cstheme="minorHAnsi"/>
          <w:b/>
          <w:sz w:val="24"/>
          <w:szCs w:val="24"/>
          <w:lang w:val="sr-Latn-ME"/>
        </w:rPr>
        <w:t>septembar</w:t>
      </w:r>
      <w:r w:rsidRPr="000F5DE0">
        <w:rPr>
          <w:rFonts w:cstheme="minorHAnsi"/>
          <w:sz w:val="24"/>
          <w:szCs w:val="24"/>
          <w:lang w:val="sr-Latn-ME"/>
        </w:rPr>
        <w:t xml:space="preserve">, 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ukupni </w:t>
      </w:r>
      <w:r w:rsidRPr="000F5DE0">
        <w:rPr>
          <w:rFonts w:cstheme="minorHAnsi"/>
          <w:sz w:val="24"/>
          <w:szCs w:val="24"/>
          <w:lang w:val="sr-Latn-ME"/>
        </w:rPr>
        <w:t>izdaci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 budžeta</w:t>
      </w:r>
      <w:r w:rsidRPr="000F5DE0">
        <w:rPr>
          <w:rFonts w:cstheme="minorHAnsi"/>
          <w:sz w:val="24"/>
          <w:szCs w:val="24"/>
          <w:lang w:val="sr-Latn-ME"/>
        </w:rPr>
        <w:t xml:space="preserve"> iznose </w:t>
      </w:r>
      <w:r w:rsidR="009A7B18">
        <w:rPr>
          <w:rFonts w:cstheme="minorHAnsi"/>
          <w:sz w:val="24"/>
          <w:szCs w:val="24"/>
          <w:lang w:val="sr-Latn-ME"/>
        </w:rPr>
        <w:t>276,6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 u odnosu na posmatrani period prethodne godine </w:t>
      </w:r>
      <w:r w:rsidR="00AA18D3">
        <w:rPr>
          <w:rFonts w:cstheme="minorHAnsi"/>
          <w:sz w:val="24"/>
          <w:szCs w:val="24"/>
          <w:lang w:val="sr-Latn-ME"/>
        </w:rPr>
        <w:t>veći</w:t>
      </w:r>
      <w:r w:rsidR="000F5DE0">
        <w:rPr>
          <w:rFonts w:cstheme="minorHAnsi"/>
          <w:sz w:val="24"/>
          <w:szCs w:val="24"/>
          <w:lang w:val="sr-Latn-ME"/>
        </w:rPr>
        <w:t xml:space="preserve"> </w:t>
      </w:r>
      <w:r w:rsidR="00452B3B">
        <w:rPr>
          <w:rFonts w:cstheme="minorHAnsi"/>
          <w:sz w:val="24"/>
          <w:szCs w:val="24"/>
          <w:lang w:val="sr-Latn-ME"/>
        </w:rPr>
        <w:t xml:space="preserve">su </w:t>
      </w:r>
      <w:r w:rsidRPr="000F5DE0">
        <w:rPr>
          <w:rFonts w:cstheme="minorHAnsi"/>
          <w:sz w:val="24"/>
          <w:szCs w:val="24"/>
          <w:lang w:val="sr-Latn-ME"/>
        </w:rPr>
        <w:t xml:space="preserve">za </w:t>
      </w:r>
      <w:r w:rsidR="009A7B18">
        <w:rPr>
          <w:rFonts w:cstheme="minorHAnsi"/>
          <w:sz w:val="24"/>
          <w:szCs w:val="24"/>
          <w:lang w:val="sr-Latn-ME"/>
        </w:rPr>
        <w:t>22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9A7B18">
        <w:rPr>
          <w:rFonts w:cstheme="minorHAnsi"/>
          <w:sz w:val="24"/>
          <w:szCs w:val="24"/>
          <w:lang w:val="sr-Latn-ME"/>
        </w:rPr>
        <w:t>3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ili </w:t>
      </w:r>
      <w:r w:rsidR="009A7B18">
        <w:rPr>
          <w:rFonts w:cstheme="minorHAnsi"/>
          <w:sz w:val="24"/>
          <w:szCs w:val="24"/>
          <w:lang w:val="sr-Latn-ME"/>
        </w:rPr>
        <w:t>8</w:t>
      </w:r>
      <w:r w:rsidR="000F5DE0">
        <w:rPr>
          <w:rFonts w:cstheme="minorHAnsi"/>
          <w:sz w:val="24"/>
          <w:szCs w:val="24"/>
          <w:lang w:val="sr-Latn-ME"/>
        </w:rPr>
        <w:t>,</w:t>
      </w:r>
      <w:r w:rsidR="009A7B18">
        <w:rPr>
          <w:rFonts w:cstheme="minorHAnsi"/>
          <w:sz w:val="24"/>
          <w:szCs w:val="24"/>
          <w:lang w:val="sr-Latn-ME"/>
        </w:rPr>
        <w:t>8</w:t>
      </w:r>
      <w:r w:rsidRPr="000F5DE0">
        <w:rPr>
          <w:rFonts w:cstheme="minorHAnsi"/>
          <w:sz w:val="24"/>
          <w:szCs w:val="24"/>
          <w:lang w:val="sr-Latn-ME"/>
        </w:rPr>
        <w:t>%.</w:t>
      </w:r>
    </w:p>
    <w:p w:rsidR="00EE0C37" w:rsidRPr="000F5DE0" w:rsidRDefault="00EE0C3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8426E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Odstupanje od plana </w:t>
      </w:r>
      <w:r w:rsidR="005B3A7F">
        <w:rPr>
          <w:rFonts w:cstheme="minorHAnsi"/>
          <w:sz w:val="24"/>
          <w:szCs w:val="24"/>
          <w:lang w:val="sr-Latn-ME"/>
        </w:rPr>
        <w:t>je</w:t>
      </w:r>
      <w:r w:rsidR="0068426E">
        <w:rPr>
          <w:rFonts w:cstheme="minorHAnsi"/>
          <w:sz w:val="24"/>
          <w:szCs w:val="24"/>
          <w:lang w:val="sr-Latn-ME"/>
        </w:rPr>
        <w:t xml:space="preserve"> kod Tekućih izdataka, a </w:t>
      </w:r>
      <w:r w:rsidRPr="006774B4">
        <w:rPr>
          <w:rFonts w:cstheme="minorHAnsi"/>
          <w:sz w:val="24"/>
          <w:szCs w:val="24"/>
          <w:lang w:val="sr-Latn-ME"/>
        </w:rPr>
        <w:t xml:space="preserve">odnosi </w:t>
      </w:r>
      <w:r w:rsidR="0068426E">
        <w:rPr>
          <w:rFonts w:cstheme="minorHAnsi"/>
          <w:sz w:val="24"/>
          <w:szCs w:val="24"/>
          <w:lang w:val="sr-Latn-ME"/>
        </w:rPr>
        <w:t xml:space="preserve">se </w:t>
      </w:r>
      <w:r w:rsidRPr="006774B4">
        <w:rPr>
          <w:rFonts w:cstheme="minorHAnsi"/>
          <w:sz w:val="24"/>
          <w:szCs w:val="24"/>
          <w:lang w:val="sr-Latn-ME"/>
        </w:rPr>
        <w:t xml:space="preserve">na </w:t>
      </w:r>
      <w:r w:rsidR="0068426E">
        <w:rPr>
          <w:rFonts w:cstheme="minorHAnsi"/>
          <w:sz w:val="24"/>
          <w:szCs w:val="24"/>
          <w:lang w:val="sr-Latn-ME"/>
        </w:rPr>
        <w:t>manje</w:t>
      </w:r>
      <w:r w:rsidRPr="006774B4">
        <w:rPr>
          <w:rFonts w:cstheme="minorHAnsi"/>
          <w:sz w:val="24"/>
          <w:szCs w:val="24"/>
          <w:lang w:val="sr-Latn-ME"/>
        </w:rPr>
        <w:t xml:space="preserve"> ostvarenje </w:t>
      </w:r>
      <w:r w:rsidR="009A7B18">
        <w:rPr>
          <w:rFonts w:cstheme="minorHAnsi"/>
          <w:sz w:val="24"/>
          <w:szCs w:val="24"/>
          <w:lang w:val="sr-Latn-ME"/>
        </w:rPr>
        <w:t xml:space="preserve">dominantno </w:t>
      </w:r>
      <w:r w:rsidRPr="006774B4">
        <w:rPr>
          <w:rFonts w:cstheme="minorHAnsi"/>
          <w:sz w:val="24"/>
          <w:szCs w:val="24"/>
          <w:lang w:val="sr-Latn-ME"/>
        </w:rPr>
        <w:t>na pozicij</w:t>
      </w:r>
      <w:r w:rsidR="009E0225" w:rsidRPr="006774B4">
        <w:rPr>
          <w:rFonts w:cstheme="minorHAnsi"/>
          <w:sz w:val="24"/>
          <w:szCs w:val="24"/>
          <w:lang w:val="sr-Latn-ME"/>
        </w:rPr>
        <w:t>i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9A7B18">
        <w:rPr>
          <w:rFonts w:cstheme="minorHAnsi"/>
          <w:sz w:val="24"/>
          <w:szCs w:val="24"/>
          <w:lang w:val="sr-Latn-ME"/>
        </w:rPr>
        <w:t>Subvencije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koj</w:t>
      </w:r>
      <w:r w:rsidR="009A7B18">
        <w:rPr>
          <w:rFonts w:cstheme="minorHAnsi"/>
          <w:sz w:val="24"/>
          <w:szCs w:val="24"/>
          <w:lang w:val="sr-Latn-ME"/>
        </w:rPr>
        <w:t>e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su </w:t>
      </w:r>
      <w:r w:rsidR="0068426E" w:rsidRPr="00F77A18">
        <w:rPr>
          <w:rFonts w:cstheme="minorHAnsi"/>
          <w:sz w:val="24"/>
          <w:szCs w:val="24"/>
          <w:lang w:val="sr-Latn-ME"/>
        </w:rPr>
        <w:t>ostvaren</w:t>
      </w:r>
      <w:r w:rsidR="009A7B18" w:rsidRPr="00F77A18">
        <w:rPr>
          <w:rFonts w:cstheme="minorHAnsi"/>
          <w:sz w:val="24"/>
          <w:szCs w:val="24"/>
          <w:lang w:val="sr-Latn-ME"/>
        </w:rPr>
        <w:t>e</w:t>
      </w:r>
      <w:r w:rsidR="0068426E" w:rsidRPr="00F77A18">
        <w:rPr>
          <w:rFonts w:cstheme="minorHAnsi"/>
          <w:sz w:val="24"/>
          <w:szCs w:val="24"/>
          <w:lang w:val="sr-Latn-ME"/>
        </w:rPr>
        <w:t xml:space="preserve"> u iznosu od </w:t>
      </w:r>
      <w:r w:rsidR="009A7B18" w:rsidRPr="00F77A18">
        <w:rPr>
          <w:rFonts w:cstheme="minorHAnsi"/>
          <w:sz w:val="24"/>
          <w:szCs w:val="24"/>
          <w:lang w:val="sr-Latn-ME"/>
        </w:rPr>
        <w:t>1</w:t>
      </w:r>
      <w:r w:rsidRPr="00F77A18">
        <w:rPr>
          <w:rFonts w:cstheme="minorHAnsi"/>
          <w:sz w:val="24"/>
          <w:szCs w:val="24"/>
          <w:lang w:val="sr-Latn-ME"/>
        </w:rPr>
        <w:t>,</w:t>
      </w:r>
      <w:r w:rsidR="009A7B18" w:rsidRPr="00F77A18">
        <w:rPr>
          <w:rFonts w:cstheme="minorHAnsi"/>
          <w:sz w:val="24"/>
          <w:szCs w:val="24"/>
          <w:lang w:val="sr-Latn-ME"/>
        </w:rPr>
        <w:t>7</w:t>
      </w:r>
      <w:r w:rsidRPr="00F77A18">
        <w:rPr>
          <w:rFonts w:cstheme="minorHAnsi"/>
          <w:sz w:val="24"/>
          <w:szCs w:val="24"/>
          <w:lang w:val="sr-Latn-ME"/>
        </w:rPr>
        <w:t xml:space="preserve"> mil. € </w:t>
      </w:r>
      <w:r w:rsidR="0068426E" w:rsidRPr="00F77A18">
        <w:rPr>
          <w:rFonts w:cstheme="minorHAnsi"/>
          <w:sz w:val="24"/>
          <w:szCs w:val="24"/>
          <w:lang w:val="sr-Latn-ME"/>
        </w:rPr>
        <w:t xml:space="preserve">što je </w:t>
      </w:r>
      <w:r w:rsidR="00A845BA" w:rsidRPr="00F77A18">
        <w:rPr>
          <w:rFonts w:cstheme="minorHAnsi"/>
          <w:sz w:val="24"/>
          <w:szCs w:val="24"/>
          <w:lang w:val="sr-Latn-ME"/>
        </w:rPr>
        <w:t>razlika</w:t>
      </w:r>
      <w:r w:rsidRPr="00F77A18">
        <w:rPr>
          <w:rFonts w:cstheme="minorHAnsi"/>
          <w:sz w:val="24"/>
          <w:szCs w:val="24"/>
          <w:lang w:val="sr-Latn-ME"/>
        </w:rPr>
        <w:t xml:space="preserve"> u odnosu na plan</w:t>
      </w:r>
      <w:r w:rsidR="0068426E" w:rsidRPr="00F77A18">
        <w:rPr>
          <w:rFonts w:cstheme="minorHAnsi"/>
          <w:sz w:val="24"/>
          <w:szCs w:val="24"/>
          <w:lang w:val="sr-Latn-ME"/>
        </w:rPr>
        <w:t xml:space="preserve"> za </w:t>
      </w:r>
      <w:r w:rsidR="009A7B18" w:rsidRPr="00F77A18">
        <w:rPr>
          <w:rFonts w:cstheme="minorHAnsi"/>
          <w:sz w:val="24"/>
          <w:szCs w:val="24"/>
          <w:lang w:val="sr-Latn-ME"/>
        </w:rPr>
        <w:t>5,1</w:t>
      </w:r>
      <w:r w:rsidR="0068426E" w:rsidRPr="00F77A18">
        <w:rPr>
          <w:rFonts w:cstheme="minorHAnsi"/>
          <w:sz w:val="24"/>
          <w:szCs w:val="24"/>
          <w:lang w:val="sr-Latn-ME"/>
        </w:rPr>
        <w:t xml:space="preserve"> mil. € ili </w:t>
      </w:r>
      <w:r w:rsidR="009A7B18" w:rsidRPr="00F77A18">
        <w:rPr>
          <w:rFonts w:cstheme="minorHAnsi"/>
          <w:sz w:val="24"/>
          <w:szCs w:val="24"/>
          <w:lang w:val="sr-Latn-ME"/>
        </w:rPr>
        <w:t>75,3</w:t>
      </w:r>
      <w:r w:rsidR="0068426E" w:rsidRPr="00F77A18">
        <w:rPr>
          <w:rFonts w:cstheme="minorHAnsi"/>
          <w:sz w:val="24"/>
          <w:szCs w:val="24"/>
          <w:lang w:val="sr-Latn-ME"/>
        </w:rPr>
        <w:t>%</w:t>
      </w:r>
      <w:r w:rsidR="00A845BA" w:rsidRPr="00F77A18">
        <w:rPr>
          <w:rFonts w:cstheme="minorHAnsi"/>
          <w:sz w:val="24"/>
          <w:szCs w:val="24"/>
          <w:lang w:val="sr-Latn-ME"/>
        </w:rPr>
        <w:t xml:space="preserve"> shodno dinamici</w:t>
      </w:r>
      <w:r w:rsidR="00BD7685" w:rsidRPr="00F77A18">
        <w:rPr>
          <w:rFonts w:cstheme="minorHAnsi"/>
          <w:sz w:val="24"/>
          <w:szCs w:val="24"/>
          <w:lang w:val="sr-Latn-ME"/>
        </w:rPr>
        <w:t xml:space="preserve"> izvršavanja</w:t>
      </w:r>
      <w:r w:rsidR="00A845BA" w:rsidRPr="00F77A18">
        <w:rPr>
          <w:rFonts w:cstheme="minorHAnsi"/>
          <w:sz w:val="24"/>
          <w:szCs w:val="24"/>
          <w:lang w:val="sr-Latn-ME"/>
        </w:rPr>
        <w:t xml:space="preserve"> </w:t>
      </w:r>
      <w:r w:rsidR="001F43A0" w:rsidRPr="00F77A18">
        <w:rPr>
          <w:rFonts w:cstheme="minorHAnsi"/>
          <w:sz w:val="24"/>
          <w:szCs w:val="24"/>
          <w:lang w:val="sr-Latn-ME"/>
        </w:rPr>
        <w:t xml:space="preserve">subvencija dominantno za </w:t>
      </w:r>
      <w:r w:rsidR="005D1E9F" w:rsidRPr="00F77A18">
        <w:rPr>
          <w:rFonts w:cstheme="minorHAnsi"/>
          <w:sz w:val="24"/>
          <w:szCs w:val="24"/>
          <w:lang w:val="sr-Latn-ME"/>
        </w:rPr>
        <w:t>potrebe Ministarstva poljoprivrede, šumarstva i vodoprivrede</w:t>
      </w:r>
      <w:r w:rsidR="009D7AB7" w:rsidRPr="00F77A18">
        <w:rPr>
          <w:rFonts w:cstheme="minorHAnsi"/>
          <w:sz w:val="24"/>
          <w:szCs w:val="24"/>
          <w:lang w:val="sr-Latn-ME"/>
        </w:rPr>
        <w:t xml:space="preserve">, odnosno </w:t>
      </w:r>
      <w:r w:rsidR="005D1E9F" w:rsidRPr="00F77A18">
        <w:rPr>
          <w:rFonts w:cstheme="minorHAnsi"/>
          <w:sz w:val="24"/>
          <w:szCs w:val="24"/>
          <w:lang w:val="sr-Latn-ME"/>
        </w:rPr>
        <w:t>p</w:t>
      </w:r>
      <w:r w:rsidR="001F43A0" w:rsidRPr="00F77A18">
        <w:rPr>
          <w:rFonts w:cstheme="minorHAnsi"/>
          <w:sz w:val="24"/>
          <w:szCs w:val="24"/>
          <w:lang w:val="sr-Latn-ME"/>
        </w:rPr>
        <w:t>odršku Agenciji za plaćanje kroz IACS mjere i IPARD III Program</w:t>
      </w:r>
      <w:r w:rsidR="009A7B18" w:rsidRPr="00F77A18">
        <w:rPr>
          <w:rFonts w:cstheme="minorHAnsi"/>
          <w:sz w:val="24"/>
          <w:szCs w:val="24"/>
          <w:lang w:val="sr-Latn-ME"/>
        </w:rPr>
        <w:t xml:space="preserve"> i </w:t>
      </w:r>
      <w:r w:rsidR="001867A0" w:rsidRPr="00F77A18">
        <w:rPr>
          <w:rFonts w:cstheme="minorHAnsi"/>
          <w:sz w:val="24"/>
          <w:szCs w:val="24"/>
          <w:lang w:val="sr-Latn-ME"/>
        </w:rPr>
        <w:t xml:space="preserve">na poziciji Ostalih izdataka koji su ostvareni u iznosu 3,8 mil. € što </w:t>
      </w:r>
      <w:r w:rsidR="009D7AB7" w:rsidRPr="00F77A18">
        <w:rPr>
          <w:rFonts w:cstheme="minorHAnsi"/>
          <w:sz w:val="24"/>
          <w:szCs w:val="24"/>
          <w:lang w:val="sr-Latn-ME"/>
        </w:rPr>
        <w:t xml:space="preserve">predstavlja </w:t>
      </w:r>
      <w:r w:rsidR="006738C9" w:rsidRPr="00F77A18">
        <w:rPr>
          <w:rFonts w:cstheme="minorHAnsi"/>
          <w:sz w:val="24"/>
          <w:szCs w:val="24"/>
          <w:lang w:val="sr-Latn-ME"/>
        </w:rPr>
        <w:t>razlik</w:t>
      </w:r>
      <w:r w:rsidR="009D7AB7" w:rsidRPr="00F77A18">
        <w:rPr>
          <w:rFonts w:cstheme="minorHAnsi"/>
          <w:sz w:val="24"/>
          <w:szCs w:val="24"/>
          <w:lang w:val="sr-Latn-ME"/>
        </w:rPr>
        <w:t>u</w:t>
      </w:r>
      <w:r w:rsidR="001867A0" w:rsidRPr="00F77A18">
        <w:rPr>
          <w:rFonts w:cstheme="minorHAnsi"/>
          <w:sz w:val="24"/>
          <w:szCs w:val="24"/>
          <w:lang w:val="sr-Latn-ME"/>
        </w:rPr>
        <w:t xml:space="preserve"> u odnosu na plan za 4,7 mil. € ili 55,0%</w:t>
      </w:r>
      <w:r w:rsidR="006738C9" w:rsidRPr="00F77A18">
        <w:rPr>
          <w:rFonts w:cstheme="minorHAnsi"/>
          <w:sz w:val="24"/>
          <w:szCs w:val="24"/>
          <w:lang w:val="sr-Latn-ME"/>
        </w:rPr>
        <w:t xml:space="preserve"> dominantno zbog manjih izdataka za ugovore o djelu i izradu i održavanje softvera</w:t>
      </w:r>
      <w:r w:rsidR="001867A0" w:rsidRPr="00F77A18">
        <w:rPr>
          <w:rFonts w:cstheme="minorHAnsi"/>
          <w:sz w:val="24"/>
          <w:szCs w:val="24"/>
          <w:lang w:val="sr-Latn-ME"/>
        </w:rPr>
        <w:t>.</w:t>
      </w:r>
      <w:r w:rsidR="00585798" w:rsidRPr="00F77A18">
        <w:rPr>
          <w:rFonts w:cstheme="minorHAnsi"/>
          <w:sz w:val="24"/>
          <w:szCs w:val="24"/>
          <w:lang w:val="sr-Latn-ME"/>
        </w:rPr>
        <w:t xml:space="preserve"> Veće ostvarenje u odnosu na plan</w:t>
      </w:r>
      <w:r w:rsidR="00585798" w:rsidRPr="00F77A18">
        <w:t xml:space="preserve"> </w:t>
      </w:r>
      <w:r w:rsidR="00585798" w:rsidRPr="00F77A18">
        <w:rPr>
          <w:rFonts w:cstheme="minorHAnsi"/>
          <w:sz w:val="24"/>
          <w:szCs w:val="24"/>
          <w:lang w:val="sr-Latn-ME"/>
        </w:rPr>
        <w:t>za 8,8 mil. € ili 60,6% zabilježeno je dominantno kod Kamata na poziciji Kamate nerezidentima</w:t>
      </w:r>
      <w:r w:rsidR="009D7AB7" w:rsidRPr="00F77A18">
        <w:rPr>
          <w:rFonts w:cstheme="minorHAnsi"/>
          <w:sz w:val="24"/>
          <w:szCs w:val="24"/>
          <w:lang w:val="sr-Latn-ME"/>
        </w:rPr>
        <w:t>, prilagođeno</w:t>
      </w:r>
      <w:r w:rsidR="009D7AB7">
        <w:rPr>
          <w:rFonts w:cstheme="minorHAnsi"/>
          <w:sz w:val="24"/>
          <w:szCs w:val="24"/>
          <w:lang w:val="sr-Latn-ME"/>
        </w:rPr>
        <w:t xml:space="preserve"> stvarnoj dinamici izmirenja obaveza države za predmetne namjene</w:t>
      </w:r>
      <w:r w:rsidR="00585798">
        <w:rPr>
          <w:rFonts w:cstheme="minorHAnsi"/>
          <w:sz w:val="24"/>
          <w:szCs w:val="24"/>
          <w:lang w:val="sr-Latn-ME"/>
        </w:rPr>
        <w:t>.</w:t>
      </w:r>
    </w:p>
    <w:p w:rsidR="001867A0" w:rsidRDefault="001867A0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8426E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Kod </w:t>
      </w:r>
      <w:r w:rsidR="0068426E">
        <w:rPr>
          <w:rFonts w:cstheme="minorHAnsi"/>
          <w:sz w:val="24"/>
          <w:szCs w:val="24"/>
          <w:lang w:val="sr-Latn-ME"/>
        </w:rPr>
        <w:t>Transfera institucijama, pojedincima, nevladinom i javnom sektoru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68426E">
        <w:rPr>
          <w:rFonts w:cstheme="minorHAnsi"/>
          <w:sz w:val="24"/>
          <w:szCs w:val="24"/>
          <w:lang w:val="sr-Latn-ME"/>
        </w:rPr>
        <w:t xml:space="preserve">manje je ostvarenje u odnosu na plan za </w:t>
      </w:r>
      <w:r w:rsidR="001867A0">
        <w:rPr>
          <w:rFonts w:cstheme="minorHAnsi"/>
          <w:sz w:val="24"/>
          <w:szCs w:val="24"/>
          <w:lang w:val="sr-Latn-ME"/>
        </w:rPr>
        <w:t>5,4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1867A0">
        <w:rPr>
          <w:rFonts w:cstheme="minorHAnsi"/>
          <w:sz w:val="24"/>
          <w:szCs w:val="24"/>
          <w:lang w:val="sr-Latn-ME"/>
        </w:rPr>
        <w:t>11,7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F121EB">
        <w:rPr>
          <w:rFonts w:cstheme="minorHAnsi"/>
          <w:sz w:val="24"/>
          <w:szCs w:val="24"/>
          <w:lang w:val="sr-Latn-ME"/>
        </w:rPr>
        <w:t>.</w:t>
      </w:r>
      <w:r w:rsidR="00717565" w:rsidRPr="00717565">
        <w:t xml:space="preserve"> </w:t>
      </w:r>
      <w:r w:rsidR="00391F4C">
        <w:rPr>
          <w:rFonts w:cstheme="minorHAnsi"/>
          <w:sz w:val="24"/>
          <w:szCs w:val="24"/>
          <w:lang w:val="sr-Latn-ME"/>
        </w:rPr>
        <w:t>Kapitalni izdaci</w:t>
      </w:r>
      <w:r w:rsidR="00717565">
        <w:rPr>
          <w:rFonts w:cstheme="minorHAnsi"/>
          <w:sz w:val="24"/>
          <w:szCs w:val="24"/>
          <w:lang w:val="sr-Latn-ME"/>
        </w:rPr>
        <w:t xml:space="preserve"> u septembru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ostvareni su u iznosu od </w:t>
      </w:r>
      <w:r w:rsidR="00717565">
        <w:rPr>
          <w:rFonts w:cstheme="minorHAnsi"/>
          <w:sz w:val="24"/>
          <w:szCs w:val="24"/>
          <w:lang w:val="sr-Latn-ME"/>
        </w:rPr>
        <w:t>32</w:t>
      </w:r>
      <w:r w:rsidR="00717565" w:rsidRPr="00717565">
        <w:rPr>
          <w:rFonts w:cstheme="minorHAnsi"/>
          <w:sz w:val="24"/>
          <w:szCs w:val="24"/>
          <w:lang w:val="sr-Latn-ME"/>
        </w:rPr>
        <w:t>,9 mil. €</w:t>
      </w:r>
      <w:r w:rsidR="00717565">
        <w:rPr>
          <w:rFonts w:cstheme="minorHAnsi"/>
          <w:sz w:val="24"/>
          <w:szCs w:val="24"/>
          <w:lang w:val="sr-Latn-ME"/>
        </w:rPr>
        <w:t xml:space="preserve"> što je </w:t>
      </w:r>
      <w:r w:rsidR="00717565" w:rsidRPr="00717565">
        <w:rPr>
          <w:rFonts w:cstheme="minorHAnsi"/>
          <w:sz w:val="24"/>
          <w:szCs w:val="24"/>
          <w:lang w:val="sr-Latn-ME"/>
        </w:rPr>
        <w:t>za</w:t>
      </w:r>
      <w:r w:rsidR="00717565">
        <w:rPr>
          <w:rFonts w:cstheme="minorHAnsi"/>
          <w:sz w:val="24"/>
          <w:szCs w:val="24"/>
          <w:lang w:val="sr-Latn-ME"/>
        </w:rPr>
        <w:t xml:space="preserve"> 6</w:t>
      </w:r>
      <w:r w:rsidR="00717565" w:rsidRPr="00717565">
        <w:rPr>
          <w:rFonts w:cstheme="minorHAnsi"/>
          <w:sz w:val="24"/>
          <w:szCs w:val="24"/>
          <w:lang w:val="sr-Latn-ME"/>
        </w:rPr>
        <w:t>,</w:t>
      </w:r>
      <w:r w:rsidR="00717565">
        <w:rPr>
          <w:rFonts w:cstheme="minorHAnsi"/>
          <w:sz w:val="24"/>
          <w:szCs w:val="24"/>
          <w:lang w:val="sr-Latn-ME"/>
        </w:rPr>
        <w:t>3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 ili </w:t>
      </w:r>
      <w:r w:rsidR="00717565">
        <w:rPr>
          <w:rFonts w:cstheme="minorHAnsi"/>
          <w:sz w:val="24"/>
          <w:szCs w:val="24"/>
          <w:lang w:val="sr-Latn-ME"/>
        </w:rPr>
        <w:t>23</w:t>
      </w:r>
      <w:r w:rsidR="00717565" w:rsidRPr="00717565">
        <w:rPr>
          <w:rFonts w:cstheme="minorHAnsi"/>
          <w:sz w:val="24"/>
          <w:szCs w:val="24"/>
          <w:lang w:val="sr-Latn-ME"/>
        </w:rPr>
        <w:t>,7%</w:t>
      </w:r>
      <w:r w:rsidR="00717565">
        <w:rPr>
          <w:rFonts w:cstheme="minorHAnsi"/>
          <w:sz w:val="24"/>
          <w:szCs w:val="24"/>
          <w:lang w:val="sr-Latn-ME"/>
        </w:rPr>
        <w:t xml:space="preserve"> veće u odnosu na isti mjesec prošle godine.</w:t>
      </w:r>
    </w:p>
    <w:p w:rsidR="0068426E" w:rsidRDefault="0068426E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bookmarkEnd w:id="1"/>
    <w:p w:rsidR="00452B3B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 za period januar-</w:t>
      </w:r>
      <w:r w:rsidR="001867A0">
        <w:rPr>
          <w:rFonts w:cstheme="minorHAnsi"/>
          <w:b/>
          <w:sz w:val="24"/>
          <w:szCs w:val="24"/>
          <w:lang w:val="sr-Latn-ME"/>
        </w:rPr>
        <w:t>septembar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2025. godine ostvaren je deficit budžeta u iznosu od </w:t>
      </w:r>
      <w:r w:rsidR="001867A0">
        <w:rPr>
          <w:rFonts w:cstheme="minorHAnsi"/>
          <w:b/>
          <w:sz w:val="24"/>
          <w:szCs w:val="24"/>
          <w:lang w:val="sr-Latn-ME"/>
        </w:rPr>
        <w:t>88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992C1E">
        <w:rPr>
          <w:rFonts w:cstheme="minorHAnsi"/>
          <w:b/>
          <w:sz w:val="24"/>
          <w:szCs w:val="24"/>
          <w:lang w:val="sr-Latn-ME"/>
        </w:rPr>
        <w:t>3</w:t>
      </w:r>
      <w:r w:rsidR="00992C1E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1867A0">
        <w:rPr>
          <w:rFonts w:cstheme="minorHAnsi"/>
          <w:b/>
          <w:sz w:val="24"/>
          <w:szCs w:val="24"/>
          <w:lang w:val="sr-Latn-ME"/>
        </w:rPr>
        <w:t>1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1867A0">
        <w:rPr>
          <w:rFonts w:cstheme="minorHAnsi"/>
          <w:b/>
          <w:sz w:val="24"/>
          <w:szCs w:val="24"/>
          <w:lang w:val="sr-Latn-ME"/>
        </w:rPr>
        <w:t>1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452B3B">
        <w:rPr>
          <w:rFonts w:cstheme="minorHAnsi"/>
          <w:b/>
          <w:sz w:val="24"/>
          <w:szCs w:val="24"/>
          <w:lang w:val="sr-Latn-ME"/>
        </w:rPr>
        <w:t>.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Takođe,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za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period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januar-</w:t>
      </w:r>
      <w:r w:rsidR="001867A0">
        <w:rPr>
          <w:rFonts w:cstheme="minorHAnsi"/>
          <w:b/>
          <w:sz w:val="24"/>
          <w:szCs w:val="24"/>
          <w:lang w:val="sr-Latn-ME"/>
        </w:rPr>
        <w:t xml:space="preserve">septembar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ostvar</w:t>
      </w:r>
      <w:r w:rsidR="000C44E4" w:rsidRPr="00162109">
        <w:rPr>
          <w:rFonts w:cstheme="minorHAnsi"/>
          <w:b/>
          <w:sz w:val="24"/>
          <w:szCs w:val="24"/>
          <w:lang w:val="sr-Latn-ME"/>
        </w:rPr>
        <w:t>e</w:t>
      </w:r>
      <w:r w:rsidR="006D14B9" w:rsidRPr="00162109">
        <w:rPr>
          <w:rFonts w:cstheme="minorHAnsi"/>
          <w:b/>
          <w:sz w:val="24"/>
          <w:szCs w:val="24"/>
          <w:lang w:val="sr-Latn-ME"/>
        </w:rPr>
        <w:t>nje suficit</w:t>
      </w:r>
      <w:r w:rsidR="001B3337" w:rsidRPr="00162109">
        <w:rPr>
          <w:rFonts w:cstheme="minorHAnsi"/>
          <w:b/>
          <w:sz w:val="24"/>
          <w:szCs w:val="24"/>
          <w:lang w:val="sr-Latn-ME"/>
        </w:rPr>
        <w:t>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tekuće potrošnje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iznosi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</w:t>
      </w:r>
      <w:r w:rsidR="001867A0">
        <w:rPr>
          <w:rFonts w:cstheme="minorHAnsi"/>
          <w:b/>
          <w:sz w:val="24"/>
          <w:szCs w:val="24"/>
          <w:lang w:val="sr-Latn-ME"/>
        </w:rPr>
        <w:t>99,8</w:t>
      </w:r>
      <w:r w:rsidR="00DC5893" w:rsidRPr="00162109">
        <w:rPr>
          <w:rFonts w:cstheme="minorHAnsi"/>
          <w:b/>
          <w:sz w:val="24"/>
          <w:szCs w:val="24"/>
          <w:lang w:val="sr-Latn-ME"/>
        </w:rPr>
        <w:t xml:space="preserve">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mil. €</w:t>
      </w:r>
      <w:r w:rsidR="001867A0">
        <w:rPr>
          <w:rFonts w:cstheme="minorHAnsi"/>
          <w:b/>
          <w:sz w:val="24"/>
          <w:szCs w:val="24"/>
          <w:lang w:val="sr-Latn-ME"/>
        </w:rPr>
        <w:t>.</w:t>
      </w:r>
    </w:p>
    <w:p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A66D57" w:rsidRPr="00162109" w:rsidRDefault="00452B3B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A522F6">
        <w:rPr>
          <w:rFonts w:cstheme="minorHAnsi"/>
          <w:b/>
          <w:sz w:val="24"/>
          <w:szCs w:val="24"/>
          <w:lang w:val="sr-Latn-ME"/>
        </w:rPr>
        <w:t xml:space="preserve">U </w:t>
      </w:r>
      <w:r w:rsidR="001867A0">
        <w:rPr>
          <w:rFonts w:cstheme="minorHAnsi"/>
          <w:b/>
          <w:sz w:val="24"/>
          <w:szCs w:val="24"/>
          <w:lang w:val="sr-Latn-ME"/>
        </w:rPr>
        <w:t>septembru</w:t>
      </w:r>
      <w:r w:rsidRPr="00A522F6">
        <w:rPr>
          <w:rFonts w:cstheme="minorHAnsi"/>
          <w:b/>
          <w:sz w:val="24"/>
          <w:szCs w:val="24"/>
          <w:lang w:val="sr-Latn-ME"/>
        </w:rPr>
        <w:t xml:space="preserve"> je ostvaren </w:t>
      </w:r>
      <w:r w:rsidR="001867A0">
        <w:rPr>
          <w:rFonts w:cstheme="minorHAnsi"/>
          <w:b/>
          <w:sz w:val="24"/>
          <w:szCs w:val="24"/>
          <w:lang w:val="sr-Latn-ME"/>
        </w:rPr>
        <w:t>deficit</w:t>
      </w:r>
      <w:r w:rsidRPr="00A522F6">
        <w:rPr>
          <w:rFonts w:cstheme="minorHAnsi"/>
          <w:b/>
          <w:sz w:val="24"/>
          <w:szCs w:val="24"/>
          <w:lang w:val="sr-Latn-ME"/>
        </w:rPr>
        <w:t xml:space="preserve"> budžeta u iznosu od </w:t>
      </w:r>
      <w:r w:rsidR="001867A0">
        <w:rPr>
          <w:rFonts w:cstheme="minorHAnsi"/>
          <w:b/>
          <w:sz w:val="24"/>
          <w:szCs w:val="24"/>
          <w:lang w:val="sr-Latn-ME"/>
        </w:rPr>
        <w:t>15</w:t>
      </w:r>
      <w:r w:rsidR="001867A0" w:rsidRPr="00EA6AE7">
        <w:rPr>
          <w:rFonts w:cstheme="minorHAnsi"/>
          <w:b/>
          <w:sz w:val="24"/>
          <w:szCs w:val="24"/>
          <w:lang w:val="sr-Latn-ME"/>
        </w:rPr>
        <w:t xml:space="preserve"> mil. €, odnosno na nivou </w:t>
      </w:r>
      <w:r w:rsidR="001867A0">
        <w:rPr>
          <w:rFonts w:cstheme="minorHAnsi"/>
          <w:b/>
          <w:sz w:val="24"/>
          <w:szCs w:val="24"/>
          <w:lang w:val="sr-Latn-ME"/>
        </w:rPr>
        <w:t xml:space="preserve">je </w:t>
      </w:r>
      <w:r w:rsidR="001867A0"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1867A0">
        <w:rPr>
          <w:rFonts w:cstheme="minorHAnsi"/>
          <w:b/>
          <w:sz w:val="24"/>
          <w:szCs w:val="24"/>
          <w:lang w:val="sr-Latn-ME"/>
        </w:rPr>
        <w:t>0</w:t>
      </w:r>
      <w:r w:rsidR="001867A0" w:rsidRPr="00EA6AE7">
        <w:rPr>
          <w:rFonts w:cstheme="minorHAnsi"/>
          <w:b/>
          <w:sz w:val="24"/>
          <w:szCs w:val="24"/>
          <w:lang w:val="sr-Latn-ME"/>
        </w:rPr>
        <w:t>,</w:t>
      </w:r>
      <w:r w:rsidR="001867A0">
        <w:rPr>
          <w:rFonts w:cstheme="minorHAnsi"/>
          <w:b/>
          <w:sz w:val="24"/>
          <w:szCs w:val="24"/>
          <w:lang w:val="sr-Latn-ME"/>
        </w:rPr>
        <w:t>2</w:t>
      </w:r>
      <w:r w:rsidR="001867A0"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>
        <w:rPr>
          <w:rFonts w:cstheme="minorHAnsi"/>
          <w:b/>
          <w:sz w:val="24"/>
          <w:szCs w:val="24"/>
          <w:lang w:val="sr-Latn-ME"/>
        </w:rPr>
        <w:t xml:space="preserve">, dok je suficit tekuće potrošnje </w:t>
      </w:r>
      <w:r w:rsidR="001B3337" w:rsidRPr="00162109">
        <w:rPr>
          <w:rFonts w:cstheme="minorHAnsi"/>
          <w:b/>
          <w:sz w:val="24"/>
          <w:szCs w:val="24"/>
          <w:lang w:val="sr-Latn-ME"/>
        </w:rPr>
        <w:t xml:space="preserve">u </w:t>
      </w:r>
      <w:r w:rsidR="001867A0">
        <w:rPr>
          <w:rFonts w:cstheme="minorHAnsi"/>
          <w:b/>
          <w:sz w:val="24"/>
          <w:szCs w:val="24"/>
          <w:lang w:val="sr-Latn-ME"/>
        </w:rPr>
        <w:t xml:space="preserve">septembru </w:t>
      </w:r>
      <w:r w:rsidR="006E1B84" w:rsidRPr="00162109">
        <w:rPr>
          <w:rFonts w:cstheme="minorHAnsi"/>
          <w:b/>
          <w:sz w:val="24"/>
          <w:szCs w:val="24"/>
          <w:lang w:val="sr-Latn-ME"/>
        </w:rPr>
        <w:t xml:space="preserve">ostvaren u iznosu od </w:t>
      </w:r>
      <w:r w:rsidR="001867A0">
        <w:rPr>
          <w:rFonts w:cstheme="minorHAnsi"/>
          <w:b/>
          <w:sz w:val="24"/>
          <w:szCs w:val="24"/>
          <w:lang w:val="sr-Latn-ME"/>
        </w:rPr>
        <w:t>17,9</w:t>
      </w:r>
      <w:r w:rsidR="001B3337" w:rsidRPr="00162109">
        <w:rPr>
          <w:rFonts w:cstheme="minorHAnsi"/>
          <w:b/>
          <w:sz w:val="24"/>
          <w:szCs w:val="24"/>
          <w:lang w:val="sr-Latn-ME"/>
        </w:rPr>
        <w:t xml:space="preserve"> mil. €</w:t>
      </w:r>
      <w:r>
        <w:rPr>
          <w:rFonts w:cstheme="minorHAnsi"/>
          <w:b/>
          <w:sz w:val="24"/>
          <w:szCs w:val="24"/>
          <w:lang w:val="sr-Latn-ME"/>
        </w:rPr>
        <w:t>.</w:t>
      </w:r>
      <w:bookmarkStart w:id="2" w:name="_GoBack"/>
      <w:bookmarkEnd w:id="2"/>
    </w:p>
    <w:sectPr w:rsidR="00A66D57" w:rsidRPr="00162109" w:rsidSect="00C647C7">
      <w:headerReference w:type="even" r:id="rId15"/>
      <w:headerReference w:type="default" r:id="rId16"/>
      <w:footerReference w:type="default" r:id="rId17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11" w:rsidRDefault="00855C11">
      <w:pPr>
        <w:spacing w:line="240" w:lineRule="auto"/>
      </w:pPr>
      <w:r>
        <w:separator/>
      </w:r>
    </w:p>
  </w:endnote>
  <w:endnote w:type="continuationSeparator" w:id="0">
    <w:p w:rsidR="00855C11" w:rsidRDefault="00855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11" w:rsidRDefault="00855C11">
      <w:pPr>
        <w:spacing w:after="0"/>
      </w:pPr>
      <w:r>
        <w:separator/>
      </w:r>
    </w:p>
  </w:footnote>
  <w:footnote w:type="continuationSeparator" w:id="0">
    <w:p w:rsidR="00855C11" w:rsidRDefault="00855C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59453D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SEPTEMBAR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59453D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SEPTEMBAR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37F19"/>
    <w:rsid w:val="000413FD"/>
    <w:rsid w:val="00046924"/>
    <w:rsid w:val="00054237"/>
    <w:rsid w:val="000621DE"/>
    <w:rsid w:val="0006666A"/>
    <w:rsid w:val="00074E8B"/>
    <w:rsid w:val="0008362B"/>
    <w:rsid w:val="00084539"/>
    <w:rsid w:val="00085A75"/>
    <w:rsid w:val="00094AD0"/>
    <w:rsid w:val="000A6C61"/>
    <w:rsid w:val="000B7269"/>
    <w:rsid w:val="000C44E4"/>
    <w:rsid w:val="000C51B0"/>
    <w:rsid w:val="000C54CF"/>
    <w:rsid w:val="000D40FD"/>
    <w:rsid w:val="000D64A2"/>
    <w:rsid w:val="000F1291"/>
    <w:rsid w:val="000F1DCE"/>
    <w:rsid w:val="000F249B"/>
    <w:rsid w:val="000F4149"/>
    <w:rsid w:val="000F5DE0"/>
    <w:rsid w:val="000F6DBE"/>
    <w:rsid w:val="00101F8F"/>
    <w:rsid w:val="00106166"/>
    <w:rsid w:val="00114F1F"/>
    <w:rsid w:val="001237CC"/>
    <w:rsid w:val="00141318"/>
    <w:rsid w:val="00141324"/>
    <w:rsid w:val="001444D1"/>
    <w:rsid w:val="001457B6"/>
    <w:rsid w:val="00150364"/>
    <w:rsid w:val="00157C41"/>
    <w:rsid w:val="00160B42"/>
    <w:rsid w:val="00162109"/>
    <w:rsid w:val="0016270C"/>
    <w:rsid w:val="001705A9"/>
    <w:rsid w:val="001707D3"/>
    <w:rsid w:val="001734F0"/>
    <w:rsid w:val="001739F9"/>
    <w:rsid w:val="0017523B"/>
    <w:rsid w:val="0017603A"/>
    <w:rsid w:val="00184B29"/>
    <w:rsid w:val="001867A0"/>
    <w:rsid w:val="00190438"/>
    <w:rsid w:val="001A03FF"/>
    <w:rsid w:val="001A482B"/>
    <w:rsid w:val="001B0742"/>
    <w:rsid w:val="001B3337"/>
    <w:rsid w:val="001D1B11"/>
    <w:rsid w:val="001F43A0"/>
    <w:rsid w:val="00203C63"/>
    <w:rsid w:val="002144AC"/>
    <w:rsid w:val="00216841"/>
    <w:rsid w:val="00230695"/>
    <w:rsid w:val="002370A6"/>
    <w:rsid w:val="0024104B"/>
    <w:rsid w:val="002614D2"/>
    <w:rsid w:val="00267B2A"/>
    <w:rsid w:val="0027008F"/>
    <w:rsid w:val="00275FCC"/>
    <w:rsid w:val="00282B2C"/>
    <w:rsid w:val="0028471D"/>
    <w:rsid w:val="002867C0"/>
    <w:rsid w:val="0028690F"/>
    <w:rsid w:val="0028778C"/>
    <w:rsid w:val="00292255"/>
    <w:rsid w:val="00292EF9"/>
    <w:rsid w:val="002930A4"/>
    <w:rsid w:val="002961AE"/>
    <w:rsid w:val="002A672C"/>
    <w:rsid w:val="002D1103"/>
    <w:rsid w:val="002D43C7"/>
    <w:rsid w:val="002D5234"/>
    <w:rsid w:val="002E4B84"/>
    <w:rsid w:val="002F0C48"/>
    <w:rsid w:val="002F2892"/>
    <w:rsid w:val="00324F09"/>
    <w:rsid w:val="0033156F"/>
    <w:rsid w:val="003315D4"/>
    <w:rsid w:val="00332EBC"/>
    <w:rsid w:val="00333419"/>
    <w:rsid w:val="003417D5"/>
    <w:rsid w:val="003427D9"/>
    <w:rsid w:val="00345A42"/>
    <w:rsid w:val="00352C50"/>
    <w:rsid w:val="00352C96"/>
    <w:rsid w:val="00374FEB"/>
    <w:rsid w:val="00375503"/>
    <w:rsid w:val="00377343"/>
    <w:rsid w:val="0038669C"/>
    <w:rsid w:val="00391F4C"/>
    <w:rsid w:val="0039389D"/>
    <w:rsid w:val="003957A9"/>
    <w:rsid w:val="003A12F8"/>
    <w:rsid w:val="003A3017"/>
    <w:rsid w:val="003A63CA"/>
    <w:rsid w:val="003B3056"/>
    <w:rsid w:val="003B30B2"/>
    <w:rsid w:val="003C0235"/>
    <w:rsid w:val="003C2FD0"/>
    <w:rsid w:val="003D0637"/>
    <w:rsid w:val="003D2F00"/>
    <w:rsid w:val="003D63D7"/>
    <w:rsid w:val="003D75FC"/>
    <w:rsid w:val="003F1D58"/>
    <w:rsid w:val="00400CB3"/>
    <w:rsid w:val="00400D66"/>
    <w:rsid w:val="00403B65"/>
    <w:rsid w:val="004041F5"/>
    <w:rsid w:val="004154B5"/>
    <w:rsid w:val="00425990"/>
    <w:rsid w:val="00432129"/>
    <w:rsid w:val="00432DAB"/>
    <w:rsid w:val="00446B28"/>
    <w:rsid w:val="004517F1"/>
    <w:rsid w:val="00452B3B"/>
    <w:rsid w:val="00454B19"/>
    <w:rsid w:val="00455EB7"/>
    <w:rsid w:val="00460B3F"/>
    <w:rsid w:val="00471E47"/>
    <w:rsid w:val="00475CD6"/>
    <w:rsid w:val="004771F7"/>
    <w:rsid w:val="004C1C5C"/>
    <w:rsid w:val="004C48A4"/>
    <w:rsid w:val="004D5303"/>
    <w:rsid w:val="004E0C6B"/>
    <w:rsid w:val="004E2F2E"/>
    <w:rsid w:val="004E4D8D"/>
    <w:rsid w:val="004E62A9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2478"/>
    <w:rsid w:val="00580701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12D7"/>
    <w:rsid w:val="005B3A7F"/>
    <w:rsid w:val="005C3444"/>
    <w:rsid w:val="005C445C"/>
    <w:rsid w:val="005C532A"/>
    <w:rsid w:val="005C5BDA"/>
    <w:rsid w:val="005D1E9F"/>
    <w:rsid w:val="005D46FD"/>
    <w:rsid w:val="005D5F51"/>
    <w:rsid w:val="005D6185"/>
    <w:rsid w:val="005D6AE7"/>
    <w:rsid w:val="005E31E4"/>
    <w:rsid w:val="005F4A5E"/>
    <w:rsid w:val="006009DE"/>
    <w:rsid w:val="00604FB4"/>
    <w:rsid w:val="00616989"/>
    <w:rsid w:val="006312C8"/>
    <w:rsid w:val="006410EE"/>
    <w:rsid w:val="00643B3B"/>
    <w:rsid w:val="00645FF5"/>
    <w:rsid w:val="0065363A"/>
    <w:rsid w:val="006738C9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C44A8"/>
    <w:rsid w:val="006D0D8E"/>
    <w:rsid w:val="006D14B9"/>
    <w:rsid w:val="006E1B84"/>
    <w:rsid w:val="006F05F8"/>
    <w:rsid w:val="0070611B"/>
    <w:rsid w:val="007066E2"/>
    <w:rsid w:val="00711406"/>
    <w:rsid w:val="0071626C"/>
    <w:rsid w:val="00717565"/>
    <w:rsid w:val="00721E80"/>
    <w:rsid w:val="00727CEE"/>
    <w:rsid w:val="00735186"/>
    <w:rsid w:val="00744DBB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B346A"/>
    <w:rsid w:val="007C75C6"/>
    <w:rsid w:val="007D4AF8"/>
    <w:rsid w:val="007E1D31"/>
    <w:rsid w:val="007E31E3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7FD1"/>
    <w:rsid w:val="00842CC0"/>
    <w:rsid w:val="00844CF4"/>
    <w:rsid w:val="008514E3"/>
    <w:rsid w:val="00854AF0"/>
    <w:rsid w:val="00855C11"/>
    <w:rsid w:val="00856810"/>
    <w:rsid w:val="00866932"/>
    <w:rsid w:val="00877911"/>
    <w:rsid w:val="00880A3E"/>
    <w:rsid w:val="0089200B"/>
    <w:rsid w:val="008B33AC"/>
    <w:rsid w:val="008C0452"/>
    <w:rsid w:val="008C576E"/>
    <w:rsid w:val="008C717A"/>
    <w:rsid w:val="008D03EF"/>
    <w:rsid w:val="008D3D29"/>
    <w:rsid w:val="008D638C"/>
    <w:rsid w:val="008E2A16"/>
    <w:rsid w:val="008E6939"/>
    <w:rsid w:val="009041EE"/>
    <w:rsid w:val="00906B2C"/>
    <w:rsid w:val="009168BB"/>
    <w:rsid w:val="00926429"/>
    <w:rsid w:val="0093329C"/>
    <w:rsid w:val="00942CE0"/>
    <w:rsid w:val="0095115D"/>
    <w:rsid w:val="0095315D"/>
    <w:rsid w:val="0095581E"/>
    <w:rsid w:val="0096001E"/>
    <w:rsid w:val="00962160"/>
    <w:rsid w:val="00963A77"/>
    <w:rsid w:val="00973FAA"/>
    <w:rsid w:val="009747B1"/>
    <w:rsid w:val="009768B2"/>
    <w:rsid w:val="00991CAE"/>
    <w:rsid w:val="00992C1E"/>
    <w:rsid w:val="00996D0B"/>
    <w:rsid w:val="009A18AC"/>
    <w:rsid w:val="009A5B66"/>
    <w:rsid w:val="009A7B18"/>
    <w:rsid w:val="009B78C7"/>
    <w:rsid w:val="009C354E"/>
    <w:rsid w:val="009C54B0"/>
    <w:rsid w:val="009D05D8"/>
    <w:rsid w:val="009D09C9"/>
    <w:rsid w:val="009D4F36"/>
    <w:rsid w:val="009D588A"/>
    <w:rsid w:val="009D7AB7"/>
    <w:rsid w:val="009E0225"/>
    <w:rsid w:val="009E5E24"/>
    <w:rsid w:val="009E64C2"/>
    <w:rsid w:val="009E758E"/>
    <w:rsid w:val="009F10B4"/>
    <w:rsid w:val="009F13BB"/>
    <w:rsid w:val="009F6803"/>
    <w:rsid w:val="00A00EB5"/>
    <w:rsid w:val="00A044F7"/>
    <w:rsid w:val="00A04707"/>
    <w:rsid w:val="00A12B6E"/>
    <w:rsid w:val="00A1451B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A18D3"/>
    <w:rsid w:val="00AA1F13"/>
    <w:rsid w:val="00AA77F2"/>
    <w:rsid w:val="00AB539D"/>
    <w:rsid w:val="00AB662A"/>
    <w:rsid w:val="00AC176B"/>
    <w:rsid w:val="00AC3403"/>
    <w:rsid w:val="00AD2DDA"/>
    <w:rsid w:val="00AD5923"/>
    <w:rsid w:val="00AE23D1"/>
    <w:rsid w:val="00AE36E6"/>
    <w:rsid w:val="00AE4A01"/>
    <w:rsid w:val="00AF6A8A"/>
    <w:rsid w:val="00B13597"/>
    <w:rsid w:val="00B147B3"/>
    <w:rsid w:val="00B15613"/>
    <w:rsid w:val="00B30D61"/>
    <w:rsid w:val="00B70300"/>
    <w:rsid w:val="00B74778"/>
    <w:rsid w:val="00B74D8B"/>
    <w:rsid w:val="00B74FD5"/>
    <w:rsid w:val="00B8201F"/>
    <w:rsid w:val="00B85F56"/>
    <w:rsid w:val="00B8622E"/>
    <w:rsid w:val="00B869FC"/>
    <w:rsid w:val="00B86BF9"/>
    <w:rsid w:val="00B8750F"/>
    <w:rsid w:val="00B911D7"/>
    <w:rsid w:val="00B93FDF"/>
    <w:rsid w:val="00B96EC1"/>
    <w:rsid w:val="00B97819"/>
    <w:rsid w:val="00BA4AD6"/>
    <w:rsid w:val="00BB0743"/>
    <w:rsid w:val="00BB4D5B"/>
    <w:rsid w:val="00BB4EA3"/>
    <w:rsid w:val="00BC0146"/>
    <w:rsid w:val="00BC5723"/>
    <w:rsid w:val="00BD274F"/>
    <w:rsid w:val="00BD7685"/>
    <w:rsid w:val="00BE7E82"/>
    <w:rsid w:val="00BF0492"/>
    <w:rsid w:val="00BF7E8E"/>
    <w:rsid w:val="00C05F4E"/>
    <w:rsid w:val="00C253B6"/>
    <w:rsid w:val="00C27590"/>
    <w:rsid w:val="00C34D86"/>
    <w:rsid w:val="00C54B26"/>
    <w:rsid w:val="00C55F88"/>
    <w:rsid w:val="00C6469F"/>
    <w:rsid w:val="00C647C7"/>
    <w:rsid w:val="00C6686F"/>
    <w:rsid w:val="00C6768B"/>
    <w:rsid w:val="00C7170F"/>
    <w:rsid w:val="00C71768"/>
    <w:rsid w:val="00C77D65"/>
    <w:rsid w:val="00C80AFE"/>
    <w:rsid w:val="00C81BD9"/>
    <w:rsid w:val="00C93DA3"/>
    <w:rsid w:val="00CA4B4A"/>
    <w:rsid w:val="00CB1D57"/>
    <w:rsid w:val="00CB4A4D"/>
    <w:rsid w:val="00CC1FA4"/>
    <w:rsid w:val="00CC6C38"/>
    <w:rsid w:val="00CC7A96"/>
    <w:rsid w:val="00CD08E1"/>
    <w:rsid w:val="00CD5C65"/>
    <w:rsid w:val="00CF0EAB"/>
    <w:rsid w:val="00CF1DC9"/>
    <w:rsid w:val="00CF45DE"/>
    <w:rsid w:val="00D000CB"/>
    <w:rsid w:val="00D10217"/>
    <w:rsid w:val="00D135CF"/>
    <w:rsid w:val="00D15D40"/>
    <w:rsid w:val="00D161F4"/>
    <w:rsid w:val="00D219FA"/>
    <w:rsid w:val="00D26C67"/>
    <w:rsid w:val="00D35104"/>
    <w:rsid w:val="00D400A6"/>
    <w:rsid w:val="00D403E8"/>
    <w:rsid w:val="00D47EAC"/>
    <w:rsid w:val="00D512C6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7C93"/>
    <w:rsid w:val="00DB75FE"/>
    <w:rsid w:val="00DB7E8C"/>
    <w:rsid w:val="00DC3A5D"/>
    <w:rsid w:val="00DC5893"/>
    <w:rsid w:val="00DD09D7"/>
    <w:rsid w:val="00DE4A8F"/>
    <w:rsid w:val="00DE6F3F"/>
    <w:rsid w:val="00DE7FDF"/>
    <w:rsid w:val="00DF4546"/>
    <w:rsid w:val="00E02595"/>
    <w:rsid w:val="00E06CBF"/>
    <w:rsid w:val="00E0736E"/>
    <w:rsid w:val="00E16ECA"/>
    <w:rsid w:val="00E17338"/>
    <w:rsid w:val="00E218DF"/>
    <w:rsid w:val="00E21E42"/>
    <w:rsid w:val="00E36089"/>
    <w:rsid w:val="00E3725A"/>
    <w:rsid w:val="00E46E47"/>
    <w:rsid w:val="00E5768B"/>
    <w:rsid w:val="00E60C9F"/>
    <w:rsid w:val="00E61143"/>
    <w:rsid w:val="00E6400B"/>
    <w:rsid w:val="00E707C0"/>
    <w:rsid w:val="00E82B50"/>
    <w:rsid w:val="00E85EDA"/>
    <w:rsid w:val="00EA09A9"/>
    <w:rsid w:val="00EA2BE8"/>
    <w:rsid w:val="00EA6AE7"/>
    <w:rsid w:val="00EB2393"/>
    <w:rsid w:val="00EB339F"/>
    <w:rsid w:val="00EB348B"/>
    <w:rsid w:val="00EC31F1"/>
    <w:rsid w:val="00EC5127"/>
    <w:rsid w:val="00EE0C37"/>
    <w:rsid w:val="00EF0E81"/>
    <w:rsid w:val="00EF4975"/>
    <w:rsid w:val="00F0184E"/>
    <w:rsid w:val="00F03D88"/>
    <w:rsid w:val="00F07B0B"/>
    <w:rsid w:val="00F07EB5"/>
    <w:rsid w:val="00F121EB"/>
    <w:rsid w:val="00F14201"/>
    <w:rsid w:val="00F202E2"/>
    <w:rsid w:val="00F25B79"/>
    <w:rsid w:val="00F30ADC"/>
    <w:rsid w:val="00F358B2"/>
    <w:rsid w:val="00F4674F"/>
    <w:rsid w:val="00F60A75"/>
    <w:rsid w:val="00F61D4C"/>
    <w:rsid w:val="00F65DA0"/>
    <w:rsid w:val="00F66AC9"/>
    <w:rsid w:val="00F74000"/>
    <w:rsid w:val="00F7524A"/>
    <w:rsid w:val="00F760B5"/>
    <w:rsid w:val="00F77A18"/>
    <w:rsid w:val="00F85F53"/>
    <w:rsid w:val="00F8732A"/>
    <w:rsid w:val="00F90454"/>
    <w:rsid w:val="00F95A25"/>
    <w:rsid w:val="00FA1966"/>
    <w:rsid w:val="00FA29E0"/>
    <w:rsid w:val="00FA2D0E"/>
    <w:rsid w:val="00FA6245"/>
    <w:rsid w:val="00FA7359"/>
    <w:rsid w:val="00FA7F52"/>
    <w:rsid w:val="00FB1138"/>
    <w:rsid w:val="00FB1EFC"/>
    <w:rsid w:val="00FB268E"/>
    <w:rsid w:val="00FB2EA1"/>
    <w:rsid w:val="00FB44D6"/>
    <w:rsid w:val="00FB583F"/>
    <w:rsid w:val="00FC097D"/>
    <w:rsid w:val="00FC2D01"/>
    <w:rsid w:val="00FC4C6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3054D544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8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100" b="1">
                <a:effectLst/>
              </a:rPr>
              <a:t>Kretanje doprinosa za PIO po mjesecima, u odnosu na plan</a:t>
            </a:r>
            <a:endParaRPr lang="en-US" sz="1100">
              <a:effectLst/>
            </a:endParaRPr>
          </a:p>
        </c:rich>
      </c:tx>
      <c:layout>
        <c:manualLayout>
          <c:xMode val="edge"/>
          <c:yMode val="edge"/>
          <c:x val="0.17219444444444446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Sheet1!$E$5</c:f>
              <c:strCache>
                <c:ptCount val="1"/>
                <c:pt idx="0">
                  <c:v>Plan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isometricBottomUp" fov="0">
                <a:rot lat="0" lon="0" rev="0"/>
              </a:camera>
              <a:lightRig rig="soft" dir="b">
                <a:rot lat="0" lon="0" rev="9000000"/>
              </a:lightRig>
            </a:scene3d>
            <a:sp3d contourW="35000" prstMaterial="matte">
              <a:bevelT w="45000" h="38100" prst="convex"/>
              <a:contourClr>
                <a:scrgbClr r="0" g="0" b="0">
                  <a:tint val="10000"/>
                  <a:satMod val="130000"/>
                </a:scrgbClr>
              </a:contourClr>
            </a:sp3d>
          </c:spPr>
          <c:invertIfNegative val="0"/>
          <c:cat>
            <c:strRef>
              <c:f>Sheet1!$D$6:$D$14</c:f>
              <c:strCache>
                <c:ptCount val="9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Sheet1!$E$6:$E$14</c:f>
              <c:numCache>
                <c:formatCode>General</c:formatCode>
                <c:ptCount val="9"/>
                <c:pt idx="0">
                  <c:v>14.26</c:v>
                </c:pt>
                <c:pt idx="1">
                  <c:v>33.69</c:v>
                </c:pt>
                <c:pt idx="2">
                  <c:v>33.630000000000003</c:v>
                </c:pt>
                <c:pt idx="3">
                  <c:v>32.549999999999997</c:v>
                </c:pt>
                <c:pt idx="4">
                  <c:v>32.909999999999997</c:v>
                </c:pt>
                <c:pt idx="5">
                  <c:v>33.549999999999997</c:v>
                </c:pt>
                <c:pt idx="6">
                  <c:v>34.4</c:v>
                </c:pt>
                <c:pt idx="7">
                  <c:v>32.53</c:v>
                </c:pt>
                <c:pt idx="8">
                  <c:v>30.7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8D-426B-8CF3-CE3F7CF11C3B}"/>
            </c:ext>
          </c:extLst>
        </c:ser>
        <c:ser>
          <c:idx val="1"/>
          <c:order val="1"/>
          <c:tx>
            <c:strRef>
              <c:f>Sheet1!$F$5</c:f>
              <c:strCache>
                <c:ptCount val="1"/>
                <c:pt idx="0">
                  <c:v>Ostvarenje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isometricBottomUp" fov="0">
                <a:rot lat="0" lon="0" rev="0"/>
              </a:camera>
              <a:lightRig rig="soft" dir="b">
                <a:rot lat="0" lon="0" rev="9000000"/>
              </a:lightRig>
            </a:scene3d>
            <a:sp3d contourW="35000" prstMaterial="matte">
              <a:bevelT w="45000" h="38100" prst="convex"/>
              <a:contourClr>
                <a:scrgbClr r="0" g="0" b="0">
                  <a:tint val="10000"/>
                  <a:satMod val="130000"/>
                </a:scrgbClr>
              </a:contourClr>
            </a:sp3d>
          </c:spPr>
          <c:invertIfNegative val="0"/>
          <c:cat>
            <c:strRef>
              <c:f>Sheet1!$D$6:$D$14</c:f>
              <c:strCache>
                <c:ptCount val="9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Sheet1!$F$6:$F$14</c:f>
              <c:numCache>
                <c:formatCode>General</c:formatCode>
                <c:ptCount val="9"/>
                <c:pt idx="0">
                  <c:v>14.26</c:v>
                </c:pt>
                <c:pt idx="1">
                  <c:v>29.55</c:v>
                </c:pt>
                <c:pt idx="2">
                  <c:v>27.48</c:v>
                </c:pt>
                <c:pt idx="3">
                  <c:v>28.51</c:v>
                </c:pt>
                <c:pt idx="4">
                  <c:v>27.08</c:v>
                </c:pt>
                <c:pt idx="5">
                  <c:v>28.52</c:v>
                </c:pt>
                <c:pt idx="6">
                  <c:v>29.31</c:v>
                </c:pt>
                <c:pt idx="7">
                  <c:v>30.91</c:v>
                </c:pt>
                <c:pt idx="8">
                  <c:v>29.27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8D-426B-8CF3-CE3F7CF11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915838767"/>
        <c:axId val="1915263967"/>
      </c:barChart>
      <c:catAx>
        <c:axId val="191583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5263967"/>
        <c:crosses val="autoZero"/>
        <c:auto val="1"/>
        <c:lblAlgn val="ctr"/>
        <c:lblOffset val="100"/>
        <c:noMultiLvlLbl val="0"/>
      </c:catAx>
      <c:valAx>
        <c:axId val="19152639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583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8680A-5B5F-4A9D-99F8-ADA8B6B6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2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5</cp:revision>
  <cp:lastPrinted>2025-09-30T07:17:00Z</cp:lastPrinted>
  <dcterms:created xsi:type="dcterms:W3CDTF">2025-10-31T08:25:00Z</dcterms:created>
  <dcterms:modified xsi:type="dcterms:W3CDTF">2025-10-31T09:49:00Z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