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A3C" w:rsidRDefault="00FD7157">
      <w:pPr>
        <w:spacing w:after="120"/>
        <w:jc w:val="center"/>
      </w:pPr>
      <w:bookmarkStart w:id="0" w:name="_GoBack"/>
      <w:bookmarkEnd w:id="0"/>
      <w:r>
        <w:rPr>
          <w:b/>
          <w:sz w:val="28"/>
        </w:rPr>
        <w:t>Ministarstvo javnih radova Crne Gore</w:t>
      </w:r>
    </w:p>
    <w:p w:rsidR="004E4A3C" w:rsidRDefault="004E4A3C"/>
    <w:p w:rsidR="004E4A3C" w:rsidRDefault="004E4A3C"/>
    <w:p w:rsidR="004E4A3C" w:rsidRDefault="004E4A3C"/>
    <w:p w:rsidR="004E4A3C" w:rsidRDefault="004E4A3C"/>
    <w:p w:rsidR="004E4A3C" w:rsidRDefault="004E4A3C"/>
    <w:p w:rsidR="004E4A3C" w:rsidRDefault="004E4A3C"/>
    <w:p w:rsidR="004E4A3C" w:rsidRDefault="00FD7157">
      <w:pPr>
        <w:jc w:val="center"/>
        <w:rPr>
          <w:sz w:val="36"/>
          <w:szCs w:val="36"/>
        </w:rPr>
      </w:pPr>
      <w:r>
        <w:rPr>
          <w:b/>
          <w:color w:val="1F4E79"/>
          <w:sz w:val="36"/>
          <w:szCs w:val="36"/>
        </w:rPr>
        <w:t>Akcioni plan zaštite od buke u životnoj sredini</w:t>
      </w:r>
    </w:p>
    <w:p w:rsidR="004E4A3C" w:rsidRDefault="00FD7157">
      <w:pPr>
        <w:jc w:val="center"/>
        <w:rPr>
          <w:sz w:val="28"/>
          <w:szCs w:val="28"/>
        </w:rPr>
      </w:pPr>
      <w:r>
        <w:rPr>
          <w:b/>
          <w:sz w:val="28"/>
          <w:szCs w:val="28"/>
        </w:rPr>
        <w:t>za regionalni put R-23, dionica Spuž–Vranjske Njive</w:t>
      </w:r>
    </w:p>
    <w:p w:rsidR="004E4A3C" w:rsidRDefault="004E4A3C">
      <w:pPr>
        <w:spacing w:after="120" w:line="257" w:lineRule="auto"/>
        <w:jc w:val="center"/>
        <w:rPr>
          <w:rFonts w:ascii="Calibri" w:hAnsi="Calibri" w:cs="Calibri"/>
          <w:sz w:val="24"/>
          <w:szCs w:val="24"/>
        </w:rPr>
      </w:pPr>
    </w:p>
    <w:p w:rsidR="004E4A3C" w:rsidRDefault="00FD7157">
      <w:pPr>
        <w:spacing w:after="120" w:line="257" w:lineRule="auto"/>
        <w:jc w:val="center"/>
        <w:rPr>
          <w:rFonts w:ascii="Calibri" w:hAnsi="Calibri" w:cs="Calibri"/>
          <w:sz w:val="24"/>
          <w:szCs w:val="24"/>
        </w:rPr>
      </w:pPr>
      <w:r>
        <w:rPr>
          <w:rFonts w:ascii="Calibri" w:hAnsi="Calibri" w:cs="Calibri"/>
          <w:sz w:val="24"/>
          <w:szCs w:val="24"/>
        </w:rPr>
        <w:t xml:space="preserve">Nacrt za javnu raspravu </w:t>
      </w:r>
    </w:p>
    <w:p w:rsidR="004E4A3C" w:rsidRDefault="00FD7157">
      <w:pPr>
        <w:spacing w:after="120" w:line="257" w:lineRule="auto"/>
        <w:jc w:val="center"/>
        <w:rPr>
          <w:rFonts w:ascii="Calibri" w:hAnsi="Calibri" w:cs="Calibri"/>
          <w:sz w:val="24"/>
          <w:szCs w:val="24"/>
        </w:rPr>
      </w:pPr>
      <w:r>
        <w:rPr>
          <w:rFonts w:ascii="Calibri" w:hAnsi="Calibri" w:cs="Calibri"/>
          <w:sz w:val="24"/>
          <w:szCs w:val="24"/>
        </w:rPr>
        <w:t xml:space="preserve">Izrađeno na osnovu finalne stručne podloge: Strateška karta buke za regionalni put R-23, </w:t>
      </w:r>
    </w:p>
    <w:p w:rsidR="004E4A3C" w:rsidRDefault="00FD7157">
      <w:pPr>
        <w:spacing w:after="120" w:line="257" w:lineRule="auto"/>
        <w:jc w:val="center"/>
        <w:rPr>
          <w:rFonts w:ascii="Calibri" w:hAnsi="Calibri" w:cs="Calibri"/>
          <w:sz w:val="24"/>
          <w:szCs w:val="24"/>
        </w:rPr>
      </w:pPr>
      <w:r>
        <w:rPr>
          <w:rFonts w:ascii="Calibri" w:hAnsi="Calibri" w:cs="Calibri"/>
          <w:sz w:val="24"/>
          <w:szCs w:val="24"/>
        </w:rPr>
        <w:t>dionica Spuž–Vranjske Njive, jun 2026.</w:t>
      </w:r>
    </w:p>
    <w:p w:rsidR="004E4A3C" w:rsidRDefault="004E4A3C"/>
    <w:p w:rsidR="004E4A3C" w:rsidRDefault="004E4A3C"/>
    <w:p w:rsidR="004E4A3C" w:rsidRDefault="004E4A3C"/>
    <w:p w:rsidR="004E4A3C" w:rsidRDefault="004E4A3C"/>
    <w:p w:rsidR="004E4A3C" w:rsidRDefault="004E4A3C"/>
    <w:p w:rsidR="004E4A3C" w:rsidRDefault="004E4A3C"/>
    <w:p w:rsidR="004E4A3C" w:rsidRDefault="004E4A3C"/>
    <w:p w:rsidR="004E4A3C" w:rsidRDefault="004E4A3C"/>
    <w:p w:rsidR="004E4A3C" w:rsidRDefault="004E4A3C"/>
    <w:p w:rsidR="004E4A3C" w:rsidRDefault="004E4A3C"/>
    <w:p w:rsidR="004E4A3C" w:rsidRDefault="004E4A3C"/>
    <w:p w:rsidR="004E4A3C" w:rsidRDefault="004E4A3C"/>
    <w:p w:rsidR="004E4A3C" w:rsidRDefault="004E4A3C"/>
    <w:p w:rsidR="004E4A3C" w:rsidRDefault="00FD7157">
      <w:pPr>
        <w:jc w:val="center"/>
      </w:pPr>
      <w:r>
        <w:t>Podgorica, jun 2026. godine</w:t>
      </w:r>
    </w:p>
    <w:p w:rsidR="004E4A3C" w:rsidRDefault="00FD7157">
      <w:r>
        <w:br w:type="page"/>
      </w:r>
    </w:p>
    <w:p w:rsidR="004E4A3C" w:rsidRDefault="004E4A3C"/>
    <w:p w:rsidR="004E4A3C" w:rsidRDefault="00FD7157">
      <w:pPr>
        <w:spacing w:after="120" w:line="257" w:lineRule="auto"/>
        <w:rPr>
          <w:rFonts w:cs="Arial"/>
          <w:b/>
          <w:sz w:val="28"/>
          <w:szCs w:val="28"/>
        </w:rPr>
      </w:pPr>
      <w:r>
        <w:rPr>
          <w:rFonts w:cs="Arial"/>
          <w:b/>
          <w:sz w:val="28"/>
          <w:szCs w:val="28"/>
        </w:rPr>
        <w:t>Korisnik: Ministarstvo javnih radova Crne Gore</w:t>
      </w:r>
    </w:p>
    <w:p w:rsidR="004E4A3C" w:rsidRDefault="004E4A3C">
      <w:pPr>
        <w:spacing w:after="120" w:line="257" w:lineRule="auto"/>
        <w:ind w:right="59"/>
        <w:rPr>
          <w:rFonts w:cs="Arial"/>
          <w:b/>
          <w:sz w:val="28"/>
          <w:szCs w:val="28"/>
        </w:rPr>
      </w:pPr>
    </w:p>
    <w:p w:rsidR="004E4A3C" w:rsidRDefault="00FD7157">
      <w:pPr>
        <w:spacing w:after="120" w:line="257" w:lineRule="auto"/>
        <w:ind w:right="120"/>
        <w:rPr>
          <w:rFonts w:cs="Arial"/>
          <w:bCs/>
          <w:sz w:val="28"/>
          <w:szCs w:val="28"/>
          <w:lang w:val="sr-Latn-ME"/>
        </w:rPr>
      </w:pPr>
      <w:r>
        <w:rPr>
          <w:rFonts w:cs="Arial"/>
          <w:bCs/>
          <w:sz w:val="28"/>
          <w:szCs w:val="28"/>
        </w:rPr>
        <w:t xml:space="preserve">Ugovor </w:t>
      </w:r>
      <w:r>
        <w:rPr>
          <w:rFonts w:cs="Arial"/>
          <w:bCs/>
          <w:sz w:val="28"/>
          <w:szCs w:val="28"/>
          <w:lang w:val="sr-Latn-ME"/>
        </w:rPr>
        <w:t xml:space="preserve">o pružanju konsultantskih usluga na </w:t>
      </w:r>
      <w:r>
        <w:rPr>
          <w:rFonts w:cs="Arial"/>
          <w:bCs/>
          <w:sz w:val="28"/>
          <w:szCs w:val="28"/>
        </w:rPr>
        <w:t xml:space="preserve">implementaciji projekta </w:t>
      </w:r>
      <w:r>
        <w:rPr>
          <w:rFonts w:cs="Arial"/>
          <w:bCs/>
          <w:sz w:val="28"/>
          <w:szCs w:val="28"/>
          <w:lang w:val="sr-Latn-ME"/>
        </w:rPr>
        <w:t>„</w:t>
      </w:r>
      <w:r>
        <w:rPr>
          <w:rFonts w:cs="Arial"/>
          <w:bCs/>
          <w:sz w:val="28"/>
          <w:szCs w:val="28"/>
        </w:rPr>
        <w:t>EU acquis related activities for Environment and Climate Action policies in Montenegro</w:t>
      </w:r>
      <w:proofErr w:type="gramStart"/>
      <w:r>
        <w:rPr>
          <w:rFonts w:cs="Arial"/>
          <w:bCs/>
          <w:sz w:val="28"/>
          <w:szCs w:val="28"/>
          <w:lang w:val="sr-Latn-ME"/>
        </w:rPr>
        <w:t>„</w:t>
      </w:r>
      <w:r>
        <w:rPr>
          <w:rFonts w:cs="Arial"/>
          <w:bCs/>
          <w:sz w:val="28"/>
          <w:szCs w:val="28"/>
        </w:rPr>
        <w:t xml:space="preserve"> </w:t>
      </w:r>
      <w:r>
        <w:rPr>
          <w:rFonts w:cs="Arial"/>
          <w:bCs/>
          <w:sz w:val="28"/>
          <w:szCs w:val="28"/>
          <w:lang w:val="sr-Latn-ME"/>
        </w:rPr>
        <w:t xml:space="preserve"> (</w:t>
      </w:r>
      <w:proofErr w:type="gramEnd"/>
      <w:r>
        <w:rPr>
          <w:rFonts w:cs="Arial"/>
          <w:bCs/>
          <w:sz w:val="28"/>
          <w:szCs w:val="28"/>
          <w:lang w:val="sr-Latn-ME"/>
        </w:rPr>
        <w:t>Ref. br.: 001/26)</w:t>
      </w:r>
    </w:p>
    <w:p w:rsidR="004E4A3C" w:rsidRDefault="00FD7157">
      <w:pPr>
        <w:spacing w:after="120" w:line="257" w:lineRule="auto"/>
        <w:ind w:right="59"/>
        <w:rPr>
          <w:rFonts w:cs="Arial"/>
          <w:bCs/>
          <w:sz w:val="21"/>
        </w:rPr>
      </w:pPr>
      <w:r>
        <w:rPr>
          <w:rFonts w:cs="Arial"/>
          <w:bCs/>
          <w:sz w:val="28"/>
          <w:szCs w:val="28"/>
        </w:rPr>
        <w:t>Datum ugovora: 01.02.2026.</w:t>
      </w:r>
    </w:p>
    <w:p w:rsidR="004E4A3C" w:rsidRDefault="004E4A3C">
      <w:pPr>
        <w:spacing w:after="120" w:line="257" w:lineRule="auto"/>
        <w:ind w:right="59"/>
        <w:rPr>
          <w:rFonts w:cs="Arial"/>
          <w:bCs/>
          <w:sz w:val="28"/>
          <w:szCs w:val="28"/>
        </w:rPr>
      </w:pPr>
    </w:p>
    <w:p w:rsidR="004E4A3C" w:rsidRDefault="00FD7157">
      <w:pPr>
        <w:spacing w:after="120" w:line="257" w:lineRule="auto"/>
        <w:ind w:right="59"/>
        <w:rPr>
          <w:rFonts w:cs="Arial"/>
          <w:bCs/>
          <w:sz w:val="21"/>
        </w:rPr>
      </w:pPr>
      <w:r>
        <w:rPr>
          <w:rFonts w:cs="Arial"/>
          <w:bCs/>
          <w:sz w:val="28"/>
          <w:szCs w:val="28"/>
        </w:rPr>
        <w:t>Obrađivač: WINsoft d.o.o. Podgorica</w:t>
      </w:r>
    </w:p>
    <w:p w:rsidR="004E4A3C" w:rsidRDefault="004E4A3C">
      <w:pPr>
        <w:spacing w:after="120" w:line="257" w:lineRule="auto"/>
        <w:ind w:right="59"/>
        <w:rPr>
          <w:rFonts w:cs="Arial"/>
          <w:b/>
          <w:sz w:val="28"/>
          <w:szCs w:val="28"/>
        </w:rPr>
      </w:pPr>
    </w:p>
    <w:p w:rsidR="004E4A3C" w:rsidRDefault="00FD7157">
      <w:pPr>
        <w:spacing w:after="120" w:line="257" w:lineRule="auto"/>
        <w:ind w:right="59"/>
        <w:rPr>
          <w:rFonts w:cs="Arial"/>
          <w:bCs/>
          <w:sz w:val="28"/>
          <w:szCs w:val="28"/>
        </w:rPr>
      </w:pPr>
      <w:r>
        <w:rPr>
          <w:rFonts w:cs="Arial"/>
          <w:bCs/>
          <w:sz w:val="28"/>
          <w:szCs w:val="28"/>
        </w:rPr>
        <w:t>Radni tim:</w:t>
      </w:r>
    </w:p>
    <w:p w:rsidR="004E4A3C" w:rsidRDefault="00FD7157">
      <w:pPr>
        <w:widowControl w:val="0"/>
        <w:spacing w:after="0" w:line="418" w:lineRule="exact"/>
        <w:ind w:left="20"/>
        <w:jc w:val="both"/>
        <w:rPr>
          <w:rFonts w:eastAsia="Verdana" w:cs="Arial"/>
          <w:color w:val="00000A"/>
          <w:sz w:val="19"/>
          <w:szCs w:val="19"/>
          <w:lang w:val="en-GB" w:eastAsia="ar-SA"/>
        </w:rPr>
      </w:pPr>
      <w:r>
        <w:rPr>
          <w:rFonts w:eastAsia="Verdana" w:cs="Arial"/>
          <w:color w:val="000000"/>
          <w:sz w:val="19"/>
          <w:szCs w:val="19"/>
          <w:lang w:val="sr-Latn-ME" w:eastAsia="ar-SA"/>
        </w:rPr>
        <w:t xml:space="preserve">Predrag </w:t>
      </w:r>
      <w:r>
        <w:rPr>
          <w:rFonts w:eastAsia="Verdana" w:cs="Arial"/>
          <w:color w:val="000000"/>
          <w:sz w:val="19"/>
          <w:szCs w:val="19"/>
          <w:lang w:val="sr-Latn-ME" w:eastAsia="ar-SA"/>
        </w:rPr>
        <w:t>Bulajić</w:t>
      </w:r>
      <w:r>
        <w:rPr>
          <w:rFonts w:eastAsia="Verdana" w:cs="Arial"/>
          <w:color w:val="000000"/>
          <w:sz w:val="19"/>
          <w:szCs w:val="19"/>
          <w:lang w:val="en-GB" w:eastAsia="ar-SA"/>
        </w:rPr>
        <w:t>, dipl.ing.el.</w:t>
      </w:r>
    </w:p>
    <w:p w:rsidR="004E4A3C" w:rsidRDefault="00FD7157">
      <w:pPr>
        <w:widowControl w:val="0"/>
        <w:spacing w:after="0" w:line="418" w:lineRule="exact"/>
        <w:ind w:left="20"/>
        <w:jc w:val="both"/>
        <w:rPr>
          <w:rFonts w:eastAsia="Verdana" w:cs="Arial"/>
          <w:color w:val="000000"/>
          <w:sz w:val="19"/>
          <w:szCs w:val="19"/>
          <w:lang w:val="sr-Latn-ME" w:eastAsia="ar-SA"/>
        </w:rPr>
      </w:pPr>
      <w:r>
        <w:rPr>
          <w:rFonts w:eastAsia="Verdana" w:cs="Arial"/>
          <w:color w:val="000000"/>
          <w:sz w:val="19"/>
          <w:szCs w:val="19"/>
          <w:lang w:val="sr-Latn-ME" w:eastAsia="ar-SA"/>
        </w:rPr>
        <w:t>Rukovodilac Kontrolnog tijela WINSOFT</w:t>
      </w:r>
    </w:p>
    <w:p w:rsidR="004E4A3C" w:rsidRDefault="004E4A3C">
      <w:pPr>
        <w:widowControl w:val="0"/>
        <w:spacing w:after="0" w:line="418" w:lineRule="exact"/>
        <w:ind w:left="20"/>
        <w:jc w:val="both"/>
        <w:rPr>
          <w:rFonts w:eastAsia="Verdana" w:cs="Arial"/>
          <w:color w:val="000000"/>
          <w:sz w:val="19"/>
          <w:szCs w:val="19"/>
          <w:lang w:val="sr-Latn-ME" w:eastAsia="ar-SA"/>
        </w:rPr>
      </w:pPr>
    </w:p>
    <w:p w:rsidR="004E4A3C" w:rsidRDefault="00FD7157">
      <w:pPr>
        <w:widowControl w:val="0"/>
        <w:spacing w:after="0" w:line="418" w:lineRule="exact"/>
        <w:ind w:left="20"/>
        <w:jc w:val="both"/>
        <w:rPr>
          <w:rFonts w:eastAsia="Verdana" w:cs="Arial"/>
          <w:color w:val="000000"/>
          <w:sz w:val="19"/>
          <w:szCs w:val="19"/>
          <w:lang w:val="sr-Latn-ME" w:eastAsia="ar-SA"/>
        </w:rPr>
      </w:pPr>
      <w:r>
        <w:rPr>
          <w:rFonts w:eastAsia="Verdana" w:cs="Arial"/>
          <w:color w:val="000000"/>
          <w:sz w:val="19"/>
          <w:szCs w:val="19"/>
          <w:lang w:val="sr-Latn-ME" w:eastAsia="ar-SA"/>
        </w:rPr>
        <w:t>Ivo Minić, dipl. mat.</w:t>
      </w:r>
    </w:p>
    <w:p w:rsidR="004E4A3C" w:rsidRDefault="00FD7157">
      <w:pPr>
        <w:widowControl w:val="0"/>
        <w:spacing w:after="0" w:line="418" w:lineRule="exact"/>
        <w:ind w:left="20"/>
        <w:jc w:val="both"/>
        <w:rPr>
          <w:rFonts w:eastAsia="Verdana" w:cs="Arial"/>
          <w:color w:val="000000"/>
          <w:sz w:val="19"/>
          <w:szCs w:val="19"/>
          <w:lang w:val="sr-Latn-ME" w:eastAsia="ar-SA"/>
        </w:rPr>
      </w:pPr>
      <w:r>
        <w:rPr>
          <w:rFonts w:eastAsia="Verdana" w:cs="Arial"/>
          <w:color w:val="000000"/>
          <w:sz w:val="19"/>
          <w:szCs w:val="19"/>
          <w:lang w:val="sr-Latn-ME" w:eastAsia="ar-SA"/>
        </w:rPr>
        <w:t>Član Kontrolnog tijela WINSOFT</w:t>
      </w:r>
    </w:p>
    <w:p w:rsidR="004E4A3C" w:rsidRDefault="004E4A3C">
      <w:pPr>
        <w:widowControl w:val="0"/>
        <w:spacing w:after="0" w:line="418" w:lineRule="exact"/>
        <w:ind w:left="20"/>
        <w:jc w:val="both"/>
        <w:rPr>
          <w:rFonts w:eastAsia="Verdana" w:cs="Arial"/>
          <w:color w:val="000000"/>
          <w:sz w:val="19"/>
          <w:szCs w:val="19"/>
          <w:lang w:val="sr-Latn-ME" w:eastAsia="ar-SA"/>
        </w:rPr>
      </w:pPr>
    </w:p>
    <w:p w:rsidR="004E4A3C" w:rsidRDefault="00FD7157">
      <w:pPr>
        <w:widowControl w:val="0"/>
        <w:spacing w:after="0" w:line="418" w:lineRule="exact"/>
        <w:ind w:left="20"/>
        <w:jc w:val="both"/>
        <w:rPr>
          <w:rFonts w:eastAsia="Verdana" w:cs="Arial"/>
          <w:color w:val="000000"/>
          <w:sz w:val="19"/>
          <w:szCs w:val="19"/>
          <w:lang w:val="sr-Latn-ME" w:eastAsia="ar-SA"/>
        </w:rPr>
      </w:pPr>
      <w:r>
        <w:rPr>
          <w:rFonts w:eastAsia="Verdana" w:cs="Arial"/>
          <w:color w:val="000000"/>
          <w:sz w:val="19"/>
          <w:szCs w:val="19"/>
          <w:lang w:val="sr-Latn-ME" w:eastAsia="ar-SA"/>
        </w:rPr>
        <w:t>Filip Đakonović</w:t>
      </w:r>
    </w:p>
    <w:p w:rsidR="004E4A3C" w:rsidRDefault="00FD7157">
      <w:pPr>
        <w:widowControl w:val="0"/>
        <w:spacing w:after="0" w:line="418" w:lineRule="exact"/>
        <w:ind w:left="20"/>
        <w:jc w:val="both"/>
        <w:rPr>
          <w:rFonts w:eastAsia="Verdana" w:cs="Arial"/>
          <w:color w:val="000000"/>
          <w:sz w:val="19"/>
          <w:szCs w:val="19"/>
          <w:lang w:val="sr-Latn-ME" w:eastAsia="ar-SA"/>
        </w:rPr>
      </w:pPr>
      <w:r>
        <w:rPr>
          <w:rFonts w:eastAsia="Verdana" w:cs="Arial"/>
          <w:color w:val="000000"/>
          <w:sz w:val="19"/>
          <w:szCs w:val="19"/>
          <w:lang w:val="sr-Latn-ME" w:eastAsia="ar-SA"/>
        </w:rPr>
        <w:t>Član Kontrolnog tijela WINSOFT</w:t>
      </w:r>
    </w:p>
    <w:p w:rsidR="004E4A3C" w:rsidRDefault="004E4A3C">
      <w:pPr>
        <w:widowControl w:val="0"/>
        <w:spacing w:after="0" w:line="418" w:lineRule="exact"/>
        <w:ind w:left="20"/>
        <w:jc w:val="both"/>
        <w:rPr>
          <w:rFonts w:eastAsia="Verdana" w:cs="Arial"/>
          <w:color w:val="000000"/>
          <w:sz w:val="19"/>
          <w:szCs w:val="19"/>
          <w:lang w:val="sr-Latn-ME" w:eastAsia="ar-SA"/>
        </w:rPr>
      </w:pPr>
    </w:p>
    <w:p w:rsidR="004E4A3C" w:rsidRDefault="004E4A3C">
      <w:pPr>
        <w:spacing w:after="120" w:line="257" w:lineRule="auto"/>
        <w:ind w:right="59"/>
        <w:rPr>
          <w:rFonts w:cs="Arial"/>
          <w:b/>
          <w:sz w:val="28"/>
          <w:szCs w:val="28"/>
        </w:rPr>
      </w:pPr>
    </w:p>
    <w:p w:rsidR="004E4A3C" w:rsidRDefault="00FD7157">
      <w:pPr>
        <w:spacing w:after="120" w:line="257" w:lineRule="auto"/>
        <w:ind w:right="42"/>
        <w:rPr>
          <w:rFonts w:cs="Arial"/>
          <w:sz w:val="21"/>
        </w:rPr>
      </w:pPr>
      <w:r>
        <w:rPr>
          <w:rFonts w:cs="Arial"/>
          <w:sz w:val="21"/>
        </w:rPr>
        <w:t>Broj: 080626/1</w:t>
      </w:r>
    </w:p>
    <w:p w:rsidR="004E4A3C" w:rsidRDefault="00FD7157">
      <w:pPr>
        <w:spacing w:after="120" w:line="257" w:lineRule="auto"/>
        <w:ind w:right="42"/>
        <w:rPr>
          <w:rFonts w:cs="Arial"/>
          <w:sz w:val="21"/>
        </w:rPr>
      </w:pPr>
      <w:r>
        <w:rPr>
          <w:rFonts w:cs="Arial"/>
          <w:sz w:val="21"/>
        </w:rPr>
        <w:t>Datum: 08.06.2026. godine</w:t>
      </w:r>
    </w:p>
    <w:p w:rsidR="004E4A3C" w:rsidRDefault="004E4A3C">
      <w:pPr>
        <w:spacing w:after="120" w:line="257" w:lineRule="auto"/>
        <w:ind w:right="59"/>
        <w:rPr>
          <w:rFonts w:cs="Arial"/>
          <w:b/>
          <w:sz w:val="28"/>
          <w:szCs w:val="28"/>
        </w:rPr>
      </w:pPr>
    </w:p>
    <w:p w:rsidR="004E4A3C" w:rsidRDefault="004E4A3C">
      <w:pPr>
        <w:spacing w:after="120" w:line="257" w:lineRule="auto"/>
        <w:ind w:right="59"/>
        <w:jc w:val="right"/>
        <w:rPr>
          <w:rFonts w:cs="Arial"/>
          <w:bCs/>
          <w:sz w:val="24"/>
          <w:szCs w:val="24"/>
        </w:rPr>
      </w:pPr>
    </w:p>
    <w:p w:rsidR="004E4A3C" w:rsidRDefault="004E4A3C">
      <w:pPr>
        <w:spacing w:after="120" w:line="257" w:lineRule="auto"/>
        <w:ind w:right="59"/>
        <w:jc w:val="right"/>
        <w:rPr>
          <w:rFonts w:cs="Arial"/>
          <w:bCs/>
          <w:sz w:val="24"/>
          <w:szCs w:val="24"/>
        </w:rPr>
      </w:pPr>
    </w:p>
    <w:p w:rsidR="004E4A3C" w:rsidRDefault="00FD7157">
      <w:pPr>
        <w:spacing w:after="120" w:line="257" w:lineRule="auto"/>
        <w:ind w:right="59"/>
        <w:jc w:val="right"/>
        <w:rPr>
          <w:rFonts w:cs="Arial"/>
          <w:bCs/>
          <w:sz w:val="24"/>
          <w:szCs w:val="24"/>
        </w:rPr>
      </w:pPr>
      <w:r>
        <w:rPr>
          <w:noProof/>
        </w:rPr>
        <mc:AlternateContent>
          <mc:Choice Requires="wps">
            <w:drawing>
              <wp:anchor distT="635" distB="635" distL="635" distR="635" simplePos="0" relativeHeight="10" behindDoc="1" locked="0" layoutInCell="0" allowOverlap="0" wp14:anchorId="0F1E5618">
                <wp:simplePos x="0" y="0"/>
                <wp:positionH relativeFrom="margin">
                  <wp:posOffset>4224655</wp:posOffset>
                </wp:positionH>
                <wp:positionV relativeFrom="page">
                  <wp:posOffset>7812405</wp:posOffset>
                </wp:positionV>
                <wp:extent cx="2475230" cy="1554480"/>
                <wp:effectExtent l="635" t="635" r="635" b="635"/>
                <wp:wrapNone/>
                <wp:docPr id="1" name="Picture 38"/>
                <wp:cNvGraphicFramePr/>
                <a:graphic xmlns:a="http://schemas.openxmlformats.org/drawingml/2006/main">
                  <a:graphicData uri="http://schemas.microsoft.com/office/word/2010/wordprocessingShape">
                    <wps:wsp>
                      <wps:cNvSpPr/>
                      <wps:spPr>
                        <a:xfrm>
                          <a:off x="0" y="0"/>
                          <a:ext cx="2475360" cy="1554480"/>
                        </a:xfrm>
                        <a:prstGeom prst="roundRect">
                          <a:avLst>
                            <a:gd name="adj" fmla="val 8594"/>
                          </a:avLst>
                        </a:prstGeom>
                        <a:blipFill rotWithShape="0">
                          <a:blip r:embed="rId8"/>
                          <a:stretch>
                            <a:fillRect t="14940" r="649" b="15206"/>
                          </a:stretch>
                        </a:blipFill>
                        <a:ln w="0">
                          <a:noFill/>
                        </a:ln>
                        <a:effectLst>
                          <a:reflection blurRad="12700" stA="38000" endPos="28000" dist="5000" dir="5400000" sy="-100000" algn="bl" rotWithShape="0"/>
                        </a:effectLst>
                      </wps:spPr>
                      <wps:style>
                        <a:lnRef idx="0">
                          <a:scrgbClr r="0" g="0" b="0"/>
                        </a:lnRef>
                        <a:fillRef idx="0">
                          <a:scrgbClr r="0" g="0" b="0"/>
                        </a:fillRef>
                        <a:effectRef idx="0">
                          <a:scrgbClr r="0" g="0" b="0"/>
                        </a:effectRef>
                        <a:fontRef idx="minor"/>
                      </wps:style>
                      <wps:bodyPr/>
                    </wps:wsp>
                  </a:graphicData>
                </a:graphic>
              </wp:anchor>
            </w:drawing>
          </mc:Choice>
          <mc:Fallback>
            <w:pict>
              <v:roundrect w14:anchorId="3AF2A708" id="Picture 38" o:spid="_x0000_s1026" style="position:absolute;margin-left:332.65pt;margin-top:615.15pt;width:194.9pt;height:122.4pt;z-index:-503316470;visibility:visible;mso-wrap-style:square;mso-wrap-distance-left:.05pt;mso-wrap-distance-top:.05pt;mso-wrap-distance-right:.05pt;mso-wrap-distance-bottom:.05pt;mso-position-horizontal:absolute;mso-position-horizontal-relative:margin;mso-position-vertical:absolute;mso-position-vertical-relative:page;v-text-anchor:top" arcsize="5631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" o:allowincell="f" o:allowoverlap="f" stroked="f" strokeweight="0">
                <v:fill r:id="rId9" o:title="" recolor="t" type="frame"/>
                <w10:wrap anchorx="margin" anchory="page"/>
              </v:roundrect>
            </w:pict>
          </mc:Fallback>
        </mc:AlternateContent>
      </w:r>
      <w:r>
        <w:rPr>
          <w:rFonts w:cs="Arial"/>
          <w:bCs/>
          <w:sz w:val="24"/>
          <w:szCs w:val="24"/>
        </w:rPr>
        <w:t>Ovlašćeno lice Kontrolnog tijela</w:t>
      </w:r>
    </w:p>
    <w:p w:rsidR="004E4A3C" w:rsidRDefault="00FD7157">
      <w:pPr>
        <w:spacing w:after="120" w:line="257" w:lineRule="auto"/>
        <w:ind w:right="59"/>
        <w:jc w:val="right"/>
        <w:rPr>
          <w:rFonts w:cs="Arial"/>
          <w:bCs/>
          <w:sz w:val="28"/>
          <w:szCs w:val="28"/>
        </w:rPr>
      </w:pPr>
      <w:r>
        <w:rPr>
          <w:rFonts w:cs="Arial"/>
          <w:bCs/>
          <w:sz w:val="28"/>
          <w:szCs w:val="28"/>
        </w:rPr>
        <w:t xml:space="preserve">Predrag </w:t>
      </w:r>
      <w:r>
        <w:rPr>
          <w:rFonts w:cs="Arial"/>
          <w:bCs/>
          <w:sz w:val="28"/>
          <w:szCs w:val="28"/>
        </w:rPr>
        <w:t>Bulajić</w:t>
      </w:r>
    </w:p>
    <w:p w:rsidR="004E4A3C" w:rsidRDefault="004E4A3C">
      <w:pPr>
        <w:spacing w:after="120" w:line="257" w:lineRule="auto"/>
        <w:ind w:right="59"/>
        <w:jc w:val="right"/>
        <w:rPr>
          <w:rFonts w:cs="Arial"/>
          <w:bCs/>
          <w:sz w:val="28"/>
          <w:szCs w:val="28"/>
        </w:rPr>
      </w:pPr>
    </w:p>
    <w:p w:rsidR="004E4A3C" w:rsidRDefault="00FD7157">
      <w:pPr>
        <w:spacing w:after="120" w:line="257" w:lineRule="auto"/>
        <w:ind w:right="59"/>
        <w:jc w:val="right"/>
        <w:rPr>
          <w:rFonts w:cs="Arial"/>
          <w:bCs/>
          <w:sz w:val="28"/>
          <w:szCs w:val="28"/>
        </w:rPr>
      </w:pPr>
      <w:r>
        <w:rPr>
          <w:rFonts w:cs="Arial"/>
          <w:bCs/>
          <w:sz w:val="28"/>
          <w:szCs w:val="28"/>
        </w:rPr>
        <w:t>_____________________</w:t>
      </w:r>
    </w:p>
    <w:p w:rsidR="004E4A3C" w:rsidRDefault="004E4A3C"/>
    <w:sdt>
      <w:sdtPr>
        <w:rPr>
          <w:rFonts w:ascii="Arial" w:eastAsia="Arial" w:hAnsi="Arial" w:cstheme="minorBidi"/>
          <w:b w:val="0"/>
          <w:bCs w:val="0"/>
          <w:color w:val="auto"/>
          <w:sz w:val="20"/>
          <w:szCs w:val="22"/>
        </w:rPr>
        <w:id w:val="-293442788"/>
        <w:docPartObj>
          <w:docPartGallery w:val="Table of Contents"/>
          <w:docPartUnique/>
        </w:docPartObj>
      </w:sdtPr>
      <w:sdtEndPr/>
      <w:sdtContent>
        <w:p w:rsidR="004E4A3C" w:rsidRDefault="00FD7157">
          <w:pPr>
            <w:pStyle w:val="TOCHeading"/>
          </w:pPr>
          <w:r>
            <w:t>Sadržaj</w:t>
          </w:r>
        </w:p>
        <w:p w:rsidR="004E4A3C" w:rsidRDefault="00FD7157">
          <w:pPr>
            <w:pStyle w:val="TOC1"/>
            <w:tabs>
              <w:tab w:val="right" w:leader="dot" w:pos="10311"/>
            </w:tabs>
          </w:pPr>
          <w:r>
            <w:fldChar w:fldCharType="begin"/>
          </w:r>
          <w:r>
            <w:rPr>
              <w:rStyle w:val="IndexLink"/>
              <w:webHidden/>
            </w:rPr>
            <w:instrText xml:space="preserve"> TOC \z \o "1-3" \u \h</w:instrText>
          </w:r>
          <w:r>
            <w:rPr>
              <w:rStyle w:val="IndexLink"/>
            </w:rPr>
            <w:fldChar w:fldCharType="separate"/>
          </w:r>
          <w:hyperlink w:anchor="__RefHeading___Toc9115_4023479253">
            <w:r>
              <w:rPr>
                <w:rStyle w:val="IndexLink"/>
                <w:webHidden/>
              </w:rPr>
              <w:t>Spisak tabela i slika</w:t>
            </w:r>
            <w:r>
              <w:rPr>
                <w:rStyle w:val="IndexLink"/>
                <w:webHidden/>
              </w:rPr>
              <w:tab/>
              <w:t>6</w:t>
            </w:r>
          </w:hyperlink>
        </w:p>
        <w:p w:rsidR="004E4A3C" w:rsidRDefault="00FD7157">
          <w:pPr>
            <w:pStyle w:val="TOC1"/>
            <w:tabs>
              <w:tab w:val="right" w:leader="dot" w:pos="10311"/>
            </w:tabs>
          </w:pPr>
          <w:hyperlink w:anchor="__RefHeading___Toc9117_4023479253">
            <w:r>
              <w:rPr>
                <w:rStyle w:val="IndexLink"/>
                <w:webHidden/>
              </w:rPr>
              <w:t>Sažetak za javnu raspravu</w:t>
            </w:r>
            <w:r>
              <w:rPr>
                <w:rStyle w:val="IndexLink"/>
                <w:webHidden/>
              </w:rPr>
              <w:tab/>
              <w:t>7</w:t>
            </w:r>
          </w:hyperlink>
        </w:p>
        <w:p w:rsidR="004E4A3C" w:rsidRDefault="00FD7157">
          <w:pPr>
            <w:pStyle w:val="TOC1"/>
            <w:tabs>
              <w:tab w:val="right" w:leader="dot" w:pos="10311"/>
            </w:tabs>
          </w:pPr>
          <w:hyperlink w:anchor="__RefHeading___Toc9119_4023479253">
            <w:r>
              <w:rPr>
                <w:rStyle w:val="IndexLink"/>
                <w:webHidden/>
              </w:rPr>
              <w:t>Vodič za građane: kako čitati Akcioni plan i karte buke</w:t>
            </w:r>
            <w:r>
              <w:rPr>
                <w:rStyle w:val="IndexLink"/>
                <w:webHidden/>
              </w:rPr>
              <w:tab/>
              <w:t>8</w:t>
            </w:r>
          </w:hyperlink>
        </w:p>
        <w:p w:rsidR="004E4A3C" w:rsidRDefault="00FD7157">
          <w:pPr>
            <w:pStyle w:val="TOC2"/>
            <w:tabs>
              <w:tab w:val="right" w:leader="dot" w:pos="10311"/>
            </w:tabs>
          </w:pPr>
          <w:hyperlink w:anchor="__RefHeading___Toc9121_4023479253">
            <w:r>
              <w:rPr>
                <w:rStyle w:val="IndexLink"/>
                <w:webHidden/>
              </w:rPr>
              <w:t>Šta znače indikatori Lden i Lnight</w:t>
            </w:r>
            <w:r>
              <w:rPr>
                <w:rStyle w:val="IndexLink"/>
                <w:webHidden/>
              </w:rPr>
              <w:tab/>
              <w:t>8</w:t>
            </w:r>
          </w:hyperlink>
        </w:p>
        <w:p w:rsidR="004E4A3C" w:rsidRDefault="00FD7157">
          <w:pPr>
            <w:pStyle w:val="TOC2"/>
            <w:tabs>
              <w:tab w:val="right" w:leader="dot" w:pos="10311"/>
            </w:tabs>
          </w:pPr>
          <w:hyperlink w:anchor="__RefHeading___Toc9123_4023479253">
            <w:r>
              <w:rPr>
                <w:rStyle w:val="IndexLink"/>
                <w:webHidden/>
              </w:rPr>
              <w:t>Kako čitati karte buke</w:t>
            </w:r>
            <w:r>
              <w:rPr>
                <w:rStyle w:val="IndexLink"/>
                <w:webHidden/>
              </w:rPr>
              <w:tab/>
              <w:t>8</w:t>
            </w:r>
          </w:hyperlink>
        </w:p>
        <w:p w:rsidR="004E4A3C" w:rsidRDefault="00FD7157">
          <w:pPr>
            <w:pStyle w:val="TOC2"/>
            <w:tabs>
              <w:tab w:val="right" w:leader="dot" w:pos="10311"/>
            </w:tabs>
          </w:pPr>
          <w:hyperlink w:anchor="__RefHeading___Toc9125_4023479253">
            <w:r>
              <w:rPr>
                <w:rStyle w:val="IndexLink"/>
                <w:webHidden/>
              </w:rPr>
              <w:t>Gdje su najugroženije zone</w:t>
            </w:r>
            <w:r>
              <w:rPr>
                <w:rStyle w:val="IndexLink"/>
                <w:webHidden/>
              </w:rPr>
              <w:tab/>
              <w:t>8</w:t>
            </w:r>
          </w:hyperlink>
        </w:p>
        <w:p w:rsidR="004E4A3C" w:rsidRDefault="00FD7157">
          <w:pPr>
            <w:pStyle w:val="TOC2"/>
            <w:tabs>
              <w:tab w:val="right" w:leader="dot" w:pos="10311"/>
            </w:tabs>
          </w:pPr>
          <w:hyperlink w:anchor="__RefHeading___Toc9127_4023479253">
            <w:r>
              <w:rPr>
                <w:rStyle w:val="IndexLink"/>
                <w:webHidden/>
              </w:rPr>
              <w:t>Šta se realno može očekivati od mjera</w:t>
            </w:r>
            <w:r>
              <w:rPr>
                <w:rStyle w:val="IndexLink"/>
                <w:webHidden/>
              </w:rPr>
              <w:tab/>
              <w:t>8</w:t>
            </w:r>
          </w:hyperlink>
        </w:p>
        <w:p w:rsidR="004E4A3C" w:rsidRDefault="00FD7157">
          <w:pPr>
            <w:pStyle w:val="TOC1"/>
            <w:tabs>
              <w:tab w:val="right" w:leader="dot" w:pos="10311"/>
            </w:tabs>
          </w:pPr>
          <w:hyperlink w:anchor="__RefHeading___Toc9129_4023479253">
            <w:r>
              <w:rPr>
                <w:rStyle w:val="IndexLink"/>
                <w:webHidden/>
              </w:rPr>
              <w:t>Kratka informacija za donosioce odluka</w:t>
            </w:r>
            <w:r>
              <w:rPr>
                <w:rStyle w:val="IndexLink"/>
                <w:webHidden/>
              </w:rPr>
              <w:tab/>
              <w:t>8</w:t>
            </w:r>
          </w:hyperlink>
        </w:p>
        <w:p w:rsidR="004E4A3C" w:rsidRDefault="00FD7157">
          <w:pPr>
            <w:pStyle w:val="TOC2"/>
            <w:tabs>
              <w:tab w:val="right" w:leader="dot" w:pos="10311"/>
            </w:tabs>
          </w:pPr>
          <w:hyperlink w:anchor="__RefHeading___Toc9131_4023479253">
            <w:r>
              <w:rPr>
                <w:rStyle w:val="IndexLink"/>
                <w:webHidden/>
              </w:rPr>
              <w:t>Problem koji treba riješiti</w:t>
            </w:r>
            <w:r>
              <w:rPr>
                <w:rStyle w:val="IndexLink"/>
                <w:webHidden/>
              </w:rPr>
              <w:tab/>
              <w:t>8</w:t>
            </w:r>
          </w:hyperlink>
        </w:p>
        <w:p w:rsidR="004E4A3C" w:rsidRDefault="00FD7157">
          <w:pPr>
            <w:pStyle w:val="TOC2"/>
            <w:tabs>
              <w:tab w:val="right" w:leader="dot" w:pos="10311"/>
            </w:tabs>
          </w:pPr>
          <w:hyperlink w:anchor="__RefHeading___Toc9133_4023479253">
            <w:r>
              <w:rPr>
                <w:rStyle w:val="IndexLink"/>
                <w:webHidden/>
              </w:rPr>
              <w:t>Preporučena odluka</w:t>
            </w:r>
            <w:r>
              <w:rPr>
                <w:rStyle w:val="IndexLink"/>
                <w:webHidden/>
              </w:rPr>
              <w:tab/>
              <w:t>9</w:t>
            </w:r>
          </w:hyperlink>
        </w:p>
        <w:p w:rsidR="004E4A3C" w:rsidRDefault="00FD7157">
          <w:pPr>
            <w:pStyle w:val="TOC2"/>
            <w:tabs>
              <w:tab w:val="right" w:leader="dot" w:pos="10311"/>
            </w:tabs>
          </w:pPr>
          <w:hyperlink w:anchor="__RefHeading___Toc9135_4023479253">
            <w:r>
              <w:rPr>
                <w:rStyle w:val="IndexLink"/>
                <w:webHidden/>
              </w:rPr>
              <w:t>Pravni, EU i proceduralni osnov</w:t>
            </w:r>
            <w:r>
              <w:rPr>
                <w:rStyle w:val="IndexLink"/>
                <w:webHidden/>
              </w:rPr>
              <w:tab/>
              <w:t>9</w:t>
            </w:r>
          </w:hyperlink>
        </w:p>
        <w:p w:rsidR="004E4A3C" w:rsidRDefault="00FD7157">
          <w:pPr>
            <w:pStyle w:val="TOC2"/>
            <w:tabs>
              <w:tab w:val="right" w:leader="dot" w:pos="10311"/>
            </w:tabs>
          </w:pPr>
          <w:hyperlink w:anchor="__RefHeading___Toc9137_4023479253">
            <w:r>
              <w:rPr>
                <w:rStyle w:val="IndexLink"/>
                <w:webHidden/>
              </w:rPr>
              <w:t>Finansijska orijentacija za odlučivanje</w:t>
            </w:r>
            <w:r>
              <w:rPr>
                <w:rStyle w:val="IndexLink"/>
                <w:webHidden/>
              </w:rPr>
              <w:tab/>
              <w:t>9</w:t>
            </w:r>
          </w:hyperlink>
        </w:p>
        <w:p w:rsidR="004E4A3C" w:rsidRDefault="00FD7157">
          <w:pPr>
            <w:pStyle w:val="TOC2"/>
            <w:tabs>
              <w:tab w:val="right" w:leader="dot" w:pos="10311"/>
            </w:tabs>
          </w:pPr>
          <w:hyperlink w:anchor="__RefHeading___Toc9139_4023479253">
            <w:r>
              <w:rPr>
                <w:rStyle w:val="IndexLink"/>
                <w:webHidden/>
              </w:rPr>
              <w:t>Odluke i aktivnosti u prvih 12 mjeseci</w:t>
            </w:r>
            <w:r>
              <w:rPr>
                <w:rStyle w:val="IndexLink"/>
                <w:webHidden/>
              </w:rPr>
              <w:tab/>
              <w:t>9</w:t>
            </w:r>
          </w:hyperlink>
        </w:p>
        <w:p w:rsidR="004E4A3C" w:rsidRDefault="00FD7157">
          <w:pPr>
            <w:pStyle w:val="TOC1"/>
            <w:tabs>
              <w:tab w:val="right" w:leader="dot" w:pos="10311"/>
            </w:tabs>
          </w:pPr>
          <w:hyperlink w:anchor="__RefHeading___Toc9141_4023479253">
            <w:r>
              <w:rPr>
                <w:rStyle w:val="IndexLink"/>
                <w:webHidden/>
              </w:rPr>
              <w:t>1. Uvod</w:t>
            </w:r>
            <w:r>
              <w:rPr>
                <w:rStyle w:val="IndexLink"/>
                <w:webHidden/>
              </w:rPr>
              <w:tab/>
              <w:t>10</w:t>
            </w:r>
          </w:hyperlink>
        </w:p>
        <w:p w:rsidR="004E4A3C" w:rsidRDefault="00FD7157">
          <w:pPr>
            <w:pStyle w:val="TOC2"/>
            <w:tabs>
              <w:tab w:val="right" w:leader="dot" w:pos="10311"/>
            </w:tabs>
          </w:pPr>
          <w:hyperlink w:anchor="__RefHeading___Toc9143_4023479253">
            <w:r>
              <w:rPr>
                <w:rStyle w:val="IndexLink"/>
                <w:webHidden/>
              </w:rPr>
              <w:t>1.1. Predmet Akcionog plana</w:t>
            </w:r>
            <w:r>
              <w:rPr>
                <w:rStyle w:val="IndexLink"/>
                <w:webHidden/>
              </w:rPr>
              <w:tab/>
              <w:t>10</w:t>
            </w:r>
          </w:hyperlink>
        </w:p>
        <w:p w:rsidR="004E4A3C" w:rsidRDefault="00FD7157">
          <w:pPr>
            <w:pStyle w:val="TOC2"/>
            <w:tabs>
              <w:tab w:val="right" w:leader="dot" w:pos="10311"/>
            </w:tabs>
          </w:pPr>
          <w:hyperlink w:anchor="__RefHeading___Toc9145_4023479253">
            <w:r>
              <w:rPr>
                <w:rStyle w:val="IndexLink"/>
                <w:webHidden/>
              </w:rPr>
              <w:t>1.2. Cilj izrade Akcionog plana</w:t>
            </w:r>
            <w:r>
              <w:rPr>
                <w:rStyle w:val="IndexLink"/>
                <w:webHidden/>
              </w:rPr>
              <w:tab/>
              <w:t>10</w:t>
            </w:r>
          </w:hyperlink>
        </w:p>
        <w:p w:rsidR="004E4A3C" w:rsidRDefault="00FD7157">
          <w:pPr>
            <w:pStyle w:val="TOC2"/>
            <w:tabs>
              <w:tab w:val="right" w:leader="dot" w:pos="10311"/>
            </w:tabs>
          </w:pPr>
          <w:hyperlink w:anchor="__RefHeading___Toc9147_4023479253">
            <w:r>
              <w:rPr>
                <w:rStyle w:val="IndexLink"/>
                <w:webHidden/>
              </w:rPr>
              <w:t>1.3. Pravni osnov</w:t>
            </w:r>
            <w:r>
              <w:rPr>
                <w:rStyle w:val="IndexLink"/>
                <w:webHidden/>
              </w:rPr>
              <w:tab/>
              <w:t>10</w:t>
            </w:r>
          </w:hyperlink>
        </w:p>
        <w:p w:rsidR="004E4A3C" w:rsidRDefault="00FD7157">
          <w:pPr>
            <w:pStyle w:val="TOC2"/>
            <w:tabs>
              <w:tab w:val="right" w:leader="dot" w:pos="10311"/>
            </w:tabs>
          </w:pPr>
          <w:hyperlink w:anchor="__RefHeading___Toc9149_4023479253">
            <w:r>
              <w:rPr>
                <w:rStyle w:val="IndexLink"/>
                <w:webHidden/>
              </w:rPr>
              <w:t>1.4. Stručna podloga za izradu Akcionog plana</w:t>
            </w:r>
            <w:r>
              <w:rPr>
                <w:rStyle w:val="IndexLink"/>
                <w:webHidden/>
              </w:rPr>
              <w:tab/>
              <w:t>10</w:t>
            </w:r>
          </w:hyperlink>
        </w:p>
        <w:p w:rsidR="004E4A3C" w:rsidRDefault="00FD7157">
          <w:pPr>
            <w:pStyle w:val="TOC2"/>
            <w:tabs>
              <w:tab w:val="right" w:leader="dot" w:pos="10311"/>
            </w:tabs>
          </w:pPr>
          <w:hyperlink w:anchor="__RefHeading___Toc9151_4023479253">
            <w:r>
              <w:rPr>
                <w:rStyle w:val="IndexLink"/>
                <w:webHidden/>
              </w:rPr>
              <w:t>1.5. Period važenja Akcionog pl</w:t>
            </w:r>
            <w:r>
              <w:rPr>
                <w:rStyle w:val="IndexLink"/>
                <w:webHidden/>
              </w:rPr>
              <w:t>ana</w:t>
            </w:r>
            <w:r>
              <w:rPr>
                <w:rStyle w:val="IndexLink"/>
                <w:webHidden/>
              </w:rPr>
              <w:tab/>
              <w:t>10</w:t>
            </w:r>
          </w:hyperlink>
        </w:p>
        <w:p w:rsidR="004E4A3C" w:rsidRDefault="00FD7157">
          <w:pPr>
            <w:pStyle w:val="TOC1"/>
            <w:tabs>
              <w:tab w:val="right" w:leader="dot" w:pos="10311"/>
            </w:tabs>
          </w:pPr>
          <w:hyperlink w:anchor="__RefHeading___Toc9153_4023479253">
            <w:r>
              <w:rPr>
                <w:rStyle w:val="IndexLink"/>
                <w:webHidden/>
              </w:rPr>
              <w:t>2. Opis predmetne dionice glavnog puta</w:t>
            </w:r>
            <w:r>
              <w:rPr>
                <w:rStyle w:val="IndexLink"/>
                <w:webHidden/>
              </w:rPr>
              <w:tab/>
              <w:t>10</w:t>
            </w:r>
          </w:hyperlink>
        </w:p>
        <w:p w:rsidR="004E4A3C" w:rsidRDefault="00FD7157">
          <w:pPr>
            <w:pStyle w:val="TOC2"/>
            <w:tabs>
              <w:tab w:val="right" w:leader="dot" w:pos="10311"/>
            </w:tabs>
          </w:pPr>
          <w:hyperlink w:anchor="__RefHeading___Toc9155_4023479253">
            <w:r>
              <w:rPr>
                <w:rStyle w:val="IndexLink"/>
                <w:webHidden/>
              </w:rPr>
              <w:t>2.1. Položaj i funkcija regionalnog puta R-23</w:t>
            </w:r>
            <w:r>
              <w:rPr>
                <w:rStyle w:val="IndexLink"/>
                <w:webHidden/>
              </w:rPr>
              <w:tab/>
              <w:t>10</w:t>
            </w:r>
          </w:hyperlink>
        </w:p>
        <w:p w:rsidR="004E4A3C" w:rsidRDefault="00FD7157">
          <w:pPr>
            <w:pStyle w:val="TOC2"/>
            <w:tabs>
              <w:tab w:val="right" w:leader="dot" w:pos="10311"/>
            </w:tabs>
          </w:pPr>
          <w:hyperlink w:anchor="__RefHeading___Toc9157_4023479253">
            <w:r>
              <w:rPr>
                <w:rStyle w:val="IndexLink"/>
                <w:webHidden/>
              </w:rPr>
              <w:t>2.2. Obuhvat dionice</w:t>
            </w:r>
            <w:r>
              <w:rPr>
                <w:rStyle w:val="IndexLink"/>
                <w:webHidden/>
              </w:rPr>
              <w:tab/>
              <w:t>10</w:t>
            </w:r>
          </w:hyperlink>
        </w:p>
        <w:p w:rsidR="004E4A3C" w:rsidRDefault="00FD7157">
          <w:pPr>
            <w:pStyle w:val="TOC2"/>
            <w:tabs>
              <w:tab w:val="right" w:leader="dot" w:pos="10311"/>
            </w:tabs>
          </w:pPr>
          <w:hyperlink w:anchor="__RefHeading___Toc9159_4023479253">
            <w:r>
              <w:rPr>
                <w:rStyle w:val="IndexLink"/>
                <w:webHidden/>
              </w:rPr>
              <w:t>2.3. Osnovni saobraćajni podaci</w:t>
            </w:r>
            <w:r>
              <w:rPr>
                <w:rStyle w:val="IndexLink"/>
                <w:webHidden/>
              </w:rPr>
              <w:tab/>
              <w:t>11</w:t>
            </w:r>
          </w:hyperlink>
        </w:p>
        <w:p w:rsidR="004E4A3C" w:rsidRDefault="00FD7157">
          <w:pPr>
            <w:pStyle w:val="TOC2"/>
            <w:tabs>
              <w:tab w:val="right" w:leader="dot" w:pos="10311"/>
            </w:tabs>
          </w:pPr>
          <w:hyperlink w:anchor="__RefHeading___Toc9161_4023479253">
            <w:r>
              <w:rPr>
                <w:rStyle w:val="IndexLink"/>
                <w:webHidden/>
              </w:rPr>
              <w:t>2.4. Naseljena područja u okruž</w:t>
            </w:r>
            <w:r>
              <w:rPr>
                <w:rStyle w:val="IndexLink"/>
                <w:webHidden/>
              </w:rPr>
              <w:t>enju puta</w:t>
            </w:r>
            <w:r>
              <w:rPr>
                <w:rStyle w:val="IndexLink"/>
                <w:webHidden/>
              </w:rPr>
              <w:tab/>
              <w:t>11</w:t>
            </w:r>
          </w:hyperlink>
        </w:p>
        <w:p w:rsidR="004E4A3C" w:rsidRDefault="00FD7157">
          <w:pPr>
            <w:pStyle w:val="TOC2"/>
            <w:tabs>
              <w:tab w:val="right" w:leader="dot" w:pos="10311"/>
            </w:tabs>
          </w:pPr>
          <w:hyperlink w:anchor="__RefHeading___Toc9163_4023479253">
            <w:r>
              <w:rPr>
                <w:rStyle w:val="IndexLink"/>
                <w:webHidden/>
              </w:rPr>
              <w:t>2.5. Drugi izvori buke u koridoru</w:t>
            </w:r>
            <w:r>
              <w:rPr>
                <w:rStyle w:val="IndexLink"/>
                <w:webHidden/>
              </w:rPr>
              <w:tab/>
              <w:t>12</w:t>
            </w:r>
          </w:hyperlink>
        </w:p>
        <w:p w:rsidR="004E4A3C" w:rsidRDefault="00FD7157">
          <w:pPr>
            <w:pStyle w:val="TOC1"/>
            <w:tabs>
              <w:tab w:val="right" w:leader="dot" w:pos="10311"/>
            </w:tabs>
          </w:pPr>
          <w:hyperlink w:anchor="__RefHeading___Toc9165_4023479253">
            <w:r>
              <w:rPr>
                <w:rStyle w:val="IndexLink"/>
                <w:webHidden/>
              </w:rPr>
              <w:t>3. Propisane granične vrijednosti i akustičke zone</w:t>
            </w:r>
            <w:r>
              <w:rPr>
                <w:rStyle w:val="IndexLink"/>
                <w:webHidden/>
              </w:rPr>
              <w:tab/>
              <w:t>12</w:t>
            </w:r>
          </w:hyperlink>
        </w:p>
        <w:p w:rsidR="004E4A3C" w:rsidRDefault="00FD7157">
          <w:pPr>
            <w:pStyle w:val="TOC2"/>
            <w:tabs>
              <w:tab w:val="right" w:leader="dot" w:pos="10311"/>
            </w:tabs>
          </w:pPr>
          <w:hyperlink w:anchor="__RefHeading___Toc9167_4023479253">
            <w:r>
              <w:rPr>
                <w:rStyle w:val="IndexLink"/>
                <w:webHidden/>
              </w:rPr>
              <w:t>3.1. Akustičke zone u obuhvatu Akcionog plana</w:t>
            </w:r>
            <w:r>
              <w:rPr>
                <w:rStyle w:val="IndexLink"/>
                <w:webHidden/>
              </w:rPr>
              <w:tab/>
              <w:t>12</w:t>
            </w:r>
          </w:hyperlink>
        </w:p>
        <w:p w:rsidR="004E4A3C" w:rsidRDefault="00FD7157">
          <w:pPr>
            <w:pStyle w:val="TOC2"/>
            <w:tabs>
              <w:tab w:val="right" w:leader="dot" w:pos="10311"/>
            </w:tabs>
          </w:pPr>
          <w:hyperlink w:anchor="__RefHeading___Toc9169_4023479253">
            <w:r>
              <w:rPr>
                <w:rStyle w:val="IndexLink"/>
                <w:webHidden/>
              </w:rPr>
              <w:t>3.2. Granične vrijednosti buke</w:t>
            </w:r>
            <w:r>
              <w:rPr>
                <w:rStyle w:val="IndexLink"/>
                <w:webHidden/>
              </w:rPr>
              <w:tab/>
              <w:t>13</w:t>
            </w:r>
          </w:hyperlink>
        </w:p>
        <w:p w:rsidR="004E4A3C" w:rsidRDefault="00FD7157">
          <w:pPr>
            <w:pStyle w:val="TOC2"/>
            <w:tabs>
              <w:tab w:val="right" w:leader="dot" w:pos="10311"/>
            </w:tabs>
          </w:pPr>
          <w:hyperlink w:anchor="__RefHeading___Toc9171_4023479253">
            <w:r>
              <w:rPr>
                <w:rStyle w:val="IndexLink"/>
                <w:webHidden/>
              </w:rPr>
              <w:t>3.3. Značaj indikatora Lden i Lnight</w:t>
            </w:r>
            <w:r>
              <w:rPr>
                <w:rStyle w:val="IndexLink"/>
                <w:webHidden/>
              </w:rPr>
              <w:tab/>
              <w:t>13</w:t>
            </w:r>
          </w:hyperlink>
        </w:p>
        <w:p w:rsidR="004E4A3C" w:rsidRDefault="00FD7157">
          <w:pPr>
            <w:pStyle w:val="TOC2"/>
            <w:tabs>
              <w:tab w:val="right" w:leader="dot" w:pos="10311"/>
            </w:tabs>
          </w:pPr>
          <w:hyperlink w:anchor="__RefHeading___Toc9173_4023479253">
            <w:r>
              <w:rPr>
                <w:rStyle w:val="IndexLink"/>
                <w:webHidden/>
              </w:rPr>
              <w:t>3.4. Način tumačenja prekoračenja</w:t>
            </w:r>
            <w:r>
              <w:rPr>
                <w:rStyle w:val="IndexLink"/>
                <w:webHidden/>
              </w:rPr>
              <w:tab/>
              <w:t>13</w:t>
            </w:r>
          </w:hyperlink>
        </w:p>
        <w:p w:rsidR="004E4A3C" w:rsidRDefault="00FD7157">
          <w:pPr>
            <w:pStyle w:val="TOC1"/>
            <w:tabs>
              <w:tab w:val="right" w:leader="dot" w:pos="10311"/>
            </w:tabs>
          </w:pPr>
          <w:hyperlink w:anchor="__RefHeading___Toc9175_4023479253">
            <w:r>
              <w:rPr>
                <w:rStyle w:val="IndexLink"/>
                <w:webHidden/>
              </w:rPr>
              <w:t>4. Rezime rezultata Strateške karte buke</w:t>
            </w:r>
            <w:r>
              <w:rPr>
                <w:rStyle w:val="IndexLink"/>
                <w:webHidden/>
              </w:rPr>
              <w:tab/>
              <w:t>13</w:t>
            </w:r>
          </w:hyperlink>
        </w:p>
        <w:p w:rsidR="004E4A3C" w:rsidRDefault="00FD7157">
          <w:pPr>
            <w:pStyle w:val="TOC2"/>
            <w:tabs>
              <w:tab w:val="right" w:leader="dot" w:pos="10311"/>
            </w:tabs>
          </w:pPr>
          <w:hyperlink w:anchor="__RefHeading___Toc9177_4023479253">
            <w:r>
              <w:rPr>
                <w:rStyle w:val="IndexLink"/>
                <w:webHidden/>
              </w:rPr>
              <w:t>4.1. Metodol</w:t>
            </w:r>
            <w:r>
              <w:rPr>
                <w:rStyle w:val="IndexLink"/>
                <w:webHidden/>
              </w:rPr>
              <w:t>ogija i softver</w:t>
            </w:r>
            <w:r>
              <w:rPr>
                <w:rStyle w:val="IndexLink"/>
                <w:webHidden/>
              </w:rPr>
              <w:tab/>
              <w:t>13</w:t>
            </w:r>
          </w:hyperlink>
        </w:p>
        <w:p w:rsidR="004E4A3C" w:rsidRDefault="00FD7157">
          <w:pPr>
            <w:pStyle w:val="TOC2"/>
            <w:tabs>
              <w:tab w:val="right" w:leader="dot" w:pos="10311"/>
            </w:tabs>
          </w:pPr>
          <w:hyperlink w:anchor="__RefHeading___Toc9179_4023479253">
            <w:r>
              <w:rPr>
                <w:rStyle w:val="IndexLink"/>
                <w:webHidden/>
              </w:rPr>
              <w:t>4.2. Izloženost stanovništva prema Lden</w:t>
            </w:r>
            <w:r>
              <w:rPr>
                <w:rStyle w:val="IndexLink"/>
                <w:webHidden/>
              </w:rPr>
              <w:tab/>
              <w:t>13</w:t>
            </w:r>
          </w:hyperlink>
        </w:p>
        <w:p w:rsidR="004E4A3C" w:rsidRDefault="00FD7157">
          <w:pPr>
            <w:pStyle w:val="TOC2"/>
            <w:tabs>
              <w:tab w:val="right" w:leader="dot" w:pos="10311"/>
            </w:tabs>
          </w:pPr>
          <w:hyperlink w:anchor="__RefHeading___Toc9181_4023479253">
            <w:r>
              <w:rPr>
                <w:rStyle w:val="IndexLink"/>
                <w:webHidden/>
              </w:rPr>
              <w:t>4.3. Izloženost stanovništva prema Lnight</w:t>
            </w:r>
            <w:r>
              <w:rPr>
                <w:rStyle w:val="IndexLink"/>
                <w:webHidden/>
              </w:rPr>
              <w:tab/>
              <w:t>14</w:t>
            </w:r>
          </w:hyperlink>
        </w:p>
        <w:p w:rsidR="004E4A3C" w:rsidRDefault="00FD7157">
          <w:pPr>
            <w:pStyle w:val="TOC2"/>
            <w:tabs>
              <w:tab w:val="right" w:leader="dot" w:pos="10311"/>
            </w:tabs>
          </w:pPr>
          <w:hyperlink w:anchor="__RefHeading___Toc9183_4023479253">
            <w:r>
              <w:rPr>
                <w:rStyle w:val="IndexLink"/>
                <w:webHidden/>
              </w:rPr>
              <w:t>4.4. Izloženost prema Lday, Levening i Lden</w:t>
            </w:r>
            <w:r>
              <w:rPr>
                <w:rStyle w:val="IndexLink"/>
                <w:webHidden/>
              </w:rPr>
              <w:tab/>
              <w:t>14</w:t>
            </w:r>
          </w:hyperlink>
        </w:p>
        <w:p w:rsidR="004E4A3C" w:rsidRDefault="00FD7157">
          <w:pPr>
            <w:pStyle w:val="TOC2"/>
            <w:tabs>
              <w:tab w:val="right" w:leader="dot" w:pos="10311"/>
            </w:tabs>
          </w:pPr>
          <w:hyperlink w:anchor="__RefHeading___Toc9185_4023479253">
            <w:r>
              <w:rPr>
                <w:rStyle w:val="IndexLink"/>
                <w:webHidden/>
              </w:rPr>
              <w:t>4.5. Površine, stanovi i stanovništvo izloženi Lden vrijednostima</w:t>
            </w:r>
            <w:r>
              <w:rPr>
                <w:rStyle w:val="IndexLink"/>
                <w:webHidden/>
              </w:rPr>
              <w:tab/>
              <w:t>15</w:t>
            </w:r>
          </w:hyperlink>
        </w:p>
        <w:p w:rsidR="004E4A3C" w:rsidRDefault="00FD7157">
          <w:pPr>
            <w:pStyle w:val="TOC2"/>
            <w:tabs>
              <w:tab w:val="right" w:leader="dot" w:pos="10311"/>
            </w:tabs>
          </w:pPr>
          <w:hyperlink w:anchor="__RefHeading___Toc9187_4023479253">
            <w:r>
              <w:rPr>
                <w:rStyle w:val="IndexLink"/>
                <w:webHidden/>
              </w:rPr>
              <w:t>4.6. Stan</w:t>
            </w:r>
            <w:r>
              <w:rPr>
                <w:rStyle w:val="IndexLink"/>
                <w:webHidden/>
              </w:rPr>
              <w:t>ovništvo u objektima sa tihom fasadom</w:t>
            </w:r>
            <w:r>
              <w:rPr>
                <w:rStyle w:val="IndexLink"/>
                <w:webHidden/>
              </w:rPr>
              <w:tab/>
              <w:t>15</w:t>
            </w:r>
          </w:hyperlink>
        </w:p>
        <w:p w:rsidR="004E4A3C" w:rsidRDefault="00FD7157">
          <w:pPr>
            <w:pStyle w:val="TOC2"/>
            <w:tabs>
              <w:tab w:val="right" w:leader="dot" w:pos="10311"/>
            </w:tabs>
          </w:pPr>
          <w:hyperlink w:anchor="__RefHeading___Toc9189_4023479253">
            <w:r>
              <w:rPr>
                <w:rStyle w:val="IndexLink"/>
                <w:webHidden/>
              </w:rPr>
              <w:t>4.7. Pregled prekoračenja graničnih vrijednosti</w:t>
            </w:r>
            <w:r>
              <w:rPr>
                <w:rStyle w:val="IndexLink"/>
                <w:webHidden/>
              </w:rPr>
              <w:tab/>
              <w:t>15</w:t>
            </w:r>
          </w:hyperlink>
        </w:p>
        <w:p w:rsidR="004E4A3C" w:rsidRDefault="00FD7157">
          <w:pPr>
            <w:pStyle w:val="TOC2"/>
            <w:tabs>
              <w:tab w:val="right" w:leader="dot" w:pos="10311"/>
            </w:tabs>
          </w:pPr>
          <w:hyperlink w:anchor="__RefHeading___Toc9191_4023479253">
            <w:r>
              <w:rPr>
                <w:rStyle w:val="IndexLink"/>
                <w:webHidden/>
              </w:rPr>
              <w:t>4.8. Osjetljivi objekti</w:t>
            </w:r>
            <w:r>
              <w:rPr>
                <w:rStyle w:val="IndexLink"/>
                <w:webHidden/>
              </w:rPr>
              <w:tab/>
              <w:t>16</w:t>
            </w:r>
          </w:hyperlink>
        </w:p>
        <w:p w:rsidR="004E4A3C" w:rsidRDefault="00FD7157">
          <w:pPr>
            <w:pStyle w:val="TOC1"/>
            <w:tabs>
              <w:tab w:val="right" w:leader="dot" w:pos="10311"/>
            </w:tabs>
          </w:pPr>
          <w:hyperlink w:anchor="__RefHeading___Toc9193_4023479253">
            <w:r>
              <w:rPr>
                <w:rStyle w:val="IndexLink"/>
                <w:webHidden/>
              </w:rPr>
              <w:t>5. Identifikacija problema koje treba poboljšati</w:t>
            </w:r>
            <w:r>
              <w:rPr>
                <w:rStyle w:val="IndexLink"/>
                <w:webHidden/>
              </w:rPr>
              <w:tab/>
              <w:t>16</w:t>
            </w:r>
          </w:hyperlink>
        </w:p>
        <w:p w:rsidR="004E4A3C" w:rsidRDefault="00FD7157">
          <w:pPr>
            <w:pStyle w:val="TOC2"/>
            <w:tabs>
              <w:tab w:val="right" w:leader="dot" w:pos="10311"/>
            </w:tabs>
          </w:pPr>
          <w:hyperlink w:anchor="__RefHeading___Toc9195_4023479253">
            <w:r>
              <w:rPr>
                <w:rStyle w:val="IndexLink"/>
                <w:webHidden/>
              </w:rPr>
              <w:t>5.1. Osnov za identifikaciju problema</w:t>
            </w:r>
            <w:r>
              <w:rPr>
                <w:rStyle w:val="IndexLink"/>
                <w:webHidden/>
              </w:rPr>
              <w:tab/>
              <w:t>16</w:t>
            </w:r>
          </w:hyperlink>
        </w:p>
        <w:p w:rsidR="004E4A3C" w:rsidRDefault="00FD7157">
          <w:pPr>
            <w:pStyle w:val="TOC2"/>
            <w:tabs>
              <w:tab w:val="right" w:leader="dot" w:pos="10311"/>
            </w:tabs>
          </w:pPr>
          <w:hyperlink w:anchor="__RefHeading___Toc9197_4023479253">
            <w:r>
              <w:rPr>
                <w:rStyle w:val="IndexLink"/>
                <w:webHidden/>
              </w:rPr>
              <w:t>5.2. Opšta ocjena stanja</w:t>
            </w:r>
            <w:r>
              <w:rPr>
                <w:rStyle w:val="IndexLink"/>
                <w:webHidden/>
              </w:rPr>
              <w:tab/>
              <w:t>17</w:t>
            </w:r>
          </w:hyperlink>
        </w:p>
        <w:p w:rsidR="004E4A3C" w:rsidRDefault="00FD7157">
          <w:pPr>
            <w:pStyle w:val="TOC2"/>
            <w:tabs>
              <w:tab w:val="right" w:leader="dot" w:pos="10311"/>
            </w:tabs>
          </w:pPr>
          <w:hyperlink w:anchor="__RefHeading___Toc9199_4023479253">
            <w:r>
              <w:rPr>
                <w:rStyle w:val="IndexLink"/>
                <w:webHidden/>
              </w:rPr>
              <w:t>5.3. Prioritetna područja za djelovanje</w:t>
            </w:r>
            <w:r>
              <w:rPr>
                <w:rStyle w:val="IndexLink"/>
                <w:webHidden/>
              </w:rPr>
              <w:tab/>
              <w:t>17</w:t>
            </w:r>
          </w:hyperlink>
        </w:p>
        <w:p w:rsidR="004E4A3C" w:rsidRDefault="00FD7157">
          <w:pPr>
            <w:pStyle w:val="TOC2"/>
            <w:tabs>
              <w:tab w:val="right" w:leader="dot" w:pos="10311"/>
            </w:tabs>
          </w:pPr>
          <w:hyperlink w:anchor="__RefHeading___Toc9201_4023479253">
            <w:r>
              <w:rPr>
                <w:rStyle w:val="IndexLink"/>
                <w:webHidden/>
              </w:rPr>
              <w:t>5.4. Stanje koje tr</w:t>
            </w:r>
            <w:r>
              <w:rPr>
                <w:rStyle w:val="IndexLink"/>
                <w:webHidden/>
              </w:rPr>
              <w:t>eba poboljšati</w:t>
            </w:r>
            <w:r>
              <w:rPr>
                <w:rStyle w:val="IndexLink"/>
                <w:webHidden/>
              </w:rPr>
              <w:tab/>
              <w:t>17</w:t>
            </w:r>
          </w:hyperlink>
        </w:p>
        <w:p w:rsidR="004E4A3C" w:rsidRDefault="00FD7157">
          <w:pPr>
            <w:pStyle w:val="TOC1"/>
            <w:tabs>
              <w:tab w:val="right" w:leader="dot" w:pos="10311"/>
            </w:tabs>
          </w:pPr>
          <w:hyperlink w:anchor="__RefHeading___Toc9203_4023479253">
            <w:r>
              <w:rPr>
                <w:rStyle w:val="IndexLink"/>
                <w:webHidden/>
              </w:rPr>
              <w:t>6. Postojeće i planirane mjere zaštite od buke</w:t>
            </w:r>
            <w:r>
              <w:rPr>
                <w:rStyle w:val="IndexLink"/>
                <w:webHidden/>
              </w:rPr>
              <w:tab/>
              <w:t>17</w:t>
            </w:r>
          </w:hyperlink>
        </w:p>
        <w:p w:rsidR="004E4A3C" w:rsidRDefault="00FD7157">
          <w:pPr>
            <w:pStyle w:val="TOC2"/>
            <w:tabs>
              <w:tab w:val="right" w:leader="dot" w:pos="10311"/>
            </w:tabs>
          </w:pPr>
          <w:hyperlink w:anchor="__RefHeading___Toc9205_4023479253">
            <w:r>
              <w:rPr>
                <w:rStyle w:val="IndexLink"/>
                <w:webHidden/>
              </w:rPr>
              <w:t>6.1. Postojeće mjere i stanje u modelu</w:t>
            </w:r>
            <w:r>
              <w:rPr>
                <w:rStyle w:val="IndexLink"/>
                <w:webHidden/>
              </w:rPr>
              <w:tab/>
              <w:t>17</w:t>
            </w:r>
          </w:hyperlink>
        </w:p>
        <w:p w:rsidR="004E4A3C" w:rsidRDefault="00FD7157">
          <w:pPr>
            <w:pStyle w:val="TOC2"/>
            <w:tabs>
              <w:tab w:val="right" w:leader="dot" w:pos="10311"/>
            </w:tabs>
          </w:pPr>
          <w:hyperlink w:anchor="__RefHeading___Toc9207_4023479253">
            <w:r>
              <w:rPr>
                <w:rStyle w:val="IndexLink"/>
                <w:webHidden/>
              </w:rPr>
              <w:t>6.2. Planirane mjere, projekti i povezane aktivnosti</w:t>
            </w:r>
            <w:r>
              <w:rPr>
                <w:rStyle w:val="IndexLink"/>
                <w:webHidden/>
              </w:rPr>
              <w:tab/>
              <w:t>18</w:t>
            </w:r>
          </w:hyperlink>
        </w:p>
        <w:p w:rsidR="004E4A3C" w:rsidRDefault="00FD7157">
          <w:pPr>
            <w:pStyle w:val="TOC2"/>
            <w:tabs>
              <w:tab w:val="right" w:leader="dot" w:pos="10311"/>
            </w:tabs>
          </w:pPr>
          <w:hyperlink w:anchor="__RefHeading___Toc9209_4023479253">
            <w:r>
              <w:rPr>
                <w:rStyle w:val="IndexLink"/>
                <w:webHidden/>
              </w:rPr>
              <w:t>6.3. Ograničenja i polazni stav za Akcioni plan</w:t>
            </w:r>
            <w:r>
              <w:rPr>
                <w:rStyle w:val="IndexLink"/>
                <w:webHidden/>
              </w:rPr>
              <w:tab/>
              <w:t>18</w:t>
            </w:r>
          </w:hyperlink>
        </w:p>
        <w:p w:rsidR="004E4A3C" w:rsidRDefault="00FD7157">
          <w:pPr>
            <w:pStyle w:val="TOC1"/>
            <w:tabs>
              <w:tab w:val="right" w:leader="dot" w:pos="10311"/>
            </w:tabs>
          </w:pPr>
          <w:hyperlink w:anchor="__RefHeading___Toc9211_4023479253">
            <w:r>
              <w:rPr>
                <w:rStyle w:val="IndexLink"/>
                <w:webHidden/>
              </w:rPr>
              <w:t>7. Mjere koje s</w:t>
            </w:r>
            <w:r>
              <w:rPr>
                <w:rStyle w:val="IndexLink"/>
                <w:webHidden/>
              </w:rPr>
              <w:t>e planiraju Akcionim planom</w:t>
            </w:r>
            <w:r>
              <w:rPr>
                <w:rStyle w:val="IndexLink"/>
                <w:webHidden/>
              </w:rPr>
              <w:tab/>
              <w:t>18</w:t>
            </w:r>
          </w:hyperlink>
        </w:p>
        <w:p w:rsidR="004E4A3C" w:rsidRDefault="00FD7157">
          <w:pPr>
            <w:pStyle w:val="TOC2"/>
            <w:tabs>
              <w:tab w:val="right" w:leader="dot" w:pos="10311"/>
            </w:tabs>
          </w:pPr>
          <w:hyperlink w:anchor="__RefHeading___Toc9213_4023479253">
            <w:r>
              <w:rPr>
                <w:rStyle w:val="IndexLink"/>
                <w:webHidden/>
              </w:rPr>
              <w:t>7.1. Mjere na izvoru buke</w:t>
            </w:r>
            <w:r>
              <w:rPr>
                <w:rStyle w:val="IndexLink"/>
                <w:webHidden/>
              </w:rPr>
              <w:tab/>
              <w:t>18</w:t>
            </w:r>
          </w:hyperlink>
        </w:p>
        <w:p w:rsidR="004E4A3C" w:rsidRDefault="00FD7157">
          <w:pPr>
            <w:pStyle w:val="TOC2"/>
            <w:tabs>
              <w:tab w:val="right" w:leader="dot" w:pos="10311"/>
            </w:tabs>
          </w:pPr>
          <w:hyperlink w:anchor="__RefHeading___Toc9215_4023479253">
            <w:r>
              <w:rPr>
                <w:rStyle w:val="IndexLink"/>
                <w:webHidden/>
              </w:rPr>
              <w:t>7.2. Mjere na putu širenja buke</w:t>
            </w:r>
            <w:r>
              <w:rPr>
                <w:rStyle w:val="IndexLink"/>
                <w:webHidden/>
              </w:rPr>
              <w:tab/>
              <w:t>18</w:t>
            </w:r>
          </w:hyperlink>
        </w:p>
        <w:p w:rsidR="004E4A3C" w:rsidRDefault="00FD7157">
          <w:pPr>
            <w:pStyle w:val="TOC2"/>
            <w:tabs>
              <w:tab w:val="right" w:leader="dot" w:pos="10311"/>
            </w:tabs>
          </w:pPr>
          <w:hyperlink w:anchor="__RefHeading___Toc9217_4023479253">
            <w:r>
              <w:rPr>
                <w:rStyle w:val="IndexLink"/>
                <w:webHidden/>
              </w:rPr>
              <w:t>7.3. Mjere na prijemniku</w:t>
            </w:r>
            <w:r>
              <w:rPr>
                <w:rStyle w:val="IndexLink"/>
                <w:webHidden/>
              </w:rPr>
              <w:tab/>
              <w:t>18</w:t>
            </w:r>
          </w:hyperlink>
        </w:p>
        <w:p w:rsidR="004E4A3C" w:rsidRDefault="00FD7157">
          <w:pPr>
            <w:pStyle w:val="TOC2"/>
            <w:tabs>
              <w:tab w:val="right" w:leader="dot" w:pos="10311"/>
            </w:tabs>
          </w:pPr>
          <w:hyperlink w:anchor="__RefHeading___Toc9219_4023479253">
            <w:r>
              <w:rPr>
                <w:rStyle w:val="IndexLink"/>
                <w:webHidden/>
              </w:rPr>
              <w:t>7.4. Planske, organizacione i komunikacione mjere</w:t>
            </w:r>
            <w:r>
              <w:rPr>
                <w:rStyle w:val="IndexLink"/>
                <w:webHidden/>
              </w:rPr>
              <w:tab/>
              <w:t>18</w:t>
            </w:r>
          </w:hyperlink>
        </w:p>
        <w:p w:rsidR="004E4A3C" w:rsidRDefault="00FD7157">
          <w:pPr>
            <w:pStyle w:val="TOC2"/>
            <w:tabs>
              <w:tab w:val="right" w:leader="dot" w:pos="10311"/>
            </w:tabs>
          </w:pPr>
          <w:hyperlink w:anchor="__RefHeading___Toc9221_4023479253">
            <w:r>
              <w:rPr>
                <w:rStyle w:val="IndexLink"/>
                <w:webHidden/>
              </w:rPr>
              <w:t>7.5. Institucionalne, monitoring i komunikacione mjere</w:t>
            </w:r>
            <w:r>
              <w:rPr>
                <w:rStyle w:val="IndexLink"/>
                <w:webHidden/>
              </w:rPr>
              <w:tab/>
              <w:t>1</w:t>
            </w:r>
            <w:r>
              <w:rPr>
                <w:rStyle w:val="IndexLink"/>
                <w:webHidden/>
              </w:rPr>
              <w:t>9</w:t>
            </w:r>
          </w:hyperlink>
        </w:p>
        <w:p w:rsidR="004E4A3C" w:rsidRDefault="00FD7157">
          <w:pPr>
            <w:pStyle w:val="TOC1"/>
            <w:tabs>
              <w:tab w:val="right" w:leader="dot" w:pos="10311"/>
            </w:tabs>
          </w:pPr>
          <w:hyperlink w:anchor="__RefHeading___Toc9223_4023479253">
            <w:r>
              <w:rPr>
                <w:rStyle w:val="IndexLink"/>
                <w:webHidden/>
              </w:rPr>
              <w:t>8. Program mjera za period od pet godina</w:t>
            </w:r>
            <w:r>
              <w:rPr>
                <w:rStyle w:val="IndexLink"/>
                <w:webHidden/>
              </w:rPr>
              <w:tab/>
              <w:t>19</w:t>
            </w:r>
          </w:hyperlink>
        </w:p>
        <w:p w:rsidR="004E4A3C" w:rsidRDefault="00FD7157">
          <w:pPr>
            <w:pStyle w:val="TOC2"/>
            <w:tabs>
              <w:tab w:val="right" w:leader="dot" w:pos="10311"/>
            </w:tabs>
          </w:pPr>
          <w:hyperlink w:anchor="__RefHeading___Toc9225_4023479253">
            <w:r>
              <w:rPr>
                <w:rStyle w:val="IndexLink"/>
                <w:webHidden/>
              </w:rPr>
              <w:t>8.1. Kratkoročne mjere</w:t>
            </w:r>
            <w:r>
              <w:rPr>
                <w:rStyle w:val="IndexLink"/>
                <w:webHidden/>
              </w:rPr>
              <w:tab/>
              <w:t>19</w:t>
            </w:r>
          </w:hyperlink>
        </w:p>
        <w:p w:rsidR="004E4A3C" w:rsidRDefault="00FD7157">
          <w:pPr>
            <w:pStyle w:val="TOC2"/>
            <w:tabs>
              <w:tab w:val="right" w:leader="dot" w:pos="10311"/>
            </w:tabs>
          </w:pPr>
          <w:hyperlink w:anchor="__RefHeading___Toc9227_4023479253">
            <w:r>
              <w:rPr>
                <w:rStyle w:val="IndexLink"/>
                <w:webHidden/>
              </w:rPr>
              <w:t>8.2. Srednjoročn</w:t>
            </w:r>
            <w:r>
              <w:rPr>
                <w:rStyle w:val="IndexLink"/>
                <w:webHidden/>
              </w:rPr>
              <w:t>e mjere</w:t>
            </w:r>
            <w:r>
              <w:rPr>
                <w:rStyle w:val="IndexLink"/>
                <w:webHidden/>
              </w:rPr>
              <w:tab/>
              <w:t>20</w:t>
            </w:r>
          </w:hyperlink>
        </w:p>
        <w:p w:rsidR="004E4A3C" w:rsidRDefault="00FD7157">
          <w:pPr>
            <w:pStyle w:val="TOC2"/>
            <w:tabs>
              <w:tab w:val="right" w:leader="dot" w:pos="10311"/>
            </w:tabs>
          </w:pPr>
          <w:hyperlink w:anchor="__RefHeading___Toc9229_4023479253">
            <w:r>
              <w:rPr>
                <w:rStyle w:val="IndexLink"/>
                <w:webHidden/>
              </w:rPr>
              <w:t>8.3. Dugoročne mjere</w:t>
            </w:r>
            <w:r>
              <w:rPr>
                <w:rStyle w:val="IndexLink"/>
                <w:webHidden/>
              </w:rPr>
              <w:tab/>
              <w:t>20</w:t>
            </w:r>
          </w:hyperlink>
        </w:p>
        <w:p w:rsidR="004E4A3C" w:rsidRDefault="00FD7157">
          <w:pPr>
            <w:pStyle w:val="TOC2"/>
            <w:tabs>
              <w:tab w:val="right" w:leader="dot" w:pos="10311"/>
            </w:tabs>
          </w:pPr>
          <w:hyperlink w:anchor="__RefHeading___Toc9231_4023479253">
            <w:r>
              <w:rPr>
                <w:rStyle w:val="IndexLink"/>
                <w:webHidden/>
              </w:rPr>
              <w:t>8.4. Prioritet realizacije mjera</w:t>
            </w:r>
            <w:r>
              <w:rPr>
                <w:rStyle w:val="IndexLink"/>
                <w:webHidden/>
              </w:rPr>
              <w:tab/>
              <w:t>20</w:t>
            </w:r>
          </w:hyperlink>
        </w:p>
        <w:p w:rsidR="004E4A3C" w:rsidRDefault="00FD7157">
          <w:pPr>
            <w:pStyle w:val="TOC1"/>
            <w:tabs>
              <w:tab w:val="right" w:leader="dot" w:pos="10311"/>
            </w:tabs>
          </w:pPr>
          <w:hyperlink w:anchor="__RefHeading___Toc9233_4023479253">
            <w:r>
              <w:rPr>
                <w:rStyle w:val="IndexLink"/>
                <w:webHidden/>
              </w:rPr>
              <w:t xml:space="preserve">9. Analiza </w:t>
            </w:r>
            <w:r>
              <w:rPr>
                <w:rStyle w:val="IndexLink"/>
                <w:webHidden/>
              </w:rPr>
              <w:t>varijanti i izbor prioritetnih mjera</w:t>
            </w:r>
            <w:r>
              <w:rPr>
                <w:rStyle w:val="IndexLink"/>
                <w:webHidden/>
              </w:rPr>
              <w:tab/>
              <w:t>20</w:t>
            </w:r>
          </w:hyperlink>
        </w:p>
        <w:p w:rsidR="004E4A3C" w:rsidRDefault="00FD7157">
          <w:pPr>
            <w:pStyle w:val="TOC2"/>
            <w:tabs>
              <w:tab w:val="right" w:leader="dot" w:pos="10311"/>
            </w:tabs>
          </w:pPr>
          <w:hyperlink w:anchor="__RefHeading___Toc9235_4023479253">
            <w:r>
              <w:rPr>
                <w:rStyle w:val="IndexLink"/>
                <w:webHidden/>
              </w:rPr>
              <w:t>9.1. Polazna osnova za analizu varijanti</w:t>
            </w:r>
            <w:r>
              <w:rPr>
                <w:rStyle w:val="IndexLink"/>
                <w:webHidden/>
              </w:rPr>
              <w:tab/>
              <w:t>21</w:t>
            </w:r>
          </w:hyperlink>
        </w:p>
        <w:p w:rsidR="004E4A3C" w:rsidRDefault="00FD7157">
          <w:pPr>
            <w:pStyle w:val="TOC2"/>
            <w:tabs>
              <w:tab w:val="right" w:leader="dot" w:pos="10311"/>
            </w:tabs>
          </w:pPr>
          <w:hyperlink w:anchor="__RefHeading___Toc9237_4023479253">
            <w:r>
              <w:rPr>
                <w:rStyle w:val="IndexLink"/>
                <w:webHidden/>
              </w:rPr>
              <w:t>9.2. Razmatrani scenariji i varijante</w:t>
            </w:r>
            <w:r>
              <w:rPr>
                <w:rStyle w:val="IndexLink"/>
                <w:webHidden/>
              </w:rPr>
              <w:tab/>
              <w:t>21</w:t>
            </w:r>
          </w:hyperlink>
        </w:p>
        <w:p w:rsidR="004E4A3C" w:rsidRDefault="00FD7157">
          <w:pPr>
            <w:pStyle w:val="TOC2"/>
            <w:tabs>
              <w:tab w:val="right" w:leader="dot" w:pos="10311"/>
            </w:tabs>
          </w:pPr>
          <w:hyperlink w:anchor="__RefHeading___Toc9239_4023479253">
            <w:r>
              <w:rPr>
                <w:rStyle w:val="IndexLink"/>
                <w:webHidden/>
              </w:rPr>
              <w:t>9.3. Scenario S1 - lokalno smanjenje brzine na osjetljivim segmentima</w:t>
            </w:r>
            <w:r>
              <w:rPr>
                <w:rStyle w:val="IndexLink"/>
                <w:webHidden/>
              </w:rPr>
              <w:tab/>
              <w:t>21</w:t>
            </w:r>
          </w:hyperlink>
        </w:p>
        <w:p w:rsidR="004E4A3C" w:rsidRDefault="00FD7157">
          <w:pPr>
            <w:pStyle w:val="TOC2"/>
            <w:tabs>
              <w:tab w:val="right" w:leader="dot" w:pos="10311"/>
            </w:tabs>
          </w:pPr>
          <w:hyperlink w:anchor="__RefHeading___Toc9241_4023479253">
            <w:r>
              <w:rPr>
                <w:rStyle w:val="IndexLink"/>
                <w:webHidden/>
              </w:rPr>
              <w:t>9.4. Scenario S3 - tiši kolovozni zastor na prioritetnim segmentima</w:t>
            </w:r>
            <w:r>
              <w:rPr>
                <w:rStyle w:val="IndexLink"/>
                <w:webHidden/>
              </w:rPr>
              <w:tab/>
              <w:t>21</w:t>
            </w:r>
          </w:hyperlink>
        </w:p>
        <w:p w:rsidR="004E4A3C" w:rsidRDefault="00FD7157">
          <w:pPr>
            <w:pStyle w:val="TOC2"/>
            <w:tabs>
              <w:tab w:val="right" w:leader="dot" w:pos="10311"/>
            </w:tabs>
          </w:pPr>
          <w:hyperlink w:anchor="__RefHeading___Toc9243_4023479253">
            <w:r>
              <w:rPr>
                <w:rStyle w:val="IndexLink"/>
                <w:webHidden/>
              </w:rPr>
              <w:t>9.5. Scenario S4 - kombinacija lokalnog smanjenja brzine i tišeg kolovoza</w:t>
            </w:r>
            <w:r>
              <w:rPr>
                <w:rStyle w:val="IndexLink"/>
                <w:webHidden/>
              </w:rPr>
              <w:tab/>
              <w:t>21</w:t>
            </w:r>
          </w:hyperlink>
        </w:p>
        <w:p w:rsidR="004E4A3C" w:rsidRDefault="00FD7157">
          <w:pPr>
            <w:pStyle w:val="TOC2"/>
            <w:tabs>
              <w:tab w:val="right" w:leader="dot" w:pos="10311"/>
            </w:tabs>
          </w:pPr>
          <w:hyperlink w:anchor="__RefHeading___Toc9245_4023479253">
            <w:r>
              <w:rPr>
                <w:rStyle w:val="IndexLink"/>
                <w:webHidden/>
              </w:rPr>
              <w:t>9.6. Dopunske lokalne mjere za rezidualne objekte nakon S4</w:t>
            </w:r>
            <w:r>
              <w:rPr>
                <w:rStyle w:val="IndexLink"/>
                <w:webHidden/>
              </w:rPr>
              <w:tab/>
              <w:t>22</w:t>
            </w:r>
          </w:hyperlink>
        </w:p>
        <w:p w:rsidR="004E4A3C" w:rsidRDefault="00FD7157">
          <w:pPr>
            <w:pStyle w:val="TOC2"/>
            <w:tabs>
              <w:tab w:val="right" w:leader="dot" w:pos="10311"/>
            </w:tabs>
          </w:pPr>
          <w:hyperlink w:anchor="__RefHeading___Toc9247_4023479253">
            <w:r>
              <w:rPr>
                <w:rStyle w:val="IndexLink"/>
                <w:webHidden/>
              </w:rPr>
              <w:t>9.7. Scenarijsko poređenje mjera</w:t>
            </w:r>
            <w:r>
              <w:rPr>
                <w:rStyle w:val="IndexLink"/>
                <w:webHidden/>
              </w:rPr>
              <w:tab/>
              <w:t>22</w:t>
            </w:r>
          </w:hyperlink>
        </w:p>
        <w:p w:rsidR="004E4A3C" w:rsidRDefault="00FD7157">
          <w:pPr>
            <w:pStyle w:val="TOC2"/>
            <w:tabs>
              <w:tab w:val="right" w:leader="dot" w:pos="10311"/>
            </w:tabs>
          </w:pPr>
          <w:hyperlink w:anchor="__RefHeading___Toc9249_4023479253">
            <w:r>
              <w:rPr>
                <w:rStyle w:val="IndexLink"/>
                <w:webHidden/>
              </w:rPr>
              <w:t>9.8. Kvalitativna ocjena varijanti</w:t>
            </w:r>
            <w:r>
              <w:rPr>
                <w:rStyle w:val="IndexLink"/>
                <w:webHidden/>
              </w:rPr>
              <w:tab/>
              <w:t>23</w:t>
            </w:r>
          </w:hyperlink>
        </w:p>
        <w:p w:rsidR="004E4A3C" w:rsidRDefault="00FD7157">
          <w:pPr>
            <w:pStyle w:val="TOC2"/>
            <w:tabs>
              <w:tab w:val="right" w:leader="dot" w:pos="10311"/>
            </w:tabs>
          </w:pPr>
          <w:hyperlink w:anchor="__RefHeading___Toc9251_4023479253">
            <w:r>
              <w:rPr>
                <w:rStyle w:val="IndexLink"/>
                <w:webHidden/>
              </w:rPr>
              <w:t>9.9. Izbor prioritetnih mjera</w:t>
            </w:r>
            <w:r>
              <w:rPr>
                <w:rStyle w:val="IndexLink"/>
                <w:webHidden/>
              </w:rPr>
              <w:tab/>
              <w:t>24</w:t>
            </w:r>
          </w:hyperlink>
        </w:p>
        <w:p w:rsidR="004E4A3C" w:rsidRDefault="00FD7157">
          <w:pPr>
            <w:pStyle w:val="TOC1"/>
            <w:tabs>
              <w:tab w:val="right" w:leader="dot" w:pos="10311"/>
            </w:tabs>
          </w:pPr>
          <w:hyperlink w:anchor="__RefHeading___Toc9253_4023479253">
            <w:r>
              <w:rPr>
                <w:rStyle w:val="IndexLink"/>
                <w:webHidden/>
              </w:rPr>
              <w:t>10. Okvirna procjena troškova, faznost i izvori finansiranja</w:t>
            </w:r>
            <w:r>
              <w:rPr>
                <w:rStyle w:val="IndexLink"/>
                <w:webHidden/>
              </w:rPr>
              <w:tab/>
              <w:t>24</w:t>
            </w:r>
          </w:hyperlink>
        </w:p>
        <w:p w:rsidR="004E4A3C" w:rsidRDefault="00FD7157">
          <w:pPr>
            <w:pStyle w:val="TOC2"/>
            <w:tabs>
              <w:tab w:val="right" w:leader="dot" w:pos="10311"/>
            </w:tabs>
          </w:pPr>
          <w:hyperlink w:anchor="__RefHeading___Toc9255_4023479253">
            <w:r>
              <w:rPr>
                <w:rStyle w:val="IndexLink"/>
                <w:webHidden/>
              </w:rPr>
              <w:t>10.1. Okvirna procjena troškova scenarija i mjera</w:t>
            </w:r>
            <w:r>
              <w:rPr>
                <w:rStyle w:val="IndexLink"/>
                <w:webHidden/>
              </w:rPr>
              <w:tab/>
              <w:t>24</w:t>
            </w:r>
          </w:hyperlink>
        </w:p>
        <w:p w:rsidR="004E4A3C" w:rsidRDefault="00FD7157">
          <w:pPr>
            <w:pStyle w:val="TOC2"/>
            <w:tabs>
              <w:tab w:val="right" w:leader="dot" w:pos="10311"/>
            </w:tabs>
          </w:pPr>
          <w:hyperlink w:anchor="__RefHeading___Toc9257_4023479253">
            <w:r>
              <w:rPr>
                <w:rStyle w:val="IndexLink"/>
                <w:webHidden/>
              </w:rPr>
              <w:t>10.2. Indikativna ocjena troškovne efikasnosti i odnosa ulaganja i koristi</w:t>
            </w:r>
            <w:r>
              <w:rPr>
                <w:rStyle w:val="IndexLink"/>
                <w:webHidden/>
              </w:rPr>
              <w:tab/>
              <w:t>25</w:t>
            </w:r>
          </w:hyperlink>
        </w:p>
        <w:p w:rsidR="004E4A3C" w:rsidRDefault="00FD7157">
          <w:pPr>
            <w:pStyle w:val="TOC2"/>
            <w:tabs>
              <w:tab w:val="right" w:leader="dot" w:pos="10311"/>
            </w:tabs>
          </w:pPr>
          <w:hyperlink w:anchor="__RefHeading___Toc9259_4023479253">
            <w:r>
              <w:rPr>
                <w:rStyle w:val="IndexLink"/>
                <w:webHidden/>
              </w:rPr>
              <w:t>10.3. Poređenje mjera na izvoru i mjera na prijemniku</w:t>
            </w:r>
            <w:r>
              <w:rPr>
                <w:rStyle w:val="IndexLink"/>
                <w:webHidden/>
              </w:rPr>
              <w:tab/>
              <w:t>25</w:t>
            </w:r>
          </w:hyperlink>
        </w:p>
        <w:p w:rsidR="004E4A3C" w:rsidRDefault="00FD7157">
          <w:pPr>
            <w:pStyle w:val="TOC2"/>
            <w:tabs>
              <w:tab w:val="right" w:leader="dot" w:pos="10311"/>
            </w:tabs>
          </w:pPr>
          <w:hyperlink w:anchor="__RefHeading___Toc9261_4023479253">
            <w:r>
              <w:rPr>
                <w:rStyle w:val="IndexLink"/>
                <w:webHidden/>
              </w:rPr>
              <w:t>10.4. Izvori finansiranja</w:t>
            </w:r>
            <w:r>
              <w:rPr>
                <w:rStyle w:val="IndexLink"/>
                <w:webHidden/>
              </w:rPr>
              <w:tab/>
              <w:t>25</w:t>
            </w:r>
          </w:hyperlink>
        </w:p>
        <w:p w:rsidR="004E4A3C" w:rsidRDefault="00FD7157">
          <w:pPr>
            <w:pStyle w:val="TOC2"/>
            <w:tabs>
              <w:tab w:val="right" w:leader="dot" w:pos="10311"/>
            </w:tabs>
          </w:pPr>
          <w:hyperlink w:anchor="__RefHeading___Toc9263_4023479253">
            <w:r>
              <w:rPr>
                <w:rStyle w:val="IndexLink"/>
                <w:webHidden/>
              </w:rPr>
              <w:t>10.5. Okvirna zdravstveno-ekonomska i društvena procjena mjera</w:t>
            </w:r>
            <w:r>
              <w:rPr>
                <w:rStyle w:val="IndexLink"/>
                <w:webHidden/>
              </w:rPr>
              <w:tab/>
              <w:t>25</w:t>
            </w:r>
          </w:hyperlink>
        </w:p>
        <w:p w:rsidR="004E4A3C" w:rsidRDefault="00FD7157">
          <w:pPr>
            <w:pStyle w:val="TOC3"/>
            <w:tabs>
              <w:tab w:val="right" w:leader="dot" w:pos="10311"/>
            </w:tabs>
          </w:pPr>
          <w:hyperlink w:anchor="__RefHeading___Toc9265_4023479253">
            <w:r>
              <w:rPr>
                <w:rStyle w:val="IndexLink"/>
                <w:webHidden/>
              </w:rPr>
              <w:t>10.5.1. Metodološki okvir i izv</w:t>
            </w:r>
            <w:r>
              <w:rPr>
                <w:rStyle w:val="IndexLink"/>
                <w:webHidden/>
              </w:rPr>
              <w:t>ori za zdravstveno-ekonomsku procjenu</w:t>
            </w:r>
            <w:r>
              <w:rPr>
                <w:rStyle w:val="IndexLink"/>
                <w:webHidden/>
              </w:rPr>
              <w:tab/>
              <w:t>25</w:t>
            </w:r>
          </w:hyperlink>
        </w:p>
        <w:p w:rsidR="004E4A3C" w:rsidRDefault="00FD7157">
          <w:pPr>
            <w:pStyle w:val="TOC3"/>
            <w:tabs>
              <w:tab w:val="right" w:leader="dot" w:pos="10311"/>
            </w:tabs>
          </w:pPr>
          <w:hyperlink w:anchor="__RefHeading___Toc9267_4023479253">
            <w:r>
              <w:rPr>
                <w:rStyle w:val="IndexLink"/>
                <w:webHidden/>
              </w:rPr>
              <w:t>10.5.2. Indikativni eksterni troškovi buke i koristi smanjenja izloženosti</w:t>
            </w:r>
            <w:r>
              <w:rPr>
                <w:rStyle w:val="IndexLink"/>
                <w:webHidden/>
              </w:rPr>
              <w:tab/>
              <w:t>26</w:t>
            </w:r>
          </w:hyperlink>
        </w:p>
        <w:p w:rsidR="004E4A3C" w:rsidRDefault="00FD7157">
          <w:pPr>
            <w:pStyle w:val="TOC3"/>
            <w:tabs>
              <w:tab w:val="right" w:leader="dot" w:pos="10311"/>
            </w:tabs>
          </w:pPr>
          <w:hyperlink w:anchor="__RefHeading___Toc9269_4023479253">
            <w:r>
              <w:rPr>
                <w:rStyle w:val="IndexLink"/>
                <w:webHidden/>
              </w:rPr>
              <w:t xml:space="preserve">10.5.3. Indikativni </w:t>
            </w:r>
            <w:r>
              <w:rPr>
                <w:rStyle w:val="IndexLink"/>
                <w:webHidden/>
              </w:rPr>
              <w:t>trošak nepreduzimanja mjera za zdravlje i kvalitet života</w:t>
            </w:r>
            <w:r>
              <w:rPr>
                <w:rStyle w:val="IndexLink"/>
                <w:webHidden/>
              </w:rPr>
              <w:tab/>
              <w:t>27</w:t>
            </w:r>
          </w:hyperlink>
        </w:p>
        <w:p w:rsidR="004E4A3C" w:rsidRDefault="00FD7157">
          <w:pPr>
            <w:pStyle w:val="TOC3"/>
            <w:tabs>
              <w:tab w:val="right" w:leader="dot" w:pos="10311"/>
            </w:tabs>
          </w:pPr>
          <w:hyperlink w:anchor="__RefHeading___Toc9271_4023479253">
            <w:r>
              <w:rPr>
                <w:rStyle w:val="IndexLink"/>
                <w:webHidden/>
              </w:rPr>
              <w:t>10.5.4. Procjena društvenog povrata investicije i zaključak za odlučivanje</w:t>
            </w:r>
            <w:r>
              <w:rPr>
                <w:rStyle w:val="IndexLink"/>
                <w:webHidden/>
              </w:rPr>
              <w:tab/>
              <w:t>28</w:t>
            </w:r>
          </w:hyperlink>
        </w:p>
        <w:p w:rsidR="004E4A3C" w:rsidRDefault="00FD7157">
          <w:pPr>
            <w:pStyle w:val="TOC1"/>
            <w:tabs>
              <w:tab w:val="right" w:leader="dot" w:pos="10311"/>
            </w:tabs>
          </w:pPr>
          <w:hyperlink w:anchor="__RefHeading___Toc9273_4023479253">
            <w:r>
              <w:rPr>
                <w:rStyle w:val="IndexLink"/>
                <w:webHidden/>
              </w:rPr>
              <w:t>11. J</w:t>
            </w:r>
            <w:r>
              <w:rPr>
                <w:rStyle w:val="IndexLink"/>
                <w:webHidden/>
              </w:rPr>
              <w:t>avna rasprava</w:t>
            </w:r>
            <w:r>
              <w:rPr>
                <w:rStyle w:val="IndexLink"/>
                <w:webHidden/>
              </w:rPr>
              <w:tab/>
              <w:t>29</w:t>
            </w:r>
          </w:hyperlink>
        </w:p>
        <w:p w:rsidR="004E4A3C" w:rsidRDefault="00FD7157">
          <w:pPr>
            <w:pStyle w:val="TOC2"/>
            <w:tabs>
              <w:tab w:val="right" w:leader="dot" w:pos="10311"/>
            </w:tabs>
          </w:pPr>
          <w:hyperlink w:anchor="__RefHeading___Toc9275_4023479253">
            <w:r>
              <w:rPr>
                <w:rStyle w:val="IndexLink"/>
                <w:webHidden/>
              </w:rPr>
              <w:t>11.1. Predmet javne rasprave</w:t>
            </w:r>
            <w:r>
              <w:rPr>
                <w:rStyle w:val="IndexLink"/>
                <w:webHidden/>
              </w:rPr>
              <w:tab/>
              <w:t>29</w:t>
            </w:r>
          </w:hyperlink>
        </w:p>
        <w:p w:rsidR="004E4A3C" w:rsidRDefault="00FD7157">
          <w:pPr>
            <w:pStyle w:val="TOC2"/>
            <w:tabs>
              <w:tab w:val="right" w:leader="dot" w:pos="10311"/>
            </w:tabs>
          </w:pPr>
          <w:hyperlink w:anchor="__RefHeading___Toc9277_4023479253">
            <w:r>
              <w:rPr>
                <w:rStyle w:val="IndexLink"/>
                <w:webHidden/>
              </w:rPr>
              <w:t>11.2. Razmatranje primjedbi i sugestija</w:t>
            </w:r>
            <w:r>
              <w:rPr>
                <w:rStyle w:val="IndexLink"/>
                <w:webHidden/>
              </w:rPr>
              <w:tab/>
              <w:t>29</w:t>
            </w:r>
          </w:hyperlink>
        </w:p>
        <w:p w:rsidR="004E4A3C" w:rsidRDefault="00FD7157">
          <w:pPr>
            <w:pStyle w:val="TOC2"/>
            <w:tabs>
              <w:tab w:val="right" w:leader="dot" w:pos="10311"/>
            </w:tabs>
          </w:pPr>
          <w:hyperlink w:anchor="__RefHeading___Toc9279_4023479253">
            <w:r>
              <w:rPr>
                <w:rStyle w:val="IndexLink"/>
                <w:webHidden/>
              </w:rPr>
              <w:t>11.3. Organizacija javnog uvida i način dostave komentara</w:t>
            </w:r>
            <w:r>
              <w:rPr>
                <w:rStyle w:val="IndexLink"/>
                <w:webHidden/>
              </w:rPr>
              <w:tab/>
              <w:t>29</w:t>
            </w:r>
          </w:hyperlink>
        </w:p>
        <w:p w:rsidR="004E4A3C" w:rsidRDefault="00FD7157">
          <w:pPr>
            <w:pStyle w:val="TOC2"/>
            <w:tabs>
              <w:tab w:val="right" w:leader="dot" w:pos="10311"/>
            </w:tabs>
          </w:pPr>
          <w:hyperlink w:anchor="__RefHeading___Toc9281_4023479253">
            <w:r>
              <w:rPr>
                <w:rStyle w:val="IndexLink"/>
                <w:webHidden/>
              </w:rPr>
              <w:t>11.4. Izvještaj o javnoj raspravi i trag odlučivanja</w:t>
            </w:r>
            <w:r>
              <w:rPr>
                <w:rStyle w:val="IndexLink"/>
                <w:webHidden/>
              </w:rPr>
              <w:tab/>
              <w:t>29</w:t>
            </w:r>
          </w:hyperlink>
        </w:p>
        <w:p w:rsidR="004E4A3C" w:rsidRDefault="00FD7157">
          <w:pPr>
            <w:pStyle w:val="TOC1"/>
            <w:tabs>
              <w:tab w:val="right" w:leader="dot" w:pos="10311"/>
            </w:tabs>
          </w:pPr>
          <w:hyperlink w:anchor="__RefHeading___Toc9283_4023479253">
            <w:r>
              <w:rPr>
                <w:rStyle w:val="IndexLink"/>
                <w:webHidden/>
              </w:rPr>
              <w:t>12. Monitoring, vrednov</w:t>
            </w:r>
            <w:r>
              <w:rPr>
                <w:rStyle w:val="IndexLink"/>
                <w:webHidden/>
              </w:rPr>
              <w:t>anje i revizija Akcionog plana</w:t>
            </w:r>
            <w:r>
              <w:rPr>
                <w:rStyle w:val="IndexLink"/>
                <w:webHidden/>
              </w:rPr>
              <w:tab/>
              <w:t>30</w:t>
            </w:r>
          </w:hyperlink>
        </w:p>
        <w:p w:rsidR="004E4A3C" w:rsidRDefault="00FD7157">
          <w:pPr>
            <w:pStyle w:val="TOC1"/>
            <w:tabs>
              <w:tab w:val="right" w:leader="dot" w:pos="10311"/>
            </w:tabs>
          </w:pPr>
          <w:hyperlink w:anchor="__RefHeading___Toc9285_4023479253">
            <w:r>
              <w:rPr>
                <w:rStyle w:val="IndexLink"/>
                <w:webHidden/>
              </w:rPr>
              <w:t>13. Zaključak</w:t>
            </w:r>
            <w:r>
              <w:rPr>
                <w:rStyle w:val="IndexLink"/>
                <w:webHidden/>
              </w:rPr>
              <w:tab/>
              <w:t>30</w:t>
            </w:r>
          </w:hyperlink>
        </w:p>
        <w:p w:rsidR="004E4A3C" w:rsidRDefault="00FD7157">
          <w:pPr>
            <w:pStyle w:val="TOC1"/>
            <w:tabs>
              <w:tab w:val="right" w:leader="dot" w:pos="10311"/>
            </w:tabs>
          </w:pPr>
          <w:hyperlink w:anchor="__RefHeading___Toc9287_4023479253">
            <w:r>
              <w:rPr>
                <w:rStyle w:val="IndexLink"/>
                <w:webHidden/>
              </w:rPr>
              <w:t>14. Prilozi i dokumentaciona osnova</w:t>
            </w:r>
            <w:r>
              <w:rPr>
                <w:rStyle w:val="IndexLink"/>
                <w:webHidden/>
              </w:rPr>
              <w:tab/>
              <w:t>30</w:t>
            </w:r>
          </w:hyperlink>
        </w:p>
        <w:p w:rsidR="004E4A3C" w:rsidRDefault="00FD7157">
          <w:pPr>
            <w:pStyle w:val="TOC2"/>
            <w:tabs>
              <w:tab w:val="right" w:leader="dot" w:pos="10311"/>
            </w:tabs>
          </w:pPr>
          <w:hyperlink w:anchor="__RefHeading___Toc9289_4023479253">
            <w:r>
              <w:rPr>
                <w:rStyle w:val="IndexLink"/>
                <w:webHidden/>
              </w:rPr>
              <w:t>14.1. Dokumentaciona osnova</w:t>
            </w:r>
            <w:r>
              <w:rPr>
                <w:rStyle w:val="IndexLink"/>
                <w:webHidden/>
              </w:rPr>
              <w:tab/>
              <w:t>31</w:t>
            </w:r>
          </w:hyperlink>
        </w:p>
        <w:p w:rsidR="004E4A3C" w:rsidRDefault="00FD7157">
          <w:pPr>
            <w:pStyle w:val="TOC2"/>
            <w:tabs>
              <w:tab w:val="right" w:leader="dot" w:pos="10311"/>
            </w:tabs>
          </w:pPr>
          <w:hyperlink w:anchor="__RefHeading___Toc9291_4023479253">
            <w:r>
              <w:rPr>
                <w:rStyle w:val="IndexLink"/>
                <w:webHidden/>
              </w:rPr>
              <w:t>14.2. Prilozi za javnu raspravu</w:t>
            </w:r>
            <w:r>
              <w:rPr>
                <w:rStyle w:val="IndexLink"/>
                <w:webHidden/>
              </w:rPr>
              <w:tab/>
              <w:t>31</w:t>
            </w:r>
          </w:hyperlink>
        </w:p>
        <w:p w:rsidR="004E4A3C" w:rsidRDefault="00FD7157">
          <w:pPr>
            <w:pStyle w:val="TOC1"/>
            <w:tabs>
              <w:tab w:val="right" w:leader="dot" w:pos="10311"/>
            </w:tabs>
          </w:pPr>
          <w:hyperlink w:anchor="__RefHeading___Toc9293_4023479253">
            <w:r>
              <w:rPr>
                <w:rStyle w:val="IndexLink"/>
                <w:webHidden/>
              </w:rPr>
              <w:t>Prilog 1. Projektni zadaci za modelovanje varijanti u CadnaA</w:t>
            </w:r>
            <w:r>
              <w:rPr>
                <w:rStyle w:val="IndexLink"/>
                <w:webHidden/>
              </w:rPr>
              <w:tab/>
              <w:t>32</w:t>
            </w:r>
          </w:hyperlink>
        </w:p>
        <w:p w:rsidR="004E4A3C" w:rsidRDefault="00FD7157">
          <w:pPr>
            <w:pStyle w:val="TOC2"/>
            <w:tabs>
              <w:tab w:val="right" w:leader="dot" w:pos="10311"/>
            </w:tabs>
          </w:pPr>
          <w:hyperlink w:anchor="__RefHeading___Toc9295_4023479253">
            <w:r>
              <w:rPr>
                <w:rStyle w:val="IndexLink"/>
                <w:webHidden/>
              </w:rPr>
              <w:t>P1.1. Svrha i status priloga</w:t>
            </w:r>
            <w:r>
              <w:rPr>
                <w:rStyle w:val="IndexLink"/>
                <w:webHidden/>
              </w:rPr>
              <w:tab/>
              <w:t>32</w:t>
            </w:r>
          </w:hyperlink>
        </w:p>
        <w:p w:rsidR="004E4A3C" w:rsidRDefault="00FD7157">
          <w:pPr>
            <w:pStyle w:val="TOC2"/>
            <w:tabs>
              <w:tab w:val="right" w:leader="dot" w:pos="10311"/>
            </w:tabs>
          </w:pPr>
          <w:hyperlink w:anchor="__RefHeading___Toc9297_4023479253">
            <w:r>
              <w:rPr>
                <w:rStyle w:val="IndexLink"/>
                <w:webHidden/>
              </w:rPr>
              <w:t>P1.2. Opšti ulazni podaci za sve scenarije</w:t>
            </w:r>
            <w:r>
              <w:rPr>
                <w:rStyle w:val="IndexLink"/>
                <w:webHidden/>
              </w:rPr>
              <w:tab/>
              <w:t>32</w:t>
            </w:r>
          </w:hyperlink>
        </w:p>
        <w:p w:rsidR="004E4A3C" w:rsidRDefault="00FD7157">
          <w:pPr>
            <w:pStyle w:val="TOC2"/>
            <w:tabs>
              <w:tab w:val="right" w:leader="dot" w:pos="10311"/>
            </w:tabs>
          </w:pPr>
          <w:hyperlink w:anchor="__RefHeading___Toc9299_4023479253">
            <w:r>
              <w:rPr>
                <w:rStyle w:val="IndexLink"/>
                <w:webHidden/>
              </w:rPr>
              <w:t>P1.3. Prioritetni stac</w:t>
            </w:r>
            <w:r>
              <w:rPr>
                <w:rStyle w:val="IndexLink"/>
                <w:webHidden/>
              </w:rPr>
              <w:t>ionažni segmenti za scenario provjere</w:t>
            </w:r>
            <w:r>
              <w:rPr>
                <w:rStyle w:val="IndexLink"/>
                <w:webHidden/>
              </w:rPr>
              <w:tab/>
              <w:t>32</w:t>
            </w:r>
          </w:hyperlink>
        </w:p>
        <w:p w:rsidR="004E4A3C" w:rsidRDefault="00FD7157">
          <w:pPr>
            <w:pStyle w:val="TOC2"/>
            <w:tabs>
              <w:tab w:val="right" w:leader="dot" w:pos="10311"/>
            </w:tabs>
          </w:pPr>
          <w:hyperlink w:anchor="__RefHeading___Toc9301_4023479253">
            <w:r>
              <w:rPr>
                <w:rStyle w:val="IndexLink"/>
                <w:webHidden/>
              </w:rPr>
              <w:t>P1.4. Pojedinačni projektni zadaci</w:t>
            </w:r>
            <w:r>
              <w:rPr>
                <w:rStyle w:val="IndexLink"/>
                <w:webHidden/>
              </w:rPr>
              <w:tab/>
              <w:t>32</w:t>
            </w:r>
          </w:hyperlink>
        </w:p>
        <w:p w:rsidR="004E4A3C" w:rsidRDefault="00FD7157">
          <w:pPr>
            <w:pStyle w:val="TOC2"/>
            <w:tabs>
              <w:tab w:val="right" w:leader="dot" w:pos="10311"/>
            </w:tabs>
          </w:pPr>
          <w:hyperlink w:anchor="__RefHeading___Toc9303_4023479253">
            <w:r>
              <w:rPr>
                <w:rStyle w:val="IndexLink"/>
                <w:webHidden/>
              </w:rPr>
              <w:t>P1.5. Standardni izlazni rezultati scenarija</w:t>
            </w:r>
            <w:r>
              <w:rPr>
                <w:rStyle w:val="IndexLink"/>
                <w:webHidden/>
              </w:rPr>
              <w:tab/>
              <w:t>33</w:t>
            </w:r>
          </w:hyperlink>
        </w:p>
        <w:p w:rsidR="004E4A3C" w:rsidRDefault="00FD7157">
          <w:pPr>
            <w:pStyle w:val="TOC2"/>
            <w:tabs>
              <w:tab w:val="right" w:leader="dot" w:pos="10311"/>
            </w:tabs>
          </w:pPr>
          <w:hyperlink w:anchor="__RefHeading___Toc9305_4023479253">
            <w:r>
              <w:rPr>
                <w:rStyle w:val="IndexLink"/>
                <w:webHidden/>
              </w:rPr>
              <w:t>P1.6. Kontrolna lista provjere finalnih scenarijskih tabela</w:t>
            </w:r>
            <w:r>
              <w:rPr>
                <w:rStyle w:val="IndexLink"/>
                <w:webHidden/>
              </w:rPr>
              <w:tab/>
              <w:t>33</w:t>
            </w:r>
          </w:hyperlink>
        </w:p>
        <w:p w:rsidR="004E4A3C" w:rsidRDefault="00FD7157">
          <w:pPr>
            <w:pStyle w:val="TOC2"/>
            <w:tabs>
              <w:tab w:val="right" w:leader="dot" w:pos="10311"/>
            </w:tabs>
          </w:pPr>
          <w:hyperlink w:anchor="__RefHeading___Toc9307_4023479253">
            <w:r>
              <w:rPr>
                <w:rStyle w:val="IndexLink"/>
                <w:webHidden/>
              </w:rPr>
              <w:t>P1.7. Obrazac minimalne scenarijske tabele za javnu raspravu</w:t>
            </w:r>
            <w:r>
              <w:rPr>
                <w:rStyle w:val="IndexLink"/>
                <w:webHidden/>
              </w:rPr>
              <w:tab/>
              <w:t>33</w:t>
            </w:r>
          </w:hyperlink>
        </w:p>
        <w:p w:rsidR="004E4A3C" w:rsidRDefault="00FD7157">
          <w:pPr>
            <w:pStyle w:val="TOC1"/>
            <w:tabs>
              <w:tab w:val="right" w:leader="dot" w:pos="10311"/>
            </w:tabs>
          </w:pPr>
          <w:hyperlink w:anchor="__RefHeading___Toc9309_4023479253">
            <w:r>
              <w:rPr>
                <w:rStyle w:val="IndexLink"/>
                <w:webHidden/>
              </w:rPr>
              <w:t>Prilog 2. Uporedna praksa EU i prenos pouka</w:t>
            </w:r>
            <w:r>
              <w:rPr>
                <w:rStyle w:val="IndexLink"/>
                <w:webHidden/>
              </w:rPr>
              <w:tab/>
              <w:t>35</w:t>
            </w:r>
          </w:hyperlink>
        </w:p>
        <w:p w:rsidR="004E4A3C" w:rsidRDefault="00FD7157">
          <w:pPr>
            <w:pStyle w:val="TOC2"/>
            <w:tabs>
              <w:tab w:val="right" w:leader="dot" w:pos="10311"/>
            </w:tabs>
          </w:pPr>
          <w:hyperlink w:anchor="__RefHeading___Toc9311_4023479253">
            <w:r>
              <w:rPr>
                <w:rStyle w:val="IndexLink"/>
                <w:webHidden/>
              </w:rPr>
              <w:t>P2.1. Kriterijumi za izbor uporedivih primjera</w:t>
            </w:r>
            <w:r>
              <w:rPr>
                <w:rStyle w:val="IndexLink"/>
                <w:webHidden/>
              </w:rPr>
              <w:tab/>
              <w:t>35</w:t>
            </w:r>
          </w:hyperlink>
        </w:p>
        <w:p w:rsidR="004E4A3C" w:rsidRDefault="00FD7157">
          <w:pPr>
            <w:pStyle w:val="TOC2"/>
            <w:tabs>
              <w:tab w:val="right" w:leader="dot" w:pos="10311"/>
            </w:tabs>
          </w:pPr>
          <w:hyperlink w:anchor="__RefHeading___Toc9313_4023479253">
            <w:r>
              <w:rPr>
                <w:rStyle w:val="IndexLink"/>
                <w:webHidden/>
              </w:rPr>
              <w:t>P2.2. Tipične mjere i veza sa scenarijima</w:t>
            </w:r>
            <w:r>
              <w:rPr>
                <w:rStyle w:val="IndexLink"/>
                <w:webHidden/>
              </w:rPr>
              <w:tab/>
              <w:t>35</w:t>
            </w:r>
          </w:hyperlink>
        </w:p>
        <w:p w:rsidR="004E4A3C" w:rsidRDefault="00FD7157">
          <w:pPr>
            <w:pStyle w:val="TOC2"/>
            <w:tabs>
              <w:tab w:val="right" w:leader="dot" w:pos="10311"/>
            </w:tabs>
          </w:pPr>
          <w:hyperlink w:anchor="__RefHeading___Toc9315_4023479253">
            <w:r>
              <w:rPr>
                <w:rStyle w:val="IndexLink"/>
                <w:webHidden/>
              </w:rPr>
              <w:t>P2.3. Prenos evropskih pouka na dionicu Spuž–Vranjske Njive</w:t>
            </w:r>
            <w:r>
              <w:rPr>
                <w:rStyle w:val="IndexLink"/>
                <w:webHidden/>
              </w:rPr>
              <w:tab/>
              <w:t>35</w:t>
            </w:r>
          </w:hyperlink>
        </w:p>
        <w:p w:rsidR="004E4A3C" w:rsidRDefault="00FD7157">
          <w:pPr>
            <w:pStyle w:val="TOC2"/>
            <w:tabs>
              <w:tab w:val="right" w:leader="dot" w:pos="10311"/>
            </w:tabs>
          </w:pPr>
          <w:hyperlink w:anchor="__RefHeading___Toc9317_4023479253">
            <w:r>
              <w:rPr>
                <w:rStyle w:val="IndexLink"/>
                <w:webHidden/>
              </w:rPr>
              <w:t>P2.4. Zaključak uporedne anal</w:t>
            </w:r>
            <w:r>
              <w:rPr>
                <w:rStyle w:val="IndexLink"/>
                <w:webHidden/>
              </w:rPr>
              <w:t>ize</w:t>
            </w:r>
            <w:r>
              <w:rPr>
                <w:rStyle w:val="IndexLink"/>
                <w:webHidden/>
              </w:rPr>
              <w:tab/>
              <w:t>36</w:t>
            </w:r>
          </w:hyperlink>
        </w:p>
        <w:p w:rsidR="004E4A3C" w:rsidRDefault="00FD7157">
          <w:pPr>
            <w:pStyle w:val="TOC2"/>
            <w:tabs>
              <w:tab w:val="right" w:leader="dot" w:pos="10311"/>
            </w:tabs>
          </w:pPr>
          <w:hyperlink w:anchor="__RefHeading___Toc9319_4023479253">
            <w:r>
              <w:rPr>
                <w:rStyle w:val="IndexLink"/>
                <w:webHidden/>
              </w:rPr>
              <w:t>P2.5. Izvori za Prilog 2</w:t>
            </w:r>
            <w:r>
              <w:rPr>
                <w:rStyle w:val="IndexLink"/>
                <w:webHidden/>
              </w:rPr>
              <w:tab/>
              <w:t>36</w:t>
            </w:r>
          </w:hyperlink>
        </w:p>
        <w:p w:rsidR="004E4A3C" w:rsidRDefault="00FD7157">
          <w:pPr>
            <w:pStyle w:val="TOC1"/>
            <w:tabs>
              <w:tab w:val="right" w:leader="dot" w:pos="10311"/>
            </w:tabs>
          </w:pPr>
          <w:hyperlink w:anchor="__RefHeading___Toc9321_4023479253">
            <w:r>
              <w:rPr>
                <w:rStyle w:val="IndexLink"/>
                <w:webHidden/>
              </w:rPr>
              <w:t>Prilog 3. Kartografski prilozi</w:t>
            </w:r>
            <w:r>
              <w:rPr>
                <w:rStyle w:val="IndexLink"/>
                <w:webHidden/>
              </w:rPr>
              <w:tab/>
              <w:t>37</w:t>
            </w:r>
          </w:hyperlink>
          <w:r>
            <w:rPr>
              <w:rStyle w:val="IndexLink"/>
            </w:rPr>
            <w:fldChar w:fldCharType="end"/>
          </w:r>
        </w:p>
      </w:sdtContent>
    </w:sdt>
    <w:p w:rsidR="004E4A3C" w:rsidRDefault="004E4A3C"/>
    <w:p w:rsidR="004E4A3C" w:rsidRDefault="00FD7157">
      <w:pPr>
        <w:rPr>
          <w:rFonts w:cstheme="majorBidi"/>
          <w:bCs/>
          <w:color w:val="1F4E79"/>
          <w:sz w:val="32"/>
          <w:szCs w:val="28"/>
        </w:rPr>
      </w:pPr>
      <w:r>
        <w:br w:type="page"/>
      </w:r>
    </w:p>
    <w:p w:rsidR="004E4A3C" w:rsidRDefault="00FD7157">
      <w:pPr>
        <w:pStyle w:val="Heading1"/>
        <w:spacing w:before="0"/>
      </w:pPr>
      <w:bookmarkStart w:id="1" w:name="__RefHeading___Toc9115_4023479253"/>
      <w:bookmarkStart w:id="2" w:name="_Toc231671774"/>
      <w:bookmarkEnd w:id="1"/>
      <w:r>
        <w:rPr>
          <w:rFonts w:ascii="Arial" w:eastAsia="Arial" w:hAnsi="Arial"/>
          <w:b w:val="0"/>
        </w:rPr>
        <w:lastRenderedPageBreak/>
        <w:t>Spisak tabela i slika</w:t>
      </w:r>
      <w:bookmarkEnd w:id="2"/>
    </w:p>
    <w:p w:rsidR="004E4A3C" w:rsidRDefault="00FD7157">
      <w:pPr>
        <w:spacing w:after="0"/>
      </w:pPr>
      <w:r>
        <w:t xml:space="preserve">U nastavku je dat objedinjeni pregled tabela </w:t>
      </w:r>
      <w:r>
        <w:t>i slika koje čine analitičku i dokumentacionu osnovu Akcionog plana. Ovaj spisak pomaže da se rezultati, prilozi i mjere brzo pronađu tokom javnog uvida.</w:t>
      </w:r>
    </w:p>
    <w:p w:rsidR="004E4A3C" w:rsidRDefault="00FD7157">
      <w:pPr>
        <w:spacing w:after="0"/>
      </w:pPr>
      <w:r>
        <w:t>Tabela 1. Pregled varijanti i mjera za javnu raspravu</w:t>
      </w:r>
    </w:p>
    <w:p w:rsidR="004E4A3C" w:rsidRDefault="00FD7157">
      <w:pPr>
        <w:spacing w:after="0"/>
      </w:pPr>
      <w:r>
        <w:t>Tabela 2. Osnovni podaci o dionici i brojačkom m</w:t>
      </w:r>
      <w:r>
        <w:t>jestu</w:t>
      </w:r>
    </w:p>
    <w:p w:rsidR="004E4A3C" w:rsidRDefault="00FD7157">
      <w:pPr>
        <w:spacing w:after="0"/>
      </w:pPr>
      <w:r>
        <w:t>Tabela 3. Koordinate početka i kraja predmetne dionice</w:t>
      </w:r>
    </w:p>
    <w:p w:rsidR="004E4A3C" w:rsidRDefault="00FD7157">
      <w:pPr>
        <w:spacing w:after="0"/>
      </w:pPr>
      <w:r>
        <w:t>Tabela 4. Saobraćajni protoci po referentnim periodima</w:t>
      </w:r>
    </w:p>
    <w:p w:rsidR="004E4A3C" w:rsidRDefault="00FD7157">
      <w:pPr>
        <w:spacing w:after="0"/>
      </w:pPr>
      <w:r>
        <w:t>Tabela 5. Stanovništvo i stambeni objekti po opštinama</w:t>
      </w:r>
    </w:p>
    <w:p w:rsidR="004E4A3C" w:rsidRDefault="00FD7157">
      <w:pPr>
        <w:spacing w:after="0"/>
      </w:pPr>
      <w:r>
        <w:t>Tabela 6. Naselja u obuhvatu prema sloju popisnih krugova</w:t>
      </w:r>
    </w:p>
    <w:p w:rsidR="004E4A3C" w:rsidRDefault="00FD7157">
      <w:pPr>
        <w:spacing w:after="0"/>
      </w:pPr>
      <w:r>
        <w:t xml:space="preserve">Tabela 7. Pregled objekata </w:t>
      </w:r>
      <w:r>
        <w:t>i namjene prostora u modelu</w:t>
      </w:r>
    </w:p>
    <w:p w:rsidR="004E4A3C" w:rsidRDefault="00FD7157">
      <w:pPr>
        <w:spacing w:after="0"/>
      </w:pPr>
      <w:r>
        <w:t>Tabela 8. Granične vrijednosti buke po akustičnim zonama</w:t>
      </w:r>
    </w:p>
    <w:p w:rsidR="004E4A3C" w:rsidRDefault="00FD7157">
      <w:pPr>
        <w:spacing w:after="0"/>
      </w:pPr>
      <w:r>
        <w:t>Tabela 9. Pregled izloženosti stanovništva prema Lden</w:t>
      </w:r>
    </w:p>
    <w:p w:rsidR="004E4A3C" w:rsidRDefault="00FD7157">
      <w:pPr>
        <w:spacing w:after="0"/>
      </w:pPr>
      <w:r>
        <w:t>Tabela 10. Pregled izloženosti stanovništva prema Lnight</w:t>
      </w:r>
    </w:p>
    <w:p w:rsidR="004E4A3C" w:rsidRDefault="00FD7157">
      <w:pPr>
        <w:spacing w:after="0"/>
      </w:pPr>
      <w:r>
        <w:t>Tabela 11. Izloženost stanovništva indikatorima Lday, Leveni</w:t>
      </w:r>
      <w:r>
        <w:t>ng i Lden</w:t>
      </w:r>
    </w:p>
    <w:p w:rsidR="004E4A3C" w:rsidRDefault="00FD7157">
      <w:pPr>
        <w:spacing w:after="0"/>
      </w:pPr>
      <w:r>
        <w:t>Tabela 12. Izložena površina, procijenjeni broj stanova i stanovnika po opsezima Lden</w:t>
      </w:r>
    </w:p>
    <w:p w:rsidR="004E4A3C" w:rsidRDefault="00FD7157">
      <w:pPr>
        <w:spacing w:after="0"/>
      </w:pPr>
      <w:r>
        <w:t>Tabela 13. Stanovništvo u objektima sa tihom fasadom po indikatorima</w:t>
      </w:r>
    </w:p>
    <w:p w:rsidR="004E4A3C" w:rsidRDefault="00FD7157">
      <w:pPr>
        <w:spacing w:after="0"/>
      </w:pPr>
      <w:r>
        <w:t>Tabela 14. Pregled prekoračenja graničnih vrijednosti prema baznom stanju</w:t>
      </w:r>
    </w:p>
    <w:p w:rsidR="004E4A3C" w:rsidRDefault="00FD7157">
      <w:pPr>
        <w:spacing w:after="0"/>
      </w:pPr>
      <w:r>
        <w:t xml:space="preserve">Tabela 15. </w:t>
      </w:r>
      <w:r>
        <w:t>Osjetljivi objekti po nivoima buke izraženi u dB(A)</w:t>
      </w:r>
    </w:p>
    <w:p w:rsidR="004E4A3C" w:rsidRDefault="00FD7157">
      <w:pPr>
        <w:spacing w:after="0"/>
      </w:pPr>
      <w:r>
        <w:t>Tabela 16. Prioritetna područja i orijentacioni stacionažni segmenti za provjeru mjera</w:t>
      </w:r>
    </w:p>
    <w:p w:rsidR="004E4A3C" w:rsidRDefault="00FD7157">
      <w:pPr>
        <w:spacing w:after="0"/>
      </w:pPr>
      <w:r>
        <w:t>Tabela 17. Kratkoročne mjere za period 0-12 mjeseci</w:t>
      </w:r>
    </w:p>
    <w:p w:rsidR="004E4A3C" w:rsidRDefault="00FD7157">
      <w:pPr>
        <w:spacing w:after="0"/>
      </w:pPr>
      <w:r>
        <w:t>Tabela 18. Srednjoročne mjere za period 1-3 godine</w:t>
      </w:r>
    </w:p>
    <w:p w:rsidR="004E4A3C" w:rsidRDefault="00FD7157">
      <w:pPr>
        <w:spacing w:after="0"/>
      </w:pPr>
      <w:r>
        <w:t xml:space="preserve">Tabela 19. </w:t>
      </w:r>
      <w:r>
        <w:t>Dugoročne mjere za period 3-5 godina i nakon revizije</w:t>
      </w:r>
    </w:p>
    <w:p w:rsidR="004E4A3C" w:rsidRDefault="00FD7157">
      <w:pPr>
        <w:spacing w:after="0"/>
      </w:pPr>
      <w:r>
        <w:t>Tabela 20. Scenariji modelovanja i obuhvat mjera</w:t>
      </w:r>
    </w:p>
    <w:p w:rsidR="004E4A3C" w:rsidRDefault="00FD7157">
      <w:pPr>
        <w:spacing w:after="0"/>
      </w:pPr>
      <w:r>
        <w:t>Tabela 21. Informativno zonsko poređenje S0/S1/S3/S4 prema preračunatom zonskom Building Evaluation kriterijumu</w:t>
      </w:r>
    </w:p>
    <w:p w:rsidR="004E4A3C" w:rsidRDefault="00FD7157">
      <w:pPr>
        <w:spacing w:after="0"/>
      </w:pPr>
      <w:r>
        <w:t>Tabela 22. Pokazatelji izloženosti po aps</w:t>
      </w:r>
      <w:r>
        <w:t>olutnim pragovima iz finalnih scenarijskih izlaza</w:t>
      </w:r>
    </w:p>
    <w:p w:rsidR="004E4A3C" w:rsidRDefault="00FD7157">
      <w:pPr>
        <w:spacing w:after="0"/>
      </w:pPr>
      <w:r>
        <w:t>Tabela 23. Status finalnih scenarijskih izlaza i dokumentacione sljedivosti</w:t>
      </w:r>
    </w:p>
    <w:p w:rsidR="004E4A3C" w:rsidRDefault="00FD7157">
      <w:pPr>
        <w:spacing w:after="0"/>
      </w:pPr>
      <w:r>
        <w:t>Tabela 24. Kvalitativna ocjena varijanti</w:t>
      </w:r>
    </w:p>
    <w:p w:rsidR="004E4A3C" w:rsidRDefault="00FD7157">
      <w:pPr>
        <w:spacing w:after="0"/>
      </w:pPr>
      <w:r>
        <w:t>Tabela 25. Okvirna procjena troškova i faznost realizacije</w:t>
      </w:r>
    </w:p>
    <w:p w:rsidR="004E4A3C" w:rsidRDefault="00FD7157">
      <w:pPr>
        <w:spacing w:after="0"/>
      </w:pPr>
      <w:r>
        <w:t xml:space="preserve">Tabela 26. Evropski normativi </w:t>
      </w:r>
      <w:r>
        <w:t>i metodološki izvori za zdravstveno-ekonomsku procjenu</w:t>
      </w:r>
    </w:p>
    <w:p w:rsidR="004E4A3C" w:rsidRDefault="00FD7157">
      <w:pPr>
        <w:spacing w:after="0"/>
      </w:pPr>
      <w:r>
        <w:t>Tabela 27. Jedinične vrijednosti eksternih troškova buke drumskog saobraćaja prema EU Handbook pristupu</w:t>
      </w:r>
    </w:p>
    <w:p w:rsidR="004E4A3C" w:rsidRDefault="00FD7157">
      <w:pPr>
        <w:spacing w:after="0"/>
      </w:pPr>
      <w:r>
        <w:t>Tabela 28. Indikativni godišnji eksterni troškovi buke i koristi scenarija</w:t>
      </w:r>
    </w:p>
    <w:p w:rsidR="004E4A3C" w:rsidRDefault="00FD7157">
      <w:pPr>
        <w:spacing w:after="0"/>
      </w:pPr>
      <w:r>
        <w:t>Tabela 29. Indikativni</w:t>
      </w:r>
      <w:r>
        <w:t xml:space="preserve"> trošak zadržavanja baznog scenarija S0</w:t>
      </w:r>
    </w:p>
    <w:p w:rsidR="004E4A3C" w:rsidRDefault="00FD7157">
      <w:pPr>
        <w:spacing w:after="0"/>
      </w:pPr>
      <w:r>
        <w:t>Tabela 30. Indikativni društveni i zdravstveni efekat realizacije scenarija S4</w:t>
      </w:r>
    </w:p>
    <w:p w:rsidR="004E4A3C" w:rsidRDefault="00FD7157">
      <w:pPr>
        <w:spacing w:after="0"/>
      </w:pPr>
      <w:r>
        <w:t>Tabela 31. Indikativni društveni rok povrata ulaganja</w:t>
      </w:r>
    </w:p>
    <w:p w:rsidR="004E4A3C" w:rsidRDefault="00FD7157">
      <w:pPr>
        <w:spacing w:after="0"/>
      </w:pPr>
      <w:r>
        <w:t>Tabela 32. Osjetljivost procjene društvenog povrata ulaganja</w:t>
      </w:r>
    </w:p>
    <w:p w:rsidR="004E4A3C" w:rsidRDefault="00FD7157">
      <w:pPr>
        <w:spacing w:after="0"/>
      </w:pPr>
      <w:r>
        <w:t xml:space="preserve">Tabela 33. Operativni </w:t>
      </w:r>
      <w:r>
        <w:t>paket javnog uvida i javne rasprave</w:t>
      </w:r>
    </w:p>
    <w:p w:rsidR="004E4A3C" w:rsidRDefault="00FD7157">
      <w:pPr>
        <w:spacing w:after="0"/>
      </w:pPr>
      <w:r>
        <w:t>Tabela 34. Pokazatelji praćenja realizacije Akcionog plana</w:t>
      </w:r>
    </w:p>
    <w:p w:rsidR="004E4A3C" w:rsidRDefault="00FD7157">
      <w:pPr>
        <w:spacing w:after="0"/>
      </w:pPr>
      <w:r>
        <w:t>Tabela 35. Dokumentaciona osnova</w:t>
      </w:r>
    </w:p>
    <w:p w:rsidR="004E4A3C" w:rsidRDefault="00FD7157">
      <w:pPr>
        <w:spacing w:after="0"/>
      </w:pPr>
      <w:r>
        <w:t>Tabela 36. Prilozi za javnu raspravu</w:t>
      </w:r>
    </w:p>
    <w:p w:rsidR="004E4A3C" w:rsidRDefault="00FD7157">
      <w:pPr>
        <w:spacing w:after="0"/>
      </w:pPr>
      <w:r>
        <w:t>Slika 1. S0 - nulto stanje, karta Lden</w:t>
      </w:r>
    </w:p>
    <w:p w:rsidR="004E4A3C" w:rsidRDefault="00FD7157">
      <w:pPr>
        <w:spacing w:after="0"/>
      </w:pPr>
      <w:r>
        <w:t>Slika 2. S0 - nulto stanje, karta Lnight</w:t>
      </w:r>
    </w:p>
    <w:p w:rsidR="004E4A3C" w:rsidRDefault="00FD7157">
      <w:pPr>
        <w:spacing w:after="0"/>
      </w:pPr>
      <w:r>
        <w:t xml:space="preserve">Slike P3-1 </w:t>
      </w:r>
      <w:r>
        <w:t>do P3-8. Kartografski prikazi scenarija S0, S1, S3 i S4</w:t>
      </w:r>
    </w:p>
    <w:p w:rsidR="004E4A3C" w:rsidRDefault="00FD7157">
      <w:pPr>
        <w:rPr>
          <w:rFonts w:cstheme="majorBidi"/>
          <w:bCs/>
          <w:color w:val="1F4E79"/>
          <w:sz w:val="32"/>
          <w:szCs w:val="28"/>
        </w:rPr>
      </w:pPr>
      <w:r>
        <w:br w:type="page"/>
      </w:r>
    </w:p>
    <w:p w:rsidR="004E4A3C" w:rsidRDefault="00FD7157">
      <w:pPr>
        <w:pStyle w:val="Heading1"/>
        <w:spacing w:before="0"/>
      </w:pPr>
      <w:bookmarkStart w:id="3" w:name="__RefHeading___Toc9117_4023479253"/>
      <w:bookmarkStart w:id="4" w:name="_Toc231671775"/>
      <w:bookmarkEnd w:id="3"/>
      <w:r>
        <w:rPr>
          <w:rFonts w:ascii="Arial" w:eastAsia="Arial" w:hAnsi="Arial"/>
          <w:b w:val="0"/>
        </w:rPr>
        <w:lastRenderedPageBreak/>
        <w:t>Sažetak za javnu raspravu</w:t>
      </w:r>
      <w:bookmarkEnd w:id="4"/>
    </w:p>
    <w:p w:rsidR="004E4A3C" w:rsidRDefault="004E4A3C">
      <w:pPr>
        <w:spacing w:after="0"/>
      </w:pPr>
    </w:p>
    <w:p w:rsidR="004E4A3C" w:rsidRDefault="00FD7157">
      <w:pPr>
        <w:jc w:val="both"/>
      </w:pPr>
      <w:r>
        <w:t>Svrha ovog sažetka je da građanima, upravljaču puta i donosiocima odluka jasno prikaže utvrđeni problem buke, realno izvodive mjere i predlog faznog pristupa za dionicu R-</w:t>
      </w:r>
      <w:r>
        <w:t>23 Spuž–Vranjske Njive. Prikaz je zasnovan na Strateškoj karti buke, finalnim scenarijskim proračunima i potrebama javne rasprave.</w:t>
      </w:r>
    </w:p>
    <w:p w:rsidR="004E4A3C" w:rsidRDefault="00FD7157">
      <w:pPr>
        <w:jc w:val="both"/>
      </w:pPr>
      <w:r>
        <w:t xml:space="preserve">Strateška karta buke pokazuje da je dominantni modelovani izvor buke drumski saobraćaj na regionalnom putu R-23. Dionica je </w:t>
      </w:r>
      <w:r>
        <w:t>duga 6,98 km, sa prosječnim godišnjim dnevnim saobraćajem od 9.818 vozila/dan i godišnjim prometom od 3.583.627 vozila. U obuhvatu je procijenjeno 4.179,51 stanovnika, raspoređenih u naseljima Podgorica, Stijena, Velje Brdo, Grbe, Klikovače i Spuž.</w:t>
      </w:r>
    </w:p>
    <w:p w:rsidR="004E4A3C" w:rsidRDefault="00FD7157">
      <w:pPr>
        <w:jc w:val="both"/>
      </w:pPr>
      <w:r>
        <w:t>U bazno</w:t>
      </w:r>
      <w:r>
        <w:t xml:space="preserve">m stanju razlikuju se dva pokazatelja: formalna prekoračenja graničnih vrijednosti po akustičkim zonama i izloženost po apsolutnim pragovima. Prema tabeli prekoračenja iz stručne podloge, evidentirano je 194 objekta i 449,30 stanovnika sa prekoračenjem za </w:t>
      </w:r>
      <w:r>
        <w:t>indikator Lden, odnosno 153 objekta i 317,65 stanovnika sa prekoračenjem za indikator Lnight. Ovi podaci su regulatorna polazna osnova za određivanje prioriteta mjera, dok se apsolutni pragovi koriste kao dodatni komunikacioni i kontrolni pokazatelj.</w:t>
      </w:r>
    </w:p>
    <w:p w:rsidR="004E4A3C" w:rsidRDefault="00FD7157">
      <w:pPr>
        <w:jc w:val="both"/>
      </w:pPr>
      <w:r>
        <w:t>U jav</w:t>
      </w:r>
      <w:r>
        <w:t>nom nacrtu zato se ne smiju miješati formalna prekoračenja i apsolutni pragovi izloženosti. Formalna prekoračenja zavise od akustične zone i njenih graničnih vrijednosti, dok apsolutni pragovi (npr. Lden &gt;=55 dB(A) ili Lnight &gt;=45 dB(A)) služe za pregled i</w:t>
      </w:r>
      <w:r>
        <w:t>zloženosti i poređenje scenarija S1, S3 i S4. Oba pokazatelja su korisna, ali nemaju isto značenje.</w:t>
      </w:r>
    </w:p>
    <w:p w:rsidR="004E4A3C" w:rsidRDefault="00FD7157">
      <w:pPr>
        <w:jc w:val="both"/>
      </w:pPr>
      <w:r>
        <w:t>Ako se zadrži scenario S0, odnosno ako se ne preduzimaju dodatne mjere, problem ne nestaje već se društveni trošak prenosi na stanovništvo kroz uznemirenost</w:t>
      </w:r>
      <w:r>
        <w:t>, poremećaj sna, smanjen kvalitet života i povećane javnozdravstvene rizike. Zbog toga se u ovom nacrtu ne poredi samo budžetski trošak mjera, već i trošak nepreduzimanja mjera i okvirni društveni povrat ulaganja.</w:t>
      </w:r>
    </w:p>
    <w:p w:rsidR="004E4A3C" w:rsidRDefault="00FD7157">
      <w:pPr>
        <w:jc w:val="both"/>
      </w:pPr>
      <w:r>
        <w:t>Kratkoročno najpovoljniji odnos troška i o</w:t>
      </w:r>
      <w:r>
        <w:t>čekivanog efekta ima S1, jer se može pripremiti kroz saobraćajno-tehničku provjeru, signalizaciju i kontrolu. S3 i S4 imaju veći potencijal smanjenja buke, ali se finansijski najracionalnije sprovode kada se povežu sa planiranim održavanjem ili obnovom kol</w:t>
      </w:r>
      <w:r>
        <w:t>ovoza.</w:t>
      </w:r>
    </w:p>
    <w:p w:rsidR="004E4A3C" w:rsidRDefault="00FD7157">
      <w:pPr>
        <w:keepNext/>
        <w:keepLines/>
        <w:spacing w:after="40"/>
        <w:rPr>
          <w:b/>
          <w:bCs/>
        </w:rPr>
      </w:pPr>
      <w:r>
        <w:rPr>
          <w:b/>
          <w:bCs/>
        </w:rPr>
        <w:t>Tabela 1. Pregled varijanti i mjera za javnu raspravu</w:t>
      </w:r>
    </w:p>
    <w:tbl>
      <w:tblPr>
        <w:tblStyle w:val="TableGrid"/>
        <w:tblW w:w="9913" w:type="dxa"/>
        <w:jc w:val="center"/>
        <w:tblLayout w:type="fixed"/>
        <w:tblCellMar>
          <w:top w:w="60" w:type="dxa"/>
          <w:left w:w="60" w:type="dxa"/>
          <w:bottom w:w="60" w:type="dxa"/>
          <w:right w:w="60" w:type="dxa"/>
        </w:tblCellMar>
        <w:tblLook w:val="04A0" w:firstRow="1" w:lastRow="0" w:firstColumn="1" w:lastColumn="0" w:noHBand="0" w:noVBand="1"/>
      </w:tblPr>
      <w:tblGrid>
        <w:gridCol w:w="1919"/>
        <w:gridCol w:w="1928"/>
        <w:gridCol w:w="1983"/>
        <w:gridCol w:w="1928"/>
        <w:gridCol w:w="2155"/>
      </w:tblGrid>
      <w:tr w:rsidR="004E4A3C">
        <w:trPr>
          <w:cantSplit/>
          <w:tblHeader/>
          <w:jc w:val="center"/>
        </w:trPr>
        <w:tc>
          <w:tcPr>
            <w:tcW w:w="1919" w:type="dxa"/>
            <w:shd w:val="clear" w:color="auto" w:fill="D9EAF7"/>
          </w:tcPr>
          <w:p w:rsidR="004E4A3C" w:rsidRDefault="00FD7157">
            <w:pPr>
              <w:spacing w:after="0" w:line="240" w:lineRule="auto"/>
              <w:jc w:val="center"/>
            </w:pPr>
            <w:r>
              <w:rPr>
                <w:rFonts w:cs="Arial"/>
                <w:b/>
                <w:color w:val="000000"/>
                <w:sz w:val="18"/>
                <w:szCs w:val="18"/>
              </w:rPr>
              <w:t>Varijanta / mjera</w:t>
            </w:r>
          </w:p>
        </w:tc>
        <w:tc>
          <w:tcPr>
            <w:tcW w:w="1928" w:type="dxa"/>
            <w:shd w:val="clear" w:color="auto" w:fill="D9EAF7"/>
          </w:tcPr>
          <w:p w:rsidR="004E4A3C" w:rsidRDefault="00FD7157">
            <w:pPr>
              <w:spacing w:after="0" w:line="240" w:lineRule="auto"/>
              <w:jc w:val="center"/>
            </w:pPr>
            <w:r>
              <w:rPr>
                <w:rFonts w:cs="Arial"/>
                <w:b/>
                <w:color w:val="000000"/>
                <w:sz w:val="18"/>
                <w:szCs w:val="18"/>
              </w:rPr>
              <w:t>Šta se mijenja</w:t>
            </w:r>
          </w:p>
        </w:tc>
        <w:tc>
          <w:tcPr>
            <w:tcW w:w="1983" w:type="dxa"/>
            <w:shd w:val="clear" w:color="auto" w:fill="D9EAF7"/>
          </w:tcPr>
          <w:p w:rsidR="004E4A3C" w:rsidRDefault="00FD7157">
            <w:pPr>
              <w:spacing w:after="0" w:line="240" w:lineRule="auto"/>
              <w:jc w:val="center"/>
            </w:pPr>
            <w:r>
              <w:rPr>
                <w:rFonts w:cs="Arial"/>
                <w:b/>
                <w:color w:val="000000"/>
                <w:sz w:val="18"/>
                <w:szCs w:val="18"/>
              </w:rPr>
              <w:t>Efekat na buku</w:t>
            </w:r>
          </w:p>
        </w:tc>
        <w:tc>
          <w:tcPr>
            <w:tcW w:w="1928" w:type="dxa"/>
            <w:shd w:val="clear" w:color="auto" w:fill="D9EAF7"/>
          </w:tcPr>
          <w:p w:rsidR="004E4A3C" w:rsidRDefault="00FD7157">
            <w:pPr>
              <w:spacing w:after="0" w:line="240" w:lineRule="auto"/>
              <w:jc w:val="center"/>
            </w:pPr>
            <w:r>
              <w:rPr>
                <w:rFonts w:cs="Arial"/>
                <w:b/>
                <w:color w:val="000000"/>
                <w:sz w:val="18"/>
                <w:szCs w:val="18"/>
              </w:rPr>
              <w:t>Preliminarni trošak</w:t>
            </w:r>
          </w:p>
        </w:tc>
        <w:tc>
          <w:tcPr>
            <w:tcW w:w="2155" w:type="dxa"/>
            <w:shd w:val="clear" w:color="auto" w:fill="D9EAF7"/>
          </w:tcPr>
          <w:p w:rsidR="004E4A3C" w:rsidRDefault="00FD7157">
            <w:pPr>
              <w:spacing w:after="0" w:line="240" w:lineRule="auto"/>
              <w:jc w:val="center"/>
            </w:pPr>
            <w:r>
              <w:rPr>
                <w:rFonts w:cs="Arial"/>
                <w:b/>
                <w:color w:val="000000"/>
                <w:sz w:val="18"/>
                <w:szCs w:val="18"/>
              </w:rPr>
              <w:t>Preporuka</w:t>
            </w:r>
          </w:p>
        </w:tc>
      </w:tr>
      <w:tr w:rsidR="004E4A3C">
        <w:trPr>
          <w:cantSplit/>
          <w:jc w:val="center"/>
        </w:trPr>
        <w:tc>
          <w:tcPr>
            <w:tcW w:w="1919" w:type="dxa"/>
          </w:tcPr>
          <w:p w:rsidR="004E4A3C" w:rsidRDefault="00FD7157">
            <w:pPr>
              <w:spacing w:after="0" w:line="240" w:lineRule="auto"/>
            </w:pPr>
            <w:r>
              <w:rPr>
                <w:rFonts w:cs="Arial"/>
                <w:sz w:val="18"/>
              </w:rPr>
              <w:t>S0 - nulto stanje iz SKB</w:t>
            </w:r>
          </w:p>
        </w:tc>
        <w:tc>
          <w:tcPr>
            <w:tcW w:w="1928" w:type="dxa"/>
          </w:tcPr>
          <w:p w:rsidR="004E4A3C" w:rsidRDefault="00FD7157">
            <w:pPr>
              <w:spacing w:after="0" w:line="240" w:lineRule="auto"/>
            </w:pPr>
            <w:r>
              <w:rPr>
                <w:rFonts w:cs="Arial"/>
                <w:sz w:val="18"/>
              </w:rPr>
              <w:t>Nema novih mjera; stanje iz Strateške karte buke i baznog akustičkog modela.</w:t>
            </w:r>
          </w:p>
        </w:tc>
        <w:tc>
          <w:tcPr>
            <w:tcW w:w="1983" w:type="dxa"/>
          </w:tcPr>
          <w:p w:rsidR="004E4A3C" w:rsidRDefault="00FD7157">
            <w:pPr>
              <w:spacing w:after="0" w:line="240" w:lineRule="auto"/>
            </w:pPr>
            <w:r>
              <w:rPr>
                <w:rFonts w:cs="Arial"/>
                <w:sz w:val="18"/>
              </w:rPr>
              <w:t xml:space="preserve">Nema </w:t>
            </w:r>
            <w:r>
              <w:rPr>
                <w:rFonts w:cs="Arial"/>
                <w:sz w:val="18"/>
              </w:rPr>
              <w:t>smanjenja; zadržavaju se postojeća prekoračenja iz SKB.</w:t>
            </w:r>
          </w:p>
        </w:tc>
        <w:tc>
          <w:tcPr>
            <w:tcW w:w="1928" w:type="dxa"/>
          </w:tcPr>
          <w:p w:rsidR="004E4A3C" w:rsidRDefault="00FD7157">
            <w:pPr>
              <w:spacing w:after="0" w:line="240" w:lineRule="auto"/>
            </w:pPr>
            <w:r>
              <w:rPr>
                <w:rFonts w:cs="Arial"/>
                <w:sz w:val="18"/>
                <w:szCs w:val="18"/>
              </w:rPr>
              <w:t>Bez ulaganja, ali bez rješavanja problema.</w:t>
            </w:r>
          </w:p>
        </w:tc>
        <w:tc>
          <w:tcPr>
            <w:tcW w:w="2155" w:type="dxa"/>
          </w:tcPr>
          <w:p w:rsidR="004E4A3C" w:rsidRDefault="00FD7157">
            <w:pPr>
              <w:spacing w:after="0" w:line="240" w:lineRule="auto"/>
            </w:pPr>
            <w:r>
              <w:rPr>
                <w:rFonts w:cs="Arial"/>
                <w:sz w:val="18"/>
              </w:rPr>
              <w:t>Koristi se kao polazna osnova za poređenje S1, S3 i S4.</w:t>
            </w:r>
          </w:p>
        </w:tc>
      </w:tr>
      <w:tr w:rsidR="004E4A3C">
        <w:trPr>
          <w:cantSplit/>
          <w:jc w:val="center"/>
        </w:trPr>
        <w:tc>
          <w:tcPr>
            <w:tcW w:w="1919" w:type="dxa"/>
          </w:tcPr>
          <w:p w:rsidR="004E4A3C" w:rsidRDefault="00FD7157">
            <w:pPr>
              <w:spacing w:after="0" w:line="240" w:lineRule="auto"/>
            </w:pPr>
            <w:r>
              <w:rPr>
                <w:rFonts w:cs="Arial"/>
                <w:sz w:val="18"/>
                <w:szCs w:val="18"/>
              </w:rPr>
              <w:t>S1 - lokalno smanjenje brzina</w:t>
            </w:r>
          </w:p>
        </w:tc>
        <w:tc>
          <w:tcPr>
            <w:tcW w:w="1928" w:type="dxa"/>
          </w:tcPr>
          <w:p w:rsidR="004E4A3C" w:rsidRDefault="00FD7157">
            <w:pPr>
              <w:spacing w:after="0" w:line="240" w:lineRule="auto"/>
            </w:pPr>
            <w:r>
              <w:rPr>
                <w:rFonts w:cs="Arial"/>
                <w:sz w:val="18"/>
                <w:szCs w:val="18"/>
              </w:rPr>
              <w:t>Modelovano smanjenje brzina na osjetljivim segmentima: 50 km/h na rani</w:t>
            </w:r>
            <w:r>
              <w:rPr>
                <w:rFonts w:cs="Arial"/>
                <w:sz w:val="18"/>
                <w:szCs w:val="18"/>
              </w:rPr>
              <w:t>jim 60 km/h i 40 km/h na ranijim 50 km/h.</w:t>
            </w:r>
          </w:p>
        </w:tc>
        <w:tc>
          <w:tcPr>
            <w:tcW w:w="1983" w:type="dxa"/>
          </w:tcPr>
          <w:p w:rsidR="004E4A3C" w:rsidRDefault="00FD7157">
            <w:pPr>
              <w:spacing w:after="0" w:line="240" w:lineRule="auto"/>
            </w:pPr>
            <w:r>
              <w:rPr>
                <w:rFonts w:cs="Arial"/>
                <w:sz w:val="18"/>
              </w:rPr>
              <w:t>Finalni scenarijski izlaz pokazuje smanjenje prekoračenja, posebno za Lnight.</w:t>
            </w:r>
          </w:p>
        </w:tc>
        <w:tc>
          <w:tcPr>
            <w:tcW w:w="1928" w:type="dxa"/>
          </w:tcPr>
          <w:p w:rsidR="004E4A3C" w:rsidRDefault="00FD7157">
            <w:pPr>
              <w:spacing w:after="0" w:line="240" w:lineRule="auto"/>
            </w:pPr>
            <w:r>
              <w:rPr>
                <w:rFonts w:cs="Arial"/>
                <w:sz w:val="18"/>
                <w:szCs w:val="18"/>
              </w:rPr>
              <w:t>30.000-90.000 EUR.</w:t>
            </w:r>
          </w:p>
        </w:tc>
        <w:tc>
          <w:tcPr>
            <w:tcW w:w="2155" w:type="dxa"/>
          </w:tcPr>
          <w:p w:rsidR="004E4A3C" w:rsidRDefault="00FD7157">
            <w:pPr>
              <w:spacing w:after="0" w:line="240" w:lineRule="auto"/>
            </w:pPr>
            <w:r>
              <w:rPr>
                <w:rFonts w:cs="Arial"/>
                <w:sz w:val="18"/>
                <w:szCs w:val="18"/>
              </w:rPr>
              <w:t>Osnovna kratkoročna mjera.</w:t>
            </w:r>
          </w:p>
        </w:tc>
      </w:tr>
      <w:tr w:rsidR="004E4A3C">
        <w:trPr>
          <w:cantSplit/>
          <w:jc w:val="center"/>
        </w:trPr>
        <w:tc>
          <w:tcPr>
            <w:tcW w:w="1919" w:type="dxa"/>
          </w:tcPr>
          <w:p w:rsidR="004E4A3C" w:rsidRDefault="00FD7157">
            <w:pPr>
              <w:spacing w:after="0" w:line="240" w:lineRule="auto"/>
            </w:pPr>
            <w:r>
              <w:rPr>
                <w:rFonts w:cs="Arial"/>
                <w:sz w:val="18"/>
                <w:szCs w:val="18"/>
              </w:rPr>
              <w:t>Prateća mjera - održavanje kolovoza</w:t>
            </w:r>
          </w:p>
        </w:tc>
        <w:tc>
          <w:tcPr>
            <w:tcW w:w="1928" w:type="dxa"/>
          </w:tcPr>
          <w:p w:rsidR="004E4A3C" w:rsidRDefault="00FD7157">
            <w:pPr>
              <w:spacing w:after="0" w:line="240" w:lineRule="auto"/>
            </w:pPr>
            <w:r>
              <w:rPr>
                <w:rFonts w:cs="Arial"/>
                <w:sz w:val="18"/>
                <w:szCs w:val="18"/>
              </w:rPr>
              <w:t>Sanacija oštećenja, ravnost kolovoza, šahtovi, spojev</w:t>
            </w:r>
            <w:r>
              <w:rPr>
                <w:rFonts w:cs="Arial"/>
                <w:sz w:val="18"/>
                <w:szCs w:val="18"/>
              </w:rPr>
              <w:t>i i lokalne nepravilnosti.</w:t>
            </w:r>
          </w:p>
        </w:tc>
        <w:tc>
          <w:tcPr>
            <w:tcW w:w="1983" w:type="dxa"/>
          </w:tcPr>
          <w:p w:rsidR="004E4A3C" w:rsidRDefault="00FD7157">
            <w:pPr>
              <w:spacing w:after="0" w:line="240" w:lineRule="auto"/>
            </w:pPr>
            <w:r>
              <w:rPr>
                <w:rFonts w:cs="Arial"/>
                <w:sz w:val="18"/>
                <w:szCs w:val="18"/>
              </w:rPr>
              <w:t>Smanjuje impulsnu i tonalnu komponentu buke; naročito korisno u naseljenim zonama.</w:t>
            </w:r>
          </w:p>
        </w:tc>
        <w:tc>
          <w:tcPr>
            <w:tcW w:w="1928" w:type="dxa"/>
          </w:tcPr>
          <w:p w:rsidR="004E4A3C" w:rsidRDefault="00FD7157">
            <w:pPr>
              <w:spacing w:after="0" w:line="240" w:lineRule="auto"/>
            </w:pPr>
            <w:r>
              <w:rPr>
                <w:rFonts w:cs="Arial"/>
                <w:sz w:val="18"/>
                <w:szCs w:val="18"/>
              </w:rPr>
              <w:t>U okviru redovnog održavanja.</w:t>
            </w:r>
          </w:p>
        </w:tc>
        <w:tc>
          <w:tcPr>
            <w:tcW w:w="2155" w:type="dxa"/>
          </w:tcPr>
          <w:p w:rsidR="004E4A3C" w:rsidRDefault="00FD7157">
            <w:pPr>
              <w:spacing w:after="0" w:line="240" w:lineRule="auto"/>
            </w:pPr>
            <w:r>
              <w:rPr>
                <w:rFonts w:cs="Arial"/>
                <w:sz w:val="18"/>
                <w:szCs w:val="18"/>
              </w:rPr>
              <w:t>Sprovesti kontinuirano.</w:t>
            </w:r>
          </w:p>
        </w:tc>
      </w:tr>
      <w:tr w:rsidR="004E4A3C">
        <w:trPr>
          <w:cantSplit/>
          <w:jc w:val="center"/>
        </w:trPr>
        <w:tc>
          <w:tcPr>
            <w:tcW w:w="1919" w:type="dxa"/>
          </w:tcPr>
          <w:p w:rsidR="004E4A3C" w:rsidRDefault="00FD7157">
            <w:pPr>
              <w:spacing w:after="0" w:line="240" w:lineRule="auto"/>
            </w:pPr>
            <w:r>
              <w:rPr>
                <w:rFonts w:cs="Arial"/>
                <w:sz w:val="18"/>
                <w:szCs w:val="18"/>
              </w:rPr>
              <w:t>S3 - tiši kolovozni zastor</w:t>
            </w:r>
          </w:p>
        </w:tc>
        <w:tc>
          <w:tcPr>
            <w:tcW w:w="1928" w:type="dxa"/>
          </w:tcPr>
          <w:p w:rsidR="004E4A3C" w:rsidRDefault="00FD7157">
            <w:pPr>
              <w:spacing w:after="0" w:line="240" w:lineRule="auto"/>
            </w:pPr>
            <w:r>
              <w:rPr>
                <w:rFonts w:cs="Arial"/>
                <w:sz w:val="18"/>
                <w:szCs w:val="18"/>
              </w:rPr>
              <w:t>U modelu primijenjen tiši zastor CNS_15 na oko 5,28 km.</w:t>
            </w:r>
          </w:p>
        </w:tc>
        <w:tc>
          <w:tcPr>
            <w:tcW w:w="1983" w:type="dxa"/>
          </w:tcPr>
          <w:p w:rsidR="004E4A3C" w:rsidRDefault="00FD7157">
            <w:pPr>
              <w:spacing w:after="0" w:line="240" w:lineRule="auto"/>
            </w:pPr>
            <w:r>
              <w:rPr>
                <w:rFonts w:cs="Arial"/>
                <w:sz w:val="18"/>
                <w:szCs w:val="18"/>
              </w:rPr>
              <w:t>Veći inv</w:t>
            </w:r>
            <w:r>
              <w:rPr>
                <w:rFonts w:cs="Arial"/>
                <w:sz w:val="18"/>
                <w:szCs w:val="18"/>
              </w:rPr>
              <w:t>esticioni efekat na izvoru buke; preporučuje se vezivanje za obnovu kolovoza.</w:t>
            </w:r>
          </w:p>
        </w:tc>
        <w:tc>
          <w:tcPr>
            <w:tcW w:w="1928" w:type="dxa"/>
          </w:tcPr>
          <w:p w:rsidR="004E4A3C" w:rsidRDefault="00FD7157">
            <w:pPr>
              <w:spacing w:after="0" w:line="240" w:lineRule="auto"/>
            </w:pPr>
            <w:r>
              <w:rPr>
                <w:rFonts w:cs="Arial"/>
                <w:sz w:val="18"/>
                <w:szCs w:val="18"/>
              </w:rPr>
              <w:t>1,0-2,0 mil. EUR.</w:t>
            </w:r>
          </w:p>
        </w:tc>
        <w:tc>
          <w:tcPr>
            <w:tcW w:w="2155" w:type="dxa"/>
          </w:tcPr>
          <w:p w:rsidR="004E4A3C" w:rsidRDefault="00FD7157">
            <w:pPr>
              <w:spacing w:after="0" w:line="240" w:lineRule="auto"/>
            </w:pPr>
            <w:r>
              <w:rPr>
                <w:rFonts w:cs="Arial"/>
                <w:sz w:val="18"/>
                <w:szCs w:val="18"/>
              </w:rPr>
              <w:t>Srednjoročno, kada postoje radovi na kolovozu.</w:t>
            </w:r>
          </w:p>
        </w:tc>
      </w:tr>
      <w:tr w:rsidR="004E4A3C">
        <w:trPr>
          <w:cantSplit/>
          <w:jc w:val="center"/>
        </w:trPr>
        <w:tc>
          <w:tcPr>
            <w:tcW w:w="1919" w:type="dxa"/>
          </w:tcPr>
          <w:p w:rsidR="004E4A3C" w:rsidRDefault="00FD7157">
            <w:pPr>
              <w:spacing w:after="0" w:line="240" w:lineRule="auto"/>
            </w:pPr>
            <w:r>
              <w:rPr>
                <w:rFonts w:cs="Arial"/>
                <w:sz w:val="18"/>
                <w:szCs w:val="18"/>
              </w:rPr>
              <w:lastRenderedPageBreak/>
              <w:t>S4 - kombinovani paket</w:t>
            </w:r>
          </w:p>
        </w:tc>
        <w:tc>
          <w:tcPr>
            <w:tcW w:w="1928" w:type="dxa"/>
          </w:tcPr>
          <w:p w:rsidR="004E4A3C" w:rsidRDefault="00FD7157">
            <w:pPr>
              <w:spacing w:after="0" w:line="240" w:lineRule="auto"/>
            </w:pPr>
            <w:r>
              <w:rPr>
                <w:rFonts w:cs="Arial"/>
                <w:sz w:val="18"/>
                <w:szCs w:val="18"/>
              </w:rPr>
              <w:t>Kombinacija S1 i S3.</w:t>
            </w:r>
          </w:p>
        </w:tc>
        <w:tc>
          <w:tcPr>
            <w:tcW w:w="1983" w:type="dxa"/>
          </w:tcPr>
          <w:p w:rsidR="004E4A3C" w:rsidRDefault="00FD7157">
            <w:pPr>
              <w:spacing w:after="0" w:line="240" w:lineRule="auto"/>
            </w:pPr>
            <w:r>
              <w:rPr>
                <w:rFonts w:cs="Arial"/>
                <w:sz w:val="18"/>
              </w:rPr>
              <w:t>Najbolji ukupni efekat u finalnom scenarijskom paketu; smanjuje broj</w:t>
            </w:r>
            <w:r>
              <w:rPr>
                <w:rFonts w:cs="Arial"/>
                <w:sz w:val="18"/>
              </w:rPr>
              <w:t xml:space="preserve"> rezidualnih lokacija.</w:t>
            </w:r>
          </w:p>
        </w:tc>
        <w:tc>
          <w:tcPr>
            <w:tcW w:w="1928" w:type="dxa"/>
          </w:tcPr>
          <w:p w:rsidR="004E4A3C" w:rsidRDefault="00FD7157">
            <w:pPr>
              <w:spacing w:after="0" w:line="240" w:lineRule="auto"/>
            </w:pPr>
            <w:r>
              <w:rPr>
                <w:rFonts w:cs="Arial"/>
                <w:sz w:val="18"/>
                <w:szCs w:val="18"/>
              </w:rPr>
              <w:t>1,05-2,10 mil. EUR.</w:t>
            </w:r>
          </w:p>
        </w:tc>
        <w:tc>
          <w:tcPr>
            <w:tcW w:w="2155" w:type="dxa"/>
          </w:tcPr>
          <w:p w:rsidR="004E4A3C" w:rsidRDefault="00FD7157">
            <w:pPr>
              <w:spacing w:after="0" w:line="240" w:lineRule="auto"/>
            </w:pPr>
            <w:r>
              <w:rPr>
                <w:rFonts w:cs="Arial"/>
                <w:sz w:val="18"/>
                <w:szCs w:val="18"/>
              </w:rPr>
              <w:t>Ciljni paket za faznu realizaciju.</w:t>
            </w:r>
          </w:p>
        </w:tc>
      </w:tr>
      <w:tr w:rsidR="004E4A3C">
        <w:trPr>
          <w:cantSplit/>
          <w:jc w:val="center"/>
        </w:trPr>
        <w:tc>
          <w:tcPr>
            <w:tcW w:w="1919" w:type="dxa"/>
          </w:tcPr>
          <w:p w:rsidR="004E4A3C" w:rsidRDefault="00FD7157">
            <w:pPr>
              <w:spacing w:after="0" w:line="240" w:lineRule="auto"/>
            </w:pPr>
            <w:r>
              <w:rPr>
                <w:rFonts w:cs="Arial"/>
                <w:sz w:val="18"/>
              </w:rPr>
              <w:t>Dopunske lokalne mjere nakon S4</w:t>
            </w:r>
          </w:p>
        </w:tc>
        <w:tc>
          <w:tcPr>
            <w:tcW w:w="1928" w:type="dxa"/>
          </w:tcPr>
          <w:p w:rsidR="004E4A3C" w:rsidRDefault="00FD7157">
            <w:pPr>
              <w:spacing w:after="0" w:line="240" w:lineRule="auto"/>
            </w:pPr>
            <w:r>
              <w:rPr>
                <w:rFonts w:cs="Arial"/>
                <w:sz w:val="18"/>
                <w:szCs w:val="18"/>
              </w:rPr>
              <w:t>Lokalna provjera rezidualnih objekata nakon S4; eventualne kratke barijere ili mjere na prijemniku.</w:t>
            </w:r>
          </w:p>
        </w:tc>
        <w:tc>
          <w:tcPr>
            <w:tcW w:w="1983" w:type="dxa"/>
          </w:tcPr>
          <w:p w:rsidR="004E4A3C" w:rsidRDefault="00FD7157">
            <w:pPr>
              <w:spacing w:after="0" w:line="240" w:lineRule="auto"/>
            </w:pPr>
            <w:r>
              <w:rPr>
                <w:rFonts w:cs="Arial"/>
                <w:sz w:val="18"/>
                <w:szCs w:val="18"/>
              </w:rPr>
              <w:t>Usmjereno na mali broj preostalih problematič</w:t>
            </w:r>
            <w:r>
              <w:rPr>
                <w:rFonts w:cs="Arial"/>
                <w:sz w:val="18"/>
                <w:szCs w:val="18"/>
              </w:rPr>
              <w:t>nih lokacija.</w:t>
            </w:r>
          </w:p>
        </w:tc>
        <w:tc>
          <w:tcPr>
            <w:tcW w:w="1928" w:type="dxa"/>
          </w:tcPr>
          <w:p w:rsidR="004E4A3C" w:rsidRDefault="00FD7157">
            <w:pPr>
              <w:spacing w:after="0" w:line="240" w:lineRule="auto"/>
            </w:pPr>
            <w:r>
              <w:rPr>
                <w:rFonts w:cs="Arial"/>
                <w:sz w:val="18"/>
                <w:szCs w:val="18"/>
              </w:rPr>
              <w:t>80.000-400.000 EUR.</w:t>
            </w:r>
          </w:p>
        </w:tc>
        <w:tc>
          <w:tcPr>
            <w:tcW w:w="2155" w:type="dxa"/>
          </w:tcPr>
          <w:p w:rsidR="004E4A3C" w:rsidRDefault="00FD7157">
            <w:pPr>
              <w:spacing w:after="0" w:line="240" w:lineRule="auto"/>
            </w:pPr>
            <w:r>
              <w:rPr>
                <w:rFonts w:cs="Arial"/>
                <w:sz w:val="18"/>
                <w:szCs w:val="18"/>
              </w:rPr>
              <w:t>Aktivirati tek nakon lokalne provjere.</w:t>
            </w:r>
          </w:p>
        </w:tc>
      </w:tr>
    </w:tbl>
    <w:p w:rsidR="004E4A3C" w:rsidRDefault="00FD7157">
      <w:pPr>
        <w:pStyle w:val="Heading1"/>
      </w:pPr>
      <w:bookmarkStart w:id="5" w:name="__RefHeading___Toc9119_4023479253"/>
      <w:bookmarkStart w:id="6" w:name="_Toc231671776"/>
      <w:bookmarkEnd w:id="5"/>
      <w:r>
        <w:rPr>
          <w:rFonts w:ascii="Arial" w:eastAsia="Arial" w:hAnsi="Arial"/>
          <w:b w:val="0"/>
        </w:rPr>
        <w:t>Vodič za građane: kako čitati Akcioni plan i karte buke</w:t>
      </w:r>
      <w:bookmarkEnd w:id="6"/>
    </w:p>
    <w:p w:rsidR="004E4A3C" w:rsidRDefault="004E4A3C">
      <w:pPr>
        <w:spacing w:after="0"/>
      </w:pPr>
    </w:p>
    <w:p w:rsidR="004E4A3C" w:rsidRDefault="00FD7157">
      <w:pPr>
        <w:jc w:val="both"/>
      </w:pPr>
      <w:r>
        <w:t>Ovaj dio dokumenta namijenjen je čitaocima koji nijesu svakodnevno uključeni u akustičko modelovanje i plansku dokumentaciju.</w:t>
      </w:r>
      <w:r>
        <w:t xml:space="preserve"> Cilj je da se osnovni pojmovi objasne jednostavno, kako bi se karte buke, indikatori i predložene mjere mogli razumjeti prije pregleda stručnih tabela.</w:t>
      </w:r>
    </w:p>
    <w:p w:rsidR="004E4A3C" w:rsidRDefault="00FD7157">
      <w:pPr>
        <w:pStyle w:val="Heading2"/>
        <w:jc w:val="both"/>
      </w:pPr>
      <w:bookmarkStart w:id="7" w:name="__RefHeading___Toc9121_4023479253"/>
      <w:bookmarkStart w:id="8" w:name="_Toc231671777"/>
      <w:bookmarkEnd w:id="7"/>
      <w:r>
        <w:rPr>
          <w:rFonts w:ascii="Arial" w:eastAsia="Arial" w:hAnsi="Arial"/>
          <w:b w:val="0"/>
        </w:rPr>
        <w:t>Šta znače indikatori Lden i Lnight</w:t>
      </w:r>
      <w:bookmarkEnd w:id="8"/>
    </w:p>
    <w:p w:rsidR="004E4A3C" w:rsidRDefault="00FD7157">
      <w:pPr>
        <w:jc w:val="both"/>
      </w:pPr>
      <w:r>
        <w:t>Lden je cjelodnevni indikator buke koji objedinjava dnevni, večernji</w:t>
      </w:r>
      <w:r>
        <w:t xml:space="preserve"> i noćni period i daje dodatnu težinu buci u večernjem i noćnom periodu. Lnight je indikator noćne buke i posebno je važan za procjenu mogućih smetnji sna i noćnog uznemiravanja.</w:t>
      </w:r>
    </w:p>
    <w:p w:rsidR="004E4A3C" w:rsidRDefault="00FD7157">
      <w:pPr>
        <w:pStyle w:val="Heading2"/>
        <w:jc w:val="both"/>
      </w:pPr>
      <w:bookmarkStart w:id="9" w:name="__RefHeading___Toc9123_4023479253"/>
      <w:bookmarkStart w:id="10" w:name="_Toc231671778"/>
      <w:bookmarkEnd w:id="9"/>
      <w:r>
        <w:rPr>
          <w:rFonts w:ascii="Arial" w:eastAsia="Arial" w:hAnsi="Arial"/>
          <w:b w:val="0"/>
        </w:rPr>
        <w:t>Kako čitati karte buke</w:t>
      </w:r>
      <w:bookmarkEnd w:id="10"/>
    </w:p>
    <w:p w:rsidR="004E4A3C" w:rsidRDefault="00FD7157">
      <w:pPr>
        <w:jc w:val="both"/>
      </w:pPr>
      <w:r>
        <w:t xml:space="preserve">Karte buke prikazuju opsege nivoa buke u razredima od </w:t>
      </w:r>
      <w:r>
        <w:t>5 dB(A). Toplije boje na kartama označavaju veće nivoe buke. Karte ne predstavljaju pojedinačno mjerenje ispred svake kuće, već rezultat proračuna zasnovanog na saobraćaju, geometriji puta, reljefu, objektima i pravilima širenja zvuka.</w:t>
      </w:r>
    </w:p>
    <w:p w:rsidR="004E4A3C" w:rsidRDefault="00FD7157">
      <w:pPr>
        <w:pStyle w:val="Heading2"/>
        <w:jc w:val="both"/>
      </w:pPr>
      <w:bookmarkStart w:id="11" w:name="__RefHeading___Toc9125_4023479253"/>
      <w:bookmarkStart w:id="12" w:name="_Toc231671779"/>
      <w:bookmarkEnd w:id="11"/>
      <w:r>
        <w:rPr>
          <w:rFonts w:ascii="Arial" w:eastAsia="Arial" w:hAnsi="Arial"/>
          <w:b w:val="0"/>
        </w:rPr>
        <w:t xml:space="preserve">Gdje su </w:t>
      </w:r>
      <w:r>
        <w:rPr>
          <w:rFonts w:ascii="Arial" w:eastAsia="Arial" w:hAnsi="Arial"/>
          <w:b w:val="0"/>
        </w:rPr>
        <w:t>najugroženije zone</w:t>
      </w:r>
      <w:bookmarkEnd w:id="12"/>
    </w:p>
    <w:p w:rsidR="004E4A3C" w:rsidRDefault="00FD7157">
      <w:pPr>
        <w:jc w:val="both"/>
      </w:pPr>
      <w:r>
        <w:t>Najveći prioritet imaju objekti blizu kolovoza u stambenim zonama i u zoni jakog uticaja buke saobraćaja, naročito u djelovima naselja Grbe, Spuž, Velje Brdo, Stijena i pristupnim dijelovima prema Podgorici gdje se stambeni i mješoviti s</w:t>
      </w:r>
      <w:r>
        <w:t>adržaji nalaze u blizini regionalnog puta.</w:t>
      </w:r>
    </w:p>
    <w:p w:rsidR="004E4A3C" w:rsidRDefault="00FD7157">
      <w:pPr>
        <w:pStyle w:val="Heading2"/>
        <w:jc w:val="both"/>
      </w:pPr>
      <w:bookmarkStart w:id="13" w:name="__RefHeading___Toc9127_4023479253"/>
      <w:bookmarkStart w:id="14" w:name="_Toc231671780"/>
      <w:bookmarkEnd w:id="13"/>
      <w:r>
        <w:rPr>
          <w:rFonts w:ascii="Arial" w:eastAsia="Arial" w:hAnsi="Arial"/>
          <w:b w:val="0"/>
        </w:rPr>
        <w:t>Šta se realno može očekivati od mjera</w:t>
      </w:r>
      <w:bookmarkEnd w:id="14"/>
    </w:p>
    <w:p w:rsidR="004E4A3C" w:rsidRDefault="00FD7157">
      <w:pPr>
        <w:jc w:val="both"/>
      </w:pPr>
      <w:r>
        <w:t>Najbrže mjere su upravljanje brzinom, pojačana signalizacija, kontrola i održavanje kolovoza. Tiši kolovozni zastor daje veći akustički efekat, ali je racionalno da se planira</w:t>
      </w:r>
      <w:r>
        <w:t xml:space="preserve"> zajedno sa redovnom ili investicionom obnovom kolovoza. Protivbučne barijere nijesu predložene kao opšta mjera za cijelu dionicu, jer su prostorno i funkcionalno ograničene uz brojne priključke i objekte blizu puta.</w:t>
      </w:r>
    </w:p>
    <w:p w:rsidR="004E4A3C" w:rsidRDefault="00FD7157">
      <w:pPr>
        <w:pStyle w:val="Heading1"/>
        <w:jc w:val="both"/>
      </w:pPr>
      <w:bookmarkStart w:id="15" w:name="__RefHeading___Toc9129_4023479253"/>
      <w:bookmarkStart w:id="16" w:name="_Toc231671781"/>
      <w:bookmarkEnd w:id="15"/>
      <w:r>
        <w:rPr>
          <w:rFonts w:ascii="Arial" w:eastAsia="Arial" w:hAnsi="Arial"/>
          <w:b w:val="0"/>
        </w:rPr>
        <w:t>Kratka informacija za donosioce odluka</w:t>
      </w:r>
      <w:bookmarkEnd w:id="16"/>
    </w:p>
    <w:p w:rsidR="004E4A3C" w:rsidRDefault="004E4A3C">
      <w:pPr>
        <w:spacing w:after="0"/>
      </w:pPr>
    </w:p>
    <w:p w:rsidR="004E4A3C" w:rsidRDefault="00FD7157">
      <w:pPr>
        <w:jc w:val="both"/>
      </w:pPr>
      <w:r>
        <w:t>Ovo poglavlje izdvaja najvažnije zaključke za odlučivanje o prioritetima, faznosti i finansiranju mjera. Informacija je formulisana tako da se iz stručnih rezultata pređe na operativne odluke koje se mogu sprovesti u kratkom i srednjem roku.</w:t>
      </w:r>
    </w:p>
    <w:p w:rsidR="004E4A3C" w:rsidRDefault="00FD7157">
      <w:pPr>
        <w:pStyle w:val="Heading2"/>
        <w:jc w:val="both"/>
      </w:pPr>
      <w:bookmarkStart w:id="17" w:name="__RefHeading___Toc9131_4023479253"/>
      <w:bookmarkStart w:id="18" w:name="_Toc231671782"/>
      <w:bookmarkEnd w:id="17"/>
      <w:r>
        <w:rPr>
          <w:rFonts w:ascii="Arial" w:eastAsia="Arial" w:hAnsi="Arial"/>
          <w:b w:val="0"/>
        </w:rPr>
        <w:t xml:space="preserve">Problem koji </w:t>
      </w:r>
      <w:r>
        <w:rPr>
          <w:rFonts w:ascii="Arial" w:eastAsia="Arial" w:hAnsi="Arial"/>
          <w:b w:val="0"/>
        </w:rPr>
        <w:t>treba riješiti</w:t>
      </w:r>
      <w:bookmarkEnd w:id="18"/>
    </w:p>
    <w:p w:rsidR="004E4A3C" w:rsidRDefault="00FD7157">
      <w:pPr>
        <w:jc w:val="both"/>
      </w:pPr>
      <w:r>
        <w:t>Polazni problem nije samo prisustvo saobraćajne buke, već preklop povećanih nivoa buke sa stambenim i mješovitim zonama. Zvanična tabela prekoračenja pokazuje 449,30 stanovnika sa prekoračenjem Lden i 317,65 stanovnika sa prekoračenjem Lnigh</w:t>
      </w:r>
      <w:r>
        <w:t xml:space="preserve">t. Noćni indikator treba posebno pratiti zbog osjetljivosti stanovništva na smetnje </w:t>
      </w:r>
      <w:r>
        <w:lastRenderedPageBreak/>
        <w:t>sna. Dodatno, u modelu je evidentirano 168 objekata van akustičnih zona, sa 393,16 stanovnika, pa je usklađivanje akustičkog zoniranja posebna obaveza za prvu godinu sprovo</w:t>
      </w:r>
      <w:r>
        <w:t>đenja.</w:t>
      </w:r>
    </w:p>
    <w:p w:rsidR="004E4A3C" w:rsidRDefault="00FD7157">
      <w:pPr>
        <w:pStyle w:val="Heading2"/>
        <w:jc w:val="both"/>
      </w:pPr>
      <w:bookmarkStart w:id="19" w:name="__RefHeading___Toc9133_4023479253"/>
      <w:bookmarkStart w:id="20" w:name="_Toc231671783"/>
      <w:bookmarkEnd w:id="19"/>
      <w:r>
        <w:rPr>
          <w:rFonts w:ascii="Arial" w:eastAsia="Arial" w:hAnsi="Arial"/>
          <w:b w:val="0"/>
        </w:rPr>
        <w:t>Preporučena odluka</w:t>
      </w:r>
      <w:bookmarkEnd w:id="20"/>
    </w:p>
    <w:p w:rsidR="004E4A3C" w:rsidRDefault="00FD7157">
      <w:pPr>
        <w:jc w:val="both"/>
      </w:pPr>
      <w:r>
        <w:t>Preporuka je formulisana kao praktičan paket mjera koji se može pokrenuti bez čekanja na velike infrastrukturne zahvate. U narednom pregledu razdvajaju se kratkoročne mjere, mjere koje treba vezati za planirano održavanje kolovoza</w:t>
      </w:r>
      <w:r>
        <w:t xml:space="preserve"> i lokalne dopunske mjere za preostale kritične objekte.</w:t>
      </w:r>
    </w:p>
    <w:p w:rsidR="004E4A3C" w:rsidRDefault="00FD7157">
      <w:pPr>
        <w:pStyle w:val="ListBullet"/>
        <w:jc w:val="both"/>
      </w:pPr>
      <w:r>
        <w:t>Usvojiti S1 kao kratkoročnu mjeru na osjetljivim segmentima, uz saobraćajno-tehničku provjeru i kontrolu sprovođenja.</w:t>
      </w:r>
    </w:p>
    <w:p w:rsidR="004E4A3C" w:rsidRDefault="00FD7157">
      <w:pPr>
        <w:pStyle w:val="ListBullet"/>
        <w:jc w:val="both"/>
      </w:pPr>
      <w:r>
        <w:t>Planirati S3 kao srednjoročnu mjeru pri obnovi kolovoza, tako da se puni trošak k</w:t>
      </w:r>
      <w:r>
        <w:t>olovoza ne pripisuje isključivo buci.</w:t>
      </w:r>
    </w:p>
    <w:p w:rsidR="004E4A3C" w:rsidRDefault="00FD7157">
      <w:pPr>
        <w:pStyle w:val="ListBullet"/>
        <w:jc w:val="both"/>
      </w:pPr>
      <w:r>
        <w:t>S4 tretirati kao ciljni kombinovani paket za faznu realizaciju, a dopunske mjere aktivirati samo za rezidualne lokacije nakon lokalne provjere.</w:t>
      </w:r>
    </w:p>
    <w:p w:rsidR="004E4A3C" w:rsidRDefault="00FD7157">
      <w:pPr>
        <w:pStyle w:val="ListBullet"/>
        <w:jc w:val="both"/>
      </w:pPr>
      <w:r>
        <w:t>Uspostaviti jednostavan monitoring brzina, stanja kolovoza i pritužbi građ</w:t>
      </w:r>
      <w:r>
        <w:t>ana prije revizije Akcionog plana.</w:t>
      </w:r>
    </w:p>
    <w:p w:rsidR="004E4A3C" w:rsidRDefault="00FD7157">
      <w:pPr>
        <w:spacing w:after="120"/>
        <w:jc w:val="both"/>
      </w:pPr>
      <w:r>
        <w:t>Dodatno, zdravstveno-ekonomska procjena iz poglavlja 10.5 pokazuje da zadržavanje scenarija S0 nije besplatna opcija za društvo: i kada nema neposrednog budžetskog ulaganja, trošak povišene izloženosti ostaje kroz uznemir</w:t>
      </w:r>
      <w:r>
        <w:t>enost, poremećaj sna, smanjen kvalitet života i dugoročne javnozdravstvene rizike.</w:t>
      </w:r>
    </w:p>
    <w:p w:rsidR="004E4A3C" w:rsidRDefault="00FD7157">
      <w:pPr>
        <w:pStyle w:val="Heading2"/>
        <w:rPr>
          <w:rFonts w:ascii="Arial" w:eastAsia="Arial" w:hAnsi="Arial"/>
          <w:b w:val="0"/>
        </w:rPr>
      </w:pPr>
      <w:bookmarkStart w:id="21" w:name="__RefHeading___Toc9135_4023479253"/>
      <w:bookmarkStart w:id="22" w:name="_Toc231671784"/>
      <w:bookmarkEnd w:id="21"/>
      <w:r>
        <w:rPr>
          <w:rFonts w:ascii="Arial" w:eastAsia="Arial" w:hAnsi="Arial"/>
          <w:b w:val="0"/>
        </w:rPr>
        <w:t>Pravni, EU i proceduralni osnov</w:t>
      </w:r>
      <w:bookmarkEnd w:id="22"/>
    </w:p>
    <w:p w:rsidR="004E4A3C" w:rsidRDefault="00FD7157">
      <w:pPr>
        <w:jc w:val="both"/>
      </w:pPr>
      <w:r>
        <w:t>Akcioni plan se priprema kao instrument sprovođenja Zakona o zaštiti od buke u životnoj sredini i podzakonskih akata koji uređuju strateške k</w:t>
      </w:r>
      <w:r>
        <w:t>arte buke, indikatore i akcione planove. Ujedno se dokument usklađuje sa logikom Direktive 2002/49/EC, prema kojoj akcioni plan treba da poveže rezultate karte buke, mjere, javno učešće, troškove i očekivane koristi kada su podaci dostupni.</w:t>
      </w:r>
    </w:p>
    <w:p w:rsidR="004E4A3C" w:rsidRDefault="00FD7157">
      <w:pPr>
        <w:pStyle w:val="Heading2"/>
        <w:rPr>
          <w:rFonts w:ascii="Arial" w:eastAsia="Arial" w:hAnsi="Arial"/>
          <w:b w:val="0"/>
        </w:rPr>
      </w:pPr>
      <w:bookmarkStart w:id="23" w:name="__RefHeading___Toc9137_4023479253"/>
      <w:bookmarkStart w:id="24" w:name="_Toc231671785"/>
      <w:bookmarkEnd w:id="23"/>
      <w:r>
        <w:rPr>
          <w:rFonts w:ascii="Arial" w:eastAsia="Arial" w:hAnsi="Arial"/>
          <w:b w:val="0"/>
        </w:rPr>
        <w:t>Finansijska ori</w:t>
      </w:r>
      <w:r>
        <w:rPr>
          <w:rFonts w:ascii="Arial" w:eastAsia="Arial" w:hAnsi="Arial"/>
          <w:b w:val="0"/>
        </w:rPr>
        <w:t>jentacija za odlučivanje</w:t>
      </w:r>
      <w:bookmarkEnd w:id="24"/>
    </w:p>
    <w:p w:rsidR="004E4A3C" w:rsidRDefault="00FD7157">
      <w:pPr>
        <w:jc w:val="both"/>
      </w:pPr>
      <w:r>
        <w:t>Za odluku nije dovoljno posmatrati samo investicioni trošak. Scenario S0 nema neposredan trošak radova, ali zadržava društvenu štetu. Zbog toga se kao prva odluka predlaže niskotroškovni paket S1, dok se veći zahvati S3/S4 planiraj</w:t>
      </w:r>
      <w:r>
        <w:t>u u okviru investicionog održavanja, kada se posmatra dodatni trošak izbora tišeg rješenja u odnosu na standardni kolovoz.</w:t>
      </w:r>
    </w:p>
    <w:p w:rsidR="004E4A3C" w:rsidRDefault="00FD7157">
      <w:pPr>
        <w:pStyle w:val="Heading2"/>
        <w:jc w:val="both"/>
      </w:pPr>
      <w:bookmarkStart w:id="25" w:name="__RefHeading___Toc9139_4023479253"/>
      <w:bookmarkStart w:id="26" w:name="_Toc231671786"/>
      <w:bookmarkEnd w:id="25"/>
      <w:r>
        <w:rPr>
          <w:rFonts w:ascii="Arial" w:eastAsia="Arial" w:hAnsi="Arial"/>
          <w:b w:val="0"/>
        </w:rPr>
        <w:t>Odluke i aktivnosti u prvih 12 mjeseci</w:t>
      </w:r>
      <w:bookmarkEnd w:id="26"/>
    </w:p>
    <w:p w:rsidR="004E4A3C" w:rsidRDefault="00FD7157">
      <w:pPr>
        <w:jc w:val="both"/>
      </w:pPr>
      <w:r>
        <w:t xml:space="preserve">Prva godina sprovođenja treba da posluži za potvrdu prioritetnih lokacija, koordinaciju </w:t>
      </w:r>
      <w:r>
        <w:t>institucija i pripremu tehničkih uslova za mjere. Aktivnosti u nastavku predstavljaju minimalni operativni okvir za prelazak sa nacrta za javnu raspravu na sprovođenje Akcionog plana.</w:t>
      </w:r>
    </w:p>
    <w:p w:rsidR="004E4A3C" w:rsidRDefault="00FD7157">
      <w:pPr>
        <w:spacing w:after="40" w:line="240" w:lineRule="auto"/>
        <w:jc w:val="both"/>
      </w:pPr>
      <w:r>
        <w:t>1. Provjeriti i administrativno potvrditi prioritetne segmente za S1, S3</w:t>
      </w:r>
      <w:r>
        <w:t xml:space="preserve"> i S4 po stacionaži, na osnovu finalnih CadnaA / Building Evaluation foldera i provjere sa upravljačem puta.</w:t>
      </w:r>
    </w:p>
    <w:p w:rsidR="004E4A3C" w:rsidRDefault="00FD7157">
      <w:pPr>
        <w:spacing w:after="40" w:line="240" w:lineRule="auto"/>
        <w:jc w:val="both"/>
      </w:pPr>
      <w:r>
        <w:t xml:space="preserve">2. U dokumentu koristiti finalne CadnaA / Building Evaluation tabele iz foldera S1, S3 i S4 po istom obrascu kao u strateškoj karti buke, uz jasnu </w:t>
      </w:r>
      <w:r>
        <w:t>sljedivost izvora podataka i bez dodatnih napomena o radnom statusu.</w:t>
      </w:r>
    </w:p>
    <w:p w:rsidR="004E4A3C" w:rsidRDefault="00FD7157">
      <w:pPr>
        <w:spacing w:after="40" w:line="240" w:lineRule="auto"/>
        <w:jc w:val="both"/>
      </w:pPr>
      <w:r>
        <w:t>3. Izraditi saobraćajno-tehnički elaborat za ograničenja brzine, signalizaciju, kontrolu i, po potrebi, smirivanje saobraćaja.</w:t>
      </w:r>
    </w:p>
    <w:p w:rsidR="004E4A3C" w:rsidRDefault="00FD7157">
      <w:pPr>
        <w:spacing w:after="40" w:line="240" w:lineRule="auto"/>
        <w:jc w:val="both"/>
      </w:pPr>
      <w:r>
        <w:t>4. Evidentirati stanje kolovoza, šahtova, spojeva i tačaka s</w:t>
      </w:r>
      <w:r>
        <w:t>a impulsnom bukom i povezati sanaciju sa redovnim održavanjem.</w:t>
      </w:r>
    </w:p>
    <w:p w:rsidR="004E4A3C" w:rsidRDefault="00FD7157">
      <w:pPr>
        <w:spacing w:after="40" w:line="240" w:lineRule="auto"/>
        <w:jc w:val="both"/>
      </w:pPr>
      <w:r>
        <w:t>5. U saradnji sa Glavnim gradom Podgorica i Opštinom Danilovgrad pokrenuti usklađivanje akustičkih zona i planskih uslova za prioritetne djelove koridora, posebno za 168 objekata van akustičnih</w:t>
      </w:r>
      <w:r>
        <w:t xml:space="preserve"> zona evidentiranih u SKB.</w:t>
      </w:r>
    </w:p>
    <w:p w:rsidR="004E4A3C" w:rsidRDefault="00FD7157">
      <w:pPr>
        <w:spacing w:after="120" w:line="240" w:lineRule="auto"/>
        <w:jc w:val="both"/>
      </w:pPr>
      <w:r>
        <w:t>6. Sprovesti javnu raspravu i evidentirati lokalne primjedbe po lokacijama, stacionažama i vrsti problema.</w:t>
      </w:r>
    </w:p>
    <w:p w:rsidR="004E4A3C" w:rsidRDefault="00FD7157">
      <w:pPr>
        <w:spacing w:line="240" w:lineRule="auto"/>
        <w:jc w:val="both"/>
      </w:pPr>
      <w:r>
        <w:t>7. Uspostaviti evidenciju sprovedenih mjera, troškova, rokova i postignutih efekata, kao osnov za godišnje izvještavanje i</w:t>
      </w:r>
      <w:r>
        <w:t xml:space="preserve"> reviziju AP.</w:t>
      </w:r>
    </w:p>
    <w:p w:rsidR="004E4A3C" w:rsidRDefault="00FD7157">
      <w:pPr>
        <w:rPr>
          <w:rFonts w:cstheme="majorBidi"/>
          <w:bCs/>
          <w:color w:val="1F4E79"/>
          <w:sz w:val="32"/>
          <w:szCs w:val="28"/>
        </w:rPr>
      </w:pPr>
      <w:r>
        <w:lastRenderedPageBreak/>
        <w:br w:type="page"/>
      </w:r>
    </w:p>
    <w:p w:rsidR="004E4A3C" w:rsidRDefault="00FD7157">
      <w:pPr>
        <w:pStyle w:val="Heading1"/>
        <w:spacing w:before="0"/>
        <w:jc w:val="both"/>
      </w:pPr>
      <w:bookmarkStart w:id="27" w:name="__RefHeading___Toc9141_4023479253"/>
      <w:bookmarkStart w:id="28" w:name="_Toc231671787"/>
      <w:bookmarkEnd w:id="27"/>
      <w:r>
        <w:rPr>
          <w:rFonts w:ascii="Arial" w:eastAsia="Arial" w:hAnsi="Arial"/>
          <w:b w:val="0"/>
        </w:rPr>
        <w:lastRenderedPageBreak/>
        <w:t>1. Uvod</w:t>
      </w:r>
      <w:bookmarkEnd w:id="28"/>
    </w:p>
    <w:p w:rsidR="004E4A3C" w:rsidRDefault="004E4A3C">
      <w:pPr>
        <w:spacing w:after="0"/>
        <w:jc w:val="both"/>
      </w:pPr>
    </w:p>
    <w:p w:rsidR="004E4A3C" w:rsidRDefault="00FD7157">
      <w:pPr>
        <w:jc w:val="both"/>
      </w:pPr>
      <w:r>
        <w:t xml:space="preserve">Uvod objašnjava svrhu izrade Akcionog plana, njegovu vezu sa strateškom kartom buke i ulogu dokumenta u sistemu zaštite od buke u životnoj sredini. Posebno se naglašava da se plan ne posmatra samo kao izvještajni dokument, već kao </w:t>
      </w:r>
      <w:r>
        <w:t>osnova za izbor i sprovođenje realnih mjera.</w:t>
      </w:r>
    </w:p>
    <w:p w:rsidR="004E4A3C" w:rsidRDefault="00FD7157">
      <w:pPr>
        <w:pStyle w:val="Heading2"/>
        <w:jc w:val="both"/>
      </w:pPr>
      <w:bookmarkStart w:id="29" w:name="__RefHeading___Toc9143_4023479253"/>
      <w:bookmarkStart w:id="30" w:name="_Toc231671788"/>
      <w:bookmarkEnd w:id="29"/>
      <w:r>
        <w:rPr>
          <w:rFonts w:ascii="Arial" w:eastAsia="Arial" w:hAnsi="Arial"/>
          <w:b w:val="0"/>
        </w:rPr>
        <w:t>1.1. Predmet Akcionog plana</w:t>
      </w:r>
      <w:bookmarkEnd w:id="30"/>
    </w:p>
    <w:p w:rsidR="004E4A3C" w:rsidRDefault="00FD7157">
      <w:pPr>
        <w:jc w:val="both"/>
      </w:pPr>
      <w:r>
        <w:t>Predmet ovog Akcionog plana je zaštita od buke u životnoj sredini za regionalni put R-23, dionica Spuž–Vranjske Njive, u dužini od 6,98 km. Akcioni plan se izrađuje na osnovu rezultat</w:t>
      </w:r>
      <w:r>
        <w:t>a Strateške karte buke za istu dionicu, izrađene za buku drumskog saobraćaja primjenom računarskog modeliranja u softveru CadnaA Version 2026 MR prema metodi CNOSSOS-EU 2015/996.</w:t>
      </w:r>
    </w:p>
    <w:p w:rsidR="004E4A3C" w:rsidRDefault="00FD7157">
      <w:pPr>
        <w:pStyle w:val="Heading2"/>
        <w:jc w:val="both"/>
      </w:pPr>
      <w:bookmarkStart w:id="31" w:name="__RefHeading___Toc9145_4023479253"/>
      <w:bookmarkStart w:id="32" w:name="_Toc231671789"/>
      <w:bookmarkEnd w:id="31"/>
      <w:r>
        <w:rPr>
          <w:rFonts w:ascii="Arial" w:eastAsia="Arial" w:hAnsi="Arial"/>
          <w:b w:val="0"/>
        </w:rPr>
        <w:t>1.2. Cilj izrade Akcionog plana</w:t>
      </w:r>
      <w:bookmarkEnd w:id="32"/>
    </w:p>
    <w:p w:rsidR="004E4A3C" w:rsidRDefault="00FD7157">
      <w:pPr>
        <w:jc w:val="both"/>
      </w:pPr>
      <w:r>
        <w:t>Cilj Akcionog plana je definisanje tehničkih,</w:t>
      </w:r>
      <w:r>
        <w:t xml:space="preserve"> organizacionih, planskih i institucionalnih mjera kojima se smanjuje štetni uticaj buke drumskog saobraćaja na stanovništvo i životnu sredinu u koridoru regionalnog puta R-23. Poseban fokus je na smanjenju izloženosti u zonama sa prekoračenjima i na indik</w:t>
      </w:r>
      <w:r>
        <w:t>atoru Lnight.</w:t>
      </w:r>
    </w:p>
    <w:p w:rsidR="004E4A3C" w:rsidRDefault="00FD7157">
      <w:pPr>
        <w:pStyle w:val="Heading2"/>
        <w:jc w:val="both"/>
      </w:pPr>
      <w:bookmarkStart w:id="33" w:name="__RefHeading___Toc9147_4023479253"/>
      <w:bookmarkStart w:id="34" w:name="_Toc231671790"/>
      <w:bookmarkEnd w:id="33"/>
      <w:r>
        <w:rPr>
          <w:rFonts w:ascii="Arial" w:eastAsia="Arial" w:hAnsi="Arial"/>
          <w:b w:val="0"/>
        </w:rPr>
        <w:t>1.3. Pravni osnov</w:t>
      </w:r>
      <w:bookmarkEnd w:id="34"/>
    </w:p>
    <w:p w:rsidR="004E4A3C" w:rsidRDefault="00FD7157">
      <w:pPr>
        <w:jc w:val="both"/>
      </w:pPr>
      <w:r>
        <w:t>Pravni osnov čine Zakon o zaštiti od buke u životnoj sredini, pravilnici o strateškim kartama buke, graničnim vrijednostima i metodama izračunavanja, kao i lokalne odluke o akustičnim zonama na teritoriji Glavnog grada Podgo</w:t>
      </w:r>
      <w:r>
        <w:t>rice i opštine Danilovgrad. Metodološki okvir usklađen je sa Direktivom 2002/49/EC i zajedničkim metodama CNOSSOS-EU.</w:t>
      </w:r>
    </w:p>
    <w:p w:rsidR="004E4A3C" w:rsidRDefault="00FD7157">
      <w:pPr>
        <w:pStyle w:val="Heading2"/>
        <w:jc w:val="both"/>
      </w:pPr>
      <w:bookmarkStart w:id="35" w:name="__RefHeading___Toc9149_4023479253"/>
      <w:bookmarkStart w:id="36" w:name="_Toc231671791"/>
      <w:bookmarkEnd w:id="35"/>
      <w:r>
        <w:rPr>
          <w:rFonts w:ascii="Arial" w:eastAsia="Arial" w:hAnsi="Arial"/>
          <w:b w:val="0"/>
        </w:rPr>
        <w:t>1.4. Stručna podloga za izradu Akcionog plana</w:t>
      </w:r>
      <w:bookmarkEnd w:id="36"/>
    </w:p>
    <w:p w:rsidR="004E4A3C" w:rsidRDefault="00FD7157">
      <w:pPr>
        <w:jc w:val="both"/>
      </w:pPr>
      <w:r>
        <w:t>Stručnu podlogu predstavlja Strateška karta buke za regionalni put R-23, dionica Spuž–Vranjs</w:t>
      </w:r>
      <w:r>
        <w:t>ke Njive, jun 2026. godine. Ona sadrži opis dionice, saobraćajne podatke, akustične zone, metodologiju proračuna, meteorološke podatke, izloženost stanovništva, tihe fasade i ocjenu prekoračenja graničnih vrijednosti.</w:t>
      </w:r>
    </w:p>
    <w:p w:rsidR="004E4A3C" w:rsidRDefault="00FD7157">
      <w:pPr>
        <w:pStyle w:val="Heading2"/>
        <w:jc w:val="both"/>
      </w:pPr>
      <w:bookmarkStart w:id="37" w:name="__RefHeading___Toc9151_4023479253"/>
      <w:bookmarkStart w:id="38" w:name="_Toc231671792"/>
      <w:bookmarkEnd w:id="37"/>
      <w:r>
        <w:rPr>
          <w:rFonts w:ascii="Arial" w:eastAsia="Arial" w:hAnsi="Arial"/>
          <w:b w:val="0"/>
        </w:rPr>
        <w:t>1.5. Period važenja Akcionog plana</w:t>
      </w:r>
      <w:bookmarkEnd w:id="38"/>
    </w:p>
    <w:p w:rsidR="004E4A3C" w:rsidRDefault="00FD7157">
      <w:pPr>
        <w:jc w:val="both"/>
      </w:pPr>
      <w:r>
        <w:t>Akc</w:t>
      </w:r>
      <w:r>
        <w:t>ioni plan se donosi za period od pet godina. Reviduje se ranije ako dođe do značajnih promjena u obimu saobraćaja, strukturi vozila, režimu brzine, namjeni prostora, akustičkom zoniranju ili ako se realizuju infrastrukturni zahvati koji bitno mijenjaju aku</w:t>
      </w:r>
      <w:r>
        <w:t>stičke uslove u koridoru puta.</w:t>
      </w:r>
    </w:p>
    <w:p w:rsidR="004E4A3C" w:rsidRDefault="00FD7157">
      <w:pPr>
        <w:pStyle w:val="Heading1"/>
        <w:jc w:val="both"/>
      </w:pPr>
      <w:bookmarkStart w:id="39" w:name="__RefHeading___Toc9153_4023479253"/>
      <w:bookmarkStart w:id="40" w:name="_Toc231671793"/>
      <w:bookmarkEnd w:id="39"/>
      <w:r>
        <w:rPr>
          <w:rFonts w:ascii="Arial" w:eastAsia="Arial" w:hAnsi="Arial"/>
          <w:b w:val="0"/>
        </w:rPr>
        <w:t>2. Opis predmetne dionice glavnog puta</w:t>
      </w:r>
      <w:bookmarkEnd w:id="40"/>
    </w:p>
    <w:p w:rsidR="004E4A3C" w:rsidRDefault="004E4A3C">
      <w:pPr>
        <w:spacing w:after="0"/>
        <w:jc w:val="both"/>
      </w:pPr>
    </w:p>
    <w:p w:rsidR="004E4A3C" w:rsidRDefault="00FD7157">
      <w:pPr>
        <w:spacing w:after="0"/>
        <w:jc w:val="both"/>
      </w:pPr>
      <w:r>
        <w:t>Ovo poglavlje daje prostorni, funkcionalni i saobraćajni opis predmetne dionice regionalnog puta R-23. Opis je potreban kako bi se rezultati buke i predložene mjere povezali sa stvarnim</w:t>
      </w:r>
      <w:r>
        <w:t xml:space="preserve"> uslovima trase, naselja i saobraćajnih tokova u koridoru.</w:t>
      </w:r>
    </w:p>
    <w:p w:rsidR="004E4A3C" w:rsidRDefault="00FD7157">
      <w:pPr>
        <w:pStyle w:val="Heading2"/>
        <w:jc w:val="both"/>
      </w:pPr>
      <w:bookmarkStart w:id="41" w:name="__RefHeading___Toc9155_4023479253"/>
      <w:bookmarkStart w:id="42" w:name="_Toc231671794"/>
      <w:bookmarkEnd w:id="41"/>
      <w:r>
        <w:rPr>
          <w:rFonts w:ascii="Arial" w:eastAsia="Arial" w:hAnsi="Arial"/>
          <w:b w:val="0"/>
        </w:rPr>
        <w:t>2.1. Položaj i funkcija regionalnog puta R-23</w:t>
      </w:r>
      <w:bookmarkEnd w:id="42"/>
    </w:p>
    <w:p w:rsidR="004E4A3C" w:rsidRDefault="00FD7157">
      <w:pPr>
        <w:jc w:val="both"/>
      </w:pPr>
      <w:r>
        <w:t>Predmetna dionica Spuž–Vranjske Njive predstavlja funkcionalno važnu saobraćajnu vezu između naselja Spuž, prigradskih zona i šireg područja Podgorice.</w:t>
      </w:r>
      <w:r>
        <w:t xml:space="preserve"> Trasa prolazi kroz područja sa stambenim objektima, mješovitom namjenom, poljoprivrednim površinama i lokalnim pristupnim saobraćajnicama.</w:t>
      </w:r>
    </w:p>
    <w:p w:rsidR="004E4A3C" w:rsidRDefault="00FD7157">
      <w:pPr>
        <w:pStyle w:val="Heading2"/>
        <w:jc w:val="both"/>
      </w:pPr>
      <w:bookmarkStart w:id="43" w:name="__RefHeading___Toc9157_4023479253"/>
      <w:bookmarkStart w:id="44" w:name="_Toc231671795"/>
      <w:bookmarkEnd w:id="43"/>
      <w:r>
        <w:rPr>
          <w:rFonts w:ascii="Arial" w:eastAsia="Arial" w:hAnsi="Arial"/>
          <w:b w:val="0"/>
        </w:rPr>
        <w:t>2.2. Obuhvat dionice</w:t>
      </w:r>
      <w:bookmarkEnd w:id="44"/>
    </w:p>
    <w:p w:rsidR="004E4A3C" w:rsidRDefault="00FD7157">
      <w:pPr>
        <w:jc w:val="both"/>
      </w:pPr>
      <w:r>
        <w:t>Obuhvat dionice prikazuje se kroz osnovne identifikacione podatke, dužinu, brojačko mjesto i ko</w:t>
      </w:r>
      <w:r>
        <w:t>ordinate početka i kraja trase. Ovi podaci definišu prostor na koji se odnose karte buke, procjena izloženosti i scenariji mjera.</w:t>
      </w:r>
    </w:p>
    <w:p w:rsidR="004E4A3C" w:rsidRDefault="004E4A3C">
      <w:pPr>
        <w:keepNext/>
        <w:keepLines/>
        <w:spacing w:after="40"/>
        <w:rPr>
          <w:b/>
          <w:bCs/>
        </w:rPr>
      </w:pPr>
    </w:p>
    <w:p w:rsidR="004E4A3C" w:rsidRDefault="00FD7157">
      <w:pPr>
        <w:keepNext/>
        <w:keepLines/>
        <w:spacing w:after="40"/>
        <w:rPr>
          <w:b/>
          <w:bCs/>
        </w:rPr>
      </w:pPr>
      <w:r>
        <w:rPr>
          <w:b/>
          <w:bCs/>
        </w:rPr>
        <w:t>Tabela 2. Osnovni podaci o dionici i brojačkom mjestu</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4194"/>
        <w:gridCol w:w="5671"/>
      </w:tblGrid>
      <w:tr w:rsidR="004E4A3C">
        <w:trPr>
          <w:cantSplit/>
          <w:tblHeader/>
          <w:jc w:val="center"/>
        </w:trPr>
        <w:tc>
          <w:tcPr>
            <w:tcW w:w="4194" w:type="dxa"/>
            <w:shd w:val="clear" w:color="auto" w:fill="D9EAF7"/>
          </w:tcPr>
          <w:p w:rsidR="004E4A3C" w:rsidRDefault="00FD7157">
            <w:pPr>
              <w:spacing w:after="0" w:line="240" w:lineRule="auto"/>
              <w:jc w:val="center"/>
            </w:pPr>
            <w:r>
              <w:rPr>
                <w:rFonts w:cs="Arial"/>
                <w:b/>
                <w:color w:val="000000"/>
                <w:sz w:val="18"/>
                <w:szCs w:val="18"/>
              </w:rPr>
              <w:t>Element</w:t>
            </w:r>
          </w:p>
        </w:tc>
        <w:tc>
          <w:tcPr>
            <w:tcW w:w="5670" w:type="dxa"/>
            <w:shd w:val="clear" w:color="auto" w:fill="D9EAF7"/>
          </w:tcPr>
          <w:p w:rsidR="004E4A3C" w:rsidRDefault="00FD7157">
            <w:pPr>
              <w:spacing w:after="0" w:line="240" w:lineRule="auto"/>
              <w:jc w:val="center"/>
            </w:pPr>
            <w:r>
              <w:rPr>
                <w:rFonts w:cs="Arial"/>
                <w:b/>
                <w:color w:val="000000"/>
                <w:sz w:val="18"/>
                <w:szCs w:val="18"/>
              </w:rPr>
              <w:t>Vrijednost / opis</w:t>
            </w:r>
          </w:p>
        </w:tc>
      </w:tr>
      <w:tr w:rsidR="004E4A3C">
        <w:trPr>
          <w:cantSplit/>
          <w:jc w:val="center"/>
        </w:trPr>
        <w:tc>
          <w:tcPr>
            <w:tcW w:w="4194" w:type="dxa"/>
          </w:tcPr>
          <w:p w:rsidR="004E4A3C" w:rsidRDefault="00FD7157">
            <w:pPr>
              <w:spacing w:after="0" w:line="240" w:lineRule="auto"/>
            </w:pPr>
            <w:r>
              <w:rPr>
                <w:rFonts w:cs="Arial"/>
                <w:sz w:val="18"/>
                <w:szCs w:val="18"/>
              </w:rPr>
              <w:t>Oznaka i naziv puta</w:t>
            </w:r>
          </w:p>
        </w:tc>
        <w:tc>
          <w:tcPr>
            <w:tcW w:w="5670" w:type="dxa"/>
          </w:tcPr>
          <w:p w:rsidR="004E4A3C" w:rsidRDefault="00FD7157">
            <w:pPr>
              <w:spacing w:after="0" w:line="240" w:lineRule="auto"/>
            </w:pPr>
            <w:r>
              <w:rPr>
                <w:rFonts w:cs="Arial"/>
                <w:sz w:val="18"/>
                <w:szCs w:val="18"/>
              </w:rPr>
              <w:t>R-23 Spuž – Vranjske Nji</w:t>
            </w:r>
            <w:r>
              <w:rPr>
                <w:rFonts w:cs="Arial"/>
                <w:sz w:val="18"/>
                <w:szCs w:val="18"/>
              </w:rPr>
              <w:t>ve</w:t>
            </w:r>
          </w:p>
        </w:tc>
      </w:tr>
      <w:tr w:rsidR="004E4A3C">
        <w:trPr>
          <w:cantSplit/>
          <w:jc w:val="center"/>
        </w:trPr>
        <w:tc>
          <w:tcPr>
            <w:tcW w:w="4194" w:type="dxa"/>
          </w:tcPr>
          <w:p w:rsidR="004E4A3C" w:rsidRDefault="00FD7157">
            <w:pPr>
              <w:spacing w:after="0" w:line="240" w:lineRule="auto"/>
            </w:pPr>
            <w:r>
              <w:rPr>
                <w:rFonts w:cs="Arial"/>
                <w:sz w:val="18"/>
                <w:szCs w:val="18"/>
              </w:rPr>
              <w:t>Dužina dionice prema popisu dionica</w:t>
            </w:r>
          </w:p>
        </w:tc>
        <w:tc>
          <w:tcPr>
            <w:tcW w:w="5670" w:type="dxa"/>
          </w:tcPr>
          <w:p w:rsidR="004E4A3C" w:rsidRDefault="00FD7157">
            <w:pPr>
              <w:spacing w:after="0" w:line="240" w:lineRule="auto"/>
            </w:pPr>
            <w:r>
              <w:rPr>
                <w:rFonts w:cs="Arial"/>
                <w:sz w:val="18"/>
                <w:szCs w:val="18"/>
              </w:rPr>
              <w:t>6,98 km</w:t>
            </w:r>
          </w:p>
        </w:tc>
      </w:tr>
      <w:tr w:rsidR="004E4A3C">
        <w:trPr>
          <w:cantSplit/>
          <w:jc w:val="center"/>
        </w:trPr>
        <w:tc>
          <w:tcPr>
            <w:tcW w:w="4194" w:type="dxa"/>
          </w:tcPr>
          <w:p w:rsidR="004E4A3C" w:rsidRDefault="00FD7157">
            <w:pPr>
              <w:spacing w:after="0" w:line="240" w:lineRule="auto"/>
            </w:pPr>
            <w:r>
              <w:rPr>
                <w:rFonts w:cs="Arial"/>
                <w:sz w:val="18"/>
                <w:szCs w:val="18"/>
              </w:rPr>
              <w:t>Brojačko mjesto</w:t>
            </w:r>
          </w:p>
        </w:tc>
        <w:tc>
          <w:tcPr>
            <w:tcW w:w="5670" w:type="dxa"/>
          </w:tcPr>
          <w:p w:rsidR="004E4A3C" w:rsidRDefault="00FD7157">
            <w:pPr>
              <w:spacing w:after="0" w:line="240" w:lineRule="auto"/>
            </w:pPr>
            <w:r>
              <w:rPr>
                <w:rFonts w:cs="Arial"/>
                <w:sz w:val="18"/>
                <w:szCs w:val="18"/>
              </w:rPr>
              <w:t>0066-R23 Velje brdo</w:t>
            </w:r>
          </w:p>
        </w:tc>
      </w:tr>
      <w:tr w:rsidR="004E4A3C">
        <w:trPr>
          <w:cantSplit/>
          <w:jc w:val="center"/>
        </w:trPr>
        <w:tc>
          <w:tcPr>
            <w:tcW w:w="4194" w:type="dxa"/>
          </w:tcPr>
          <w:p w:rsidR="004E4A3C" w:rsidRDefault="00FD7157">
            <w:pPr>
              <w:spacing w:after="0" w:line="240" w:lineRule="auto"/>
            </w:pPr>
            <w:r>
              <w:rPr>
                <w:rFonts w:cs="Arial"/>
                <w:sz w:val="18"/>
                <w:szCs w:val="18"/>
              </w:rPr>
              <w:t>Koordinate brojača</w:t>
            </w:r>
          </w:p>
        </w:tc>
        <w:tc>
          <w:tcPr>
            <w:tcW w:w="5670" w:type="dxa"/>
          </w:tcPr>
          <w:p w:rsidR="004E4A3C" w:rsidRDefault="00FD7157">
            <w:pPr>
              <w:spacing w:after="0" w:line="240" w:lineRule="auto"/>
            </w:pPr>
            <w:r>
              <w:rPr>
                <w:rFonts w:cs="Arial"/>
                <w:sz w:val="18"/>
                <w:szCs w:val="18"/>
              </w:rPr>
              <w:t>42.479372 N; 19.242087 E</w:t>
            </w:r>
          </w:p>
        </w:tc>
      </w:tr>
      <w:tr w:rsidR="004E4A3C">
        <w:trPr>
          <w:cantSplit/>
          <w:jc w:val="center"/>
        </w:trPr>
        <w:tc>
          <w:tcPr>
            <w:tcW w:w="4194" w:type="dxa"/>
          </w:tcPr>
          <w:p w:rsidR="004E4A3C" w:rsidRDefault="00FD7157">
            <w:pPr>
              <w:spacing w:after="0" w:line="240" w:lineRule="auto"/>
            </w:pPr>
            <w:r>
              <w:rPr>
                <w:rFonts w:cs="Arial"/>
                <w:sz w:val="18"/>
                <w:szCs w:val="18"/>
              </w:rPr>
              <w:t>Relevantna godina saobraćaja u modelu</w:t>
            </w:r>
          </w:p>
        </w:tc>
        <w:tc>
          <w:tcPr>
            <w:tcW w:w="5670" w:type="dxa"/>
          </w:tcPr>
          <w:p w:rsidR="004E4A3C" w:rsidRDefault="00FD7157">
            <w:pPr>
              <w:spacing w:after="0" w:line="240" w:lineRule="auto"/>
            </w:pPr>
            <w:r>
              <w:rPr>
                <w:rFonts w:cs="Arial"/>
                <w:sz w:val="18"/>
                <w:szCs w:val="18"/>
              </w:rPr>
              <w:t>2025. godina</w:t>
            </w:r>
          </w:p>
        </w:tc>
      </w:tr>
      <w:tr w:rsidR="004E4A3C">
        <w:trPr>
          <w:cantSplit/>
          <w:jc w:val="center"/>
        </w:trPr>
        <w:tc>
          <w:tcPr>
            <w:tcW w:w="4194" w:type="dxa"/>
          </w:tcPr>
          <w:p w:rsidR="004E4A3C" w:rsidRDefault="00FD7157">
            <w:pPr>
              <w:spacing w:after="0" w:line="240" w:lineRule="auto"/>
            </w:pPr>
            <w:r>
              <w:rPr>
                <w:rFonts w:cs="Arial"/>
                <w:sz w:val="18"/>
                <w:szCs w:val="18"/>
              </w:rPr>
              <w:t>Ukupan godišnji promet iz obračunskog fajla</w:t>
            </w:r>
          </w:p>
        </w:tc>
        <w:tc>
          <w:tcPr>
            <w:tcW w:w="5670" w:type="dxa"/>
          </w:tcPr>
          <w:p w:rsidR="004E4A3C" w:rsidRDefault="00FD7157">
            <w:pPr>
              <w:spacing w:after="0" w:line="240" w:lineRule="auto"/>
            </w:pPr>
            <w:r>
              <w:rPr>
                <w:rFonts w:cs="Arial"/>
                <w:sz w:val="18"/>
                <w:szCs w:val="18"/>
              </w:rPr>
              <w:t>3.583.627 vozila/god.</w:t>
            </w:r>
          </w:p>
        </w:tc>
      </w:tr>
      <w:tr w:rsidR="004E4A3C">
        <w:trPr>
          <w:cantSplit/>
          <w:jc w:val="center"/>
        </w:trPr>
        <w:tc>
          <w:tcPr>
            <w:tcW w:w="4194" w:type="dxa"/>
          </w:tcPr>
          <w:p w:rsidR="004E4A3C" w:rsidRDefault="00FD7157">
            <w:pPr>
              <w:spacing w:after="0" w:line="240" w:lineRule="auto"/>
            </w:pPr>
            <w:r>
              <w:rPr>
                <w:rFonts w:cs="Arial"/>
                <w:sz w:val="18"/>
                <w:szCs w:val="18"/>
              </w:rPr>
              <w:t>Prosječni godišnji dnevni saobraćaj (PGDS)</w:t>
            </w:r>
          </w:p>
        </w:tc>
        <w:tc>
          <w:tcPr>
            <w:tcW w:w="5670" w:type="dxa"/>
          </w:tcPr>
          <w:p w:rsidR="004E4A3C" w:rsidRDefault="00FD7157">
            <w:pPr>
              <w:spacing w:after="0" w:line="240" w:lineRule="auto"/>
            </w:pPr>
            <w:r>
              <w:rPr>
                <w:rFonts w:cs="Arial"/>
                <w:sz w:val="18"/>
                <w:szCs w:val="18"/>
              </w:rPr>
              <w:t>9.818 vozila/dan</w:t>
            </w:r>
          </w:p>
        </w:tc>
      </w:tr>
    </w:tbl>
    <w:p w:rsidR="004E4A3C" w:rsidRDefault="004E4A3C">
      <w:pPr>
        <w:keepNext/>
        <w:keepLines/>
        <w:spacing w:after="40"/>
        <w:rPr>
          <w:b/>
          <w:bCs/>
        </w:rPr>
      </w:pPr>
    </w:p>
    <w:p w:rsidR="004E4A3C" w:rsidRDefault="00FD7157">
      <w:pPr>
        <w:keepNext/>
        <w:keepLines/>
        <w:spacing w:after="40"/>
        <w:rPr>
          <w:b/>
          <w:bCs/>
        </w:rPr>
      </w:pPr>
      <w:r>
        <w:rPr>
          <w:b/>
          <w:bCs/>
        </w:rPr>
        <w:t>Tabela 3. Koordinate početka i kraja predmetne dionice</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2926"/>
        <w:gridCol w:w="3061"/>
        <w:gridCol w:w="3878"/>
      </w:tblGrid>
      <w:tr w:rsidR="004E4A3C">
        <w:trPr>
          <w:cantSplit/>
          <w:tblHeader/>
          <w:jc w:val="center"/>
        </w:trPr>
        <w:tc>
          <w:tcPr>
            <w:tcW w:w="2926" w:type="dxa"/>
            <w:shd w:val="clear" w:color="auto" w:fill="D9EAF7"/>
          </w:tcPr>
          <w:p w:rsidR="004E4A3C" w:rsidRDefault="00FD7157">
            <w:pPr>
              <w:spacing w:after="0" w:line="240" w:lineRule="auto"/>
              <w:jc w:val="center"/>
            </w:pPr>
            <w:r>
              <w:rPr>
                <w:rFonts w:cs="Arial"/>
                <w:b/>
                <w:color w:val="000000"/>
                <w:sz w:val="18"/>
                <w:szCs w:val="18"/>
              </w:rPr>
              <w:t>Tačka</w:t>
            </w:r>
          </w:p>
        </w:tc>
        <w:tc>
          <w:tcPr>
            <w:tcW w:w="3061" w:type="dxa"/>
            <w:shd w:val="clear" w:color="auto" w:fill="D9EAF7"/>
          </w:tcPr>
          <w:p w:rsidR="004E4A3C" w:rsidRDefault="00FD7157">
            <w:pPr>
              <w:spacing w:after="0" w:line="240" w:lineRule="auto"/>
              <w:jc w:val="center"/>
            </w:pPr>
            <w:r>
              <w:rPr>
                <w:rFonts w:cs="Arial"/>
                <w:b/>
                <w:color w:val="000000"/>
                <w:sz w:val="18"/>
                <w:szCs w:val="18"/>
              </w:rPr>
              <w:t>Geografska širina (F)</w:t>
            </w:r>
          </w:p>
        </w:tc>
        <w:tc>
          <w:tcPr>
            <w:tcW w:w="3878" w:type="dxa"/>
            <w:shd w:val="clear" w:color="auto" w:fill="D9EAF7"/>
          </w:tcPr>
          <w:p w:rsidR="004E4A3C" w:rsidRDefault="00FD7157">
            <w:pPr>
              <w:spacing w:after="0" w:line="240" w:lineRule="auto"/>
              <w:jc w:val="center"/>
            </w:pPr>
            <w:r>
              <w:rPr>
                <w:rFonts w:cs="Arial"/>
                <w:b/>
                <w:color w:val="000000"/>
                <w:sz w:val="18"/>
                <w:szCs w:val="18"/>
              </w:rPr>
              <w:t>Geografska dužina (L)</w:t>
            </w:r>
          </w:p>
        </w:tc>
      </w:tr>
      <w:tr w:rsidR="004E4A3C">
        <w:trPr>
          <w:cantSplit/>
          <w:jc w:val="center"/>
        </w:trPr>
        <w:tc>
          <w:tcPr>
            <w:tcW w:w="2926" w:type="dxa"/>
          </w:tcPr>
          <w:p w:rsidR="004E4A3C" w:rsidRDefault="00FD7157">
            <w:pPr>
              <w:spacing w:after="0" w:line="240" w:lineRule="auto"/>
            </w:pPr>
            <w:r>
              <w:rPr>
                <w:rFonts w:cs="Arial"/>
                <w:sz w:val="18"/>
                <w:szCs w:val="18"/>
              </w:rPr>
              <w:t>Početak dionice regionalnog puta</w:t>
            </w:r>
          </w:p>
        </w:tc>
        <w:tc>
          <w:tcPr>
            <w:tcW w:w="3061" w:type="dxa"/>
          </w:tcPr>
          <w:p w:rsidR="004E4A3C" w:rsidRDefault="00FD7157">
            <w:pPr>
              <w:spacing w:after="0" w:line="240" w:lineRule="auto"/>
            </w:pPr>
            <w:r>
              <w:rPr>
                <w:rFonts w:cs="Arial"/>
                <w:sz w:val="18"/>
                <w:szCs w:val="18"/>
              </w:rPr>
              <w:t>42.50274634 °</w:t>
            </w:r>
          </w:p>
        </w:tc>
        <w:tc>
          <w:tcPr>
            <w:tcW w:w="3878" w:type="dxa"/>
          </w:tcPr>
          <w:p w:rsidR="004E4A3C" w:rsidRDefault="00FD7157">
            <w:pPr>
              <w:spacing w:after="0" w:line="240" w:lineRule="auto"/>
            </w:pPr>
            <w:r>
              <w:rPr>
                <w:rFonts w:cs="Arial"/>
                <w:sz w:val="18"/>
                <w:szCs w:val="18"/>
              </w:rPr>
              <w:t>19.19072441 °</w:t>
            </w:r>
          </w:p>
        </w:tc>
      </w:tr>
      <w:tr w:rsidR="004E4A3C">
        <w:trPr>
          <w:cantSplit/>
          <w:jc w:val="center"/>
        </w:trPr>
        <w:tc>
          <w:tcPr>
            <w:tcW w:w="2926" w:type="dxa"/>
          </w:tcPr>
          <w:p w:rsidR="004E4A3C" w:rsidRDefault="00FD7157">
            <w:pPr>
              <w:spacing w:after="0" w:line="240" w:lineRule="auto"/>
            </w:pPr>
            <w:r>
              <w:rPr>
                <w:rFonts w:cs="Arial"/>
                <w:sz w:val="18"/>
                <w:szCs w:val="18"/>
              </w:rPr>
              <w:t xml:space="preserve">Kraj dionice regionalnog </w:t>
            </w:r>
            <w:r>
              <w:rPr>
                <w:rFonts w:cs="Arial"/>
                <w:sz w:val="18"/>
                <w:szCs w:val="18"/>
              </w:rPr>
              <w:t>puta</w:t>
            </w:r>
          </w:p>
        </w:tc>
        <w:tc>
          <w:tcPr>
            <w:tcW w:w="3061" w:type="dxa"/>
          </w:tcPr>
          <w:p w:rsidR="004E4A3C" w:rsidRDefault="00FD7157">
            <w:pPr>
              <w:spacing w:after="0" w:line="240" w:lineRule="auto"/>
            </w:pPr>
            <w:r>
              <w:rPr>
                <w:rFonts w:cs="Arial"/>
                <w:sz w:val="18"/>
                <w:szCs w:val="18"/>
              </w:rPr>
              <w:t>42.4677061 °</w:t>
            </w:r>
          </w:p>
        </w:tc>
        <w:tc>
          <w:tcPr>
            <w:tcW w:w="3878" w:type="dxa"/>
          </w:tcPr>
          <w:p w:rsidR="004E4A3C" w:rsidRDefault="00FD7157">
            <w:pPr>
              <w:spacing w:after="0" w:line="240" w:lineRule="auto"/>
            </w:pPr>
            <w:r>
              <w:rPr>
                <w:rFonts w:cs="Arial"/>
                <w:sz w:val="18"/>
                <w:szCs w:val="18"/>
              </w:rPr>
              <w:t>19.25769047 °</w:t>
            </w:r>
          </w:p>
        </w:tc>
      </w:tr>
    </w:tbl>
    <w:p w:rsidR="004E4A3C" w:rsidRDefault="00FD7157">
      <w:pPr>
        <w:pStyle w:val="Heading2"/>
      </w:pPr>
      <w:bookmarkStart w:id="45" w:name="__RefHeading___Toc9159_4023479253"/>
      <w:bookmarkStart w:id="46" w:name="_Toc231671796"/>
      <w:bookmarkEnd w:id="45"/>
      <w:r>
        <w:rPr>
          <w:rFonts w:ascii="Arial" w:eastAsia="Arial" w:hAnsi="Arial"/>
          <w:b w:val="0"/>
        </w:rPr>
        <w:t>2.3. Osnovni saobraćajni podaci</w:t>
      </w:r>
      <w:bookmarkEnd w:id="46"/>
    </w:p>
    <w:p w:rsidR="004E4A3C" w:rsidRDefault="00FD7157">
      <w:r>
        <w:t xml:space="preserve">Saobraćajni podaci predstavljaju ključni ulaz za proračun emisije buke od drumskog saobraćaja. U nastavku su prikazani prosječni protoci po referentnim periodima, kako bi se jasno razumjelo </w:t>
      </w:r>
      <w:r>
        <w:t>na čemu se zasniva modelovanje dnevne, večernje i noćne izloženosti.</w:t>
      </w:r>
    </w:p>
    <w:p w:rsidR="004E4A3C" w:rsidRDefault="00FD7157">
      <w:pPr>
        <w:keepNext/>
        <w:keepLines/>
        <w:spacing w:after="40"/>
        <w:rPr>
          <w:b/>
          <w:bCs/>
        </w:rPr>
      </w:pPr>
      <w:r>
        <w:rPr>
          <w:b/>
          <w:bCs/>
        </w:rPr>
        <w:t>Tabela 4. Saobraćajni protoci po referentnim periodima</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2269"/>
        <w:gridCol w:w="2494"/>
        <w:gridCol w:w="2494"/>
        <w:gridCol w:w="2608"/>
      </w:tblGrid>
      <w:tr w:rsidR="004E4A3C">
        <w:trPr>
          <w:cantSplit/>
          <w:tblHeader/>
          <w:jc w:val="center"/>
        </w:trPr>
        <w:tc>
          <w:tcPr>
            <w:tcW w:w="2268" w:type="dxa"/>
            <w:shd w:val="clear" w:color="auto" w:fill="D9EAF7"/>
          </w:tcPr>
          <w:p w:rsidR="004E4A3C" w:rsidRDefault="00FD7157">
            <w:pPr>
              <w:spacing w:after="0" w:line="240" w:lineRule="auto"/>
              <w:jc w:val="center"/>
            </w:pPr>
            <w:r>
              <w:rPr>
                <w:rFonts w:cs="Arial"/>
                <w:b/>
                <w:color w:val="000000"/>
                <w:sz w:val="18"/>
                <w:szCs w:val="18"/>
              </w:rPr>
              <w:t>Period</w:t>
            </w:r>
          </w:p>
        </w:tc>
        <w:tc>
          <w:tcPr>
            <w:tcW w:w="2494" w:type="dxa"/>
            <w:shd w:val="clear" w:color="auto" w:fill="D9EAF7"/>
          </w:tcPr>
          <w:p w:rsidR="004E4A3C" w:rsidRDefault="00FD7157">
            <w:pPr>
              <w:spacing w:after="0" w:line="240" w:lineRule="auto"/>
              <w:jc w:val="center"/>
            </w:pPr>
            <w:r>
              <w:rPr>
                <w:rFonts w:cs="Arial"/>
                <w:b/>
                <w:color w:val="000000"/>
                <w:sz w:val="18"/>
                <w:szCs w:val="18"/>
              </w:rPr>
              <w:t>Udio u dnevnom saobraćaju</w:t>
            </w:r>
          </w:p>
        </w:tc>
        <w:tc>
          <w:tcPr>
            <w:tcW w:w="2494" w:type="dxa"/>
            <w:shd w:val="clear" w:color="auto" w:fill="D9EAF7"/>
          </w:tcPr>
          <w:p w:rsidR="004E4A3C" w:rsidRDefault="00FD7157">
            <w:pPr>
              <w:spacing w:after="0" w:line="240" w:lineRule="auto"/>
              <w:jc w:val="center"/>
            </w:pPr>
            <w:r>
              <w:rPr>
                <w:rFonts w:cs="Arial"/>
                <w:b/>
                <w:color w:val="000000"/>
                <w:sz w:val="18"/>
                <w:szCs w:val="18"/>
              </w:rPr>
              <w:t>Trajanje perioda</w:t>
            </w:r>
          </w:p>
        </w:tc>
        <w:tc>
          <w:tcPr>
            <w:tcW w:w="2608" w:type="dxa"/>
            <w:shd w:val="clear" w:color="auto" w:fill="D9EAF7"/>
          </w:tcPr>
          <w:p w:rsidR="004E4A3C" w:rsidRDefault="00FD7157">
            <w:pPr>
              <w:spacing w:after="0" w:line="240" w:lineRule="auto"/>
              <w:jc w:val="center"/>
            </w:pPr>
            <w:r>
              <w:rPr>
                <w:rFonts w:cs="Arial"/>
                <w:b/>
                <w:color w:val="000000"/>
                <w:sz w:val="18"/>
                <w:szCs w:val="18"/>
              </w:rPr>
              <w:t>Prosječni protok</w:t>
            </w:r>
          </w:p>
        </w:tc>
      </w:tr>
      <w:tr w:rsidR="004E4A3C">
        <w:trPr>
          <w:cantSplit/>
          <w:jc w:val="center"/>
        </w:trPr>
        <w:tc>
          <w:tcPr>
            <w:tcW w:w="2268" w:type="dxa"/>
          </w:tcPr>
          <w:p w:rsidR="004E4A3C" w:rsidRDefault="00FD7157">
            <w:pPr>
              <w:spacing w:after="0" w:line="240" w:lineRule="auto"/>
            </w:pPr>
            <w:r>
              <w:rPr>
                <w:rFonts w:cs="Arial"/>
                <w:sz w:val="18"/>
                <w:szCs w:val="18"/>
              </w:rPr>
              <w:t>Dan</w:t>
            </w:r>
          </w:p>
        </w:tc>
        <w:tc>
          <w:tcPr>
            <w:tcW w:w="2494" w:type="dxa"/>
          </w:tcPr>
          <w:p w:rsidR="004E4A3C" w:rsidRDefault="00FD7157">
            <w:pPr>
              <w:spacing w:after="0" w:line="240" w:lineRule="auto"/>
            </w:pPr>
            <w:r>
              <w:rPr>
                <w:rFonts w:cs="Arial"/>
                <w:sz w:val="18"/>
                <w:szCs w:val="18"/>
              </w:rPr>
              <w:t>70%</w:t>
            </w:r>
          </w:p>
        </w:tc>
        <w:tc>
          <w:tcPr>
            <w:tcW w:w="2494" w:type="dxa"/>
          </w:tcPr>
          <w:p w:rsidR="004E4A3C" w:rsidRDefault="00FD7157">
            <w:pPr>
              <w:spacing w:after="0" w:line="240" w:lineRule="auto"/>
            </w:pPr>
            <w:r>
              <w:rPr>
                <w:rFonts w:cs="Arial"/>
                <w:sz w:val="18"/>
                <w:szCs w:val="18"/>
              </w:rPr>
              <w:t>12 h</w:t>
            </w:r>
          </w:p>
        </w:tc>
        <w:tc>
          <w:tcPr>
            <w:tcW w:w="2608" w:type="dxa"/>
          </w:tcPr>
          <w:p w:rsidR="004E4A3C" w:rsidRDefault="00FD7157">
            <w:pPr>
              <w:spacing w:after="0" w:line="240" w:lineRule="auto"/>
            </w:pPr>
            <w:r>
              <w:rPr>
                <w:rFonts w:cs="Arial"/>
                <w:sz w:val="18"/>
                <w:szCs w:val="18"/>
              </w:rPr>
              <w:t>572,73 vozila/h</w:t>
            </w:r>
          </w:p>
        </w:tc>
      </w:tr>
      <w:tr w:rsidR="004E4A3C">
        <w:trPr>
          <w:cantSplit/>
          <w:jc w:val="center"/>
        </w:trPr>
        <w:tc>
          <w:tcPr>
            <w:tcW w:w="2268" w:type="dxa"/>
          </w:tcPr>
          <w:p w:rsidR="004E4A3C" w:rsidRDefault="00FD7157">
            <w:pPr>
              <w:spacing w:after="0" w:line="240" w:lineRule="auto"/>
            </w:pPr>
            <w:r>
              <w:rPr>
                <w:rFonts w:cs="Arial"/>
                <w:sz w:val="18"/>
                <w:szCs w:val="18"/>
              </w:rPr>
              <w:t>Veče</w:t>
            </w:r>
          </w:p>
        </w:tc>
        <w:tc>
          <w:tcPr>
            <w:tcW w:w="2494" w:type="dxa"/>
          </w:tcPr>
          <w:p w:rsidR="004E4A3C" w:rsidRDefault="00FD7157">
            <w:pPr>
              <w:spacing w:after="0" w:line="240" w:lineRule="auto"/>
            </w:pPr>
            <w:r>
              <w:rPr>
                <w:rFonts w:cs="Arial"/>
                <w:sz w:val="18"/>
                <w:szCs w:val="18"/>
              </w:rPr>
              <w:t>20%</w:t>
            </w:r>
          </w:p>
        </w:tc>
        <w:tc>
          <w:tcPr>
            <w:tcW w:w="2494" w:type="dxa"/>
          </w:tcPr>
          <w:p w:rsidR="004E4A3C" w:rsidRDefault="00FD7157">
            <w:pPr>
              <w:spacing w:after="0" w:line="240" w:lineRule="auto"/>
            </w:pPr>
            <w:r>
              <w:rPr>
                <w:rFonts w:cs="Arial"/>
                <w:sz w:val="18"/>
                <w:szCs w:val="18"/>
              </w:rPr>
              <w:t>4 h</w:t>
            </w:r>
          </w:p>
        </w:tc>
        <w:tc>
          <w:tcPr>
            <w:tcW w:w="2608" w:type="dxa"/>
          </w:tcPr>
          <w:p w:rsidR="004E4A3C" w:rsidRDefault="00FD7157">
            <w:pPr>
              <w:spacing w:after="0" w:line="240" w:lineRule="auto"/>
            </w:pPr>
            <w:r>
              <w:rPr>
                <w:rFonts w:cs="Arial"/>
                <w:sz w:val="18"/>
                <w:szCs w:val="18"/>
              </w:rPr>
              <w:t>490,91 vozila/h</w:t>
            </w:r>
          </w:p>
        </w:tc>
      </w:tr>
      <w:tr w:rsidR="004E4A3C">
        <w:trPr>
          <w:cantSplit/>
          <w:jc w:val="center"/>
        </w:trPr>
        <w:tc>
          <w:tcPr>
            <w:tcW w:w="2268" w:type="dxa"/>
          </w:tcPr>
          <w:p w:rsidR="004E4A3C" w:rsidRDefault="00FD7157">
            <w:pPr>
              <w:spacing w:after="0" w:line="240" w:lineRule="auto"/>
            </w:pPr>
            <w:r>
              <w:rPr>
                <w:rFonts w:cs="Arial"/>
                <w:sz w:val="18"/>
                <w:szCs w:val="18"/>
              </w:rPr>
              <w:t>Noć</w:t>
            </w:r>
          </w:p>
        </w:tc>
        <w:tc>
          <w:tcPr>
            <w:tcW w:w="2494" w:type="dxa"/>
          </w:tcPr>
          <w:p w:rsidR="004E4A3C" w:rsidRDefault="00FD7157">
            <w:pPr>
              <w:spacing w:after="0" w:line="240" w:lineRule="auto"/>
            </w:pPr>
            <w:r>
              <w:rPr>
                <w:rFonts w:cs="Arial"/>
                <w:sz w:val="18"/>
                <w:szCs w:val="18"/>
              </w:rPr>
              <w:t>10%</w:t>
            </w:r>
          </w:p>
        </w:tc>
        <w:tc>
          <w:tcPr>
            <w:tcW w:w="2494" w:type="dxa"/>
          </w:tcPr>
          <w:p w:rsidR="004E4A3C" w:rsidRDefault="00FD7157">
            <w:pPr>
              <w:spacing w:after="0" w:line="240" w:lineRule="auto"/>
            </w:pPr>
            <w:r>
              <w:rPr>
                <w:rFonts w:cs="Arial"/>
                <w:sz w:val="18"/>
                <w:szCs w:val="18"/>
              </w:rPr>
              <w:t>8 h</w:t>
            </w:r>
          </w:p>
        </w:tc>
        <w:tc>
          <w:tcPr>
            <w:tcW w:w="2608" w:type="dxa"/>
          </w:tcPr>
          <w:p w:rsidR="004E4A3C" w:rsidRDefault="00FD7157">
            <w:pPr>
              <w:spacing w:after="0" w:line="240" w:lineRule="auto"/>
            </w:pPr>
            <w:r>
              <w:rPr>
                <w:rFonts w:cs="Arial"/>
                <w:sz w:val="18"/>
                <w:szCs w:val="18"/>
              </w:rPr>
              <w:t>122,73 vozila/h</w:t>
            </w:r>
          </w:p>
        </w:tc>
      </w:tr>
    </w:tbl>
    <w:p w:rsidR="004E4A3C" w:rsidRDefault="004E4A3C"/>
    <w:p w:rsidR="004E4A3C" w:rsidRDefault="00FD7157">
      <w:r>
        <w:t>Struktura saobraćaja u modelu usklađena je sa CNOSSOS-EU klasifikacijom. Učešće teških vozila kategorija 2+3 iznosi 4,27% ukupnog saobraćaja, dok udio motocikala kategorija 4a+4b iznosi 0,84%.</w:t>
      </w:r>
    </w:p>
    <w:p w:rsidR="004E4A3C" w:rsidRDefault="00FD7157">
      <w:pPr>
        <w:pStyle w:val="Heading2"/>
      </w:pPr>
      <w:bookmarkStart w:id="47" w:name="__RefHeading___Toc9161_4023479253"/>
      <w:bookmarkStart w:id="48" w:name="_Toc231671797"/>
      <w:bookmarkEnd w:id="47"/>
      <w:r>
        <w:rPr>
          <w:rFonts w:ascii="Arial" w:eastAsia="Arial" w:hAnsi="Arial"/>
          <w:b w:val="0"/>
        </w:rPr>
        <w:t>2.4. Naseljena područja u okruženju p</w:t>
      </w:r>
      <w:r>
        <w:rPr>
          <w:rFonts w:ascii="Arial" w:eastAsia="Arial" w:hAnsi="Arial"/>
          <w:b w:val="0"/>
        </w:rPr>
        <w:t>uta</w:t>
      </w:r>
      <w:bookmarkEnd w:id="48"/>
    </w:p>
    <w:p w:rsidR="004E4A3C" w:rsidRDefault="00FD7157">
      <w:r>
        <w:t>Opis naseljenih područja služi da se akustički rezultati povežu sa stanovništvom i stambenim objektima u obuhvatu. U nastavku su dati podaci po opštinama i naseljima, jer se upravo na tim podacima zasniva procjena prioriteta za djelovanje.</w:t>
      </w:r>
    </w:p>
    <w:p w:rsidR="004E4A3C" w:rsidRDefault="00FD7157">
      <w:pPr>
        <w:keepNext/>
        <w:keepLines/>
        <w:spacing w:after="40"/>
        <w:rPr>
          <w:b/>
          <w:bCs/>
        </w:rPr>
      </w:pPr>
      <w:r>
        <w:rPr>
          <w:b/>
          <w:bCs/>
        </w:rPr>
        <w:t>Tabela 5. St</w:t>
      </w:r>
      <w:r>
        <w:rPr>
          <w:b/>
          <w:bCs/>
        </w:rPr>
        <w:t>anovništvo i stambeni objekti po opštinama</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1700"/>
        <w:gridCol w:w="3970"/>
        <w:gridCol w:w="4195"/>
      </w:tblGrid>
      <w:tr w:rsidR="004E4A3C">
        <w:trPr>
          <w:cantSplit/>
          <w:tblHeader/>
          <w:jc w:val="center"/>
        </w:trPr>
        <w:tc>
          <w:tcPr>
            <w:tcW w:w="1700" w:type="dxa"/>
            <w:shd w:val="clear" w:color="auto" w:fill="D9EAF7"/>
          </w:tcPr>
          <w:p w:rsidR="004E4A3C" w:rsidRDefault="00FD7157">
            <w:pPr>
              <w:spacing w:after="0" w:line="240" w:lineRule="auto"/>
              <w:jc w:val="center"/>
            </w:pPr>
            <w:r>
              <w:rPr>
                <w:rFonts w:cs="Arial"/>
                <w:b/>
                <w:color w:val="000000"/>
                <w:sz w:val="18"/>
                <w:szCs w:val="18"/>
              </w:rPr>
              <w:t>Opština</w:t>
            </w:r>
          </w:p>
        </w:tc>
        <w:tc>
          <w:tcPr>
            <w:tcW w:w="3970" w:type="dxa"/>
            <w:shd w:val="clear" w:color="auto" w:fill="D9EAF7"/>
          </w:tcPr>
          <w:p w:rsidR="004E4A3C" w:rsidRDefault="00FD7157">
            <w:pPr>
              <w:spacing w:after="0" w:line="240" w:lineRule="auto"/>
              <w:jc w:val="center"/>
            </w:pPr>
            <w:r>
              <w:rPr>
                <w:rFonts w:cs="Arial"/>
                <w:b/>
                <w:color w:val="000000"/>
                <w:sz w:val="18"/>
                <w:szCs w:val="18"/>
              </w:rPr>
              <w:t>Procijenjeni stanovnici u obuhvatu</w:t>
            </w:r>
          </w:p>
        </w:tc>
        <w:tc>
          <w:tcPr>
            <w:tcW w:w="4195" w:type="dxa"/>
            <w:shd w:val="clear" w:color="auto" w:fill="D9EAF7"/>
          </w:tcPr>
          <w:p w:rsidR="004E4A3C" w:rsidRDefault="00FD7157">
            <w:pPr>
              <w:spacing w:after="0" w:line="240" w:lineRule="auto"/>
              <w:jc w:val="center"/>
            </w:pPr>
            <w:r>
              <w:rPr>
                <w:rFonts w:cs="Arial"/>
                <w:b/>
                <w:color w:val="000000"/>
                <w:sz w:val="18"/>
                <w:szCs w:val="18"/>
              </w:rPr>
              <w:t>Stambeni objekti u obračunu</w:t>
            </w:r>
          </w:p>
        </w:tc>
      </w:tr>
      <w:tr w:rsidR="004E4A3C">
        <w:trPr>
          <w:cantSplit/>
          <w:jc w:val="center"/>
        </w:trPr>
        <w:tc>
          <w:tcPr>
            <w:tcW w:w="1700" w:type="dxa"/>
          </w:tcPr>
          <w:p w:rsidR="004E4A3C" w:rsidRDefault="00FD7157">
            <w:pPr>
              <w:spacing w:after="0" w:line="240" w:lineRule="auto"/>
            </w:pPr>
            <w:r>
              <w:rPr>
                <w:rFonts w:cs="Arial"/>
                <w:sz w:val="18"/>
                <w:szCs w:val="18"/>
              </w:rPr>
              <w:t>Podgorica</w:t>
            </w:r>
          </w:p>
        </w:tc>
        <w:tc>
          <w:tcPr>
            <w:tcW w:w="3970" w:type="dxa"/>
          </w:tcPr>
          <w:p w:rsidR="004E4A3C" w:rsidRDefault="00FD7157">
            <w:pPr>
              <w:spacing w:after="0" w:line="240" w:lineRule="auto"/>
            </w:pPr>
            <w:r>
              <w:rPr>
                <w:rFonts w:cs="Arial"/>
                <w:sz w:val="18"/>
                <w:szCs w:val="18"/>
              </w:rPr>
              <w:t>1.830,38</w:t>
            </w:r>
          </w:p>
        </w:tc>
        <w:tc>
          <w:tcPr>
            <w:tcW w:w="4195" w:type="dxa"/>
          </w:tcPr>
          <w:p w:rsidR="004E4A3C" w:rsidRDefault="00FD7157">
            <w:pPr>
              <w:spacing w:after="0" w:line="240" w:lineRule="auto"/>
            </w:pPr>
            <w:r>
              <w:rPr>
                <w:rFonts w:cs="Arial"/>
                <w:sz w:val="18"/>
                <w:szCs w:val="18"/>
              </w:rPr>
              <w:t>602</w:t>
            </w:r>
          </w:p>
        </w:tc>
      </w:tr>
      <w:tr w:rsidR="004E4A3C">
        <w:trPr>
          <w:cantSplit/>
          <w:jc w:val="center"/>
        </w:trPr>
        <w:tc>
          <w:tcPr>
            <w:tcW w:w="1700" w:type="dxa"/>
          </w:tcPr>
          <w:p w:rsidR="004E4A3C" w:rsidRDefault="00FD7157">
            <w:pPr>
              <w:spacing w:after="0" w:line="240" w:lineRule="auto"/>
            </w:pPr>
            <w:r>
              <w:rPr>
                <w:rFonts w:cs="Arial"/>
                <w:sz w:val="18"/>
                <w:szCs w:val="18"/>
              </w:rPr>
              <w:t>Danilovgrad</w:t>
            </w:r>
          </w:p>
        </w:tc>
        <w:tc>
          <w:tcPr>
            <w:tcW w:w="3970" w:type="dxa"/>
          </w:tcPr>
          <w:p w:rsidR="004E4A3C" w:rsidRDefault="00FD7157">
            <w:pPr>
              <w:spacing w:after="0" w:line="240" w:lineRule="auto"/>
            </w:pPr>
            <w:r>
              <w:rPr>
                <w:rFonts w:cs="Arial"/>
                <w:sz w:val="18"/>
                <w:szCs w:val="18"/>
              </w:rPr>
              <w:t>2.349,13</w:t>
            </w:r>
          </w:p>
        </w:tc>
        <w:tc>
          <w:tcPr>
            <w:tcW w:w="4195" w:type="dxa"/>
          </w:tcPr>
          <w:p w:rsidR="004E4A3C" w:rsidRDefault="00FD7157">
            <w:pPr>
              <w:spacing w:after="0" w:line="240" w:lineRule="auto"/>
            </w:pPr>
            <w:r>
              <w:rPr>
                <w:rFonts w:cs="Arial"/>
                <w:sz w:val="18"/>
                <w:szCs w:val="18"/>
              </w:rPr>
              <w:t>440</w:t>
            </w:r>
          </w:p>
        </w:tc>
      </w:tr>
    </w:tbl>
    <w:p w:rsidR="004E4A3C" w:rsidRDefault="004E4A3C">
      <w:pPr>
        <w:keepNext/>
        <w:keepLines/>
        <w:spacing w:after="40"/>
        <w:jc w:val="center"/>
      </w:pPr>
    </w:p>
    <w:p w:rsidR="004E4A3C" w:rsidRDefault="004E4A3C">
      <w:pPr>
        <w:keepNext/>
        <w:keepLines/>
        <w:spacing w:after="0"/>
        <w:rPr>
          <w:b/>
          <w:bCs/>
        </w:rPr>
      </w:pPr>
    </w:p>
    <w:p w:rsidR="004E4A3C" w:rsidRDefault="00FD7157">
      <w:pPr>
        <w:keepNext/>
        <w:keepLines/>
        <w:spacing w:after="40"/>
        <w:rPr>
          <w:b/>
          <w:bCs/>
        </w:rPr>
      </w:pPr>
      <w:r>
        <w:rPr>
          <w:b/>
          <w:bCs/>
        </w:rPr>
        <w:t>Tabela 6. Naselja u obuhvatu prema sloju popisnih krugova</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2269"/>
        <w:gridCol w:w="2494"/>
        <w:gridCol w:w="2494"/>
        <w:gridCol w:w="2608"/>
      </w:tblGrid>
      <w:tr w:rsidR="004E4A3C">
        <w:trPr>
          <w:cantSplit/>
          <w:tblHeader/>
          <w:jc w:val="center"/>
        </w:trPr>
        <w:tc>
          <w:tcPr>
            <w:tcW w:w="2268" w:type="dxa"/>
            <w:shd w:val="clear" w:color="auto" w:fill="D9EAF7"/>
          </w:tcPr>
          <w:p w:rsidR="004E4A3C" w:rsidRDefault="00FD7157">
            <w:pPr>
              <w:spacing w:after="0" w:line="240" w:lineRule="auto"/>
              <w:jc w:val="center"/>
            </w:pPr>
            <w:r>
              <w:rPr>
                <w:rFonts w:cs="Arial"/>
                <w:b/>
                <w:color w:val="000000"/>
                <w:sz w:val="18"/>
                <w:szCs w:val="18"/>
              </w:rPr>
              <w:t>Opština</w:t>
            </w:r>
          </w:p>
        </w:tc>
        <w:tc>
          <w:tcPr>
            <w:tcW w:w="2494" w:type="dxa"/>
            <w:shd w:val="clear" w:color="auto" w:fill="D9EAF7"/>
          </w:tcPr>
          <w:p w:rsidR="004E4A3C" w:rsidRDefault="00FD7157">
            <w:pPr>
              <w:spacing w:after="0" w:line="240" w:lineRule="auto"/>
              <w:jc w:val="center"/>
            </w:pPr>
            <w:r>
              <w:rPr>
                <w:rFonts w:cs="Arial"/>
                <w:b/>
                <w:color w:val="000000"/>
                <w:sz w:val="18"/>
                <w:szCs w:val="18"/>
              </w:rPr>
              <w:t>Naselje</w:t>
            </w:r>
          </w:p>
        </w:tc>
        <w:tc>
          <w:tcPr>
            <w:tcW w:w="2494" w:type="dxa"/>
            <w:shd w:val="clear" w:color="auto" w:fill="D9EAF7"/>
          </w:tcPr>
          <w:p w:rsidR="004E4A3C" w:rsidRDefault="00FD7157">
            <w:pPr>
              <w:spacing w:after="0" w:line="240" w:lineRule="auto"/>
              <w:jc w:val="center"/>
            </w:pPr>
            <w:r>
              <w:rPr>
                <w:rFonts w:cs="Arial"/>
                <w:b/>
                <w:color w:val="000000"/>
                <w:sz w:val="18"/>
                <w:szCs w:val="18"/>
              </w:rPr>
              <w:t xml:space="preserve">Procijenjeni </w:t>
            </w:r>
            <w:r>
              <w:rPr>
                <w:rFonts w:cs="Arial"/>
                <w:b/>
                <w:color w:val="000000"/>
                <w:sz w:val="18"/>
                <w:szCs w:val="18"/>
              </w:rPr>
              <w:t>stanovnici u obuhvatu</w:t>
            </w:r>
          </w:p>
        </w:tc>
        <w:tc>
          <w:tcPr>
            <w:tcW w:w="2608" w:type="dxa"/>
            <w:shd w:val="clear" w:color="auto" w:fill="D9EAF7"/>
          </w:tcPr>
          <w:p w:rsidR="004E4A3C" w:rsidRDefault="00FD7157">
            <w:pPr>
              <w:spacing w:after="0" w:line="240" w:lineRule="auto"/>
              <w:jc w:val="center"/>
            </w:pPr>
            <w:r>
              <w:rPr>
                <w:rFonts w:cs="Arial"/>
                <w:b/>
                <w:color w:val="000000"/>
                <w:sz w:val="18"/>
                <w:szCs w:val="18"/>
              </w:rPr>
              <w:t>Stambeni objekti u obračunu</w:t>
            </w:r>
          </w:p>
        </w:tc>
      </w:tr>
      <w:tr w:rsidR="004E4A3C">
        <w:trPr>
          <w:cantSplit/>
          <w:jc w:val="center"/>
        </w:trPr>
        <w:tc>
          <w:tcPr>
            <w:tcW w:w="2268" w:type="dxa"/>
          </w:tcPr>
          <w:p w:rsidR="004E4A3C" w:rsidRDefault="00FD7157">
            <w:pPr>
              <w:spacing w:after="0" w:line="240" w:lineRule="auto"/>
            </w:pPr>
            <w:r>
              <w:rPr>
                <w:rFonts w:cs="Arial"/>
                <w:sz w:val="18"/>
                <w:szCs w:val="18"/>
              </w:rPr>
              <w:t>Podgorica</w:t>
            </w:r>
          </w:p>
        </w:tc>
        <w:tc>
          <w:tcPr>
            <w:tcW w:w="2494" w:type="dxa"/>
          </w:tcPr>
          <w:p w:rsidR="004E4A3C" w:rsidRDefault="00FD7157">
            <w:pPr>
              <w:spacing w:after="0" w:line="240" w:lineRule="auto"/>
            </w:pPr>
            <w:r>
              <w:rPr>
                <w:rFonts w:cs="Arial"/>
                <w:sz w:val="18"/>
                <w:szCs w:val="18"/>
              </w:rPr>
              <w:t>Podgorica</w:t>
            </w:r>
          </w:p>
        </w:tc>
        <w:tc>
          <w:tcPr>
            <w:tcW w:w="2494" w:type="dxa"/>
          </w:tcPr>
          <w:p w:rsidR="004E4A3C" w:rsidRDefault="00FD7157">
            <w:pPr>
              <w:spacing w:after="0" w:line="240" w:lineRule="auto"/>
            </w:pPr>
            <w:r>
              <w:rPr>
                <w:rFonts w:cs="Arial"/>
                <w:sz w:val="18"/>
                <w:szCs w:val="18"/>
              </w:rPr>
              <w:t>1.217,22</w:t>
            </w:r>
          </w:p>
        </w:tc>
        <w:tc>
          <w:tcPr>
            <w:tcW w:w="2608" w:type="dxa"/>
          </w:tcPr>
          <w:p w:rsidR="004E4A3C" w:rsidRDefault="00FD7157">
            <w:pPr>
              <w:spacing w:after="0" w:line="240" w:lineRule="auto"/>
            </w:pPr>
            <w:r>
              <w:rPr>
                <w:rFonts w:cs="Arial"/>
                <w:sz w:val="18"/>
                <w:szCs w:val="18"/>
              </w:rPr>
              <w:t>308</w:t>
            </w:r>
          </w:p>
        </w:tc>
      </w:tr>
      <w:tr w:rsidR="004E4A3C">
        <w:trPr>
          <w:cantSplit/>
          <w:jc w:val="center"/>
        </w:trPr>
        <w:tc>
          <w:tcPr>
            <w:tcW w:w="2268" w:type="dxa"/>
          </w:tcPr>
          <w:p w:rsidR="004E4A3C" w:rsidRDefault="00FD7157">
            <w:pPr>
              <w:spacing w:after="0" w:line="240" w:lineRule="auto"/>
            </w:pPr>
            <w:r>
              <w:rPr>
                <w:rFonts w:cs="Arial"/>
                <w:sz w:val="18"/>
                <w:szCs w:val="18"/>
              </w:rPr>
              <w:t>Podgorica</w:t>
            </w:r>
          </w:p>
        </w:tc>
        <w:tc>
          <w:tcPr>
            <w:tcW w:w="2494" w:type="dxa"/>
          </w:tcPr>
          <w:p w:rsidR="004E4A3C" w:rsidRDefault="00FD7157">
            <w:pPr>
              <w:spacing w:after="0" w:line="240" w:lineRule="auto"/>
            </w:pPr>
            <w:r>
              <w:rPr>
                <w:rFonts w:cs="Arial"/>
                <w:sz w:val="18"/>
                <w:szCs w:val="18"/>
              </w:rPr>
              <w:t>Stijena</w:t>
            </w:r>
          </w:p>
        </w:tc>
        <w:tc>
          <w:tcPr>
            <w:tcW w:w="2494" w:type="dxa"/>
          </w:tcPr>
          <w:p w:rsidR="004E4A3C" w:rsidRDefault="00FD7157">
            <w:pPr>
              <w:spacing w:after="0" w:line="240" w:lineRule="auto"/>
            </w:pPr>
            <w:r>
              <w:rPr>
                <w:rFonts w:cs="Arial"/>
                <w:sz w:val="18"/>
                <w:szCs w:val="18"/>
              </w:rPr>
              <w:t>172,61</w:t>
            </w:r>
          </w:p>
        </w:tc>
        <w:tc>
          <w:tcPr>
            <w:tcW w:w="2608" w:type="dxa"/>
          </w:tcPr>
          <w:p w:rsidR="004E4A3C" w:rsidRDefault="00FD7157">
            <w:pPr>
              <w:spacing w:after="0" w:line="240" w:lineRule="auto"/>
            </w:pPr>
            <w:r>
              <w:rPr>
                <w:rFonts w:cs="Arial"/>
                <w:sz w:val="18"/>
                <w:szCs w:val="18"/>
              </w:rPr>
              <w:t>54</w:t>
            </w:r>
          </w:p>
        </w:tc>
      </w:tr>
      <w:tr w:rsidR="004E4A3C">
        <w:trPr>
          <w:cantSplit/>
          <w:jc w:val="center"/>
        </w:trPr>
        <w:tc>
          <w:tcPr>
            <w:tcW w:w="2268" w:type="dxa"/>
          </w:tcPr>
          <w:p w:rsidR="004E4A3C" w:rsidRDefault="00FD7157">
            <w:pPr>
              <w:spacing w:after="0" w:line="240" w:lineRule="auto"/>
            </w:pPr>
            <w:r>
              <w:rPr>
                <w:rFonts w:cs="Arial"/>
                <w:sz w:val="18"/>
                <w:szCs w:val="18"/>
              </w:rPr>
              <w:t>Podgorica</w:t>
            </w:r>
          </w:p>
        </w:tc>
        <w:tc>
          <w:tcPr>
            <w:tcW w:w="2494" w:type="dxa"/>
          </w:tcPr>
          <w:p w:rsidR="004E4A3C" w:rsidRDefault="00FD7157">
            <w:pPr>
              <w:spacing w:after="0" w:line="240" w:lineRule="auto"/>
            </w:pPr>
            <w:r>
              <w:rPr>
                <w:rFonts w:cs="Arial"/>
                <w:sz w:val="18"/>
                <w:szCs w:val="18"/>
              </w:rPr>
              <w:t>Velje Brdo</w:t>
            </w:r>
          </w:p>
        </w:tc>
        <w:tc>
          <w:tcPr>
            <w:tcW w:w="2494" w:type="dxa"/>
          </w:tcPr>
          <w:p w:rsidR="004E4A3C" w:rsidRDefault="00FD7157">
            <w:pPr>
              <w:spacing w:after="0" w:line="240" w:lineRule="auto"/>
            </w:pPr>
            <w:r>
              <w:rPr>
                <w:rFonts w:cs="Arial"/>
                <w:sz w:val="18"/>
                <w:szCs w:val="18"/>
              </w:rPr>
              <w:t>440,54</w:t>
            </w:r>
          </w:p>
        </w:tc>
        <w:tc>
          <w:tcPr>
            <w:tcW w:w="2608" w:type="dxa"/>
          </w:tcPr>
          <w:p w:rsidR="004E4A3C" w:rsidRDefault="00FD7157">
            <w:pPr>
              <w:spacing w:after="0" w:line="240" w:lineRule="auto"/>
            </w:pPr>
            <w:r>
              <w:rPr>
                <w:rFonts w:cs="Arial"/>
                <w:sz w:val="18"/>
                <w:szCs w:val="18"/>
              </w:rPr>
              <w:t>240</w:t>
            </w:r>
          </w:p>
        </w:tc>
      </w:tr>
      <w:tr w:rsidR="004E4A3C">
        <w:trPr>
          <w:cantSplit/>
          <w:jc w:val="center"/>
        </w:trPr>
        <w:tc>
          <w:tcPr>
            <w:tcW w:w="2268" w:type="dxa"/>
          </w:tcPr>
          <w:p w:rsidR="004E4A3C" w:rsidRDefault="00FD7157">
            <w:pPr>
              <w:spacing w:after="0" w:line="240" w:lineRule="auto"/>
            </w:pPr>
            <w:r>
              <w:rPr>
                <w:rFonts w:cs="Arial"/>
                <w:sz w:val="18"/>
                <w:szCs w:val="18"/>
              </w:rPr>
              <w:t>Danilovgrad</w:t>
            </w:r>
          </w:p>
        </w:tc>
        <w:tc>
          <w:tcPr>
            <w:tcW w:w="2494" w:type="dxa"/>
          </w:tcPr>
          <w:p w:rsidR="004E4A3C" w:rsidRDefault="00FD7157">
            <w:pPr>
              <w:spacing w:after="0" w:line="240" w:lineRule="auto"/>
            </w:pPr>
            <w:r>
              <w:rPr>
                <w:rFonts w:cs="Arial"/>
                <w:sz w:val="18"/>
                <w:szCs w:val="18"/>
              </w:rPr>
              <w:t>Grbe</w:t>
            </w:r>
          </w:p>
        </w:tc>
        <w:tc>
          <w:tcPr>
            <w:tcW w:w="2494" w:type="dxa"/>
          </w:tcPr>
          <w:p w:rsidR="004E4A3C" w:rsidRDefault="00FD7157">
            <w:pPr>
              <w:spacing w:after="0" w:line="240" w:lineRule="auto"/>
            </w:pPr>
            <w:r>
              <w:rPr>
                <w:rFonts w:cs="Arial"/>
                <w:sz w:val="18"/>
                <w:szCs w:val="18"/>
              </w:rPr>
              <w:t>1.696,61</w:t>
            </w:r>
          </w:p>
        </w:tc>
        <w:tc>
          <w:tcPr>
            <w:tcW w:w="2608" w:type="dxa"/>
          </w:tcPr>
          <w:p w:rsidR="004E4A3C" w:rsidRDefault="00FD7157">
            <w:pPr>
              <w:spacing w:after="0" w:line="240" w:lineRule="auto"/>
            </w:pPr>
            <w:r>
              <w:rPr>
                <w:rFonts w:cs="Arial"/>
                <w:sz w:val="18"/>
                <w:szCs w:val="18"/>
              </w:rPr>
              <w:t>283</w:t>
            </w:r>
          </w:p>
        </w:tc>
      </w:tr>
      <w:tr w:rsidR="004E4A3C">
        <w:trPr>
          <w:cantSplit/>
          <w:jc w:val="center"/>
        </w:trPr>
        <w:tc>
          <w:tcPr>
            <w:tcW w:w="2268" w:type="dxa"/>
          </w:tcPr>
          <w:p w:rsidR="004E4A3C" w:rsidRDefault="00FD7157">
            <w:pPr>
              <w:spacing w:after="0" w:line="240" w:lineRule="auto"/>
            </w:pPr>
            <w:r>
              <w:rPr>
                <w:rFonts w:cs="Arial"/>
                <w:sz w:val="18"/>
                <w:szCs w:val="18"/>
              </w:rPr>
              <w:t>Danilovgrad</w:t>
            </w:r>
          </w:p>
        </w:tc>
        <w:tc>
          <w:tcPr>
            <w:tcW w:w="2494" w:type="dxa"/>
          </w:tcPr>
          <w:p w:rsidR="004E4A3C" w:rsidRDefault="00FD7157">
            <w:pPr>
              <w:spacing w:after="0" w:line="240" w:lineRule="auto"/>
            </w:pPr>
            <w:r>
              <w:rPr>
                <w:rFonts w:cs="Arial"/>
                <w:sz w:val="18"/>
                <w:szCs w:val="18"/>
              </w:rPr>
              <w:t>Klikovače</w:t>
            </w:r>
          </w:p>
        </w:tc>
        <w:tc>
          <w:tcPr>
            <w:tcW w:w="2494" w:type="dxa"/>
          </w:tcPr>
          <w:p w:rsidR="004E4A3C" w:rsidRDefault="00FD7157">
            <w:pPr>
              <w:spacing w:after="0" w:line="240" w:lineRule="auto"/>
            </w:pPr>
            <w:r>
              <w:rPr>
                <w:rFonts w:cs="Arial"/>
                <w:sz w:val="18"/>
                <w:szCs w:val="18"/>
              </w:rPr>
              <w:t>45,25</w:t>
            </w:r>
          </w:p>
        </w:tc>
        <w:tc>
          <w:tcPr>
            <w:tcW w:w="2608" w:type="dxa"/>
          </w:tcPr>
          <w:p w:rsidR="004E4A3C" w:rsidRDefault="00FD7157">
            <w:pPr>
              <w:spacing w:after="0" w:line="240" w:lineRule="auto"/>
            </w:pPr>
            <w:r>
              <w:rPr>
                <w:rFonts w:cs="Arial"/>
                <w:sz w:val="18"/>
                <w:szCs w:val="18"/>
              </w:rPr>
              <w:t>22</w:t>
            </w:r>
          </w:p>
        </w:tc>
      </w:tr>
      <w:tr w:rsidR="004E4A3C">
        <w:trPr>
          <w:cantSplit/>
          <w:jc w:val="center"/>
        </w:trPr>
        <w:tc>
          <w:tcPr>
            <w:tcW w:w="2268" w:type="dxa"/>
          </w:tcPr>
          <w:p w:rsidR="004E4A3C" w:rsidRDefault="00FD7157">
            <w:pPr>
              <w:spacing w:after="0" w:line="240" w:lineRule="auto"/>
            </w:pPr>
            <w:r>
              <w:rPr>
                <w:rFonts w:cs="Arial"/>
                <w:sz w:val="18"/>
                <w:szCs w:val="18"/>
              </w:rPr>
              <w:t>Danilovgrad</w:t>
            </w:r>
          </w:p>
        </w:tc>
        <w:tc>
          <w:tcPr>
            <w:tcW w:w="2494" w:type="dxa"/>
          </w:tcPr>
          <w:p w:rsidR="004E4A3C" w:rsidRDefault="00FD7157">
            <w:pPr>
              <w:spacing w:after="0" w:line="240" w:lineRule="auto"/>
            </w:pPr>
            <w:r>
              <w:rPr>
                <w:rFonts w:cs="Arial"/>
                <w:sz w:val="18"/>
                <w:szCs w:val="18"/>
              </w:rPr>
              <w:t>Spuž</w:t>
            </w:r>
          </w:p>
        </w:tc>
        <w:tc>
          <w:tcPr>
            <w:tcW w:w="2494" w:type="dxa"/>
          </w:tcPr>
          <w:p w:rsidR="004E4A3C" w:rsidRDefault="00FD7157">
            <w:pPr>
              <w:spacing w:after="0" w:line="240" w:lineRule="auto"/>
            </w:pPr>
            <w:r>
              <w:rPr>
                <w:rFonts w:cs="Arial"/>
                <w:sz w:val="18"/>
                <w:szCs w:val="18"/>
              </w:rPr>
              <w:t>607,27</w:t>
            </w:r>
          </w:p>
        </w:tc>
        <w:tc>
          <w:tcPr>
            <w:tcW w:w="2608" w:type="dxa"/>
          </w:tcPr>
          <w:p w:rsidR="004E4A3C" w:rsidRDefault="00FD7157">
            <w:pPr>
              <w:spacing w:after="0" w:line="240" w:lineRule="auto"/>
            </w:pPr>
            <w:r>
              <w:rPr>
                <w:rFonts w:cs="Arial"/>
                <w:sz w:val="18"/>
                <w:szCs w:val="18"/>
              </w:rPr>
              <w:t>135</w:t>
            </w:r>
          </w:p>
        </w:tc>
      </w:tr>
    </w:tbl>
    <w:p w:rsidR="004E4A3C" w:rsidRDefault="00FD7157">
      <w:pPr>
        <w:pStyle w:val="Heading2"/>
      </w:pPr>
      <w:bookmarkStart w:id="49" w:name="__RefHeading___Toc9163_4023479253"/>
      <w:bookmarkStart w:id="50" w:name="_Toc231671798"/>
      <w:bookmarkEnd w:id="49"/>
      <w:r>
        <w:rPr>
          <w:rFonts w:ascii="Arial" w:eastAsia="Arial" w:hAnsi="Arial"/>
          <w:b w:val="0"/>
        </w:rPr>
        <w:t>2.5. Drugi izvori</w:t>
      </w:r>
      <w:r>
        <w:rPr>
          <w:rFonts w:ascii="Arial" w:eastAsia="Arial" w:hAnsi="Arial"/>
          <w:b w:val="0"/>
        </w:rPr>
        <w:t xml:space="preserve"> buke u koridoru</w:t>
      </w:r>
      <w:bookmarkEnd w:id="50"/>
    </w:p>
    <w:p w:rsidR="004E4A3C" w:rsidRDefault="00FD7157">
      <w:r>
        <w:t>Glavni modelovani izvor buke u predmetnom području je drumski saobraćaj na regionalnom putu R-23. Lokalni, komunalni, ugostiteljski ili povremeni izvori mogu lokalno doprinijeti ukupnoj zvučnoj slici, ali nijesu predmet proračunskog izvora</w:t>
      </w:r>
      <w:r>
        <w:t xml:space="preserve"> ove strateške karte i ovog akcionog plana.</w:t>
      </w:r>
    </w:p>
    <w:p w:rsidR="004E4A3C" w:rsidRDefault="00FD7157">
      <w:pPr>
        <w:pStyle w:val="Heading1"/>
      </w:pPr>
      <w:bookmarkStart w:id="51" w:name="__RefHeading___Toc9165_4023479253"/>
      <w:bookmarkStart w:id="52" w:name="_Toc231671799"/>
      <w:bookmarkEnd w:id="51"/>
      <w:r>
        <w:rPr>
          <w:rFonts w:ascii="Arial" w:eastAsia="Arial" w:hAnsi="Arial"/>
          <w:b w:val="0"/>
        </w:rPr>
        <w:t>3. Propisane granične vrijednosti i akustičke zone</w:t>
      </w:r>
      <w:bookmarkEnd w:id="52"/>
    </w:p>
    <w:p w:rsidR="004E4A3C" w:rsidRDefault="004E4A3C">
      <w:pPr>
        <w:spacing w:after="0"/>
        <w:jc w:val="both"/>
      </w:pPr>
    </w:p>
    <w:p w:rsidR="004E4A3C" w:rsidRDefault="00FD7157">
      <w:pPr>
        <w:jc w:val="both"/>
      </w:pPr>
      <w:r>
        <w:t xml:space="preserve">Ovo poglavlje objašnjava regulatorni okvir u kome se tumače rezultati strateške karte buke. Granične vrijednosti se ne primjenjuju jednako na sve prostore, već </w:t>
      </w:r>
      <w:r>
        <w:t>zavise od akustičke zone, namjene prostora i perioda dana za koji se vrši ocjena.</w:t>
      </w:r>
    </w:p>
    <w:p w:rsidR="004E4A3C" w:rsidRDefault="00FD7157">
      <w:pPr>
        <w:pStyle w:val="Heading2"/>
        <w:jc w:val="both"/>
      </w:pPr>
      <w:bookmarkStart w:id="53" w:name="__RefHeading___Toc9167_4023479253"/>
      <w:bookmarkStart w:id="54" w:name="_Toc231671800"/>
      <w:bookmarkEnd w:id="53"/>
      <w:r>
        <w:rPr>
          <w:rFonts w:ascii="Arial" w:eastAsia="Arial" w:hAnsi="Arial"/>
          <w:b w:val="0"/>
        </w:rPr>
        <w:t>3.1. Akustičke zone u obuhvatu Akcionog plana</w:t>
      </w:r>
      <w:bookmarkEnd w:id="54"/>
    </w:p>
    <w:p w:rsidR="004E4A3C" w:rsidRDefault="00FD7157">
      <w:pPr>
        <w:jc w:val="both"/>
      </w:pPr>
      <w:r>
        <w:t>Akustičke zone predstavljaju osnov za poređenje izračunatih nivoa buke sa dozvoljenim vrijednostima. U nastavku je prikazano kak</w:t>
      </w:r>
      <w:r>
        <w:t>o su objekti i stanovništvo raspoređeni prema zonama, što je važno za identifikaciju prekoračenja i prioritetnih područja.</w:t>
      </w:r>
    </w:p>
    <w:p w:rsidR="004E4A3C" w:rsidRDefault="00FD7157">
      <w:pPr>
        <w:keepNext/>
        <w:keepLines/>
        <w:spacing w:after="40"/>
        <w:rPr>
          <w:b/>
          <w:bCs/>
        </w:rPr>
      </w:pPr>
      <w:r>
        <w:rPr>
          <w:b/>
          <w:bCs/>
        </w:rPr>
        <w:t>Tabela 7. Pregled objekata i namjene prostora u modelu</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3288"/>
        <w:gridCol w:w="1979"/>
        <w:gridCol w:w="1990"/>
        <w:gridCol w:w="2608"/>
      </w:tblGrid>
      <w:tr w:rsidR="004E4A3C">
        <w:trPr>
          <w:cantSplit/>
          <w:tblHeader/>
          <w:jc w:val="center"/>
        </w:trPr>
        <w:tc>
          <w:tcPr>
            <w:tcW w:w="3287" w:type="dxa"/>
            <w:shd w:val="clear" w:color="auto" w:fill="D9EAF7"/>
          </w:tcPr>
          <w:p w:rsidR="004E4A3C" w:rsidRDefault="00FD7157">
            <w:pPr>
              <w:spacing w:after="0" w:line="240" w:lineRule="auto"/>
              <w:jc w:val="center"/>
            </w:pPr>
            <w:r>
              <w:rPr>
                <w:rFonts w:cs="Arial"/>
                <w:b/>
                <w:color w:val="000000"/>
                <w:sz w:val="18"/>
                <w:szCs w:val="18"/>
              </w:rPr>
              <w:t>Akustična zona</w:t>
            </w:r>
          </w:p>
        </w:tc>
        <w:tc>
          <w:tcPr>
            <w:tcW w:w="1979" w:type="dxa"/>
            <w:shd w:val="clear" w:color="auto" w:fill="D9EAF7"/>
          </w:tcPr>
          <w:p w:rsidR="004E4A3C" w:rsidRDefault="00FD7157">
            <w:pPr>
              <w:spacing w:after="0" w:line="240" w:lineRule="auto"/>
              <w:jc w:val="center"/>
            </w:pPr>
            <w:r>
              <w:rPr>
                <w:rFonts w:cs="Arial"/>
                <w:b/>
                <w:color w:val="000000"/>
                <w:sz w:val="18"/>
                <w:szCs w:val="18"/>
              </w:rPr>
              <w:t>Nestambeni objekti</w:t>
            </w:r>
          </w:p>
        </w:tc>
        <w:tc>
          <w:tcPr>
            <w:tcW w:w="1990" w:type="dxa"/>
            <w:shd w:val="clear" w:color="auto" w:fill="D9EAF7"/>
          </w:tcPr>
          <w:p w:rsidR="004E4A3C" w:rsidRDefault="00FD7157">
            <w:pPr>
              <w:spacing w:after="0" w:line="240" w:lineRule="auto"/>
              <w:jc w:val="center"/>
            </w:pPr>
            <w:r>
              <w:rPr>
                <w:rFonts w:cs="Arial"/>
                <w:b/>
                <w:color w:val="000000"/>
                <w:sz w:val="18"/>
                <w:szCs w:val="18"/>
              </w:rPr>
              <w:t>Stambeni objekti</w:t>
            </w:r>
          </w:p>
        </w:tc>
        <w:tc>
          <w:tcPr>
            <w:tcW w:w="2608" w:type="dxa"/>
            <w:shd w:val="clear" w:color="auto" w:fill="D9EAF7"/>
          </w:tcPr>
          <w:p w:rsidR="004E4A3C" w:rsidRDefault="00FD7157">
            <w:pPr>
              <w:spacing w:after="0" w:line="240" w:lineRule="auto"/>
              <w:jc w:val="center"/>
            </w:pPr>
            <w:r>
              <w:rPr>
                <w:rFonts w:cs="Arial"/>
                <w:b/>
                <w:color w:val="000000"/>
                <w:sz w:val="18"/>
                <w:szCs w:val="18"/>
              </w:rPr>
              <w:t xml:space="preserve">Procijenjeni broj </w:t>
            </w:r>
            <w:r>
              <w:rPr>
                <w:rFonts w:cs="Arial"/>
                <w:b/>
                <w:color w:val="000000"/>
                <w:sz w:val="18"/>
                <w:szCs w:val="18"/>
              </w:rPr>
              <w:t>stanovnika</w:t>
            </w:r>
          </w:p>
        </w:tc>
      </w:tr>
      <w:tr w:rsidR="004E4A3C">
        <w:trPr>
          <w:cantSplit/>
          <w:jc w:val="center"/>
        </w:trPr>
        <w:tc>
          <w:tcPr>
            <w:tcW w:w="3287" w:type="dxa"/>
          </w:tcPr>
          <w:p w:rsidR="004E4A3C" w:rsidRDefault="00FD7157">
            <w:pPr>
              <w:spacing w:after="0" w:line="240" w:lineRule="auto"/>
            </w:pPr>
            <w:r>
              <w:rPr>
                <w:rFonts w:cs="Arial"/>
                <w:sz w:val="18"/>
                <w:szCs w:val="18"/>
              </w:rPr>
              <w:t>Mješovita zona</w:t>
            </w:r>
          </w:p>
        </w:tc>
        <w:tc>
          <w:tcPr>
            <w:tcW w:w="1979" w:type="dxa"/>
          </w:tcPr>
          <w:p w:rsidR="004E4A3C" w:rsidRDefault="00FD7157">
            <w:pPr>
              <w:spacing w:after="0" w:line="240" w:lineRule="auto"/>
              <w:jc w:val="right"/>
            </w:pPr>
            <w:r>
              <w:rPr>
                <w:rFonts w:cs="Arial"/>
                <w:sz w:val="18"/>
                <w:szCs w:val="18"/>
              </w:rPr>
              <w:t>95</w:t>
            </w:r>
          </w:p>
        </w:tc>
        <w:tc>
          <w:tcPr>
            <w:tcW w:w="1990" w:type="dxa"/>
          </w:tcPr>
          <w:p w:rsidR="004E4A3C" w:rsidRDefault="00FD7157">
            <w:pPr>
              <w:spacing w:after="0" w:line="240" w:lineRule="auto"/>
              <w:jc w:val="right"/>
            </w:pPr>
            <w:r>
              <w:rPr>
                <w:rFonts w:cs="Arial"/>
                <w:sz w:val="18"/>
                <w:szCs w:val="18"/>
              </w:rPr>
              <w:t>118</w:t>
            </w:r>
          </w:p>
        </w:tc>
        <w:tc>
          <w:tcPr>
            <w:tcW w:w="2608" w:type="dxa"/>
          </w:tcPr>
          <w:p w:rsidR="004E4A3C" w:rsidRDefault="00FD7157">
            <w:pPr>
              <w:spacing w:after="0" w:line="240" w:lineRule="auto"/>
              <w:jc w:val="right"/>
            </w:pPr>
            <w:r>
              <w:rPr>
                <w:rFonts w:cs="Arial"/>
                <w:sz w:val="18"/>
                <w:szCs w:val="18"/>
              </w:rPr>
              <w:t>516,26</w:t>
            </w:r>
          </w:p>
        </w:tc>
      </w:tr>
      <w:tr w:rsidR="004E4A3C">
        <w:trPr>
          <w:cantSplit/>
          <w:jc w:val="center"/>
        </w:trPr>
        <w:tc>
          <w:tcPr>
            <w:tcW w:w="3287" w:type="dxa"/>
          </w:tcPr>
          <w:p w:rsidR="004E4A3C" w:rsidRDefault="00FD7157">
            <w:pPr>
              <w:spacing w:after="0" w:line="240" w:lineRule="auto"/>
            </w:pPr>
            <w:r>
              <w:rPr>
                <w:rFonts w:cs="Arial"/>
                <w:sz w:val="18"/>
                <w:szCs w:val="18"/>
              </w:rPr>
              <w:t>Zona povišenog režima zaštite</w:t>
            </w:r>
          </w:p>
        </w:tc>
        <w:tc>
          <w:tcPr>
            <w:tcW w:w="1979" w:type="dxa"/>
          </w:tcPr>
          <w:p w:rsidR="004E4A3C" w:rsidRDefault="00FD7157">
            <w:pPr>
              <w:spacing w:after="0" w:line="240" w:lineRule="auto"/>
              <w:jc w:val="right"/>
            </w:pPr>
            <w:r>
              <w:rPr>
                <w:rFonts w:cs="Arial"/>
                <w:sz w:val="18"/>
                <w:szCs w:val="18"/>
              </w:rPr>
              <w:t>15</w:t>
            </w:r>
          </w:p>
        </w:tc>
        <w:tc>
          <w:tcPr>
            <w:tcW w:w="1990" w:type="dxa"/>
          </w:tcPr>
          <w:p w:rsidR="004E4A3C" w:rsidRDefault="00FD7157">
            <w:pPr>
              <w:spacing w:after="0" w:line="240" w:lineRule="auto"/>
              <w:jc w:val="right"/>
            </w:pPr>
            <w:r>
              <w:rPr>
                <w:rFonts w:cs="Arial"/>
                <w:sz w:val="18"/>
                <w:szCs w:val="18"/>
              </w:rPr>
              <w:t>4</w:t>
            </w:r>
          </w:p>
        </w:tc>
        <w:tc>
          <w:tcPr>
            <w:tcW w:w="2608" w:type="dxa"/>
          </w:tcPr>
          <w:p w:rsidR="004E4A3C" w:rsidRDefault="00FD7157">
            <w:pPr>
              <w:spacing w:after="0" w:line="240" w:lineRule="auto"/>
              <w:jc w:val="right"/>
            </w:pPr>
            <w:r>
              <w:rPr>
                <w:rFonts w:cs="Arial"/>
                <w:sz w:val="18"/>
                <w:szCs w:val="18"/>
              </w:rPr>
              <w:t>12,87</w:t>
            </w:r>
          </w:p>
        </w:tc>
      </w:tr>
      <w:tr w:rsidR="004E4A3C">
        <w:trPr>
          <w:cantSplit/>
          <w:jc w:val="center"/>
        </w:trPr>
        <w:tc>
          <w:tcPr>
            <w:tcW w:w="3287" w:type="dxa"/>
          </w:tcPr>
          <w:p w:rsidR="004E4A3C" w:rsidRDefault="00FD7157">
            <w:pPr>
              <w:spacing w:after="0" w:line="240" w:lineRule="auto"/>
            </w:pPr>
            <w:r>
              <w:rPr>
                <w:rFonts w:cs="Arial"/>
                <w:sz w:val="18"/>
                <w:szCs w:val="18"/>
              </w:rPr>
              <w:t>Stambena zona</w:t>
            </w:r>
          </w:p>
        </w:tc>
        <w:tc>
          <w:tcPr>
            <w:tcW w:w="1979" w:type="dxa"/>
          </w:tcPr>
          <w:p w:rsidR="004E4A3C" w:rsidRDefault="00FD7157">
            <w:pPr>
              <w:spacing w:after="0" w:line="240" w:lineRule="auto"/>
              <w:jc w:val="right"/>
            </w:pPr>
            <w:r>
              <w:rPr>
                <w:rFonts w:cs="Arial"/>
                <w:sz w:val="18"/>
                <w:szCs w:val="18"/>
              </w:rPr>
              <w:t>358</w:t>
            </w:r>
          </w:p>
        </w:tc>
        <w:tc>
          <w:tcPr>
            <w:tcW w:w="1990" w:type="dxa"/>
          </w:tcPr>
          <w:p w:rsidR="004E4A3C" w:rsidRDefault="00FD7157">
            <w:pPr>
              <w:spacing w:after="0" w:line="240" w:lineRule="auto"/>
              <w:jc w:val="right"/>
            </w:pPr>
            <w:r>
              <w:rPr>
                <w:rFonts w:cs="Arial"/>
                <w:sz w:val="18"/>
                <w:szCs w:val="18"/>
              </w:rPr>
              <w:t>681</w:t>
            </w:r>
          </w:p>
        </w:tc>
        <w:tc>
          <w:tcPr>
            <w:tcW w:w="2608" w:type="dxa"/>
          </w:tcPr>
          <w:p w:rsidR="004E4A3C" w:rsidRDefault="00FD7157">
            <w:pPr>
              <w:spacing w:after="0" w:line="240" w:lineRule="auto"/>
              <w:jc w:val="right"/>
            </w:pPr>
            <w:r>
              <w:rPr>
                <w:rFonts w:cs="Arial"/>
                <w:sz w:val="18"/>
                <w:szCs w:val="18"/>
              </w:rPr>
              <w:t>2.235,62</w:t>
            </w:r>
          </w:p>
        </w:tc>
      </w:tr>
      <w:tr w:rsidR="004E4A3C">
        <w:trPr>
          <w:cantSplit/>
          <w:jc w:val="center"/>
        </w:trPr>
        <w:tc>
          <w:tcPr>
            <w:tcW w:w="3287" w:type="dxa"/>
          </w:tcPr>
          <w:p w:rsidR="004E4A3C" w:rsidRDefault="00FD7157">
            <w:pPr>
              <w:spacing w:after="0" w:line="240" w:lineRule="auto"/>
            </w:pPr>
            <w:r>
              <w:rPr>
                <w:rFonts w:cs="Arial"/>
                <w:sz w:val="18"/>
                <w:szCs w:val="18"/>
              </w:rPr>
              <w:t>Tiha zona u aglomeraciji</w:t>
            </w:r>
          </w:p>
        </w:tc>
        <w:tc>
          <w:tcPr>
            <w:tcW w:w="1979" w:type="dxa"/>
          </w:tcPr>
          <w:p w:rsidR="004E4A3C" w:rsidRDefault="00FD7157">
            <w:pPr>
              <w:spacing w:after="0" w:line="240" w:lineRule="auto"/>
              <w:jc w:val="right"/>
            </w:pPr>
            <w:r>
              <w:rPr>
                <w:rFonts w:cs="Arial"/>
                <w:sz w:val="18"/>
                <w:szCs w:val="18"/>
              </w:rPr>
              <w:t>3</w:t>
            </w:r>
          </w:p>
        </w:tc>
        <w:tc>
          <w:tcPr>
            <w:tcW w:w="1990" w:type="dxa"/>
          </w:tcPr>
          <w:p w:rsidR="004E4A3C" w:rsidRDefault="00FD7157">
            <w:pPr>
              <w:spacing w:after="0" w:line="240" w:lineRule="auto"/>
              <w:jc w:val="right"/>
            </w:pPr>
            <w:r>
              <w:rPr>
                <w:rFonts w:cs="Arial"/>
                <w:sz w:val="18"/>
                <w:szCs w:val="18"/>
              </w:rPr>
              <w:t>3</w:t>
            </w:r>
          </w:p>
        </w:tc>
        <w:tc>
          <w:tcPr>
            <w:tcW w:w="2608" w:type="dxa"/>
          </w:tcPr>
          <w:p w:rsidR="004E4A3C" w:rsidRDefault="00FD7157">
            <w:pPr>
              <w:spacing w:after="0" w:line="240" w:lineRule="auto"/>
              <w:jc w:val="right"/>
            </w:pPr>
            <w:r>
              <w:rPr>
                <w:rFonts w:cs="Arial"/>
                <w:sz w:val="18"/>
                <w:szCs w:val="18"/>
              </w:rPr>
              <w:t>17,45</w:t>
            </w:r>
          </w:p>
        </w:tc>
      </w:tr>
      <w:tr w:rsidR="004E4A3C">
        <w:trPr>
          <w:cantSplit/>
          <w:jc w:val="center"/>
        </w:trPr>
        <w:tc>
          <w:tcPr>
            <w:tcW w:w="3287" w:type="dxa"/>
          </w:tcPr>
          <w:p w:rsidR="004E4A3C" w:rsidRDefault="00FD7157">
            <w:pPr>
              <w:spacing w:after="0" w:line="240" w:lineRule="auto"/>
            </w:pPr>
            <w:r>
              <w:rPr>
                <w:rFonts w:cs="Arial"/>
                <w:sz w:val="18"/>
                <w:szCs w:val="18"/>
              </w:rPr>
              <w:t>Tiha zona u prirodi</w:t>
            </w:r>
          </w:p>
        </w:tc>
        <w:tc>
          <w:tcPr>
            <w:tcW w:w="1979" w:type="dxa"/>
          </w:tcPr>
          <w:p w:rsidR="004E4A3C" w:rsidRDefault="00FD7157">
            <w:pPr>
              <w:spacing w:after="0" w:line="240" w:lineRule="auto"/>
              <w:jc w:val="right"/>
            </w:pPr>
            <w:r>
              <w:rPr>
                <w:rFonts w:cs="Arial"/>
                <w:sz w:val="18"/>
                <w:szCs w:val="18"/>
              </w:rPr>
              <w:t>3</w:t>
            </w:r>
          </w:p>
        </w:tc>
        <w:tc>
          <w:tcPr>
            <w:tcW w:w="1990" w:type="dxa"/>
          </w:tcPr>
          <w:p w:rsidR="004E4A3C" w:rsidRDefault="00FD7157">
            <w:pPr>
              <w:spacing w:after="0" w:line="240" w:lineRule="auto"/>
              <w:jc w:val="right"/>
            </w:pPr>
            <w:r>
              <w:rPr>
                <w:rFonts w:cs="Arial"/>
                <w:sz w:val="18"/>
                <w:szCs w:val="18"/>
              </w:rPr>
              <w:t>0</w:t>
            </w:r>
          </w:p>
        </w:tc>
        <w:tc>
          <w:tcPr>
            <w:tcW w:w="2608" w:type="dxa"/>
          </w:tcPr>
          <w:p w:rsidR="004E4A3C" w:rsidRDefault="00FD7157">
            <w:pPr>
              <w:spacing w:after="0" w:line="240" w:lineRule="auto"/>
              <w:jc w:val="right"/>
            </w:pPr>
            <w:r>
              <w:rPr>
                <w:rFonts w:cs="Arial"/>
                <w:sz w:val="18"/>
                <w:szCs w:val="18"/>
              </w:rPr>
              <w:t>0,00</w:t>
            </w:r>
          </w:p>
        </w:tc>
      </w:tr>
      <w:tr w:rsidR="004E4A3C">
        <w:trPr>
          <w:cantSplit/>
          <w:jc w:val="center"/>
        </w:trPr>
        <w:tc>
          <w:tcPr>
            <w:tcW w:w="3287" w:type="dxa"/>
          </w:tcPr>
          <w:p w:rsidR="004E4A3C" w:rsidRDefault="00FD7157">
            <w:pPr>
              <w:spacing w:after="0" w:line="240" w:lineRule="auto"/>
            </w:pPr>
            <w:r>
              <w:rPr>
                <w:rFonts w:cs="Arial"/>
                <w:sz w:val="18"/>
                <w:szCs w:val="18"/>
              </w:rPr>
              <w:t>Zona jakog uticaja buke saobraćaja</w:t>
            </w:r>
          </w:p>
        </w:tc>
        <w:tc>
          <w:tcPr>
            <w:tcW w:w="1979" w:type="dxa"/>
          </w:tcPr>
          <w:p w:rsidR="004E4A3C" w:rsidRDefault="00FD7157">
            <w:pPr>
              <w:spacing w:after="0" w:line="240" w:lineRule="auto"/>
              <w:jc w:val="right"/>
            </w:pPr>
            <w:r>
              <w:rPr>
                <w:rFonts w:cs="Arial"/>
                <w:sz w:val="18"/>
                <w:szCs w:val="18"/>
              </w:rPr>
              <w:t>79</w:t>
            </w:r>
          </w:p>
        </w:tc>
        <w:tc>
          <w:tcPr>
            <w:tcW w:w="1990" w:type="dxa"/>
          </w:tcPr>
          <w:p w:rsidR="004E4A3C" w:rsidRDefault="00FD7157">
            <w:pPr>
              <w:spacing w:after="0" w:line="240" w:lineRule="auto"/>
              <w:jc w:val="right"/>
            </w:pPr>
            <w:r>
              <w:rPr>
                <w:rFonts w:cs="Arial"/>
                <w:sz w:val="18"/>
                <w:szCs w:val="18"/>
              </w:rPr>
              <w:t>122</w:t>
            </w:r>
          </w:p>
        </w:tc>
        <w:tc>
          <w:tcPr>
            <w:tcW w:w="2608" w:type="dxa"/>
          </w:tcPr>
          <w:p w:rsidR="004E4A3C" w:rsidRDefault="00FD7157">
            <w:pPr>
              <w:spacing w:after="0" w:line="240" w:lineRule="auto"/>
              <w:jc w:val="right"/>
            </w:pPr>
            <w:r>
              <w:rPr>
                <w:rFonts w:cs="Arial"/>
                <w:sz w:val="18"/>
                <w:szCs w:val="18"/>
              </w:rPr>
              <w:t>922,82</w:t>
            </w:r>
          </w:p>
        </w:tc>
      </w:tr>
      <w:tr w:rsidR="004E4A3C">
        <w:trPr>
          <w:cantSplit/>
          <w:jc w:val="center"/>
        </w:trPr>
        <w:tc>
          <w:tcPr>
            <w:tcW w:w="3287" w:type="dxa"/>
          </w:tcPr>
          <w:p w:rsidR="004E4A3C" w:rsidRDefault="00FD7157">
            <w:pPr>
              <w:spacing w:after="0" w:line="240" w:lineRule="auto"/>
            </w:pPr>
            <w:r>
              <w:rPr>
                <w:rFonts w:cs="Arial"/>
                <w:sz w:val="18"/>
                <w:szCs w:val="18"/>
              </w:rPr>
              <w:t>Industrijska zona</w:t>
            </w:r>
          </w:p>
        </w:tc>
        <w:tc>
          <w:tcPr>
            <w:tcW w:w="1979" w:type="dxa"/>
          </w:tcPr>
          <w:p w:rsidR="004E4A3C" w:rsidRDefault="00FD7157">
            <w:pPr>
              <w:spacing w:after="0" w:line="240" w:lineRule="auto"/>
              <w:jc w:val="right"/>
            </w:pPr>
            <w:r>
              <w:rPr>
                <w:rFonts w:cs="Arial"/>
                <w:sz w:val="18"/>
                <w:szCs w:val="18"/>
              </w:rPr>
              <w:t>102</w:t>
            </w:r>
          </w:p>
        </w:tc>
        <w:tc>
          <w:tcPr>
            <w:tcW w:w="1990" w:type="dxa"/>
          </w:tcPr>
          <w:p w:rsidR="004E4A3C" w:rsidRDefault="00FD7157">
            <w:pPr>
              <w:spacing w:after="0" w:line="240" w:lineRule="auto"/>
              <w:jc w:val="right"/>
            </w:pPr>
            <w:r>
              <w:rPr>
                <w:rFonts w:cs="Arial"/>
                <w:sz w:val="18"/>
                <w:szCs w:val="18"/>
              </w:rPr>
              <w:t>20</w:t>
            </w:r>
          </w:p>
        </w:tc>
        <w:tc>
          <w:tcPr>
            <w:tcW w:w="2608" w:type="dxa"/>
          </w:tcPr>
          <w:p w:rsidR="004E4A3C" w:rsidRDefault="00FD7157">
            <w:pPr>
              <w:spacing w:after="0" w:line="240" w:lineRule="auto"/>
              <w:jc w:val="right"/>
            </w:pPr>
            <w:r>
              <w:rPr>
                <w:rFonts w:cs="Arial"/>
                <w:sz w:val="18"/>
                <w:szCs w:val="18"/>
              </w:rPr>
              <w:t>81,34</w:t>
            </w:r>
          </w:p>
        </w:tc>
      </w:tr>
      <w:tr w:rsidR="004E4A3C">
        <w:trPr>
          <w:cantSplit/>
          <w:jc w:val="center"/>
        </w:trPr>
        <w:tc>
          <w:tcPr>
            <w:tcW w:w="3287" w:type="dxa"/>
          </w:tcPr>
          <w:p w:rsidR="004E4A3C" w:rsidRDefault="00FD7157">
            <w:pPr>
              <w:spacing w:after="0" w:line="240" w:lineRule="auto"/>
            </w:pPr>
            <w:r>
              <w:rPr>
                <w:rFonts w:cs="Arial"/>
                <w:sz w:val="18"/>
                <w:szCs w:val="18"/>
              </w:rPr>
              <w:t>Van akustičnih zona</w:t>
            </w:r>
          </w:p>
        </w:tc>
        <w:tc>
          <w:tcPr>
            <w:tcW w:w="1979" w:type="dxa"/>
          </w:tcPr>
          <w:p w:rsidR="004E4A3C" w:rsidRDefault="00FD7157">
            <w:pPr>
              <w:spacing w:after="0" w:line="240" w:lineRule="auto"/>
              <w:jc w:val="right"/>
            </w:pPr>
            <w:r>
              <w:rPr>
                <w:rFonts w:cs="Arial"/>
                <w:sz w:val="18"/>
                <w:szCs w:val="18"/>
              </w:rPr>
              <w:t>74</w:t>
            </w:r>
          </w:p>
        </w:tc>
        <w:tc>
          <w:tcPr>
            <w:tcW w:w="1990" w:type="dxa"/>
          </w:tcPr>
          <w:p w:rsidR="004E4A3C" w:rsidRDefault="00FD7157">
            <w:pPr>
              <w:spacing w:after="0" w:line="240" w:lineRule="auto"/>
              <w:jc w:val="right"/>
            </w:pPr>
            <w:r>
              <w:rPr>
                <w:rFonts w:cs="Arial"/>
                <w:sz w:val="18"/>
                <w:szCs w:val="18"/>
              </w:rPr>
              <w:t>94</w:t>
            </w:r>
          </w:p>
        </w:tc>
        <w:tc>
          <w:tcPr>
            <w:tcW w:w="2608" w:type="dxa"/>
          </w:tcPr>
          <w:p w:rsidR="004E4A3C" w:rsidRDefault="00FD7157">
            <w:pPr>
              <w:spacing w:after="0" w:line="240" w:lineRule="auto"/>
              <w:jc w:val="right"/>
            </w:pPr>
            <w:r>
              <w:rPr>
                <w:rFonts w:cs="Arial"/>
                <w:sz w:val="18"/>
                <w:szCs w:val="18"/>
              </w:rPr>
              <w:t>393,16</w:t>
            </w:r>
          </w:p>
        </w:tc>
      </w:tr>
    </w:tbl>
    <w:p w:rsidR="004E4A3C" w:rsidRDefault="004E4A3C">
      <w:pPr>
        <w:jc w:val="both"/>
      </w:pPr>
    </w:p>
    <w:p w:rsidR="004E4A3C" w:rsidRDefault="00FD7157">
      <w:pPr>
        <w:jc w:val="both"/>
      </w:pPr>
      <w:r>
        <w:t xml:space="preserve">Napomena za sprovođenje: objekti označeni kao „van akustičnih </w:t>
      </w:r>
      <w:proofErr w:type="gramStart"/>
      <w:r>
        <w:t>zona“ nijesu</w:t>
      </w:r>
      <w:proofErr w:type="gramEnd"/>
      <w:r>
        <w:t xml:space="preserve"> formalno vrednovani prema graničnim vrijednostima, jer za njih nije dodijeljena akustična zona. U SKB je evidentirano 168 takvih objekata,</w:t>
      </w:r>
      <w:r>
        <w:t xml:space="preserve"> sa 393,16 stanovnika. Zbog toga je usklađivanje akustičkog zoniranja i planskih uslova obavezan administrativni zadatak u prvoj godini sprovođenja Akcionog plana.</w:t>
      </w:r>
    </w:p>
    <w:p w:rsidR="004E4A3C" w:rsidRDefault="00FD7157">
      <w:pPr>
        <w:pStyle w:val="Heading2"/>
        <w:jc w:val="both"/>
      </w:pPr>
      <w:bookmarkStart w:id="55" w:name="__RefHeading___Toc9169_4023479253"/>
      <w:bookmarkStart w:id="56" w:name="_Toc231671801"/>
      <w:bookmarkEnd w:id="55"/>
      <w:r>
        <w:rPr>
          <w:rFonts w:ascii="Arial" w:eastAsia="Arial" w:hAnsi="Arial"/>
          <w:b w:val="0"/>
        </w:rPr>
        <w:lastRenderedPageBreak/>
        <w:t>3.2. Granične vrijednosti buke</w:t>
      </w:r>
      <w:bookmarkEnd w:id="56"/>
    </w:p>
    <w:p w:rsidR="004E4A3C" w:rsidRDefault="00FD7157">
      <w:pPr>
        <w:jc w:val="both"/>
      </w:pPr>
      <w:r>
        <w:t>Granične vrijednosti se koriste za ocjenu prihvatljivosti buk</w:t>
      </w:r>
      <w:r>
        <w:t>e u različitim akustičkim zonama. Prikaz u nastavku omogućava da se rezultati Lday, Levening i Lnight tumače u skladu sa namjenom prostora i propisanim nivoima zaštite.</w:t>
      </w:r>
    </w:p>
    <w:p w:rsidR="004E4A3C" w:rsidRDefault="00FD7157">
      <w:pPr>
        <w:keepNext/>
        <w:keepLines/>
        <w:spacing w:after="40"/>
        <w:rPr>
          <w:b/>
          <w:bCs/>
        </w:rPr>
      </w:pPr>
      <w:r>
        <w:rPr>
          <w:b/>
          <w:bCs/>
        </w:rPr>
        <w:t>Tabela 8. Granične vrijednosti buke po akustičnim zonama</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3827"/>
        <w:gridCol w:w="1621"/>
        <w:gridCol w:w="2070"/>
        <w:gridCol w:w="2347"/>
      </w:tblGrid>
      <w:tr w:rsidR="004E4A3C">
        <w:trPr>
          <w:cantSplit/>
          <w:tblHeader/>
          <w:jc w:val="center"/>
        </w:trPr>
        <w:tc>
          <w:tcPr>
            <w:tcW w:w="3826" w:type="dxa"/>
            <w:shd w:val="clear" w:color="auto" w:fill="D9EAF7"/>
          </w:tcPr>
          <w:p w:rsidR="004E4A3C" w:rsidRDefault="00FD7157">
            <w:pPr>
              <w:spacing w:after="0" w:line="240" w:lineRule="auto"/>
              <w:jc w:val="center"/>
            </w:pPr>
            <w:r>
              <w:rPr>
                <w:rFonts w:cs="Arial"/>
                <w:b/>
                <w:color w:val="000000"/>
                <w:sz w:val="18"/>
                <w:szCs w:val="18"/>
              </w:rPr>
              <w:t>Akustična zona</w:t>
            </w:r>
          </w:p>
        </w:tc>
        <w:tc>
          <w:tcPr>
            <w:tcW w:w="1621" w:type="dxa"/>
            <w:shd w:val="clear" w:color="auto" w:fill="D9EAF7"/>
          </w:tcPr>
          <w:p w:rsidR="004E4A3C" w:rsidRDefault="00FD7157">
            <w:pPr>
              <w:spacing w:after="0" w:line="240" w:lineRule="auto"/>
              <w:jc w:val="center"/>
            </w:pPr>
            <w:r>
              <w:rPr>
                <w:rFonts w:cs="Arial"/>
                <w:b/>
                <w:color w:val="000000"/>
                <w:sz w:val="18"/>
                <w:szCs w:val="18"/>
              </w:rPr>
              <w:t>Lday dB</w:t>
            </w:r>
          </w:p>
        </w:tc>
        <w:tc>
          <w:tcPr>
            <w:tcW w:w="2070" w:type="dxa"/>
            <w:shd w:val="clear" w:color="auto" w:fill="D9EAF7"/>
          </w:tcPr>
          <w:p w:rsidR="004E4A3C" w:rsidRDefault="00FD7157">
            <w:pPr>
              <w:spacing w:after="0" w:line="240" w:lineRule="auto"/>
              <w:jc w:val="center"/>
            </w:pPr>
            <w:r>
              <w:rPr>
                <w:rFonts w:cs="Arial"/>
                <w:b/>
                <w:color w:val="000000"/>
                <w:sz w:val="18"/>
                <w:szCs w:val="18"/>
              </w:rPr>
              <w:t>Levenin</w:t>
            </w:r>
            <w:r>
              <w:rPr>
                <w:rFonts w:cs="Arial"/>
                <w:b/>
                <w:color w:val="000000"/>
                <w:sz w:val="18"/>
                <w:szCs w:val="18"/>
              </w:rPr>
              <w:t>g dB</w:t>
            </w:r>
          </w:p>
        </w:tc>
        <w:tc>
          <w:tcPr>
            <w:tcW w:w="2347" w:type="dxa"/>
            <w:shd w:val="clear" w:color="auto" w:fill="D9EAF7"/>
          </w:tcPr>
          <w:p w:rsidR="004E4A3C" w:rsidRDefault="00FD7157">
            <w:pPr>
              <w:spacing w:after="0" w:line="240" w:lineRule="auto"/>
              <w:jc w:val="center"/>
            </w:pPr>
            <w:r>
              <w:rPr>
                <w:rFonts w:cs="Arial"/>
                <w:b/>
                <w:color w:val="000000"/>
                <w:sz w:val="18"/>
                <w:szCs w:val="18"/>
              </w:rPr>
              <w:t>Lnight dB</w:t>
            </w:r>
          </w:p>
        </w:tc>
      </w:tr>
      <w:tr w:rsidR="004E4A3C">
        <w:trPr>
          <w:cantSplit/>
          <w:jc w:val="center"/>
        </w:trPr>
        <w:tc>
          <w:tcPr>
            <w:tcW w:w="3826" w:type="dxa"/>
          </w:tcPr>
          <w:p w:rsidR="004E4A3C" w:rsidRDefault="00FD7157">
            <w:pPr>
              <w:spacing w:after="0" w:line="240" w:lineRule="auto"/>
            </w:pPr>
            <w:r>
              <w:rPr>
                <w:rFonts w:cs="Arial"/>
                <w:sz w:val="18"/>
                <w:szCs w:val="18"/>
              </w:rPr>
              <w:t>Mješovita zona</w:t>
            </w:r>
          </w:p>
        </w:tc>
        <w:tc>
          <w:tcPr>
            <w:tcW w:w="1621" w:type="dxa"/>
          </w:tcPr>
          <w:p w:rsidR="004E4A3C" w:rsidRDefault="00FD7157">
            <w:pPr>
              <w:spacing w:after="0" w:line="240" w:lineRule="auto"/>
              <w:jc w:val="center"/>
            </w:pPr>
            <w:r>
              <w:rPr>
                <w:rFonts w:cs="Arial"/>
                <w:sz w:val="18"/>
                <w:szCs w:val="18"/>
              </w:rPr>
              <w:t>60</w:t>
            </w:r>
          </w:p>
        </w:tc>
        <w:tc>
          <w:tcPr>
            <w:tcW w:w="2070" w:type="dxa"/>
          </w:tcPr>
          <w:p w:rsidR="004E4A3C" w:rsidRDefault="00FD7157">
            <w:pPr>
              <w:spacing w:after="0" w:line="240" w:lineRule="auto"/>
              <w:jc w:val="center"/>
            </w:pPr>
            <w:r>
              <w:rPr>
                <w:rFonts w:cs="Arial"/>
                <w:sz w:val="18"/>
                <w:szCs w:val="18"/>
              </w:rPr>
              <w:t>60</w:t>
            </w:r>
          </w:p>
        </w:tc>
        <w:tc>
          <w:tcPr>
            <w:tcW w:w="2347" w:type="dxa"/>
          </w:tcPr>
          <w:p w:rsidR="004E4A3C" w:rsidRDefault="00FD7157">
            <w:pPr>
              <w:spacing w:after="0" w:line="240" w:lineRule="auto"/>
              <w:jc w:val="center"/>
            </w:pPr>
            <w:r>
              <w:rPr>
                <w:rFonts w:cs="Arial"/>
                <w:sz w:val="18"/>
                <w:szCs w:val="18"/>
              </w:rPr>
              <w:t>50</w:t>
            </w:r>
          </w:p>
        </w:tc>
      </w:tr>
      <w:tr w:rsidR="004E4A3C">
        <w:trPr>
          <w:cantSplit/>
          <w:jc w:val="center"/>
        </w:trPr>
        <w:tc>
          <w:tcPr>
            <w:tcW w:w="3826" w:type="dxa"/>
          </w:tcPr>
          <w:p w:rsidR="004E4A3C" w:rsidRDefault="00FD7157">
            <w:pPr>
              <w:spacing w:after="0" w:line="240" w:lineRule="auto"/>
            </w:pPr>
            <w:r>
              <w:rPr>
                <w:rFonts w:cs="Arial"/>
                <w:sz w:val="18"/>
                <w:szCs w:val="18"/>
              </w:rPr>
              <w:t>Zona povišenog režima zaštite</w:t>
            </w:r>
          </w:p>
        </w:tc>
        <w:tc>
          <w:tcPr>
            <w:tcW w:w="1621" w:type="dxa"/>
          </w:tcPr>
          <w:p w:rsidR="004E4A3C" w:rsidRDefault="00FD7157">
            <w:pPr>
              <w:spacing w:after="0" w:line="240" w:lineRule="auto"/>
              <w:jc w:val="center"/>
            </w:pPr>
            <w:r>
              <w:rPr>
                <w:rFonts w:cs="Arial"/>
                <w:sz w:val="18"/>
                <w:szCs w:val="18"/>
              </w:rPr>
              <w:t>50</w:t>
            </w:r>
          </w:p>
        </w:tc>
        <w:tc>
          <w:tcPr>
            <w:tcW w:w="2070" w:type="dxa"/>
          </w:tcPr>
          <w:p w:rsidR="004E4A3C" w:rsidRDefault="00FD7157">
            <w:pPr>
              <w:spacing w:after="0" w:line="240" w:lineRule="auto"/>
              <w:jc w:val="center"/>
            </w:pPr>
            <w:r>
              <w:rPr>
                <w:rFonts w:cs="Arial"/>
                <w:sz w:val="18"/>
                <w:szCs w:val="18"/>
              </w:rPr>
              <w:t>50</w:t>
            </w:r>
          </w:p>
        </w:tc>
        <w:tc>
          <w:tcPr>
            <w:tcW w:w="2347" w:type="dxa"/>
          </w:tcPr>
          <w:p w:rsidR="004E4A3C" w:rsidRDefault="00FD7157">
            <w:pPr>
              <w:spacing w:after="0" w:line="240" w:lineRule="auto"/>
              <w:jc w:val="center"/>
            </w:pPr>
            <w:r>
              <w:rPr>
                <w:rFonts w:cs="Arial"/>
                <w:sz w:val="18"/>
                <w:szCs w:val="18"/>
              </w:rPr>
              <w:t>40</w:t>
            </w:r>
          </w:p>
        </w:tc>
      </w:tr>
      <w:tr w:rsidR="004E4A3C">
        <w:trPr>
          <w:cantSplit/>
          <w:jc w:val="center"/>
        </w:trPr>
        <w:tc>
          <w:tcPr>
            <w:tcW w:w="3826" w:type="dxa"/>
          </w:tcPr>
          <w:p w:rsidR="004E4A3C" w:rsidRDefault="00FD7157">
            <w:pPr>
              <w:spacing w:after="0" w:line="240" w:lineRule="auto"/>
            </w:pPr>
            <w:r>
              <w:rPr>
                <w:rFonts w:cs="Arial"/>
                <w:sz w:val="18"/>
                <w:szCs w:val="18"/>
              </w:rPr>
              <w:t>Stambena zona</w:t>
            </w:r>
          </w:p>
        </w:tc>
        <w:tc>
          <w:tcPr>
            <w:tcW w:w="1621" w:type="dxa"/>
          </w:tcPr>
          <w:p w:rsidR="004E4A3C" w:rsidRDefault="00FD7157">
            <w:pPr>
              <w:spacing w:after="0" w:line="240" w:lineRule="auto"/>
              <w:jc w:val="center"/>
            </w:pPr>
            <w:r>
              <w:rPr>
                <w:rFonts w:cs="Arial"/>
                <w:sz w:val="18"/>
                <w:szCs w:val="18"/>
              </w:rPr>
              <w:t>55</w:t>
            </w:r>
          </w:p>
        </w:tc>
        <w:tc>
          <w:tcPr>
            <w:tcW w:w="2070" w:type="dxa"/>
          </w:tcPr>
          <w:p w:rsidR="004E4A3C" w:rsidRDefault="00FD7157">
            <w:pPr>
              <w:spacing w:after="0" w:line="240" w:lineRule="auto"/>
              <w:jc w:val="center"/>
            </w:pPr>
            <w:r>
              <w:rPr>
                <w:rFonts w:cs="Arial"/>
                <w:sz w:val="18"/>
                <w:szCs w:val="18"/>
              </w:rPr>
              <w:t>55</w:t>
            </w:r>
          </w:p>
        </w:tc>
        <w:tc>
          <w:tcPr>
            <w:tcW w:w="2347" w:type="dxa"/>
          </w:tcPr>
          <w:p w:rsidR="004E4A3C" w:rsidRDefault="00FD7157">
            <w:pPr>
              <w:spacing w:after="0" w:line="240" w:lineRule="auto"/>
              <w:jc w:val="center"/>
            </w:pPr>
            <w:r>
              <w:rPr>
                <w:rFonts w:cs="Arial"/>
                <w:sz w:val="18"/>
                <w:szCs w:val="18"/>
              </w:rPr>
              <w:t>45</w:t>
            </w:r>
          </w:p>
        </w:tc>
      </w:tr>
      <w:tr w:rsidR="004E4A3C">
        <w:trPr>
          <w:cantSplit/>
          <w:jc w:val="center"/>
        </w:trPr>
        <w:tc>
          <w:tcPr>
            <w:tcW w:w="3826" w:type="dxa"/>
          </w:tcPr>
          <w:p w:rsidR="004E4A3C" w:rsidRDefault="00FD7157">
            <w:pPr>
              <w:spacing w:after="0" w:line="240" w:lineRule="auto"/>
            </w:pPr>
            <w:r>
              <w:rPr>
                <w:rFonts w:cs="Arial"/>
                <w:sz w:val="18"/>
                <w:szCs w:val="18"/>
              </w:rPr>
              <w:t>Tiha zona u aglomeraciji</w:t>
            </w:r>
          </w:p>
        </w:tc>
        <w:tc>
          <w:tcPr>
            <w:tcW w:w="1621" w:type="dxa"/>
          </w:tcPr>
          <w:p w:rsidR="004E4A3C" w:rsidRDefault="00FD7157">
            <w:pPr>
              <w:spacing w:after="0" w:line="240" w:lineRule="auto"/>
              <w:jc w:val="center"/>
            </w:pPr>
            <w:r>
              <w:rPr>
                <w:rFonts w:cs="Arial"/>
                <w:sz w:val="18"/>
                <w:szCs w:val="18"/>
              </w:rPr>
              <w:t>40</w:t>
            </w:r>
          </w:p>
        </w:tc>
        <w:tc>
          <w:tcPr>
            <w:tcW w:w="2070" w:type="dxa"/>
          </w:tcPr>
          <w:p w:rsidR="004E4A3C" w:rsidRDefault="00FD7157">
            <w:pPr>
              <w:spacing w:after="0" w:line="240" w:lineRule="auto"/>
              <w:jc w:val="center"/>
            </w:pPr>
            <w:r>
              <w:rPr>
                <w:rFonts w:cs="Arial"/>
                <w:sz w:val="18"/>
                <w:szCs w:val="18"/>
              </w:rPr>
              <w:t>40</w:t>
            </w:r>
          </w:p>
        </w:tc>
        <w:tc>
          <w:tcPr>
            <w:tcW w:w="2347" w:type="dxa"/>
          </w:tcPr>
          <w:p w:rsidR="004E4A3C" w:rsidRDefault="00FD7157">
            <w:pPr>
              <w:spacing w:after="0" w:line="240" w:lineRule="auto"/>
              <w:jc w:val="center"/>
            </w:pPr>
            <w:r>
              <w:rPr>
                <w:rFonts w:cs="Arial"/>
                <w:sz w:val="18"/>
                <w:szCs w:val="18"/>
              </w:rPr>
              <w:t>35</w:t>
            </w:r>
          </w:p>
        </w:tc>
      </w:tr>
      <w:tr w:rsidR="004E4A3C">
        <w:trPr>
          <w:cantSplit/>
          <w:jc w:val="center"/>
        </w:trPr>
        <w:tc>
          <w:tcPr>
            <w:tcW w:w="3826" w:type="dxa"/>
          </w:tcPr>
          <w:p w:rsidR="004E4A3C" w:rsidRDefault="00FD7157">
            <w:pPr>
              <w:spacing w:after="0" w:line="240" w:lineRule="auto"/>
            </w:pPr>
            <w:r>
              <w:rPr>
                <w:rFonts w:cs="Arial"/>
                <w:sz w:val="18"/>
                <w:szCs w:val="18"/>
              </w:rPr>
              <w:t>Tiha zona u prirodi</w:t>
            </w:r>
          </w:p>
        </w:tc>
        <w:tc>
          <w:tcPr>
            <w:tcW w:w="1621" w:type="dxa"/>
          </w:tcPr>
          <w:p w:rsidR="004E4A3C" w:rsidRDefault="00FD7157">
            <w:pPr>
              <w:spacing w:after="0" w:line="240" w:lineRule="auto"/>
              <w:jc w:val="center"/>
            </w:pPr>
            <w:r>
              <w:rPr>
                <w:rFonts w:cs="Arial"/>
                <w:sz w:val="18"/>
                <w:szCs w:val="18"/>
              </w:rPr>
              <w:t>35</w:t>
            </w:r>
          </w:p>
        </w:tc>
        <w:tc>
          <w:tcPr>
            <w:tcW w:w="2070" w:type="dxa"/>
          </w:tcPr>
          <w:p w:rsidR="004E4A3C" w:rsidRDefault="00FD7157">
            <w:pPr>
              <w:spacing w:after="0" w:line="240" w:lineRule="auto"/>
              <w:jc w:val="center"/>
            </w:pPr>
            <w:r>
              <w:rPr>
                <w:rFonts w:cs="Arial"/>
                <w:sz w:val="18"/>
                <w:szCs w:val="18"/>
              </w:rPr>
              <w:t>35</w:t>
            </w:r>
          </w:p>
        </w:tc>
        <w:tc>
          <w:tcPr>
            <w:tcW w:w="2347" w:type="dxa"/>
          </w:tcPr>
          <w:p w:rsidR="004E4A3C" w:rsidRDefault="00FD7157">
            <w:pPr>
              <w:spacing w:after="0" w:line="240" w:lineRule="auto"/>
              <w:jc w:val="center"/>
            </w:pPr>
            <w:r>
              <w:rPr>
                <w:rFonts w:cs="Arial"/>
                <w:sz w:val="18"/>
                <w:szCs w:val="18"/>
              </w:rPr>
              <w:t>30</w:t>
            </w:r>
          </w:p>
        </w:tc>
      </w:tr>
      <w:tr w:rsidR="004E4A3C">
        <w:trPr>
          <w:cantSplit/>
          <w:jc w:val="center"/>
        </w:trPr>
        <w:tc>
          <w:tcPr>
            <w:tcW w:w="3826" w:type="dxa"/>
          </w:tcPr>
          <w:p w:rsidR="004E4A3C" w:rsidRDefault="00FD7157">
            <w:pPr>
              <w:spacing w:after="0" w:line="240" w:lineRule="auto"/>
            </w:pPr>
            <w:r>
              <w:rPr>
                <w:rFonts w:cs="Arial"/>
                <w:sz w:val="18"/>
                <w:szCs w:val="18"/>
              </w:rPr>
              <w:t>Zona jakog uticaja buke saobraćaja</w:t>
            </w:r>
          </w:p>
        </w:tc>
        <w:tc>
          <w:tcPr>
            <w:tcW w:w="1621" w:type="dxa"/>
          </w:tcPr>
          <w:p w:rsidR="004E4A3C" w:rsidRDefault="00FD7157">
            <w:pPr>
              <w:spacing w:after="0" w:line="240" w:lineRule="auto"/>
              <w:jc w:val="center"/>
            </w:pPr>
            <w:r>
              <w:rPr>
                <w:rFonts w:cs="Arial"/>
                <w:sz w:val="18"/>
                <w:szCs w:val="18"/>
              </w:rPr>
              <w:t>60</w:t>
            </w:r>
          </w:p>
        </w:tc>
        <w:tc>
          <w:tcPr>
            <w:tcW w:w="2070" w:type="dxa"/>
          </w:tcPr>
          <w:p w:rsidR="004E4A3C" w:rsidRDefault="00FD7157">
            <w:pPr>
              <w:spacing w:after="0" w:line="240" w:lineRule="auto"/>
              <w:jc w:val="center"/>
            </w:pPr>
            <w:r>
              <w:rPr>
                <w:rFonts w:cs="Arial"/>
                <w:sz w:val="18"/>
                <w:szCs w:val="18"/>
              </w:rPr>
              <w:t>60</w:t>
            </w:r>
          </w:p>
        </w:tc>
        <w:tc>
          <w:tcPr>
            <w:tcW w:w="2347" w:type="dxa"/>
          </w:tcPr>
          <w:p w:rsidR="004E4A3C" w:rsidRDefault="00FD7157">
            <w:pPr>
              <w:spacing w:after="0" w:line="240" w:lineRule="auto"/>
              <w:jc w:val="center"/>
            </w:pPr>
            <w:r>
              <w:rPr>
                <w:rFonts w:cs="Arial"/>
                <w:sz w:val="18"/>
                <w:szCs w:val="18"/>
              </w:rPr>
              <w:t>50</w:t>
            </w:r>
          </w:p>
        </w:tc>
      </w:tr>
      <w:tr w:rsidR="004E4A3C">
        <w:trPr>
          <w:cantSplit/>
          <w:jc w:val="center"/>
        </w:trPr>
        <w:tc>
          <w:tcPr>
            <w:tcW w:w="3826" w:type="dxa"/>
          </w:tcPr>
          <w:p w:rsidR="004E4A3C" w:rsidRDefault="00FD7157">
            <w:pPr>
              <w:spacing w:after="0" w:line="240" w:lineRule="auto"/>
            </w:pPr>
            <w:r>
              <w:rPr>
                <w:rFonts w:cs="Arial"/>
                <w:sz w:val="18"/>
                <w:szCs w:val="18"/>
              </w:rPr>
              <w:t>Industrijska zona</w:t>
            </w:r>
          </w:p>
        </w:tc>
        <w:tc>
          <w:tcPr>
            <w:tcW w:w="1621" w:type="dxa"/>
          </w:tcPr>
          <w:p w:rsidR="004E4A3C" w:rsidRDefault="00FD7157">
            <w:pPr>
              <w:spacing w:after="0" w:line="240" w:lineRule="auto"/>
              <w:jc w:val="center"/>
            </w:pPr>
            <w:r>
              <w:rPr>
                <w:rFonts w:cs="Arial"/>
                <w:sz w:val="18"/>
                <w:szCs w:val="18"/>
              </w:rPr>
              <w:t>60</w:t>
            </w:r>
          </w:p>
        </w:tc>
        <w:tc>
          <w:tcPr>
            <w:tcW w:w="2070" w:type="dxa"/>
          </w:tcPr>
          <w:p w:rsidR="004E4A3C" w:rsidRDefault="00FD7157">
            <w:pPr>
              <w:spacing w:after="0" w:line="240" w:lineRule="auto"/>
              <w:jc w:val="center"/>
            </w:pPr>
            <w:r>
              <w:rPr>
                <w:rFonts w:cs="Arial"/>
                <w:sz w:val="18"/>
                <w:szCs w:val="18"/>
              </w:rPr>
              <w:t>60</w:t>
            </w:r>
          </w:p>
        </w:tc>
        <w:tc>
          <w:tcPr>
            <w:tcW w:w="2347" w:type="dxa"/>
          </w:tcPr>
          <w:p w:rsidR="004E4A3C" w:rsidRDefault="00FD7157">
            <w:pPr>
              <w:spacing w:after="0" w:line="240" w:lineRule="auto"/>
              <w:jc w:val="center"/>
            </w:pPr>
            <w:r>
              <w:rPr>
                <w:rFonts w:cs="Arial"/>
                <w:sz w:val="18"/>
                <w:szCs w:val="18"/>
              </w:rPr>
              <w:t>55</w:t>
            </w:r>
          </w:p>
        </w:tc>
      </w:tr>
      <w:tr w:rsidR="004E4A3C">
        <w:trPr>
          <w:cantSplit/>
          <w:jc w:val="center"/>
        </w:trPr>
        <w:tc>
          <w:tcPr>
            <w:tcW w:w="3826" w:type="dxa"/>
          </w:tcPr>
          <w:p w:rsidR="004E4A3C" w:rsidRDefault="00FD7157">
            <w:pPr>
              <w:spacing w:after="0" w:line="240" w:lineRule="auto"/>
            </w:pPr>
            <w:r>
              <w:rPr>
                <w:rFonts w:cs="Arial"/>
                <w:sz w:val="18"/>
                <w:szCs w:val="18"/>
              </w:rPr>
              <w:t xml:space="preserve">Van </w:t>
            </w:r>
            <w:r>
              <w:rPr>
                <w:rFonts w:cs="Arial"/>
                <w:sz w:val="18"/>
                <w:szCs w:val="18"/>
              </w:rPr>
              <w:t>akustičnih zona</w:t>
            </w:r>
          </w:p>
        </w:tc>
        <w:tc>
          <w:tcPr>
            <w:tcW w:w="1621" w:type="dxa"/>
          </w:tcPr>
          <w:p w:rsidR="004E4A3C" w:rsidRDefault="00FD7157">
            <w:pPr>
              <w:spacing w:after="0" w:line="240" w:lineRule="auto"/>
              <w:jc w:val="center"/>
            </w:pPr>
            <w:r>
              <w:rPr>
                <w:rFonts w:cs="Arial"/>
                <w:sz w:val="18"/>
                <w:szCs w:val="18"/>
              </w:rPr>
              <w:t>0</w:t>
            </w:r>
          </w:p>
        </w:tc>
        <w:tc>
          <w:tcPr>
            <w:tcW w:w="2070" w:type="dxa"/>
          </w:tcPr>
          <w:p w:rsidR="004E4A3C" w:rsidRDefault="00FD7157">
            <w:pPr>
              <w:spacing w:after="0" w:line="240" w:lineRule="auto"/>
              <w:jc w:val="center"/>
            </w:pPr>
            <w:r>
              <w:rPr>
                <w:rFonts w:cs="Arial"/>
                <w:sz w:val="18"/>
                <w:szCs w:val="18"/>
              </w:rPr>
              <w:t>0</w:t>
            </w:r>
          </w:p>
        </w:tc>
        <w:tc>
          <w:tcPr>
            <w:tcW w:w="2347" w:type="dxa"/>
          </w:tcPr>
          <w:p w:rsidR="004E4A3C" w:rsidRDefault="00FD7157">
            <w:pPr>
              <w:spacing w:after="0" w:line="240" w:lineRule="auto"/>
              <w:jc w:val="center"/>
            </w:pPr>
            <w:r>
              <w:rPr>
                <w:rFonts w:cs="Arial"/>
                <w:sz w:val="18"/>
                <w:szCs w:val="18"/>
              </w:rPr>
              <w:t>0</w:t>
            </w:r>
          </w:p>
        </w:tc>
      </w:tr>
    </w:tbl>
    <w:p w:rsidR="004E4A3C" w:rsidRDefault="00FD7157">
      <w:pPr>
        <w:pStyle w:val="Heading2"/>
      </w:pPr>
      <w:bookmarkStart w:id="57" w:name="__RefHeading___Toc9171_4023479253"/>
      <w:bookmarkStart w:id="58" w:name="_Toc231671802"/>
      <w:bookmarkEnd w:id="57"/>
      <w:r>
        <w:rPr>
          <w:rFonts w:ascii="Arial" w:eastAsia="Arial" w:hAnsi="Arial"/>
          <w:b w:val="0"/>
        </w:rPr>
        <w:t>3.3. Značaj indikatora Lden i Lnight</w:t>
      </w:r>
      <w:bookmarkEnd w:id="58"/>
    </w:p>
    <w:p w:rsidR="004E4A3C" w:rsidRDefault="00FD7157">
      <w:pPr>
        <w:jc w:val="both"/>
      </w:pPr>
      <w:r>
        <w:t xml:space="preserve">Lden se koristi za opštu procjenu izloženosti tokom cijelog dana, dok je Lnight ključan za noćni period. U izboru mjera prednost imaju rješenja koja istovremeno smanjuju Lden i Lnight, a naročito </w:t>
      </w:r>
      <w:r>
        <w:t>ona koja smanjuju broj stanovnika izloženih noćnoj buci iznad graničnih vrijednosti.</w:t>
      </w:r>
    </w:p>
    <w:p w:rsidR="004E4A3C" w:rsidRDefault="00FD7157">
      <w:pPr>
        <w:pStyle w:val="Heading2"/>
        <w:jc w:val="both"/>
      </w:pPr>
      <w:bookmarkStart w:id="59" w:name="__RefHeading___Toc9173_4023479253"/>
      <w:bookmarkStart w:id="60" w:name="_Toc231671803"/>
      <w:bookmarkEnd w:id="59"/>
      <w:r>
        <w:rPr>
          <w:rFonts w:ascii="Arial" w:eastAsia="Arial" w:hAnsi="Arial"/>
          <w:b w:val="0"/>
        </w:rPr>
        <w:t>3.4. Način tumačenja prekoračenja</w:t>
      </w:r>
      <w:bookmarkEnd w:id="60"/>
    </w:p>
    <w:p w:rsidR="004E4A3C" w:rsidRDefault="00FD7157">
      <w:pPr>
        <w:jc w:val="both"/>
      </w:pPr>
      <w:r>
        <w:t>Prekoračenje se ne tumači samo po apsolutnom nivou buke, već po odnosu proračunatog nivoa i granične vrijednosti za konkretnu akustičnu z</w:t>
      </w:r>
      <w:r>
        <w:t>onu. Zbog toga objekti u različitim zonama mogu imati različit prioritet i kada imaju slične proračunate vrijednosti.</w:t>
      </w:r>
    </w:p>
    <w:p w:rsidR="004E4A3C" w:rsidRDefault="00FD7157">
      <w:pPr>
        <w:pStyle w:val="Heading1"/>
        <w:jc w:val="both"/>
      </w:pPr>
      <w:bookmarkStart w:id="61" w:name="__RefHeading___Toc9175_4023479253"/>
      <w:bookmarkStart w:id="62" w:name="_Toc231671804"/>
      <w:bookmarkEnd w:id="61"/>
      <w:r>
        <w:rPr>
          <w:rFonts w:ascii="Arial" w:eastAsia="Arial" w:hAnsi="Arial"/>
          <w:b w:val="0"/>
        </w:rPr>
        <w:t>4. Rezime rezultata Strateške karte buke</w:t>
      </w:r>
      <w:bookmarkEnd w:id="62"/>
    </w:p>
    <w:p w:rsidR="004E4A3C" w:rsidRDefault="004E4A3C">
      <w:pPr>
        <w:spacing w:after="0"/>
        <w:jc w:val="both"/>
      </w:pPr>
    </w:p>
    <w:p w:rsidR="004E4A3C" w:rsidRDefault="00FD7157">
      <w:pPr>
        <w:spacing w:after="0"/>
        <w:jc w:val="both"/>
      </w:pPr>
      <w:r>
        <w:t>U ovom poglavlju sažimaju se najvažniji rezultati strateške karte buke koji su relevantni za Akc</w:t>
      </w:r>
      <w:r>
        <w:t>ioni plan. Rezime ne ponavlja kompletnu stručnu podlogu, već izdvaja pokazatelje koji utiču na izbor mjera, prioritete sprovođenja i potrebe za monitoringom.</w:t>
      </w:r>
    </w:p>
    <w:p w:rsidR="004E4A3C" w:rsidRDefault="00FD7157">
      <w:pPr>
        <w:pStyle w:val="Heading2"/>
        <w:jc w:val="both"/>
      </w:pPr>
      <w:bookmarkStart w:id="63" w:name="__RefHeading___Toc9177_4023479253"/>
      <w:bookmarkStart w:id="64" w:name="_Toc231671805"/>
      <w:bookmarkEnd w:id="63"/>
      <w:r>
        <w:rPr>
          <w:rFonts w:ascii="Arial" w:eastAsia="Arial" w:hAnsi="Arial"/>
          <w:b w:val="0"/>
        </w:rPr>
        <w:t>4.1. Metodologija i softver</w:t>
      </w:r>
      <w:bookmarkEnd w:id="64"/>
    </w:p>
    <w:p w:rsidR="004E4A3C" w:rsidRDefault="00FD7157">
      <w:pPr>
        <w:jc w:val="both"/>
      </w:pPr>
      <w:r>
        <w:t>Metodološki opis pokazuje kako su izračunati nivoi buke i na kojim pro</w:t>
      </w:r>
      <w:r>
        <w:t>računskim pretpostavkama počiva analiza. Ovaj uvod je važan za pravilno tumačenje rezultata koji slijede u tabelama izloženosti.</w:t>
      </w:r>
    </w:p>
    <w:p w:rsidR="004E4A3C" w:rsidRDefault="00FD7157">
      <w:pPr>
        <w:jc w:val="both"/>
      </w:pPr>
      <w:r>
        <w:t>Strateška karta buke izrađena je za drumski saobraćaj primjenom modeliranja u softveru CadnaA Version 2026 MR, sa proračunom pr</w:t>
      </w:r>
      <w:r>
        <w:t>ema zajedničkim metodama CNOSSOS-EU 2015/996. Korišćeni su indikatori Lday, Levening, Lnight i Lden, proračunska mreža 10 × 10 m, visina mreže 4 m iznad tla i fasadni proračun na objektima.</w:t>
      </w:r>
    </w:p>
    <w:p w:rsidR="004E4A3C" w:rsidRDefault="00FD7157">
      <w:pPr>
        <w:pStyle w:val="Heading2"/>
        <w:jc w:val="both"/>
      </w:pPr>
      <w:bookmarkStart w:id="65" w:name="__RefHeading___Toc9179_4023479253"/>
      <w:bookmarkStart w:id="66" w:name="_Toc231671806"/>
      <w:bookmarkEnd w:id="65"/>
      <w:r>
        <w:rPr>
          <w:rFonts w:ascii="Arial" w:eastAsia="Arial" w:hAnsi="Arial"/>
          <w:b w:val="0"/>
        </w:rPr>
        <w:t>4.2. Izloženost stanovništva prema Lden</w:t>
      </w:r>
      <w:bookmarkEnd w:id="66"/>
    </w:p>
    <w:p w:rsidR="004E4A3C" w:rsidRDefault="00FD7157">
      <w:pPr>
        <w:jc w:val="both"/>
      </w:pPr>
      <w:r>
        <w:t>Indikator Lden predstavlja</w:t>
      </w:r>
      <w:r>
        <w:t xml:space="preserve"> objedinjeni pokazatelj izloženosti tokom dana, večeri i noći, sa dodatnim težinskim faktorima za osjetljivije periode. U nastavku su prikazane klase izloženosti koje pomažu da se prepozna broj stanovnika u najopterećenijim zonama.</w:t>
      </w:r>
    </w:p>
    <w:p w:rsidR="004E4A3C" w:rsidRDefault="00FD7157">
      <w:pPr>
        <w:keepNext/>
        <w:keepLines/>
        <w:spacing w:after="40"/>
        <w:rPr>
          <w:b/>
          <w:bCs/>
        </w:rPr>
      </w:pPr>
      <w:r>
        <w:rPr>
          <w:b/>
          <w:bCs/>
        </w:rPr>
        <w:lastRenderedPageBreak/>
        <w:t>Tabela 9. Pregled izlože</w:t>
      </w:r>
      <w:r>
        <w:rPr>
          <w:b/>
          <w:bCs/>
        </w:rPr>
        <w:t>nosti stanovništva prema Lden</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4194"/>
        <w:gridCol w:w="5671"/>
      </w:tblGrid>
      <w:tr w:rsidR="004E4A3C">
        <w:trPr>
          <w:cantSplit/>
          <w:tblHeader/>
          <w:jc w:val="center"/>
        </w:trPr>
        <w:tc>
          <w:tcPr>
            <w:tcW w:w="4194" w:type="dxa"/>
            <w:shd w:val="clear" w:color="auto" w:fill="D9EAF7"/>
          </w:tcPr>
          <w:p w:rsidR="004E4A3C" w:rsidRDefault="00FD7157">
            <w:pPr>
              <w:spacing w:after="0" w:line="240" w:lineRule="auto"/>
              <w:jc w:val="center"/>
            </w:pPr>
            <w:r>
              <w:rPr>
                <w:rFonts w:cs="Arial"/>
                <w:b/>
                <w:color w:val="000000"/>
                <w:sz w:val="18"/>
                <w:szCs w:val="18"/>
              </w:rPr>
              <w:t>Opseg Lden / dB(A)</w:t>
            </w:r>
          </w:p>
        </w:tc>
        <w:tc>
          <w:tcPr>
            <w:tcW w:w="5670" w:type="dxa"/>
            <w:shd w:val="clear" w:color="auto" w:fill="D9EAF7"/>
          </w:tcPr>
          <w:p w:rsidR="004E4A3C" w:rsidRDefault="00FD7157">
            <w:pPr>
              <w:spacing w:after="0" w:line="240" w:lineRule="auto"/>
              <w:jc w:val="center"/>
            </w:pPr>
            <w:r>
              <w:rPr>
                <w:rFonts w:cs="Arial"/>
                <w:b/>
                <w:color w:val="000000"/>
                <w:sz w:val="18"/>
                <w:szCs w:val="18"/>
              </w:rPr>
              <w:t>Broj stanovnika</w:t>
            </w:r>
          </w:p>
        </w:tc>
      </w:tr>
      <w:tr w:rsidR="004E4A3C">
        <w:trPr>
          <w:cantSplit/>
          <w:jc w:val="center"/>
        </w:trPr>
        <w:tc>
          <w:tcPr>
            <w:tcW w:w="4194" w:type="dxa"/>
          </w:tcPr>
          <w:p w:rsidR="004E4A3C" w:rsidRDefault="00FD7157">
            <w:pPr>
              <w:spacing w:after="0" w:line="240" w:lineRule="auto"/>
              <w:jc w:val="center"/>
            </w:pPr>
            <w:r>
              <w:rPr>
                <w:rFonts w:cs="Arial"/>
                <w:sz w:val="18"/>
                <w:szCs w:val="18"/>
              </w:rPr>
              <w:t>&lt;55</w:t>
            </w:r>
          </w:p>
        </w:tc>
        <w:tc>
          <w:tcPr>
            <w:tcW w:w="5670" w:type="dxa"/>
          </w:tcPr>
          <w:p w:rsidR="004E4A3C" w:rsidRDefault="00FD7157">
            <w:pPr>
              <w:spacing w:after="0" w:line="240" w:lineRule="auto"/>
              <w:jc w:val="center"/>
            </w:pPr>
            <w:r>
              <w:rPr>
                <w:rFonts w:cs="Arial"/>
                <w:sz w:val="18"/>
                <w:szCs w:val="18"/>
              </w:rPr>
              <w:t>3815,9</w:t>
            </w:r>
          </w:p>
        </w:tc>
      </w:tr>
      <w:tr w:rsidR="004E4A3C">
        <w:trPr>
          <w:cantSplit/>
          <w:jc w:val="center"/>
        </w:trPr>
        <w:tc>
          <w:tcPr>
            <w:tcW w:w="4194" w:type="dxa"/>
          </w:tcPr>
          <w:p w:rsidR="004E4A3C" w:rsidRDefault="00FD7157">
            <w:pPr>
              <w:spacing w:after="0" w:line="240" w:lineRule="auto"/>
              <w:jc w:val="center"/>
            </w:pPr>
            <w:r>
              <w:rPr>
                <w:rFonts w:cs="Arial"/>
                <w:sz w:val="18"/>
                <w:szCs w:val="18"/>
              </w:rPr>
              <w:t>55-59</w:t>
            </w:r>
          </w:p>
        </w:tc>
        <w:tc>
          <w:tcPr>
            <w:tcW w:w="5670" w:type="dxa"/>
          </w:tcPr>
          <w:p w:rsidR="004E4A3C" w:rsidRDefault="00FD7157">
            <w:pPr>
              <w:spacing w:after="0" w:line="240" w:lineRule="auto"/>
              <w:jc w:val="center"/>
            </w:pPr>
            <w:r>
              <w:rPr>
                <w:rFonts w:cs="Arial"/>
                <w:sz w:val="18"/>
                <w:szCs w:val="18"/>
              </w:rPr>
              <w:t>190,3</w:t>
            </w:r>
          </w:p>
        </w:tc>
      </w:tr>
      <w:tr w:rsidR="004E4A3C">
        <w:trPr>
          <w:cantSplit/>
          <w:jc w:val="center"/>
        </w:trPr>
        <w:tc>
          <w:tcPr>
            <w:tcW w:w="4194" w:type="dxa"/>
          </w:tcPr>
          <w:p w:rsidR="004E4A3C" w:rsidRDefault="00FD7157">
            <w:pPr>
              <w:spacing w:after="0" w:line="240" w:lineRule="auto"/>
              <w:jc w:val="center"/>
            </w:pPr>
            <w:r>
              <w:rPr>
                <w:rFonts w:cs="Arial"/>
                <w:sz w:val="18"/>
                <w:szCs w:val="18"/>
              </w:rPr>
              <w:t>60-64</w:t>
            </w:r>
          </w:p>
        </w:tc>
        <w:tc>
          <w:tcPr>
            <w:tcW w:w="5670" w:type="dxa"/>
          </w:tcPr>
          <w:p w:rsidR="004E4A3C" w:rsidRDefault="00FD7157">
            <w:pPr>
              <w:spacing w:after="0" w:line="240" w:lineRule="auto"/>
              <w:jc w:val="center"/>
            </w:pPr>
            <w:r>
              <w:rPr>
                <w:rFonts w:cs="Arial"/>
                <w:sz w:val="18"/>
                <w:szCs w:val="18"/>
              </w:rPr>
              <w:t>92,3</w:t>
            </w:r>
          </w:p>
        </w:tc>
      </w:tr>
      <w:tr w:rsidR="004E4A3C">
        <w:trPr>
          <w:cantSplit/>
          <w:jc w:val="center"/>
        </w:trPr>
        <w:tc>
          <w:tcPr>
            <w:tcW w:w="4194" w:type="dxa"/>
          </w:tcPr>
          <w:p w:rsidR="004E4A3C" w:rsidRDefault="00FD7157">
            <w:pPr>
              <w:spacing w:after="0" w:line="240" w:lineRule="auto"/>
              <w:jc w:val="center"/>
            </w:pPr>
            <w:r>
              <w:rPr>
                <w:rFonts w:cs="Arial"/>
                <w:sz w:val="18"/>
                <w:szCs w:val="18"/>
              </w:rPr>
              <w:t>65-69</w:t>
            </w:r>
          </w:p>
        </w:tc>
        <w:tc>
          <w:tcPr>
            <w:tcW w:w="5670" w:type="dxa"/>
          </w:tcPr>
          <w:p w:rsidR="004E4A3C" w:rsidRDefault="00FD7157">
            <w:pPr>
              <w:spacing w:after="0" w:line="240" w:lineRule="auto"/>
              <w:jc w:val="center"/>
            </w:pPr>
            <w:r>
              <w:rPr>
                <w:rFonts w:cs="Arial"/>
                <w:sz w:val="18"/>
                <w:szCs w:val="18"/>
              </w:rPr>
              <w:t>22,6</w:t>
            </w:r>
          </w:p>
        </w:tc>
      </w:tr>
      <w:tr w:rsidR="004E4A3C">
        <w:trPr>
          <w:cantSplit/>
          <w:jc w:val="center"/>
        </w:trPr>
        <w:tc>
          <w:tcPr>
            <w:tcW w:w="4194" w:type="dxa"/>
          </w:tcPr>
          <w:p w:rsidR="004E4A3C" w:rsidRDefault="00FD7157">
            <w:pPr>
              <w:spacing w:after="0" w:line="240" w:lineRule="auto"/>
              <w:jc w:val="center"/>
            </w:pPr>
            <w:r>
              <w:rPr>
                <w:rFonts w:cs="Arial"/>
                <w:sz w:val="18"/>
                <w:szCs w:val="18"/>
              </w:rPr>
              <w:t>70-74</w:t>
            </w:r>
          </w:p>
        </w:tc>
        <w:tc>
          <w:tcPr>
            <w:tcW w:w="5670" w:type="dxa"/>
          </w:tcPr>
          <w:p w:rsidR="004E4A3C" w:rsidRDefault="00FD7157">
            <w:pPr>
              <w:spacing w:after="0" w:line="240" w:lineRule="auto"/>
              <w:jc w:val="center"/>
            </w:pPr>
            <w:r>
              <w:rPr>
                <w:rFonts w:cs="Arial"/>
                <w:sz w:val="18"/>
                <w:szCs w:val="18"/>
              </w:rPr>
              <w:t>2,4</w:t>
            </w:r>
          </w:p>
        </w:tc>
      </w:tr>
      <w:tr w:rsidR="004E4A3C">
        <w:trPr>
          <w:cantSplit/>
          <w:jc w:val="center"/>
        </w:trPr>
        <w:tc>
          <w:tcPr>
            <w:tcW w:w="4194" w:type="dxa"/>
          </w:tcPr>
          <w:p w:rsidR="004E4A3C" w:rsidRDefault="00FD7157">
            <w:pPr>
              <w:spacing w:after="0" w:line="240" w:lineRule="auto"/>
              <w:jc w:val="center"/>
            </w:pPr>
            <w:r>
              <w:rPr>
                <w:rFonts w:cs="Arial"/>
                <w:sz w:val="18"/>
                <w:szCs w:val="18"/>
              </w:rPr>
              <w:t>&gt;75</w:t>
            </w:r>
          </w:p>
        </w:tc>
        <w:tc>
          <w:tcPr>
            <w:tcW w:w="5670" w:type="dxa"/>
          </w:tcPr>
          <w:p w:rsidR="004E4A3C" w:rsidRDefault="00FD7157">
            <w:pPr>
              <w:spacing w:after="0" w:line="240" w:lineRule="auto"/>
              <w:jc w:val="center"/>
            </w:pPr>
            <w:r>
              <w:rPr>
                <w:rFonts w:cs="Arial"/>
                <w:sz w:val="18"/>
                <w:szCs w:val="18"/>
              </w:rPr>
              <w:t>0,0</w:t>
            </w:r>
          </w:p>
        </w:tc>
      </w:tr>
    </w:tbl>
    <w:p w:rsidR="004E4A3C" w:rsidRDefault="004E4A3C"/>
    <w:p w:rsidR="004E4A3C" w:rsidRDefault="00FD7157">
      <w:pPr>
        <w:jc w:val="both"/>
      </w:pPr>
      <w:r>
        <w:t xml:space="preserve">Prema baznom stanju iz SKB, zbir stanovništva u razredima Lden od 55 dB(A) i više iznosi približno 307,6 stanovnika. </w:t>
      </w:r>
      <w:r>
        <w:t>Ovaj pokazatelj predstavlja izloženost po apsolutnim klasama buke i koristi se za razumijevanje prostorne raspodjele problema; formalna prekoračenja se tumače po akustičkim zonama i graničnim vrijednostima iz poglavlja 3.</w:t>
      </w:r>
    </w:p>
    <w:p w:rsidR="004E4A3C" w:rsidRDefault="00FD7157">
      <w:pPr>
        <w:pStyle w:val="Heading2"/>
        <w:jc w:val="both"/>
      </w:pPr>
      <w:bookmarkStart w:id="67" w:name="__RefHeading___Toc9181_4023479253"/>
      <w:bookmarkStart w:id="68" w:name="_Toc231671807"/>
      <w:bookmarkEnd w:id="67"/>
      <w:r>
        <w:rPr>
          <w:rFonts w:ascii="Arial" w:eastAsia="Arial" w:hAnsi="Arial"/>
          <w:b w:val="0"/>
        </w:rPr>
        <w:t>4.3. Izloženost stanovništva prema</w:t>
      </w:r>
      <w:r>
        <w:rPr>
          <w:rFonts w:ascii="Arial" w:eastAsia="Arial" w:hAnsi="Arial"/>
          <w:b w:val="0"/>
        </w:rPr>
        <w:t xml:space="preserve"> Lnight</w:t>
      </w:r>
      <w:bookmarkEnd w:id="68"/>
    </w:p>
    <w:p w:rsidR="004E4A3C" w:rsidRDefault="00FD7157">
      <w:pPr>
        <w:jc w:val="both"/>
      </w:pPr>
      <w:r>
        <w:t>Indikator Lnight posebno je značajan za ocjenu noćnog perioda, kada buka može imati izraženiji uticaj na odmor i kvalitet života. Pregled u nastavku koristi se kao kontrolni pokazatelj za izbor mjera koje treba da daju efekat i tokom noći.</w:t>
      </w:r>
    </w:p>
    <w:p w:rsidR="004E4A3C" w:rsidRDefault="00FD7157">
      <w:pPr>
        <w:keepNext/>
        <w:keepLines/>
        <w:spacing w:after="40"/>
        <w:rPr>
          <w:b/>
          <w:bCs/>
        </w:rPr>
      </w:pPr>
      <w:r>
        <w:rPr>
          <w:b/>
          <w:bCs/>
        </w:rPr>
        <w:t>Tabela 1</w:t>
      </w:r>
      <w:r>
        <w:rPr>
          <w:b/>
          <w:bCs/>
        </w:rPr>
        <w:t>0. Pregled izloženosti stanovništva prema Lnight</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4194"/>
        <w:gridCol w:w="5671"/>
      </w:tblGrid>
      <w:tr w:rsidR="004E4A3C">
        <w:trPr>
          <w:cantSplit/>
          <w:tblHeader/>
          <w:jc w:val="center"/>
        </w:trPr>
        <w:tc>
          <w:tcPr>
            <w:tcW w:w="4194" w:type="dxa"/>
            <w:shd w:val="clear" w:color="auto" w:fill="D9EAF7"/>
          </w:tcPr>
          <w:p w:rsidR="004E4A3C" w:rsidRDefault="00FD7157">
            <w:pPr>
              <w:spacing w:after="0" w:line="240" w:lineRule="auto"/>
              <w:jc w:val="center"/>
            </w:pPr>
            <w:r>
              <w:rPr>
                <w:rFonts w:cs="Arial"/>
                <w:b/>
                <w:color w:val="000000"/>
                <w:sz w:val="18"/>
                <w:szCs w:val="18"/>
              </w:rPr>
              <w:t>Opseg Lnight / dB(A)</w:t>
            </w:r>
          </w:p>
        </w:tc>
        <w:tc>
          <w:tcPr>
            <w:tcW w:w="5670" w:type="dxa"/>
            <w:shd w:val="clear" w:color="auto" w:fill="D9EAF7"/>
          </w:tcPr>
          <w:p w:rsidR="004E4A3C" w:rsidRDefault="00FD7157">
            <w:pPr>
              <w:spacing w:after="0" w:line="240" w:lineRule="auto"/>
              <w:jc w:val="center"/>
            </w:pPr>
            <w:r>
              <w:rPr>
                <w:rFonts w:cs="Arial"/>
                <w:b/>
                <w:color w:val="000000"/>
                <w:sz w:val="18"/>
                <w:szCs w:val="18"/>
              </w:rPr>
              <w:t>Broj stanovnika</w:t>
            </w:r>
          </w:p>
        </w:tc>
      </w:tr>
      <w:tr w:rsidR="004E4A3C">
        <w:trPr>
          <w:cantSplit/>
          <w:jc w:val="center"/>
        </w:trPr>
        <w:tc>
          <w:tcPr>
            <w:tcW w:w="4194" w:type="dxa"/>
          </w:tcPr>
          <w:p w:rsidR="004E4A3C" w:rsidRDefault="00FD7157">
            <w:pPr>
              <w:spacing w:after="0" w:line="240" w:lineRule="auto"/>
              <w:jc w:val="center"/>
            </w:pPr>
            <w:r>
              <w:rPr>
                <w:rFonts w:cs="Arial"/>
                <w:sz w:val="18"/>
                <w:szCs w:val="18"/>
              </w:rPr>
              <w:t>&lt;45</w:t>
            </w:r>
          </w:p>
        </w:tc>
        <w:tc>
          <w:tcPr>
            <w:tcW w:w="5670" w:type="dxa"/>
          </w:tcPr>
          <w:p w:rsidR="004E4A3C" w:rsidRDefault="00FD7157">
            <w:pPr>
              <w:spacing w:after="0" w:line="240" w:lineRule="auto"/>
              <w:jc w:val="center"/>
            </w:pPr>
            <w:r>
              <w:rPr>
                <w:rFonts w:cs="Arial"/>
                <w:sz w:val="18"/>
                <w:szCs w:val="18"/>
              </w:rPr>
              <w:t>3770,4</w:t>
            </w:r>
          </w:p>
        </w:tc>
      </w:tr>
      <w:tr w:rsidR="004E4A3C">
        <w:trPr>
          <w:cantSplit/>
          <w:jc w:val="center"/>
        </w:trPr>
        <w:tc>
          <w:tcPr>
            <w:tcW w:w="4194" w:type="dxa"/>
          </w:tcPr>
          <w:p w:rsidR="004E4A3C" w:rsidRDefault="00FD7157">
            <w:pPr>
              <w:spacing w:after="0" w:line="240" w:lineRule="auto"/>
              <w:jc w:val="center"/>
            </w:pPr>
            <w:r>
              <w:rPr>
                <w:rFonts w:cs="Arial"/>
                <w:sz w:val="18"/>
                <w:szCs w:val="18"/>
              </w:rPr>
              <w:t>45-49</w:t>
            </w:r>
          </w:p>
        </w:tc>
        <w:tc>
          <w:tcPr>
            <w:tcW w:w="5670" w:type="dxa"/>
          </w:tcPr>
          <w:p w:rsidR="004E4A3C" w:rsidRDefault="00FD7157">
            <w:pPr>
              <w:spacing w:after="0" w:line="240" w:lineRule="auto"/>
              <w:jc w:val="center"/>
            </w:pPr>
            <w:r>
              <w:rPr>
                <w:rFonts w:cs="Arial"/>
                <w:sz w:val="18"/>
                <w:szCs w:val="18"/>
              </w:rPr>
              <w:t>218,3</w:t>
            </w:r>
          </w:p>
        </w:tc>
      </w:tr>
      <w:tr w:rsidR="004E4A3C">
        <w:trPr>
          <w:cantSplit/>
          <w:jc w:val="center"/>
        </w:trPr>
        <w:tc>
          <w:tcPr>
            <w:tcW w:w="4194" w:type="dxa"/>
          </w:tcPr>
          <w:p w:rsidR="004E4A3C" w:rsidRDefault="00FD7157">
            <w:pPr>
              <w:spacing w:after="0" w:line="240" w:lineRule="auto"/>
              <w:jc w:val="center"/>
            </w:pPr>
            <w:r>
              <w:rPr>
                <w:rFonts w:cs="Arial"/>
                <w:sz w:val="18"/>
                <w:szCs w:val="18"/>
              </w:rPr>
              <w:t>50-54</w:t>
            </w:r>
          </w:p>
        </w:tc>
        <w:tc>
          <w:tcPr>
            <w:tcW w:w="5670" w:type="dxa"/>
          </w:tcPr>
          <w:p w:rsidR="004E4A3C" w:rsidRDefault="00FD7157">
            <w:pPr>
              <w:spacing w:after="0" w:line="240" w:lineRule="auto"/>
              <w:jc w:val="center"/>
            </w:pPr>
            <w:r>
              <w:rPr>
                <w:rFonts w:cs="Arial"/>
                <w:sz w:val="18"/>
                <w:szCs w:val="18"/>
              </w:rPr>
              <w:t>100,8</w:t>
            </w:r>
          </w:p>
        </w:tc>
      </w:tr>
      <w:tr w:rsidR="004E4A3C">
        <w:trPr>
          <w:cantSplit/>
          <w:jc w:val="center"/>
        </w:trPr>
        <w:tc>
          <w:tcPr>
            <w:tcW w:w="4194" w:type="dxa"/>
          </w:tcPr>
          <w:p w:rsidR="004E4A3C" w:rsidRDefault="00FD7157">
            <w:pPr>
              <w:spacing w:after="0" w:line="240" w:lineRule="auto"/>
              <w:jc w:val="center"/>
            </w:pPr>
            <w:r>
              <w:rPr>
                <w:rFonts w:cs="Arial"/>
                <w:sz w:val="18"/>
                <w:szCs w:val="18"/>
              </w:rPr>
              <w:t>55-59</w:t>
            </w:r>
          </w:p>
        </w:tc>
        <w:tc>
          <w:tcPr>
            <w:tcW w:w="5670" w:type="dxa"/>
          </w:tcPr>
          <w:p w:rsidR="004E4A3C" w:rsidRDefault="00FD7157">
            <w:pPr>
              <w:spacing w:after="0" w:line="240" w:lineRule="auto"/>
              <w:jc w:val="center"/>
            </w:pPr>
            <w:r>
              <w:rPr>
                <w:rFonts w:cs="Arial"/>
                <w:sz w:val="18"/>
                <w:szCs w:val="18"/>
              </w:rPr>
              <w:t>29,1</w:t>
            </w:r>
          </w:p>
        </w:tc>
      </w:tr>
      <w:tr w:rsidR="004E4A3C">
        <w:trPr>
          <w:cantSplit/>
          <w:jc w:val="center"/>
        </w:trPr>
        <w:tc>
          <w:tcPr>
            <w:tcW w:w="4194" w:type="dxa"/>
          </w:tcPr>
          <w:p w:rsidR="004E4A3C" w:rsidRDefault="00FD7157">
            <w:pPr>
              <w:spacing w:after="0" w:line="240" w:lineRule="auto"/>
              <w:jc w:val="center"/>
            </w:pPr>
            <w:r>
              <w:rPr>
                <w:rFonts w:cs="Arial"/>
                <w:sz w:val="18"/>
                <w:szCs w:val="18"/>
              </w:rPr>
              <w:t>60-64</w:t>
            </w:r>
          </w:p>
        </w:tc>
        <w:tc>
          <w:tcPr>
            <w:tcW w:w="5670" w:type="dxa"/>
          </w:tcPr>
          <w:p w:rsidR="004E4A3C" w:rsidRDefault="00FD7157">
            <w:pPr>
              <w:spacing w:after="0" w:line="240" w:lineRule="auto"/>
              <w:jc w:val="center"/>
            </w:pPr>
            <w:r>
              <w:rPr>
                <w:rFonts w:cs="Arial"/>
                <w:sz w:val="18"/>
                <w:szCs w:val="18"/>
              </w:rPr>
              <w:t>4,8</w:t>
            </w:r>
          </w:p>
        </w:tc>
      </w:tr>
      <w:tr w:rsidR="004E4A3C">
        <w:trPr>
          <w:cantSplit/>
          <w:jc w:val="center"/>
        </w:trPr>
        <w:tc>
          <w:tcPr>
            <w:tcW w:w="4194" w:type="dxa"/>
          </w:tcPr>
          <w:p w:rsidR="004E4A3C" w:rsidRDefault="00FD7157">
            <w:pPr>
              <w:spacing w:after="0" w:line="240" w:lineRule="auto"/>
              <w:jc w:val="center"/>
            </w:pPr>
            <w:r>
              <w:rPr>
                <w:rFonts w:cs="Arial"/>
                <w:sz w:val="18"/>
                <w:szCs w:val="18"/>
              </w:rPr>
              <w:t>65-69</w:t>
            </w:r>
          </w:p>
        </w:tc>
        <w:tc>
          <w:tcPr>
            <w:tcW w:w="5670" w:type="dxa"/>
          </w:tcPr>
          <w:p w:rsidR="004E4A3C" w:rsidRDefault="00FD7157">
            <w:pPr>
              <w:spacing w:after="0" w:line="240" w:lineRule="auto"/>
              <w:jc w:val="center"/>
            </w:pPr>
            <w:r>
              <w:rPr>
                <w:rFonts w:cs="Arial"/>
                <w:sz w:val="18"/>
                <w:szCs w:val="18"/>
              </w:rPr>
              <w:t>0,0</w:t>
            </w:r>
          </w:p>
        </w:tc>
      </w:tr>
      <w:tr w:rsidR="004E4A3C">
        <w:trPr>
          <w:cantSplit/>
          <w:jc w:val="center"/>
        </w:trPr>
        <w:tc>
          <w:tcPr>
            <w:tcW w:w="4194" w:type="dxa"/>
          </w:tcPr>
          <w:p w:rsidR="004E4A3C" w:rsidRDefault="00FD7157">
            <w:pPr>
              <w:spacing w:after="0" w:line="240" w:lineRule="auto"/>
              <w:jc w:val="center"/>
            </w:pPr>
            <w:r>
              <w:rPr>
                <w:rFonts w:cs="Arial"/>
                <w:sz w:val="18"/>
                <w:szCs w:val="18"/>
              </w:rPr>
              <w:t>&gt;70</w:t>
            </w:r>
          </w:p>
        </w:tc>
        <w:tc>
          <w:tcPr>
            <w:tcW w:w="5670" w:type="dxa"/>
          </w:tcPr>
          <w:p w:rsidR="004E4A3C" w:rsidRDefault="00FD7157">
            <w:pPr>
              <w:spacing w:after="0" w:line="240" w:lineRule="auto"/>
              <w:jc w:val="center"/>
            </w:pPr>
            <w:r>
              <w:rPr>
                <w:rFonts w:cs="Arial"/>
                <w:sz w:val="18"/>
                <w:szCs w:val="18"/>
              </w:rPr>
              <w:t>0,0</w:t>
            </w:r>
          </w:p>
        </w:tc>
      </w:tr>
    </w:tbl>
    <w:p w:rsidR="004E4A3C" w:rsidRDefault="004E4A3C"/>
    <w:p w:rsidR="004E4A3C" w:rsidRDefault="00FD7157">
      <w:pPr>
        <w:jc w:val="both"/>
      </w:pPr>
      <w:r>
        <w:t xml:space="preserve">Prema tabeli izloženosti iz SKB, približno 352,9 stanovnika nalazi se u razredima </w:t>
      </w:r>
      <w:r>
        <w:t>Lnight od 45 dB(A) i više. Ovo je apsolutni prag noćne izloženosti i koristi se kao dodatni kontrolni pokazatelj; formalno prekoračenje Lnight u baznom stanju iznosi 317,65 stanovnika prema tabeli prekoračenja po akustičkim zonama.</w:t>
      </w:r>
    </w:p>
    <w:p w:rsidR="004E4A3C" w:rsidRDefault="00FD7157">
      <w:pPr>
        <w:pStyle w:val="Heading2"/>
        <w:jc w:val="both"/>
      </w:pPr>
      <w:bookmarkStart w:id="69" w:name="__RefHeading___Toc9183_4023479253"/>
      <w:bookmarkStart w:id="70" w:name="_Toc231671808"/>
      <w:bookmarkEnd w:id="69"/>
      <w:r>
        <w:rPr>
          <w:rFonts w:ascii="Arial" w:eastAsia="Arial" w:hAnsi="Arial"/>
          <w:b w:val="0"/>
        </w:rPr>
        <w:t>4.4. Izloženost prema Ld</w:t>
      </w:r>
      <w:r>
        <w:rPr>
          <w:rFonts w:ascii="Arial" w:eastAsia="Arial" w:hAnsi="Arial"/>
          <w:b w:val="0"/>
        </w:rPr>
        <w:t>ay, Levening i Lden</w:t>
      </w:r>
      <w:bookmarkEnd w:id="70"/>
    </w:p>
    <w:p w:rsidR="004E4A3C" w:rsidRDefault="00FD7157">
      <w:pPr>
        <w:jc w:val="both"/>
      </w:pPr>
      <w:r>
        <w:t>Pored zbirnog indikatora Lden, za potpuno razumijevanje opterećenja korisno je sagledati i dnevni i večernji period. Ovakav prikaz omogućava da se utvrdi da li je problem dominantno vezan za cjelodnevni saobraćaj ili za pojedine referen</w:t>
      </w:r>
      <w:r>
        <w:t>tne periode.</w:t>
      </w:r>
    </w:p>
    <w:p w:rsidR="004E4A3C" w:rsidRDefault="00FD7157">
      <w:pPr>
        <w:keepNext/>
        <w:keepLines/>
        <w:spacing w:after="40"/>
        <w:rPr>
          <w:b/>
          <w:bCs/>
        </w:rPr>
      </w:pPr>
      <w:r>
        <w:rPr>
          <w:b/>
          <w:bCs/>
        </w:rPr>
        <w:t>Tabela 11. Izloženost stanovništva indikatorima Lday, Levening i Lden</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2269"/>
        <w:gridCol w:w="2494"/>
        <w:gridCol w:w="2494"/>
        <w:gridCol w:w="2608"/>
      </w:tblGrid>
      <w:tr w:rsidR="004E4A3C">
        <w:trPr>
          <w:cantSplit/>
          <w:tblHeader/>
          <w:jc w:val="center"/>
        </w:trPr>
        <w:tc>
          <w:tcPr>
            <w:tcW w:w="2268" w:type="dxa"/>
            <w:shd w:val="clear" w:color="auto" w:fill="D9EAF7"/>
          </w:tcPr>
          <w:p w:rsidR="004E4A3C" w:rsidRDefault="00FD7157">
            <w:pPr>
              <w:spacing w:after="0" w:line="240" w:lineRule="auto"/>
              <w:jc w:val="center"/>
            </w:pPr>
            <w:r>
              <w:rPr>
                <w:rFonts w:cs="Arial"/>
                <w:b/>
                <w:color w:val="000000"/>
                <w:sz w:val="18"/>
                <w:szCs w:val="18"/>
              </w:rPr>
              <w:t>Opseg indikatora / dB(A)</w:t>
            </w:r>
          </w:p>
        </w:tc>
        <w:tc>
          <w:tcPr>
            <w:tcW w:w="2494" w:type="dxa"/>
            <w:shd w:val="clear" w:color="auto" w:fill="D9EAF7"/>
          </w:tcPr>
          <w:p w:rsidR="004E4A3C" w:rsidRDefault="00FD7157">
            <w:pPr>
              <w:spacing w:after="0" w:line="240" w:lineRule="auto"/>
              <w:jc w:val="center"/>
            </w:pPr>
            <w:r>
              <w:rPr>
                <w:rFonts w:cs="Arial"/>
                <w:b/>
                <w:color w:val="000000"/>
                <w:sz w:val="18"/>
                <w:szCs w:val="18"/>
              </w:rPr>
              <w:t>Lday - stanovnika</w:t>
            </w:r>
          </w:p>
        </w:tc>
        <w:tc>
          <w:tcPr>
            <w:tcW w:w="2494" w:type="dxa"/>
            <w:shd w:val="clear" w:color="auto" w:fill="D9EAF7"/>
          </w:tcPr>
          <w:p w:rsidR="004E4A3C" w:rsidRDefault="00FD7157">
            <w:pPr>
              <w:spacing w:after="0" w:line="240" w:lineRule="auto"/>
              <w:jc w:val="center"/>
            </w:pPr>
            <w:r>
              <w:rPr>
                <w:rFonts w:cs="Arial"/>
                <w:b/>
                <w:color w:val="000000"/>
                <w:sz w:val="18"/>
                <w:szCs w:val="18"/>
              </w:rPr>
              <w:t>Levening - stanovnika</w:t>
            </w:r>
          </w:p>
        </w:tc>
        <w:tc>
          <w:tcPr>
            <w:tcW w:w="2608" w:type="dxa"/>
            <w:shd w:val="clear" w:color="auto" w:fill="D9EAF7"/>
          </w:tcPr>
          <w:p w:rsidR="004E4A3C" w:rsidRDefault="00FD7157">
            <w:pPr>
              <w:spacing w:after="0" w:line="240" w:lineRule="auto"/>
              <w:jc w:val="center"/>
            </w:pPr>
            <w:r>
              <w:rPr>
                <w:rFonts w:cs="Arial"/>
                <w:b/>
                <w:color w:val="000000"/>
                <w:sz w:val="18"/>
                <w:szCs w:val="18"/>
              </w:rPr>
              <w:t>Lden - stanovnika</w:t>
            </w:r>
          </w:p>
        </w:tc>
      </w:tr>
      <w:tr w:rsidR="004E4A3C">
        <w:trPr>
          <w:cantSplit/>
          <w:jc w:val="center"/>
        </w:trPr>
        <w:tc>
          <w:tcPr>
            <w:tcW w:w="2268" w:type="dxa"/>
          </w:tcPr>
          <w:p w:rsidR="004E4A3C" w:rsidRDefault="00FD7157">
            <w:pPr>
              <w:spacing w:after="0" w:line="240" w:lineRule="auto"/>
              <w:jc w:val="center"/>
            </w:pPr>
            <w:r>
              <w:rPr>
                <w:rFonts w:cs="Arial"/>
                <w:sz w:val="18"/>
                <w:szCs w:val="18"/>
              </w:rPr>
              <w:t>&lt;45</w:t>
            </w:r>
          </w:p>
        </w:tc>
        <w:tc>
          <w:tcPr>
            <w:tcW w:w="2494" w:type="dxa"/>
          </w:tcPr>
          <w:p w:rsidR="004E4A3C" w:rsidRDefault="00FD7157">
            <w:pPr>
              <w:spacing w:after="0" w:line="240" w:lineRule="auto"/>
              <w:jc w:val="center"/>
            </w:pPr>
            <w:r>
              <w:rPr>
                <w:rFonts w:cs="Arial"/>
                <w:sz w:val="18"/>
                <w:szCs w:val="18"/>
              </w:rPr>
              <w:t>3548,8</w:t>
            </w:r>
          </w:p>
        </w:tc>
        <w:tc>
          <w:tcPr>
            <w:tcW w:w="2494" w:type="dxa"/>
          </w:tcPr>
          <w:p w:rsidR="004E4A3C" w:rsidRDefault="00FD7157">
            <w:pPr>
              <w:spacing w:after="0" w:line="240" w:lineRule="auto"/>
              <w:jc w:val="center"/>
            </w:pPr>
            <w:r>
              <w:rPr>
                <w:rFonts w:cs="Arial"/>
                <w:sz w:val="18"/>
                <w:szCs w:val="18"/>
              </w:rPr>
              <w:t>3553,2</w:t>
            </w:r>
          </w:p>
        </w:tc>
        <w:tc>
          <w:tcPr>
            <w:tcW w:w="2608" w:type="dxa"/>
          </w:tcPr>
          <w:p w:rsidR="004E4A3C" w:rsidRDefault="00FD7157">
            <w:pPr>
              <w:spacing w:after="0" w:line="240" w:lineRule="auto"/>
              <w:jc w:val="center"/>
            </w:pPr>
            <w:r>
              <w:rPr>
                <w:rFonts w:cs="Arial"/>
                <w:sz w:val="18"/>
                <w:szCs w:val="18"/>
              </w:rPr>
              <w:t>3371,0</w:t>
            </w:r>
          </w:p>
        </w:tc>
      </w:tr>
      <w:tr w:rsidR="004E4A3C">
        <w:trPr>
          <w:cantSplit/>
          <w:jc w:val="center"/>
        </w:trPr>
        <w:tc>
          <w:tcPr>
            <w:tcW w:w="2268" w:type="dxa"/>
          </w:tcPr>
          <w:p w:rsidR="004E4A3C" w:rsidRDefault="00FD7157">
            <w:pPr>
              <w:spacing w:after="0" w:line="240" w:lineRule="auto"/>
              <w:jc w:val="center"/>
            </w:pPr>
            <w:r>
              <w:rPr>
                <w:rFonts w:cs="Arial"/>
                <w:sz w:val="18"/>
                <w:szCs w:val="18"/>
              </w:rPr>
              <w:t>45-49</w:t>
            </w:r>
          </w:p>
        </w:tc>
        <w:tc>
          <w:tcPr>
            <w:tcW w:w="2494" w:type="dxa"/>
          </w:tcPr>
          <w:p w:rsidR="004E4A3C" w:rsidRDefault="00FD7157">
            <w:pPr>
              <w:spacing w:after="0" w:line="240" w:lineRule="auto"/>
              <w:jc w:val="center"/>
            </w:pPr>
            <w:r>
              <w:rPr>
                <w:rFonts w:cs="Arial"/>
                <w:sz w:val="18"/>
                <w:szCs w:val="18"/>
              </w:rPr>
              <w:t>174,3</w:t>
            </w:r>
          </w:p>
        </w:tc>
        <w:tc>
          <w:tcPr>
            <w:tcW w:w="2494" w:type="dxa"/>
          </w:tcPr>
          <w:p w:rsidR="004E4A3C" w:rsidRDefault="00FD7157">
            <w:pPr>
              <w:spacing w:after="0" w:line="240" w:lineRule="auto"/>
              <w:jc w:val="center"/>
            </w:pPr>
            <w:r>
              <w:rPr>
                <w:rFonts w:cs="Arial"/>
                <w:sz w:val="18"/>
                <w:szCs w:val="18"/>
              </w:rPr>
              <w:t>185,7</w:t>
            </w:r>
          </w:p>
        </w:tc>
        <w:tc>
          <w:tcPr>
            <w:tcW w:w="2608" w:type="dxa"/>
          </w:tcPr>
          <w:p w:rsidR="004E4A3C" w:rsidRDefault="00FD7157">
            <w:pPr>
              <w:spacing w:after="0" w:line="240" w:lineRule="auto"/>
              <w:jc w:val="center"/>
            </w:pPr>
            <w:r>
              <w:rPr>
                <w:rFonts w:cs="Arial"/>
                <w:sz w:val="18"/>
                <w:szCs w:val="18"/>
              </w:rPr>
              <w:t>262,8</w:t>
            </w:r>
          </w:p>
        </w:tc>
      </w:tr>
      <w:tr w:rsidR="004E4A3C">
        <w:trPr>
          <w:cantSplit/>
          <w:jc w:val="center"/>
        </w:trPr>
        <w:tc>
          <w:tcPr>
            <w:tcW w:w="2268" w:type="dxa"/>
          </w:tcPr>
          <w:p w:rsidR="004E4A3C" w:rsidRDefault="00FD7157">
            <w:pPr>
              <w:spacing w:after="0" w:line="240" w:lineRule="auto"/>
              <w:jc w:val="center"/>
            </w:pPr>
            <w:r>
              <w:rPr>
                <w:rFonts w:cs="Arial"/>
                <w:sz w:val="18"/>
                <w:szCs w:val="18"/>
              </w:rPr>
              <w:t>50-54</w:t>
            </w:r>
          </w:p>
        </w:tc>
        <w:tc>
          <w:tcPr>
            <w:tcW w:w="2494" w:type="dxa"/>
          </w:tcPr>
          <w:p w:rsidR="004E4A3C" w:rsidRDefault="00FD7157">
            <w:pPr>
              <w:spacing w:after="0" w:line="240" w:lineRule="auto"/>
              <w:jc w:val="center"/>
            </w:pPr>
            <w:r>
              <w:rPr>
                <w:rFonts w:cs="Arial"/>
                <w:sz w:val="18"/>
                <w:szCs w:val="18"/>
              </w:rPr>
              <w:t>189,4</w:t>
            </w:r>
          </w:p>
        </w:tc>
        <w:tc>
          <w:tcPr>
            <w:tcW w:w="2494" w:type="dxa"/>
          </w:tcPr>
          <w:p w:rsidR="004E4A3C" w:rsidRDefault="00FD7157">
            <w:pPr>
              <w:spacing w:after="0" w:line="240" w:lineRule="auto"/>
              <w:jc w:val="center"/>
            </w:pPr>
            <w:r>
              <w:rPr>
                <w:rFonts w:cs="Arial"/>
                <w:sz w:val="18"/>
                <w:szCs w:val="18"/>
              </w:rPr>
              <w:t>203,2</w:t>
            </w:r>
          </w:p>
        </w:tc>
        <w:tc>
          <w:tcPr>
            <w:tcW w:w="2608" w:type="dxa"/>
          </w:tcPr>
          <w:p w:rsidR="004E4A3C" w:rsidRDefault="00FD7157">
            <w:pPr>
              <w:spacing w:after="0" w:line="240" w:lineRule="auto"/>
              <w:jc w:val="center"/>
            </w:pPr>
            <w:r>
              <w:rPr>
                <w:rFonts w:cs="Arial"/>
                <w:sz w:val="18"/>
                <w:szCs w:val="18"/>
              </w:rPr>
              <w:t>182,1</w:t>
            </w:r>
          </w:p>
        </w:tc>
      </w:tr>
      <w:tr w:rsidR="004E4A3C">
        <w:trPr>
          <w:cantSplit/>
          <w:jc w:val="center"/>
        </w:trPr>
        <w:tc>
          <w:tcPr>
            <w:tcW w:w="2268" w:type="dxa"/>
          </w:tcPr>
          <w:p w:rsidR="004E4A3C" w:rsidRDefault="00FD7157">
            <w:pPr>
              <w:spacing w:after="0" w:line="240" w:lineRule="auto"/>
              <w:jc w:val="center"/>
            </w:pPr>
            <w:r>
              <w:rPr>
                <w:rFonts w:cs="Arial"/>
                <w:sz w:val="18"/>
                <w:szCs w:val="18"/>
              </w:rPr>
              <w:t>55-59</w:t>
            </w:r>
          </w:p>
        </w:tc>
        <w:tc>
          <w:tcPr>
            <w:tcW w:w="2494" w:type="dxa"/>
          </w:tcPr>
          <w:p w:rsidR="004E4A3C" w:rsidRDefault="00FD7157">
            <w:pPr>
              <w:spacing w:after="0" w:line="240" w:lineRule="auto"/>
              <w:jc w:val="center"/>
            </w:pPr>
            <w:r>
              <w:rPr>
                <w:rFonts w:cs="Arial"/>
                <w:sz w:val="18"/>
                <w:szCs w:val="18"/>
              </w:rPr>
              <w:t>147,9</w:t>
            </w:r>
          </w:p>
        </w:tc>
        <w:tc>
          <w:tcPr>
            <w:tcW w:w="2494" w:type="dxa"/>
          </w:tcPr>
          <w:p w:rsidR="004E4A3C" w:rsidRDefault="00FD7157">
            <w:pPr>
              <w:spacing w:after="0" w:line="240" w:lineRule="auto"/>
              <w:jc w:val="center"/>
            </w:pPr>
            <w:r>
              <w:rPr>
                <w:rFonts w:cs="Arial"/>
                <w:sz w:val="18"/>
                <w:szCs w:val="18"/>
              </w:rPr>
              <w:t>128,4</w:t>
            </w:r>
          </w:p>
        </w:tc>
        <w:tc>
          <w:tcPr>
            <w:tcW w:w="2608" w:type="dxa"/>
          </w:tcPr>
          <w:p w:rsidR="004E4A3C" w:rsidRDefault="00FD7157">
            <w:pPr>
              <w:spacing w:after="0" w:line="240" w:lineRule="auto"/>
              <w:jc w:val="center"/>
            </w:pPr>
            <w:r>
              <w:rPr>
                <w:rFonts w:cs="Arial"/>
                <w:sz w:val="18"/>
                <w:szCs w:val="18"/>
              </w:rPr>
              <w:t>190,3</w:t>
            </w:r>
          </w:p>
        </w:tc>
      </w:tr>
      <w:tr w:rsidR="004E4A3C">
        <w:trPr>
          <w:cantSplit/>
          <w:jc w:val="center"/>
        </w:trPr>
        <w:tc>
          <w:tcPr>
            <w:tcW w:w="2268" w:type="dxa"/>
          </w:tcPr>
          <w:p w:rsidR="004E4A3C" w:rsidRDefault="00FD7157">
            <w:pPr>
              <w:spacing w:after="0" w:line="240" w:lineRule="auto"/>
              <w:jc w:val="center"/>
            </w:pPr>
            <w:r>
              <w:rPr>
                <w:rFonts w:cs="Arial"/>
                <w:sz w:val="18"/>
                <w:szCs w:val="18"/>
              </w:rPr>
              <w:lastRenderedPageBreak/>
              <w:t>60-64</w:t>
            </w:r>
          </w:p>
        </w:tc>
        <w:tc>
          <w:tcPr>
            <w:tcW w:w="2494" w:type="dxa"/>
          </w:tcPr>
          <w:p w:rsidR="004E4A3C" w:rsidRDefault="00FD7157">
            <w:pPr>
              <w:spacing w:after="0" w:line="240" w:lineRule="auto"/>
              <w:jc w:val="center"/>
            </w:pPr>
            <w:r>
              <w:rPr>
                <w:rFonts w:cs="Arial"/>
                <w:sz w:val="18"/>
                <w:szCs w:val="18"/>
              </w:rPr>
              <w:t>53,4</w:t>
            </w:r>
          </w:p>
        </w:tc>
        <w:tc>
          <w:tcPr>
            <w:tcW w:w="2494" w:type="dxa"/>
          </w:tcPr>
          <w:p w:rsidR="004E4A3C" w:rsidRDefault="00FD7157">
            <w:pPr>
              <w:spacing w:after="0" w:line="240" w:lineRule="auto"/>
              <w:jc w:val="center"/>
            </w:pPr>
            <w:r>
              <w:rPr>
                <w:rFonts w:cs="Arial"/>
                <w:sz w:val="18"/>
                <w:szCs w:val="18"/>
              </w:rPr>
              <w:t>44,4</w:t>
            </w:r>
          </w:p>
        </w:tc>
        <w:tc>
          <w:tcPr>
            <w:tcW w:w="2608" w:type="dxa"/>
          </w:tcPr>
          <w:p w:rsidR="004E4A3C" w:rsidRDefault="00FD7157">
            <w:pPr>
              <w:spacing w:after="0" w:line="240" w:lineRule="auto"/>
              <w:jc w:val="center"/>
            </w:pPr>
            <w:r>
              <w:rPr>
                <w:rFonts w:cs="Arial"/>
                <w:sz w:val="18"/>
                <w:szCs w:val="18"/>
              </w:rPr>
              <w:t>92,3</w:t>
            </w:r>
          </w:p>
        </w:tc>
      </w:tr>
      <w:tr w:rsidR="004E4A3C">
        <w:trPr>
          <w:cantSplit/>
          <w:jc w:val="center"/>
        </w:trPr>
        <w:tc>
          <w:tcPr>
            <w:tcW w:w="2268" w:type="dxa"/>
          </w:tcPr>
          <w:p w:rsidR="004E4A3C" w:rsidRDefault="00FD7157">
            <w:pPr>
              <w:spacing w:after="0" w:line="240" w:lineRule="auto"/>
              <w:jc w:val="center"/>
            </w:pPr>
            <w:r>
              <w:rPr>
                <w:rFonts w:cs="Arial"/>
                <w:sz w:val="18"/>
                <w:szCs w:val="18"/>
              </w:rPr>
              <w:t>65-69</w:t>
            </w:r>
          </w:p>
        </w:tc>
        <w:tc>
          <w:tcPr>
            <w:tcW w:w="2494" w:type="dxa"/>
          </w:tcPr>
          <w:p w:rsidR="004E4A3C" w:rsidRDefault="00FD7157">
            <w:pPr>
              <w:spacing w:after="0" w:line="240" w:lineRule="auto"/>
              <w:jc w:val="center"/>
            </w:pPr>
            <w:r>
              <w:rPr>
                <w:rFonts w:cs="Arial"/>
                <w:sz w:val="18"/>
                <w:szCs w:val="18"/>
              </w:rPr>
              <w:t>9,7</w:t>
            </w:r>
          </w:p>
        </w:tc>
        <w:tc>
          <w:tcPr>
            <w:tcW w:w="2494" w:type="dxa"/>
          </w:tcPr>
          <w:p w:rsidR="004E4A3C" w:rsidRDefault="00FD7157">
            <w:pPr>
              <w:spacing w:after="0" w:line="240" w:lineRule="auto"/>
              <w:jc w:val="center"/>
            </w:pPr>
            <w:r>
              <w:rPr>
                <w:rFonts w:cs="Arial"/>
                <w:sz w:val="18"/>
                <w:szCs w:val="18"/>
              </w:rPr>
              <w:t>8,6</w:t>
            </w:r>
          </w:p>
        </w:tc>
        <w:tc>
          <w:tcPr>
            <w:tcW w:w="2608" w:type="dxa"/>
          </w:tcPr>
          <w:p w:rsidR="004E4A3C" w:rsidRDefault="00FD7157">
            <w:pPr>
              <w:spacing w:after="0" w:line="240" w:lineRule="auto"/>
              <w:jc w:val="center"/>
            </w:pPr>
            <w:r>
              <w:rPr>
                <w:rFonts w:cs="Arial"/>
                <w:sz w:val="18"/>
                <w:szCs w:val="18"/>
              </w:rPr>
              <w:t>22,6</w:t>
            </w:r>
          </w:p>
        </w:tc>
      </w:tr>
      <w:tr w:rsidR="004E4A3C">
        <w:trPr>
          <w:cantSplit/>
          <w:jc w:val="center"/>
        </w:trPr>
        <w:tc>
          <w:tcPr>
            <w:tcW w:w="2268" w:type="dxa"/>
          </w:tcPr>
          <w:p w:rsidR="004E4A3C" w:rsidRDefault="00FD7157">
            <w:pPr>
              <w:spacing w:after="0" w:line="240" w:lineRule="auto"/>
              <w:jc w:val="center"/>
            </w:pPr>
            <w:r>
              <w:rPr>
                <w:rFonts w:cs="Arial"/>
                <w:sz w:val="18"/>
                <w:szCs w:val="18"/>
              </w:rPr>
              <w:t>70-74</w:t>
            </w:r>
          </w:p>
        </w:tc>
        <w:tc>
          <w:tcPr>
            <w:tcW w:w="2494" w:type="dxa"/>
          </w:tcPr>
          <w:p w:rsidR="004E4A3C" w:rsidRDefault="00FD7157">
            <w:pPr>
              <w:spacing w:after="0" w:line="240" w:lineRule="auto"/>
              <w:jc w:val="center"/>
            </w:pPr>
            <w:r>
              <w:rPr>
                <w:rFonts w:cs="Arial"/>
                <w:sz w:val="18"/>
                <w:szCs w:val="18"/>
              </w:rPr>
              <w:t>0,0</w:t>
            </w:r>
          </w:p>
        </w:tc>
        <w:tc>
          <w:tcPr>
            <w:tcW w:w="2494" w:type="dxa"/>
          </w:tcPr>
          <w:p w:rsidR="004E4A3C" w:rsidRDefault="00FD7157">
            <w:pPr>
              <w:spacing w:after="0" w:line="240" w:lineRule="auto"/>
              <w:jc w:val="center"/>
            </w:pPr>
            <w:r>
              <w:rPr>
                <w:rFonts w:cs="Arial"/>
                <w:sz w:val="18"/>
                <w:szCs w:val="18"/>
              </w:rPr>
              <w:t>0,0</w:t>
            </w:r>
          </w:p>
        </w:tc>
        <w:tc>
          <w:tcPr>
            <w:tcW w:w="2608" w:type="dxa"/>
          </w:tcPr>
          <w:p w:rsidR="004E4A3C" w:rsidRDefault="00FD7157">
            <w:pPr>
              <w:spacing w:after="0" w:line="240" w:lineRule="auto"/>
              <w:jc w:val="center"/>
            </w:pPr>
            <w:r>
              <w:rPr>
                <w:rFonts w:cs="Arial"/>
                <w:sz w:val="18"/>
                <w:szCs w:val="18"/>
              </w:rPr>
              <w:t>2,4</w:t>
            </w:r>
          </w:p>
        </w:tc>
      </w:tr>
      <w:tr w:rsidR="004E4A3C">
        <w:trPr>
          <w:cantSplit/>
          <w:jc w:val="center"/>
        </w:trPr>
        <w:tc>
          <w:tcPr>
            <w:tcW w:w="2268" w:type="dxa"/>
          </w:tcPr>
          <w:p w:rsidR="004E4A3C" w:rsidRDefault="00FD7157">
            <w:pPr>
              <w:spacing w:after="0" w:line="240" w:lineRule="auto"/>
              <w:jc w:val="center"/>
            </w:pPr>
            <w:r>
              <w:rPr>
                <w:rFonts w:cs="Arial"/>
                <w:sz w:val="18"/>
                <w:szCs w:val="18"/>
              </w:rPr>
              <w:t>&gt;75</w:t>
            </w:r>
          </w:p>
        </w:tc>
        <w:tc>
          <w:tcPr>
            <w:tcW w:w="2494" w:type="dxa"/>
          </w:tcPr>
          <w:p w:rsidR="004E4A3C" w:rsidRDefault="00FD7157">
            <w:pPr>
              <w:spacing w:after="0" w:line="240" w:lineRule="auto"/>
              <w:jc w:val="center"/>
            </w:pPr>
            <w:r>
              <w:rPr>
                <w:rFonts w:cs="Arial"/>
                <w:sz w:val="18"/>
                <w:szCs w:val="18"/>
              </w:rPr>
              <w:t>0,0</w:t>
            </w:r>
          </w:p>
        </w:tc>
        <w:tc>
          <w:tcPr>
            <w:tcW w:w="2494" w:type="dxa"/>
          </w:tcPr>
          <w:p w:rsidR="004E4A3C" w:rsidRDefault="00FD7157">
            <w:pPr>
              <w:spacing w:after="0" w:line="240" w:lineRule="auto"/>
              <w:jc w:val="center"/>
            </w:pPr>
            <w:r>
              <w:rPr>
                <w:rFonts w:cs="Arial"/>
                <w:sz w:val="18"/>
                <w:szCs w:val="18"/>
              </w:rPr>
              <w:t>0,0</w:t>
            </w:r>
          </w:p>
        </w:tc>
        <w:tc>
          <w:tcPr>
            <w:tcW w:w="2608" w:type="dxa"/>
          </w:tcPr>
          <w:p w:rsidR="004E4A3C" w:rsidRDefault="00FD7157">
            <w:pPr>
              <w:spacing w:after="0" w:line="240" w:lineRule="auto"/>
              <w:jc w:val="center"/>
            </w:pPr>
            <w:r>
              <w:rPr>
                <w:rFonts w:cs="Arial"/>
                <w:sz w:val="18"/>
                <w:szCs w:val="18"/>
              </w:rPr>
              <w:t>0,0</w:t>
            </w:r>
          </w:p>
        </w:tc>
      </w:tr>
    </w:tbl>
    <w:p w:rsidR="004E4A3C" w:rsidRDefault="00FD7157">
      <w:pPr>
        <w:pStyle w:val="Heading2"/>
      </w:pPr>
      <w:bookmarkStart w:id="71" w:name="__RefHeading___Toc9185_4023479253"/>
      <w:bookmarkStart w:id="72" w:name="_Toc231671809"/>
      <w:bookmarkEnd w:id="71"/>
      <w:r>
        <w:rPr>
          <w:rFonts w:ascii="Arial" w:eastAsia="Arial" w:hAnsi="Arial"/>
          <w:b w:val="0"/>
        </w:rPr>
        <w:t>4.5. Površine, stanovi i stanovništvo izloženi Lden vrijednostima</w:t>
      </w:r>
      <w:bookmarkEnd w:id="72"/>
    </w:p>
    <w:p w:rsidR="004E4A3C" w:rsidRDefault="00FD7157">
      <w:pPr>
        <w:jc w:val="both"/>
      </w:pPr>
      <w:r>
        <w:t>Ovaj pregled proširuje analizu izloženosti sa stanovništva na prostorni obuhvat i procijenjeni broj</w:t>
      </w:r>
      <w:r>
        <w:t xml:space="preserve"> stanova. Takav pristup omogućava da se sagleda ne samo broj ljudi, već i površina i stambeni fond koji se nalaze u pojedinim klasama buke.</w:t>
      </w:r>
    </w:p>
    <w:p w:rsidR="004E4A3C" w:rsidRDefault="00FD7157">
      <w:pPr>
        <w:keepNext/>
        <w:keepLines/>
        <w:spacing w:after="40"/>
        <w:rPr>
          <w:b/>
          <w:bCs/>
        </w:rPr>
      </w:pPr>
      <w:r>
        <w:rPr>
          <w:b/>
          <w:bCs/>
        </w:rPr>
        <w:t>Tabela 12. Izložena površina, procijenjeni broj stanova i stanovnika po opsezima Lden</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2269"/>
        <w:gridCol w:w="2494"/>
        <w:gridCol w:w="2494"/>
        <w:gridCol w:w="2608"/>
      </w:tblGrid>
      <w:tr w:rsidR="004E4A3C">
        <w:trPr>
          <w:cantSplit/>
          <w:tblHeader/>
          <w:jc w:val="center"/>
        </w:trPr>
        <w:tc>
          <w:tcPr>
            <w:tcW w:w="2268" w:type="dxa"/>
            <w:shd w:val="clear" w:color="auto" w:fill="D9EAF7"/>
          </w:tcPr>
          <w:p w:rsidR="004E4A3C" w:rsidRDefault="00FD7157">
            <w:pPr>
              <w:spacing w:after="0" w:line="240" w:lineRule="auto"/>
              <w:jc w:val="center"/>
            </w:pPr>
            <w:r>
              <w:rPr>
                <w:rFonts w:cs="Arial"/>
                <w:b/>
                <w:color w:val="000000"/>
                <w:sz w:val="18"/>
                <w:szCs w:val="18"/>
              </w:rPr>
              <w:t>Opseg Lden / dB(A)</w:t>
            </w:r>
          </w:p>
        </w:tc>
        <w:tc>
          <w:tcPr>
            <w:tcW w:w="2494" w:type="dxa"/>
            <w:shd w:val="clear" w:color="auto" w:fill="D9EAF7"/>
          </w:tcPr>
          <w:p w:rsidR="004E4A3C" w:rsidRDefault="00FD7157">
            <w:pPr>
              <w:spacing w:after="0" w:line="240" w:lineRule="auto"/>
              <w:jc w:val="center"/>
            </w:pPr>
            <w:r>
              <w:rPr>
                <w:rFonts w:cs="Arial"/>
                <w:b/>
                <w:color w:val="000000"/>
                <w:sz w:val="18"/>
                <w:szCs w:val="18"/>
              </w:rPr>
              <w:t xml:space="preserve">Izložena </w:t>
            </w:r>
            <w:r>
              <w:rPr>
                <w:rFonts w:cs="Arial"/>
                <w:b/>
                <w:color w:val="000000"/>
                <w:sz w:val="18"/>
                <w:szCs w:val="18"/>
              </w:rPr>
              <w:t>površina km²</w:t>
            </w:r>
          </w:p>
        </w:tc>
        <w:tc>
          <w:tcPr>
            <w:tcW w:w="2494" w:type="dxa"/>
            <w:shd w:val="clear" w:color="auto" w:fill="D9EAF7"/>
          </w:tcPr>
          <w:p w:rsidR="004E4A3C" w:rsidRDefault="00FD7157">
            <w:pPr>
              <w:spacing w:after="0" w:line="240" w:lineRule="auto"/>
              <w:jc w:val="center"/>
            </w:pPr>
            <w:r>
              <w:rPr>
                <w:rFonts w:cs="Arial"/>
                <w:b/>
                <w:color w:val="000000"/>
                <w:sz w:val="18"/>
                <w:szCs w:val="18"/>
              </w:rPr>
              <w:t>Procijenjeni broj stanova</w:t>
            </w:r>
          </w:p>
        </w:tc>
        <w:tc>
          <w:tcPr>
            <w:tcW w:w="2608" w:type="dxa"/>
            <w:shd w:val="clear" w:color="auto" w:fill="D9EAF7"/>
          </w:tcPr>
          <w:p w:rsidR="004E4A3C" w:rsidRDefault="00FD7157">
            <w:pPr>
              <w:spacing w:after="0" w:line="240" w:lineRule="auto"/>
              <w:jc w:val="center"/>
            </w:pPr>
            <w:r>
              <w:rPr>
                <w:rFonts w:cs="Arial"/>
                <w:b/>
                <w:color w:val="000000"/>
                <w:sz w:val="18"/>
                <w:szCs w:val="18"/>
              </w:rPr>
              <w:t>Procijenjeni broj stanovnika</w:t>
            </w:r>
          </w:p>
        </w:tc>
      </w:tr>
      <w:tr w:rsidR="004E4A3C">
        <w:trPr>
          <w:cantSplit/>
          <w:jc w:val="center"/>
        </w:trPr>
        <w:tc>
          <w:tcPr>
            <w:tcW w:w="2268" w:type="dxa"/>
          </w:tcPr>
          <w:p w:rsidR="004E4A3C" w:rsidRDefault="00FD7157">
            <w:pPr>
              <w:spacing w:after="0" w:line="240" w:lineRule="auto"/>
              <w:jc w:val="center"/>
            </w:pPr>
            <w:r>
              <w:rPr>
                <w:rFonts w:cs="Arial"/>
                <w:sz w:val="18"/>
                <w:szCs w:val="18"/>
              </w:rPr>
              <w:t>55-65</w:t>
            </w:r>
          </w:p>
        </w:tc>
        <w:tc>
          <w:tcPr>
            <w:tcW w:w="2494" w:type="dxa"/>
          </w:tcPr>
          <w:p w:rsidR="004E4A3C" w:rsidRDefault="00FD7157">
            <w:pPr>
              <w:spacing w:after="0" w:line="240" w:lineRule="auto"/>
              <w:jc w:val="center"/>
            </w:pPr>
            <w:r>
              <w:rPr>
                <w:rFonts w:cs="Arial"/>
                <w:sz w:val="18"/>
                <w:szCs w:val="18"/>
              </w:rPr>
              <w:t>0,0373</w:t>
            </w:r>
          </w:p>
        </w:tc>
        <w:tc>
          <w:tcPr>
            <w:tcW w:w="2494" w:type="dxa"/>
          </w:tcPr>
          <w:p w:rsidR="004E4A3C" w:rsidRDefault="00FD7157">
            <w:pPr>
              <w:spacing w:after="0" w:line="240" w:lineRule="auto"/>
              <w:jc w:val="center"/>
            </w:pPr>
            <w:r>
              <w:rPr>
                <w:rFonts w:cs="Arial"/>
                <w:sz w:val="18"/>
                <w:szCs w:val="18"/>
              </w:rPr>
              <w:t>165,2</w:t>
            </w:r>
          </w:p>
        </w:tc>
        <w:tc>
          <w:tcPr>
            <w:tcW w:w="2608" w:type="dxa"/>
          </w:tcPr>
          <w:p w:rsidR="004E4A3C" w:rsidRDefault="00FD7157">
            <w:pPr>
              <w:spacing w:after="0" w:line="240" w:lineRule="auto"/>
              <w:jc w:val="center"/>
            </w:pPr>
            <w:r>
              <w:rPr>
                <w:rFonts w:cs="Arial"/>
                <w:sz w:val="18"/>
                <w:szCs w:val="18"/>
              </w:rPr>
              <w:t>282,6</w:t>
            </w:r>
          </w:p>
        </w:tc>
      </w:tr>
      <w:tr w:rsidR="004E4A3C">
        <w:trPr>
          <w:cantSplit/>
          <w:jc w:val="center"/>
        </w:trPr>
        <w:tc>
          <w:tcPr>
            <w:tcW w:w="2268" w:type="dxa"/>
          </w:tcPr>
          <w:p w:rsidR="004E4A3C" w:rsidRDefault="00FD7157">
            <w:pPr>
              <w:spacing w:after="0" w:line="240" w:lineRule="auto"/>
              <w:jc w:val="center"/>
            </w:pPr>
            <w:r>
              <w:rPr>
                <w:rFonts w:cs="Arial"/>
                <w:sz w:val="18"/>
                <w:szCs w:val="18"/>
              </w:rPr>
              <w:t>65-75</w:t>
            </w:r>
          </w:p>
        </w:tc>
        <w:tc>
          <w:tcPr>
            <w:tcW w:w="2494" w:type="dxa"/>
          </w:tcPr>
          <w:p w:rsidR="004E4A3C" w:rsidRDefault="00FD7157">
            <w:pPr>
              <w:spacing w:after="0" w:line="240" w:lineRule="auto"/>
              <w:jc w:val="center"/>
            </w:pPr>
            <w:r>
              <w:rPr>
                <w:rFonts w:cs="Arial"/>
                <w:sz w:val="18"/>
                <w:szCs w:val="18"/>
              </w:rPr>
              <w:t>0,0040</w:t>
            </w:r>
          </w:p>
        </w:tc>
        <w:tc>
          <w:tcPr>
            <w:tcW w:w="2494" w:type="dxa"/>
          </w:tcPr>
          <w:p w:rsidR="004E4A3C" w:rsidRDefault="00FD7157">
            <w:pPr>
              <w:spacing w:after="0" w:line="240" w:lineRule="auto"/>
              <w:jc w:val="center"/>
            </w:pPr>
            <w:r>
              <w:rPr>
                <w:rFonts w:cs="Arial"/>
                <w:sz w:val="18"/>
                <w:szCs w:val="18"/>
              </w:rPr>
              <w:t>20,4</w:t>
            </w:r>
          </w:p>
        </w:tc>
        <w:tc>
          <w:tcPr>
            <w:tcW w:w="2608" w:type="dxa"/>
          </w:tcPr>
          <w:p w:rsidR="004E4A3C" w:rsidRDefault="00FD7157">
            <w:pPr>
              <w:spacing w:after="0" w:line="240" w:lineRule="auto"/>
              <w:jc w:val="center"/>
            </w:pPr>
            <w:r>
              <w:rPr>
                <w:rFonts w:cs="Arial"/>
                <w:sz w:val="18"/>
                <w:szCs w:val="18"/>
              </w:rPr>
              <w:t>25,0</w:t>
            </w:r>
          </w:p>
        </w:tc>
      </w:tr>
      <w:tr w:rsidR="004E4A3C">
        <w:trPr>
          <w:cantSplit/>
          <w:jc w:val="center"/>
        </w:trPr>
        <w:tc>
          <w:tcPr>
            <w:tcW w:w="2268" w:type="dxa"/>
          </w:tcPr>
          <w:p w:rsidR="004E4A3C" w:rsidRDefault="00FD7157">
            <w:pPr>
              <w:spacing w:after="0" w:line="240" w:lineRule="auto"/>
              <w:jc w:val="center"/>
            </w:pPr>
            <w:r>
              <w:rPr>
                <w:rFonts w:cs="Arial"/>
                <w:sz w:val="18"/>
                <w:szCs w:val="18"/>
              </w:rPr>
              <w:t>&gt;75</w:t>
            </w:r>
          </w:p>
        </w:tc>
        <w:tc>
          <w:tcPr>
            <w:tcW w:w="2494" w:type="dxa"/>
          </w:tcPr>
          <w:p w:rsidR="004E4A3C" w:rsidRDefault="00FD7157">
            <w:pPr>
              <w:spacing w:after="0" w:line="240" w:lineRule="auto"/>
              <w:jc w:val="center"/>
            </w:pPr>
            <w:r>
              <w:rPr>
                <w:rFonts w:cs="Arial"/>
                <w:sz w:val="18"/>
                <w:szCs w:val="18"/>
              </w:rPr>
              <w:t>0,0000</w:t>
            </w:r>
          </w:p>
        </w:tc>
        <w:tc>
          <w:tcPr>
            <w:tcW w:w="2494" w:type="dxa"/>
          </w:tcPr>
          <w:p w:rsidR="004E4A3C" w:rsidRDefault="00FD7157">
            <w:pPr>
              <w:spacing w:after="0" w:line="240" w:lineRule="auto"/>
              <w:jc w:val="center"/>
            </w:pPr>
            <w:r>
              <w:rPr>
                <w:rFonts w:cs="Arial"/>
                <w:sz w:val="18"/>
                <w:szCs w:val="18"/>
              </w:rPr>
              <w:t>0,0</w:t>
            </w:r>
          </w:p>
        </w:tc>
        <w:tc>
          <w:tcPr>
            <w:tcW w:w="2608" w:type="dxa"/>
          </w:tcPr>
          <w:p w:rsidR="004E4A3C" w:rsidRDefault="00FD7157">
            <w:pPr>
              <w:spacing w:after="0" w:line="240" w:lineRule="auto"/>
              <w:jc w:val="center"/>
            </w:pPr>
            <w:r>
              <w:rPr>
                <w:rFonts w:cs="Arial"/>
                <w:sz w:val="18"/>
                <w:szCs w:val="18"/>
              </w:rPr>
              <w:t>0,0</w:t>
            </w:r>
          </w:p>
        </w:tc>
      </w:tr>
    </w:tbl>
    <w:p w:rsidR="004E4A3C" w:rsidRDefault="00FD7157">
      <w:pPr>
        <w:pStyle w:val="Heading2"/>
      </w:pPr>
      <w:bookmarkStart w:id="73" w:name="__RefHeading___Toc9187_4023479253"/>
      <w:bookmarkStart w:id="74" w:name="_Toc231671810"/>
      <w:bookmarkEnd w:id="73"/>
      <w:r>
        <w:rPr>
          <w:rFonts w:ascii="Arial" w:eastAsia="Arial" w:hAnsi="Arial"/>
          <w:b w:val="0"/>
        </w:rPr>
        <w:t>4.6. Stanovništvo u objektima sa tihom fasadom</w:t>
      </w:r>
      <w:bookmarkEnd w:id="74"/>
    </w:p>
    <w:p w:rsidR="004E4A3C" w:rsidRDefault="00FD7157">
      <w:pPr>
        <w:jc w:val="both"/>
      </w:pPr>
      <w:r>
        <w:t xml:space="preserve">Tihi fasadni pravac može ublažiti ukupnu ugroženost pojedinih </w:t>
      </w:r>
      <w:r>
        <w:t>stambenih objekata, jer stanovnicima omogućava boravak ili provjetravanje na manje izloženoj strani objekta. U nastavku se prikazuje koliko stanovnika, prema modelu, živi u objektima koji imaju takvu mogućnost.</w:t>
      </w:r>
    </w:p>
    <w:p w:rsidR="004E4A3C" w:rsidRDefault="00FD7157">
      <w:pPr>
        <w:keepNext/>
        <w:keepLines/>
        <w:spacing w:after="40"/>
        <w:rPr>
          <w:b/>
          <w:bCs/>
        </w:rPr>
      </w:pPr>
      <w:r>
        <w:rPr>
          <w:b/>
          <w:bCs/>
        </w:rPr>
        <w:t xml:space="preserve">Tabela 13. Stanovništvo u objektima sa tihom </w:t>
      </w:r>
      <w:r>
        <w:rPr>
          <w:b/>
          <w:bCs/>
        </w:rPr>
        <w:t>fasadom po indikatorima</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1814"/>
        <w:gridCol w:w="2041"/>
        <w:gridCol w:w="1360"/>
        <w:gridCol w:w="2268"/>
        <w:gridCol w:w="2382"/>
      </w:tblGrid>
      <w:tr w:rsidR="004E4A3C">
        <w:trPr>
          <w:cantSplit/>
          <w:tblHeader/>
          <w:jc w:val="center"/>
        </w:trPr>
        <w:tc>
          <w:tcPr>
            <w:tcW w:w="1814" w:type="dxa"/>
            <w:shd w:val="clear" w:color="auto" w:fill="D9EAF7"/>
          </w:tcPr>
          <w:p w:rsidR="004E4A3C" w:rsidRDefault="00FD7157">
            <w:pPr>
              <w:spacing w:after="0" w:line="240" w:lineRule="auto"/>
              <w:jc w:val="center"/>
            </w:pPr>
            <w:r>
              <w:rPr>
                <w:rFonts w:cs="Arial"/>
                <w:b/>
                <w:color w:val="000000"/>
                <w:sz w:val="18"/>
                <w:szCs w:val="18"/>
              </w:rPr>
              <w:t>Opseg / dB(A)</w:t>
            </w:r>
          </w:p>
        </w:tc>
        <w:tc>
          <w:tcPr>
            <w:tcW w:w="2041" w:type="dxa"/>
            <w:shd w:val="clear" w:color="auto" w:fill="D9EAF7"/>
          </w:tcPr>
          <w:p w:rsidR="004E4A3C" w:rsidRDefault="00FD7157">
            <w:pPr>
              <w:spacing w:after="0" w:line="240" w:lineRule="auto"/>
              <w:jc w:val="center"/>
            </w:pPr>
            <w:r>
              <w:rPr>
                <w:rFonts w:cs="Arial"/>
                <w:b/>
                <w:color w:val="000000"/>
                <w:sz w:val="18"/>
                <w:szCs w:val="18"/>
              </w:rPr>
              <w:t>Lday</w:t>
            </w:r>
          </w:p>
        </w:tc>
        <w:tc>
          <w:tcPr>
            <w:tcW w:w="1360" w:type="dxa"/>
            <w:shd w:val="clear" w:color="auto" w:fill="D9EAF7"/>
          </w:tcPr>
          <w:p w:rsidR="004E4A3C" w:rsidRDefault="00FD7157">
            <w:pPr>
              <w:spacing w:after="0" w:line="240" w:lineRule="auto"/>
              <w:jc w:val="center"/>
            </w:pPr>
            <w:r>
              <w:rPr>
                <w:rFonts w:cs="Arial"/>
                <w:b/>
                <w:color w:val="000000"/>
                <w:sz w:val="18"/>
                <w:szCs w:val="18"/>
              </w:rPr>
              <w:t>Lnight</w:t>
            </w:r>
          </w:p>
        </w:tc>
        <w:tc>
          <w:tcPr>
            <w:tcW w:w="2268" w:type="dxa"/>
            <w:shd w:val="clear" w:color="auto" w:fill="D9EAF7"/>
          </w:tcPr>
          <w:p w:rsidR="004E4A3C" w:rsidRDefault="00FD7157">
            <w:pPr>
              <w:spacing w:after="0" w:line="240" w:lineRule="auto"/>
              <w:jc w:val="center"/>
            </w:pPr>
            <w:r>
              <w:rPr>
                <w:rFonts w:cs="Arial"/>
                <w:b/>
                <w:color w:val="000000"/>
                <w:sz w:val="18"/>
                <w:szCs w:val="18"/>
              </w:rPr>
              <w:t>Levening</w:t>
            </w:r>
          </w:p>
        </w:tc>
        <w:tc>
          <w:tcPr>
            <w:tcW w:w="2382" w:type="dxa"/>
            <w:shd w:val="clear" w:color="auto" w:fill="D9EAF7"/>
          </w:tcPr>
          <w:p w:rsidR="004E4A3C" w:rsidRDefault="00FD7157">
            <w:pPr>
              <w:spacing w:after="0" w:line="240" w:lineRule="auto"/>
              <w:jc w:val="center"/>
            </w:pPr>
            <w:r>
              <w:rPr>
                <w:rFonts w:cs="Arial"/>
                <w:b/>
                <w:color w:val="000000"/>
                <w:sz w:val="18"/>
                <w:szCs w:val="18"/>
              </w:rPr>
              <w:t>Lden</w:t>
            </w:r>
          </w:p>
        </w:tc>
      </w:tr>
      <w:tr w:rsidR="004E4A3C">
        <w:trPr>
          <w:cantSplit/>
          <w:jc w:val="center"/>
        </w:trPr>
        <w:tc>
          <w:tcPr>
            <w:tcW w:w="1814" w:type="dxa"/>
          </w:tcPr>
          <w:p w:rsidR="004E4A3C" w:rsidRDefault="00FD7157">
            <w:pPr>
              <w:spacing w:after="0" w:line="240" w:lineRule="auto"/>
              <w:jc w:val="center"/>
            </w:pPr>
            <w:r>
              <w:rPr>
                <w:rFonts w:cs="Arial"/>
                <w:sz w:val="18"/>
                <w:szCs w:val="18"/>
              </w:rPr>
              <w:t>&lt;45</w:t>
            </w:r>
          </w:p>
        </w:tc>
        <w:tc>
          <w:tcPr>
            <w:tcW w:w="2041" w:type="dxa"/>
          </w:tcPr>
          <w:p w:rsidR="004E4A3C" w:rsidRDefault="00FD7157">
            <w:pPr>
              <w:spacing w:after="0" w:line="240" w:lineRule="auto"/>
              <w:jc w:val="center"/>
            </w:pPr>
            <w:r>
              <w:rPr>
                <w:rFonts w:cs="Arial"/>
                <w:sz w:val="18"/>
                <w:szCs w:val="18"/>
              </w:rPr>
              <w:t>84,2</w:t>
            </w:r>
          </w:p>
        </w:tc>
        <w:tc>
          <w:tcPr>
            <w:tcW w:w="1360" w:type="dxa"/>
          </w:tcPr>
          <w:p w:rsidR="004E4A3C" w:rsidRDefault="00FD7157">
            <w:pPr>
              <w:spacing w:after="0" w:line="240" w:lineRule="auto"/>
              <w:jc w:val="center"/>
            </w:pPr>
            <w:r>
              <w:rPr>
                <w:rFonts w:cs="Arial"/>
                <w:sz w:val="18"/>
                <w:szCs w:val="18"/>
              </w:rPr>
              <w:t>621,4</w:t>
            </w:r>
          </w:p>
        </w:tc>
        <w:tc>
          <w:tcPr>
            <w:tcW w:w="2268" w:type="dxa"/>
          </w:tcPr>
          <w:p w:rsidR="004E4A3C" w:rsidRDefault="00FD7157">
            <w:pPr>
              <w:spacing w:after="0" w:line="240" w:lineRule="auto"/>
              <w:jc w:val="center"/>
            </w:pPr>
            <w:r>
              <w:rPr>
                <w:rFonts w:cs="Arial"/>
                <w:sz w:val="18"/>
                <w:szCs w:val="18"/>
              </w:rPr>
              <w:t>410,8</w:t>
            </w:r>
          </w:p>
        </w:tc>
        <w:tc>
          <w:tcPr>
            <w:tcW w:w="2382" w:type="dxa"/>
          </w:tcPr>
          <w:p w:rsidR="004E4A3C" w:rsidRDefault="00FD7157">
            <w:pPr>
              <w:spacing w:after="0" w:line="240" w:lineRule="auto"/>
              <w:jc w:val="center"/>
            </w:pPr>
            <w:r>
              <w:rPr>
                <w:rFonts w:cs="Arial"/>
                <w:sz w:val="18"/>
                <w:szCs w:val="18"/>
              </w:rPr>
              <w:t>314,3</w:t>
            </w:r>
          </w:p>
        </w:tc>
      </w:tr>
      <w:tr w:rsidR="004E4A3C">
        <w:trPr>
          <w:cantSplit/>
          <w:jc w:val="center"/>
        </w:trPr>
        <w:tc>
          <w:tcPr>
            <w:tcW w:w="1814" w:type="dxa"/>
          </w:tcPr>
          <w:p w:rsidR="004E4A3C" w:rsidRDefault="00FD7157">
            <w:pPr>
              <w:spacing w:after="0" w:line="240" w:lineRule="auto"/>
              <w:jc w:val="center"/>
            </w:pPr>
            <w:r>
              <w:rPr>
                <w:rFonts w:cs="Arial"/>
                <w:sz w:val="18"/>
                <w:szCs w:val="18"/>
              </w:rPr>
              <w:t>45-49</w:t>
            </w:r>
          </w:p>
        </w:tc>
        <w:tc>
          <w:tcPr>
            <w:tcW w:w="2041" w:type="dxa"/>
          </w:tcPr>
          <w:p w:rsidR="004E4A3C" w:rsidRDefault="00FD7157">
            <w:pPr>
              <w:spacing w:after="0" w:line="240" w:lineRule="auto"/>
              <w:jc w:val="center"/>
            </w:pPr>
            <w:r>
              <w:rPr>
                <w:rFonts w:cs="Arial"/>
                <w:sz w:val="18"/>
                <w:szCs w:val="18"/>
              </w:rPr>
              <w:t>118,9</w:t>
            </w:r>
          </w:p>
        </w:tc>
        <w:tc>
          <w:tcPr>
            <w:tcW w:w="1360" w:type="dxa"/>
          </w:tcPr>
          <w:p w:rsidR="004E4A3C" w:rsidRDefault="00FD7157">
            <w:pPr>
              <w:spacing w:after="0" w:line="240" w:lineRule="auto"/>
              <w:jc w:val="center"/>
            </w:pPr>
            <w:r>
              <w:rPr>
                <w:rFonts w:cs="Arial"/>
                <w:sz w:val="18"/>
                <w:szCs w:val="18"/>
              </w:rPr>
              <w:t>145,4</w:t>
            </w:r>
          </w:p>
        </w:tc>
        <w:tc>
          <w:tcPr>
            <w:tcW w:w="2268" w:type="dxa"/>
          </w:tcPr>
          <w:p w:rsidR="004E4A3C" w:rsidRDefault="00FD7157">
            <w:pPr>
              <w:spacing w:after="0" w:line="240" w:lineRule="auto"/>
              <w:jc w:val="center"/>
            </w:pPr>
            <w:r>
              <w:rPr>
                <w:rFonts w:cs="Arial"/>
                <w:sz w:val="18"/>
                <w:szCs w:val="18"/>
              </w:rPr>
              <w:t>165,6</w:t>
            </w:r>
          </w:p>
        </w:tc>
        <w:tc>
          <w:tcPr>
            <w:tcW w:w="2382" w:type="dxa"/>
          </w:tcPr>
          <w:p w:rsidR="004E4A3C" w:rsidRDefault="00FD7157">
            <w:pPr>
              <w:spacing w:after="0" w:line="240" w:lineRule="auto"/>
              <w:jc w:val="center"/>
            </w:pPr>
            <w:r>
              <w:rPr>
                <w:rFonts w:cs="Arial"/>
                <w:sz w:val="18"/>
                <w:szCs w:val="18"/>
              </w:rPr>
              <w:t>136,8</w:t>
            </w:r>
          </w:p>
        </w:tc>
      </w:tr>
      <w:tr w:rsidR="004E4A3C">
        <w:trPr>
          <w:cantSplit/>
          <w:jc w:val="center"/>
        </w:trPr>
        <w:tc>
          <w:tcPr>
            <w:tcW w:w="1814" w:type="dxa"/>
          </w:tcPr>
          <w:p w:rsidR="004E4A3C" w:rsidRDefault="00FD7157">
            <w:pPr>
              <w:spacing w:after="0" w:line="240" w:lineRule="auto"/>
              <w:jc w:val="center"/>
            </w:pPr>
            <w:r>
              <w:rPr>
                <w:rFonts w:cs="Arial"/>
                <w:sz w:val="18"/>
                <w:szCs w:val="18"/>
              </w:rPr>
              <w:t>50-54</w:t>
            </w:r>
          </w:p>
        </w:tc>
        <w:tc>
          <w:tcPr>
            <w:tcW w:w="2041" w:type="dxa"/>
          </w:tcPr>
          <w:p w:rsidR="004E4A3C" w:rsidRDefault="00FD7157">
            <w:pPr>
              <w:spacing w:after="0" w:line="240" w:lineRule="auto"/>
              <w:jc w:val="center"/>
            </w:pPr>
            <w:r>
              <w:rPr>
                <w:rFonts w:cs="Arial"/>
                <w:sz w:val="18"/>
                <w:szCs w:val="18"/>
              </w:rPr>
              <w:t>133,2</w:t>
            </w:r>
          </w:p>
        </w:tc>
        <w:tc>
          <w:tcPr>
            <w:tcW w:w="1360" w:type="dxa"/>
          </w:tcPr>
          <w:p w:rsidR="004E4A3C" w:rsidRDefault="00FD7157">
            <w:pPr>
              <w:spacing w:after="0" w:line="240" w:lineRule="auto"/>
              <w:jc w:val="center"/>
            </w:pPr>
            <w:r>
              <w:rPr>
                <w:rFonts w:cs="Arial"/>
                <w:sz w:val="18"/>
                <w:szCs w:val="18"/>
              </w:rPr>
              <w:t>141,9</w:t>
            </w:r>
          </w:p>
        </w:tc>
        <w:tc>
          <w:tcPr>
            <w:tcW w:w="2268" w:type="dxa"/>
          </w:tcPr>
          <w:p w:rsidR="004E4A3C" w:rsidRDefault="00FD7157">
            <w:pPr>
              <w:spacing w:after="0" w:line="240" w:lineRule="auto"/>
              <w:jc w:val="center"/>
            </w:pPr>
            <w:r>
              <w:rPr>
                <w:rFonts w:cs="Arial"/>
                <w:sz w:val="18"/>
                <w:szCs w:val="18"/>
              </w:rPr>
              <w:t>149,1</w:t>
            </w:r>
          </w:p>
        </w:tc>
        <w:tc>
          <w:tcPr>
            <w:tcW w:w="2382" w:type="dxa"/>
          </w:tcPr>
          <w:p w:rsidR="004E4A3C" w:rsidRDefault="00FD7157">
            <w:pPr>
              <w:spacing w:after="0" w:line="240" w:lineRule="auto"/>
              <w:jc w:val="center"/>
            </w:pPr>
            <w:r>
              <w:rPr>
                <w:rFonts w:cs="Arial"/>
                <w:sz w:val="18"/>
                <w:szCs w:val="18"/>
              </w:rPr>
              <w:t>110,1</w:t>
            </w:r>
          </w:p>
        </w:tc>
      </w:tr>
      <w:tr w:rsidR="004E4A3C">
        <w:trPr>
          <w:cantSplit/>
          <w:jc w:val="center"/>
        </w:trPr>
        <w:tc>
          <w:tcPr>
            <w:tcW w:w="1814" w:type="dxa"/>
          </w:tcPr>
          <w:p w:rsidR="004E4A3C" w:rsidRDefault="00FD7157">
            <w:pPr>
              <w:spacing w:after="0" w:line="240" w:lineRule="auto"/>
              <w:jc w:val="center"/>
            </w:pPr>
            <w:r>
              <w:rPr>
                <w:rFonts w:cs="Arial"/>
                <w:sz w:val="18"/>
                <w:szCs w:val="18"/>
              </w:rPr>
              <w:t>55-59</w:t>
            </w:r>
          </w:p>
        </w:tc>
        <w:tc>
          <w:tcPr>
            <w:tcW w:w="2041" w:type="dxa"/>
          </w:tcPr>
          <w:p w:rsidR="004E4A3C" w:rsidRDefault="00FD7157">
            <w:pPr>
              <w:spacing w:after="0" w:line="240" w:lineRule="auto"/>
              <w:jc w:val="center"/>
            </w:pPr>
            <w:r>
              <w:rPr>
                <w:rFonts w:cs="Arial"/>
                <w:sz w:val="18"/>
                <w:szCs w:val="18"/>
              </w:rPr>
              <w:t>156,4</w:t>
            </w:r>
          </w:p>
        </w:tc>
        <w:tc>
          <w:tcPr>
            <w:tcW w:w="1360" w:type="dxa"/>
          </w:tcPr>
          <w:p w:rsidR="004E4A3C" w:rsidRDefault="00FD7157">
            <w:pPr>
              <w:spacing w:after="0" w:line="240" w:lineRule="auto"/>
              <w:jc w:val="center"/>
            </w:pPr>
            <w:r>
              <w:rPr>
                <w:rFonts w:cs="Arial"/>
                <w:sz w:val="18"/>
                <w:szCs w:val="18"/>
              </w:rPr>
              <w:t>24,8</w:t>
            </w:r>
          </w:p>
        </w:tc>
        <w:tc>
          <w:tcPr>
            <w:tcW w:w="2268" w:type="dxa"/>
          </w:tcPr>
          <w:p w:rsidR="004E4A3C" w:rsidRDefault="00FD7157">
            <w:pPr>
              <w:spacing w:after="0" w:line="240" w:lineRule="auto"/>
              <w:jc w:val="center"/>
            </w:pPr>
            <w:r>
              <w:rPr>
                <w:rFonts w:cs="Arial"/>
                <w:sz w:val="18"/>
                <w:szCs w:val="18"/>
              </w:rPr>
              <w:t>161,2</w:t>
            </w:r>
          </w:p>
        </w:tc>
        <w:tc>
          <w:tcPr>
            <w:tcW w:w="2382" w:type="dxa"/>
          </w:tcPr>
          <w:p w:rsidR="004E4A3C" w:rsidRDefault="00FD7157">
            <w:pPr>
              <w:spacing w:after="0" w:line="240" w:lineRule="auto"/>
              <w:jc w:val="center"/>
            </w:pPr>
            <w:r>
              <w:rPr>
                <w:rFonts w:cs="Arial"/>
                <w:sz w:val="18"/>
                <w:szCs w:val="18"/>
              </w:rPr>
              <w:t>168,5</w:t>
            </w:r>
          </w:p>
        </w:tc>
      </w:tr>
      <w:tr w:rsidR="004E4A3C">
        <w:trPr>
          <w:cantSplit/>
          <w:jc w:val="center"/>
        </w:trPr>
        <w:tc>
          <w:tcPr>
            <w:tcW w:w="1814" w:type="dxa"/>
          </w:tcPr>
          <w:p w:rsidR="004E4A3C" w:rsidRDefault="00FD7157">
            <w:pPr>
              <w:spacing w:after="0" w:line="240" w:lineRule="auto"/>
              <w:jc w:val="center"/>
            </w:pPr>
            <w:r>
              <w:rPr>
                <w:rFonts w:cs="Arial"/>
                <w:sz w:val="18"/>
                <w:szCs w:val="18"/>
              </w:rPr>
              <w:t>60-64</w:t>
            </w:r>
          </w:p>
        </w:tc>
        <w:tc>
          <w:tcPr>
            <w:tcW w:w="2041" w:type="dxa"/>
          </w:tcPr>
          <w:p w:rsidR="004E4A3C" w:rsidRDefault="00FD7157">
            <w:pPr>
              <w:spacing w:after="0" w:line="240" w:lineRule="auto"/>
              <w:jc w:val="center"/>
            </w:pPr>
            <w:r>
              <w:rPr>
                <w:rFonts w:cs="Arial"/>
                <w:sz w:val="18"/>
                <w:szCs w:val="18"/>
              </w:rPr>
              <w:t>115,1</w:t>
            </w:r>
          </w:p>
        </w:tc>
        <w:tc>
          <w:tcPr>
            <w:tcW w:w="1360" w:type="dxa"/>
          </w:tcPr>
          <w:p w:rsidR="004E4A3C" w:rsidRDefault="00FD7157">
            <w:pPr>
              <w:spacing w:after="0" w:line="240" w:lineRule="auto"/>
              <w:jc w:val="center"/>
            </w:pPr>
            <w:r>
              <w:rPr>
                <w:rFonts w:cs="Arial"/>
                <w:sz w:val="18"/>
                <w:szCs w:val="18"/>
              </w:rPr>
              <w:t>0,0</w:t>
            </w:r>
          </w:p>
        </w:tc>
        <w:tc>
          <w:tcPr>
            <w:tcW w:w="2268" w:type="dxa"/>
          </w:tcPr>
          <w:p w:rsidR="004E4A3C" w:rsidRDefault="00FD7157">
            <w:pPr>
              <w:spacing w:after="0" w:line="240" w:lineRule="auto"/>
              <w:jc w:val="center"/>
            </w:pPr>
            <w:r>
              <w:rPr>
                <w:rFonts w:cs="Arial"/>
                <w:sz w:val="18"/>
                <w:szCs w:val="18"/>
              </w:rPr>
              <w:t>55,6</w:t>
            </w:r>
          </w:p>
        </w:tc>
        <w:tc>
          <w:tcPr>
            <w:tcW w:w="2382" w:type="dxa"/>
          </w:tcPr>
          <w:p w:rsidR="004E4A3C" w:rsidRDefault="00FD7157">
            <w:pPr>
              <w:spacing w:after="0" w:line="240" w:lineRule="auto"/>
              <w:jc w:val="center"/>
            </w:pPr>
            <w:r>
              <w:rPr>
                <w:rFonts w:cs="Arial"/>
                <w:sz w:val="18"/>
                <w:szCs w:val="18"/>
              </w:rPr>
              <w:t>182,1</w:t>
            </w:r>
          </w:p>
        </w:tc>
      </w:tr>
      <w:tr w:rsidR="004E4A3C">
        <w:trPr>
          <w:cantSplit/>
          <w:jc w:val="center"/>
        </w:trPr>
        <w:tc>
          <w:tcPr>
            <w:tcW w:w="1814" w:type="dxa"/>
          </w:tcPr>
          <w:p w:rsidR="004E4A3C" w:rsidRDefault="00FD7157">
            <w:pPr>
              <w:spacing w:after="0" w:line="240" w:lineRule="auto"/>
              <w:jc w:val="center"/>
            </w:pPr>
            <w:r>
              <w:rPr>
                <w:rFonts w:cs="Arial"/>
                <w:sz w:val="18"/>
                <w:szCs w:val="18"/>
              </w:rPr>
              <w:t>65-69</w:t>
            </w:r>
          </w:p>
        </w:tc>
        <w:tc>
          <w:tcPr>
            <w:tcW w:w="2041" w:type="dxa"/>
          </w:tcPr>
          <w:p w:rsidR="004E4A3C" w:rsidRDefault="00FD7157">
            <w:pPr>
              <w:spacing w:after="0" w:line="240" w:lineRule="auto"/>
              <w:jc w:val="center"/>
            </w:pPr>
            <w:r>
              <w:rPr>
                <w:rFonts w:cs="Arial"/>
                <w:sz w:val="18"/>
                <w:szCs w:val="18"/>
              </w:rPr>
              <w:t>1,0</w:t>
            </w:r>
          </w:p>
        </w:tc>
        <w:tc>
          <w:tcPr>
            <w:tcW w:w="1360" w:type="dxa"/>
          </w:tcPr>
          <w:p w:rsidR="004E4A3C" w:rsidRDefault="00FD7157">
            <w:pPr>
              <w:spacing w:after="0" w:line="240" w:lineRule="auto"/>
              <w:jc w:val="center"/>
            </w:pPr>
            <w:r>
              <w:rPr>
                <w:rFonts w:cs="Arial"/>
                <w:sz w:val="18"/>
                <w:szCs w:val="18"/>
              </w:rPr>
              <w:t>0,0</w:t>
            </w:r>
          </w:p>
        </w:tc>
        <w:tc>
          <w:tcPr>
            <w:tcW w:w="2268" w:type="dxa"/>
          </w:tcPr>
          <w:p w:rsidR="004E4A3C" w:rsidRDefault="00FD7157">
            <w:pPr>
              <w:spacing w:after="0" w:line="240" w:lineRule="auto"/>
              <w:jc w:val="center"/>
            </w:pPr>
            <w:r>
              <w:rPr>
                <w:rFonts w:cs="Arial"/>
                <w:sz w:val="18"/>
                <w:szCs w:val="18"/>
              </w:rPr>
              <w:t>1,0</w:t>
            </w:r>
          </w:p>
        </w:tc>
        <w:tc>
          <w:tcPr>
            <w:tcW w:w="2382" w:type="dxa"/>
          </w:tcPr>
          <w:p w:rsidR="004E4A3C" w:rsidRDefault="00FD7157">
            <w:pPr>
              <w:spacing w:after="0" w:line="240" w:lineRule="auto"/>
              <w:jc w:val="center"/>
            </w:pPr>
            <w:r>
              <w:rPr>
                <w:rFonts w:cs="Arial"/>
                <w:sz w:val="18"/>
                <w:szCs w:val="18"/>
              </w:rPr>
              <w:t>5,2</w:t>
            </w:r>
          </w:p>
        </w:tc>
      </w:tr>
      <w:tr w:rsidR="004E4A3C">
        <w:trPr>
          <w:cantSplit/>
          <w:jc w:val="center"/>
        </w:trPr>
        <w:tc>
          <w:tcPr>
            <w:tcW w:w="1814" w:type="dxa"/>
          </w:tcPr>
          <w:p w:rsidR="004E4A3C" w:rsidRDefault="00FD7157">
            <w:pPr>
              <w:spacing w:after="0" w:line="240" w:lineRule="auto"/>
              <w:jc w:val="center"/>
            </w:pPr>
            <w:r>
              <w:rPr>
                <w:rFonts w:cs="Arial"/>
                <w:sz w:val="18"/>
                <w:szCs w:val="18"/>
              </w:rPr>
              <w:t>70-74</w:t>
            </w:r>
          </w:p>
        </w:tc>
        <w:tc>
          <w:tcPr>
            <w:tcW w:w="2041" w:type="dxa"/>
          </w:tcPr>
          <w:p w:rsidR="004E4A3C" w:rsidRDefault="00FD7157">
            <w:pPr>
              <w:spacing w:after="0" w:line="240" w:lineRule="auto"/>
              <w:jc w:val="center"/>
            </w:pPr>
            <w:r>
              <w:rPr>
                <w:rFonts w:cs="Arial"/>
                <w:sz w:val="18"/>
                <w:szCs w:val="18"/>
              </w:rPr>
              <w:t>0,0</w:t>
            </w:r>
          </w:p>
        </w:tc>
        <w:tc>
          <w:tcPr>
            <w:tcW w:w="1360" w:type="dxa"/>
          </w:tcPr>
          <w:p w:rsidR="004E4A3C" w:rsidRDefault="00FD7157">
            <w:pPr>
              <w:spacing w:after="0" w:line="240" w:lineRule="auto"/>
              <w:jc w:val="center"/>
            </w:pPr>
            <w:r>
              <w:rPr>
                <w:rFonts w:cs="Arial"/>
                <w:sz w:val="18"/>
                <w:szCs w:val="18"/>
              </w:rPr>
              <w:t>0,0</w:t>
            </w:r>
          </w:p>
        </w:tc>
        <w:tc>
          <w:tcPr>
            <w:tcW w:w="2268" w:type="dxa"/>
          </w:tcPr>
          <w:p w:rsidR="004E4A3C" w:rsidRDefault="00FD7157">
            <w:pPr>
              <w:spacing w:after="0" w:line="240" w:lineRule="auto"/>
              <w:jc w:val="center"/>
            </w:pPr>
            <w:r>
              <w:rPr>
                <w:rFonts w:cs="Arial"/>
                <w:sz w:val="18"/>
                <w:szCs w:val="18"/>
              </w:rPr>
              <w:t>0,0</w:t>
            </w:r>
          </w:p>
        </w:tc>
        <w:tc>
          <w:tcPr>
            <w:tcW w:w="2382" w:type="dxa"/>
          </w:tcPr>
          <w:p w:rsidR="004E4A3C" w:rsidRDefault="00FD7157">
            <w:pPr>
              <w:spacing w:after="0" w:line="240" w:lineRule="auto"/>
              <w:jc w:val="center"/>
            </w:pPr>
            <w:r>
              <w:rPr>
                <w:rFonts w:cs="Arial"/>
                <w:sz w:val="18"/>
                <w:szCs w:val="18"/>
              </w:rPr>
              <w:t>0,0</w:t>
            </w:r>
          </w:p>
        </w:tc>
      </w:tr>
      <w:tr w:rsidR="004E4A3C">
        <w:trPr>
          <w:cantSplit/>
          <w:jc w:val="center"/>
        </w:trPr>
        <w:tc>
          <w:tcPr>
            <w:tcW w:w="1814" w:type="dxa"/>
          </w:tcPr>
          <w:p w:rsidR="004E4A3C" w:rsidRDefault="00FD7157">
            <w:pPr>
              <w:spacing w:after="0" w:line="240" w:lineRule="auto"/>
              <w:jc w:val="center"/>
            </w:pPr>
            <w:r>
              <w:rPr>
                <w:rFonts w:cs="Arial"/>
                <w:sz w:val="18"/>
                <w:szCs w:val="18"/>
              </w:rPr>
              <w:t>&gt;75</w:t>
            </w:r>
          </w:p>
        </w:tc>
        <w:tc>
          <w:tcPr>
            <w:tcW w:w="2041" w:type="dxa"/>
          </w:tcPr>
          <w:p w:rsidR="004E4A3C" w:rsidRDefault="00FD7157">
            <w:pPr>
              <w:spacing w:after="0" w:line="240" w:lineRule="auto"/>
              <w:jc w:val="center"/>
            </w:pPr>
            <w:r>
              <w:rPr>
                <w:rFonts w:cs="Arial"/>
                <w:sz w:val="18"/>
                <w:szCs w:val="18"/>
              </w:rPr>
              <w:t>0,0</w:t>
            </w:r>
          </w:p>
        </w:tc>
        <w:tc>
          <w:tcPr>
            <w:tcW w:w="1360" w:type="dxa"/>
          </w:tcPr>
          <w:p w:rsidR="004E4A3C" w:rsidRDefault="00FD7157">
            <w:pPr>
              <w:spacing w:after="0" w:line="240" w:lineRule="auto"/>
              <w:jc w:val="center"/>
            </w:pPr>
            <w:r>
              <w:rPr>
                <w:rFonts w:cs="Arial"/>
                <w:sz w:val="18"/>
                <w:szCs w:val="18"/>
              </w:rPr>
              <w:t>0,0</w:t>
            </w:r>
          </w:p>
        </w:tc>
        <w:tc>
          <w:tcPr>
            <w:tcW w:w="2268" w:type="dxa"/>
          </w:tcPr>
          <w:p w:rsidR="004E4A3C" w:rsidRDefault="00FD7157">
            <w:pPr>
              <w:spacing w:after="0" w:line="240" w:lineRule="auto"/>
              <w:jc w:val="center"/>
            </w:pPr>
            <w:r>
              <w:rPr>
                <w:rFonts w:cs="Arial"/>
                <w:sz w:val="18"/>
                <w:szCs w:val="18"/>
              </w:rPr>
              <w:t>0,0</w:t>
            </w:r>
          </w:p>
        </w:tc>
        <w:tc>
          <w:tcPr>
            <w:tcW w:w="2382" w:type="dxa"/>
          </w:tcPr>
          <w:p w:rsidR="004E4A3C" w:rsidRDefault="00FD7157">
            <w:pPr>
              <w:spacing w:after="0" w:line="240" w:lineRule="auto"/>
              <w:jc w:val="center"/>
            </w:pPr>
            <w:r>
              <w:rPr>
                <w:rFonts w:cs="Arial"/>
                <w:sz w:val="18"/>
                <w:szCs w:val="18"/>
              </w:rPr>
              <w:t>0,0</w:t>
            </w:r>
          </w:p>
        </w:tc>
      </w:tr>
      <w:tr w:rsidR="004E4A3C">
        <w:trPr>
          <w:cantSplit/>
          <w:jc w:val="center"/>
        </w:trPr>
        <w:tc>
          <w:tcPr>
            <w:tcW w:w="1814" w:type="dxa"/>
          </w:tcPr>
          <w:p w:rsidR="004E4A3C" w:rsidRDefault="00FD7157">
            <w:pPr>
              <w:spacing w:after="0" w:line="240" w:lineRule="auto"/>
            </w:pPr>
            <w:r>
              <w:rPr>
                <w:rFonts w:cs="Arial"/>
                <w:sz w:val="18"/>
                <w:szCs w:val="18"/>
              </w:rPr>
              <w:t>Ukupno</w:t>
            </w:r>
          </w:p>
        </w:tc>
        <w:tc>
          <w:tcPr>
            <w:tcW w:w="2041" w:type="dxa"/>
          </w:tcPr>
          <w:p w:rsidR="004E4A3C" w:rsidRDefault="00FD7157">
            <w:pPr>
              <w:spacing w:after="0" w:line="240" w:lineRule="auto"/>
              <w:jc w:val="center"/>
            </w:pPr>
            <w:r>
              <w:rPr>
                <w:rFonts w:cs="Arial"/>
                <w:sz w:val="18"/>
                <w:szCs w:val="18"/>
              </w:rPr>
              <w:t>608,8</w:t>
            </w:r>
          </w:p>
        </w:tc>
        <w:tc>
          <w:tcPr>
            <w:tcW w:w="1360" w:type="dxa"/>
          </w:tcPr>
          <w:p w:rsidR="004E4A3C" w:rsidRDefault="00FD7157">
            <w:pPr>
              <w:spacing w:after="0" w:line="240" w:lineRule="auto"/>
              <w:jc w:val="center"/>
            </w:pPr>
            <w:r>
              <w:rPr>
                <w:rFonts w:cs="Arial"/>
                <w:sz w:val="18"/>
                <w:szCs w:val="18"/>
              </w:rPr>
              <w:t>933,5</w:t>
            </w:r>
          </w:p>
        </w:tc>
        <w:tc>
          <w:tcPr>
            <w:tcW w:w="2268" w:type="dxa"/>
          </w:tcPr>
          <w:p w:rsidR="004E4A3C" w:rsidRDefault="00FD7157">
            <w:pPr>
              <w:spacing w:after="0" w:line="240" w:lineRule="auto"/>
              <w:jc w:val="center"/>
            </w:pPr>
            <w:r>
              <w:rPr>
                <w:rFonts w:cs="Arial"/>
                <w:sz w:val="18"/>
                <w:szCs w:val="18"/>
              </w:rPr>
              <w:t>943,3</w:t>
            </w:r>
          </w:p>
        </w:tc>
        <w:tc>
          <w:tcPr>
            <w:tcW w:w="2382" w:type="dxa"/>
          </w:tcPr>
          <w:p w:rsidR="004E4A3C" w:rsidRDefault="00FD7157">
            <w:pPr>
              <w:spacing w:after="0" w:line="240" w:lineRule="auto"/>
              <w:jc w:val="center"/>
            </w:pPr>
            <w:r>
              <w:rPr>
                <w:rFonts w:cs="Arial"/>
                <w:sz w:val="18"/>
                <w:szCs w:val="18"/>
              </w:rPr>
              <w:t>917,0</w:t>
            </w:r>
          </w:p>
        </w:tc>
      </w:tr>
    </w:tbl>
    <w:p w:rsidR="004E4A3C" w:rsidRDefault="004E4A3C"/>
    <w:p w:rsidR="004E4A3C" w:rsidRDefault="00FD7157">
      <w:pPr>
        <w:jc w:val="both"/>
      </w:pPr>
      <w:r>
        <w:t xml:space="preserve">Tiha fasada ukazuje na potencijalnu mogućnost da se dio stanova orijentiše ili koristi tako da su osjetljive prostorije izložene nižem nivou buke. To ne uklanja problem spoljašnje buke, ali je </w:t>
      </w:r>
      <w:r>
        <w:t>značajno za planiranje buduće gradnje i rekonstrukcije objekata.</w:t>
      </w:r>
    </w:p>
    <w:p w:rsidR="004E4A3C" w:rsidRDefault="00FD7157">
      <w:pPr>
        <w:pStyle w:val="Heading2"/>
        <w:jc w:val="both"/>
      </w:pPr>
      <w:bookmarkStart w:id="75" w:name="__RefHeading___Toc9189_4023479253"/>
      <w:bookmarkStart w:id="76" w:name="_Toc231671811"/>
      <w:bookmarkEnd w:id="75"/>
      <w:r>
        <w:rPr>
          <w:rFonts w:ascii="Arial" w:eastAsia="Arial" w:hAnsi="Arial"/>
          <w:b w:val="0"/>
        </w:rPr>
        <w:t>4.7. Pregled prekoračenja graničnih vrijednosti</w:t>
      </w:r>
      <w:bookmarkEnd w:id="76"/>
    </w:p>
    <w:p w:rsidR="004E4A3C" w:rsidRDefault="00FD7157">
      <w:pPr>
        <w:jc w:val="both"/>
      </w:pPr>
      <w:r>
        <w:t>Prekoračenja graničnih vrijednosti predstavljaju glavni kriterijum za određivanje prioritetnih područja Akcionog plana. U nastavku su prikazani</w:t>
      </w:r>
      <w:r>
        <w:t xml:space="preserve"> objekti i stanovništvo kod kojih izračunati nivoi prelaze vrijednosti propisane za odgovarajuću akustičku zonu.</w:t>
      </w:r>
    </w:p>
    <w:p w:rsidR="004E4A3C" w:rsidRDefault="00FD7157">
      <w:pPr>
        <w:keepNext/>
        <w:keepLines/>
        <w:spacing w:after="40"/>
        <w:rPr>
          <w:b/>
          <w:bCs/>
        </w:rPr>
      </w:pPr>
      <w:r>
        <w:rPr>
          <w:b/>
          <w:bCs/>
        </w:rPr>
        <w:lastRenderedPageBreak/>
        <w:t>Tabela 14. Pregled prekoračenja graničnih vrijednosti prema baznom stanju</w:t>
      </w:r>
    </w:p>
    <w:tbl>
      <w:tblPr>
        <w:tblStyle w:val="TableGrid"/>
        <w:tblW w:w="8883" w:type="dxa"/>
        <w:jc w:val="center"/>
        <w:tblLayout w:type="fixed"/>
        <w:tblCellMar>
          <w:top w:w="60" w:type="dxa"/>
          <w:left w:w="60" w:type="dxa"/>
          <w:bottom w:w="60" w:type="dxa"/>
          <w:right w:w="60" w:type="dxa"/>
        </w:tblCellMar>
        <w:tblLook w:val="04A0" w:firstRow="1" w:lastRow="0" w:firstColumn="1" w:lastColumn="0" w:noHBand="0" w:noVBand="1"/>
      </w:tblPr>
      <w:tblGrid>
        <w:gridCol w:w="1177"/>
        <w:gridCol w:w="1259"/>
        <w:gridCol w:w="1176"/>
        <w:gridCol w:w="850"/>
        <w:gridCol w:w="907"/>
        <w:gridCol w:w="850"/>
        <w:gridCol w:w="907"/>
        <w:gridCol w:w="851"/>
        <w:gridCol w:w="906"/>
      </w:tblGrid>
      <w:tr w:rsidR="004E4A3C">
        <w:trPr>
          <w:cantSplit/>
          <w:tblHeader/>
          <w:jc w:val="center"/>
        </w:trPr>
        <w:tc>
          <w:tcPr>
            <w:tcW w:w="1176" w:type="dxa"/>
            <w:shd w:val="clear" w:color="auto" w:fill="D9EAF7"/>
          </w:tcPr>
          <w:p w:rsidR="004E4A3C" w:rsidRDefault="00FD7157">
            <w:pPr>
              <w:spacing w:after="0" w:line="240" w:lineRule="auto"/>
              <w:jc w:val="center"/>
            </w:pPr>
            <w:r>
              <w:rPr>
                <w:rFonts w:cs="Arial"/>
                <w:b/>
                <w:color w:val="000000"/>
                <w:sz w:val="18"/>
                <w:szCs w:val="18"/>
              </w:rPr>
              <w:t>Zona</w:t>
            </w:r>
          </w:p>
        </w:tc>
        <w:tc>
          <w:tcPr>
            <w:tcW w:w="1259" w:type="dxa"/>
            <w:shd w:val="clear" w:color="auto" w:fill="D9EAF7"/>
          </w:tcPr>
          <w:p w:rsidR="004E4A3C" w:rsidRDefault="00FD7157">
            <w:pPr>
              <w:spacing w:after="0" w:line="240" w:lineRule="auto"/>
              <w:jc w:val="center"/>
            </w:pPr>
            <w:r>
              <w:rPr>
                <w:rFonts w:cs="Arial"/>
                <w:b/>
                <w:color w:val="000000"/>
                <w:sz w:val="18"/>
                <w:szCs w:val="18"/>
              </w:rPr>
              <w:t>Objekti</w:t>
            </w:r>
          </w:p>
        </w:tc>
        <w:tc>
          <w:tcPr>
            <w:tcW w:w="1176" w:type="dxa"/>
            <w:shd w:val="clear" w:color="auto" w:fill="D9EAF7"/>
          </w:tcPr>
          <w:p w:rsidR="004E4A3C" w:rsidRDefault="00FD7157">
            <w:pPr>
              <w:spacing w:after="0" w:line="240" w:lineRule="auto"/>
              <w:jc w:val="center"/>
            </w:pPr>
            <w:r>
              <w:rPr>
                <w:rFonts w:cs="Arial"/>
                <w:b/>
                <w:color w:val="000000"/>
                <w:sz w:val="18"/>
                <w:szCs w:val="18"/>
              </w:rPr>
              <w:t>Stanovnici</w:t>
            </w:r>
          </w:p>
        </w:tc>
        <w:tc>
          <w:tcPr>
            <w:tcW w:w="850" w:type="dxa"/>
            <w:shd w:val="clear" w:color="auto" w:fill="D9EAF7"/>
          </w:tcPr>
          <w:p w:rsidR="004E4A3C" w:rsidRDefault="00FD7157">
            <w:pPr>
              <w:spacing w:after="0" w:line="240" w:lineRule="auto"/>
              <w:jc w:val="center"/>
            </w:pPr>
            <w:r>
              <w:rPr>
                <w:rFonts w:cs="Arial"/>
                <w:b/>
                <w:color w:val="000000"/>
                <w:sz w:val="18"/>
                <w:szCs w:val="18"/>
              </w:rPr>
              <w:t>Obj. Lday</w:t>
            </w:r>
          </w:p>
        </w:tc>
        <w:tc>
          <w:tcPr>
            <w:tcW w:w="907" w:type="dxa"/>
            <w:shd w:val="clear" w:color="auto" w:fill="D9EAF7"/>
          </w:tcPr>
          <w:p w:rsidR="004E4A3C" w:rsidRDefault="00FD7157">
            <w:pPr>
              <w:spacing w:after="0" w:line="240" w:lineRule="auto"/>
              <w:jc w:val="center"/>
            </w:pPr>
            <w:r>
              <w:rPr>
                <w:rFonts w:cs="Arial"/>
                <w:b/>
                <w:color w:val="000000"/>
                <w:sz w:val="18"/>
                <w:szCs w:val="18"/>
              </w:rPr>
              <w:t>Stan. Lday</w:t>
            </w:r>
          </w:p>
        </w:tc>
        <w:tc>
          <w:tcPr>
            <w:tcW w:w="850" w:type="dxa"/>
            <w:shd w:val="clear" w:color="auto" w:fill="D9EAF7"/>
          </w:tcPr>
          <w:p w:rsidR="004E4A3C" w:rsidRDefault="00FD7157">
            <w:pPr>
              <w:spacing w:after="0" w:line="240" w:lineRule="auto"/>
              <w:jc w:val="center"/>
            </w:pPr>
            <w:r>
              <w:rPr>
                <w:rFonts w:cs="Arial"/>
                <w:b/>
                <w:color w:val="000000"/>
                <w:sz w:val="18"/>
                <w:szCs w:val="18"/>
              </w:rPr>
              <w:t>Obj. Lnight</w:t>
            </w:r>
          </w:p>
        </w:tc>
        <w:tc>
          <w:tcPr>
            <w:tcW w:w="907" w:type="dxa"/>
            <w:shd w:val="clear" w:color="auto" w:fill="D9EAF7"/>
          </w:tcPr>
          <w:p w:rsidR="004E4A3C" w:rsidRDefault="00FD7157">
            <w:pPr>
              <w:spacing w:after="0" w:line="240" w:lineRule="auto"/>
              <w:jc w:val="center"/>
            </w:pPr>
            <w:r>
              <w:rPr>
                <w:rFonts w:cs="Arial"/>
                <w:b/>
                <w:color w:val="000000"/>
                <w:sz w:val="18"/>
                <w:szCs w:val="18"/>
              </w:rPr>
              <w:t>Stan. Lnight</w:t>
            </w:r>
          </w:p>
        </w:tc>
        <w:tc>
          <w:tcPr>
            <w:tcW w:w="851" w:type="dxa"/>
            <w:shd w:val="clear" w:color="auto" w:fill="D9EAF7"/>
          </w:tcPr>
          <w:p w:rsidR="004E4A3C" w:rsidRDefault="00FD7157">
            <w:pPr>
              <w:spacing w:after="0" w:line="240" w:lineRule="auto"/>
              <w:jc w:val="center"/>
            </w:pPr>
            <w:r>
              <w:rPr>
                <w:rFonts w:cs="Arial"/>
                <w:b/>
                <w:color w:val="000000"/>
                <w:sz w:val="18"/>
                <w:szCs w:val="18"/>
              </w:rPr>
              <w:t>Obj. Lden</w:t>
            </w:r>
          </w:p>
        </w:tc>
        <w:tc>
          <w:tcPr>
            <w:tcW w:w="906" w:type="dxa"/>
            <w:shd w:val="clear" w:color="auto" w:fill="D9EAF7"/>
          </w:tcPr>
          <w:p w:rsidR="004E4A3C" w:rsidRDefault="00FD7157">
            <w:pPr>
              <w:spacing w:after="0" w:line="240" w:lineRule="auto"/>
              <w:jc w:val="center"/>
            </w:pPr>
            <w:r>
              <w:rPr>
                <w:rFonts w:cs="Arial"/>
                <w:b/>
                <w:color w:val="000000"/>
                <w:sz w:val="18"/>
                <w:szCs w:val="18"/>
              </w:rPr>
              <w:t>Stan. Lden</w:t>
            </w:r>
          </w:p>
        </w:tc>
      </w:tr>
      <w:tr w:rsidR="004E4A3C">
        <w:trPr>
          <w:cantSplit/>
          <w:jc w:val="center"/>
        </w:trPr>
        <w:tc>
          <w:tcPr>
            <w:tcW w:w="1176" w:type="dxa"/>
          </w:tcPr>
          <w:p w:rsidR="004E4A3C" w:rsidRDefault="00FD7157">
            <w:pPr>
              <w:spacing w:after="0" w:line="240" w:lineRule="auto"/>
            </w:pPr>
            <w:r>
              <w:rPr>
                <w:rFonts w:cs="Arial"/>
                <w:sz w:val="18"/>
                <w:szCs w:val="18"/>
              </w:rPr>
              <w:t>TP</w:t>
            </w:r>
          </w:p>
        </w:tc>
        <w:tc>
          <w:tcPr>
            <w:tcW w:w="1259" w:type="dxa"/>
          </w:tcPr>
          <w:p w:rsidR="004E4A3C" w:rsidRDefault="00FD7157">
            <w:pPr>
              <w:spacing w:after="0" w:line="240" w:lineRule="auto"/>
              <w:jc w:val="center"/>
              <w:rPr>
                <w:rFonts w:cs="Arial"/>
                <w:sz w:val="18"/>
                <w:szCs w:val="18"/>
              </w:rPr>
            </w:pPr>
            <w:r>
              <w:rPr>
                <w:rFonts w:cs="Arial"/>
                <w:sz w:val="18"/>
                <w:szCs w:val="18"/>
              </w:rPr>
              <w:t>3</w:t>
            </w:r>
          </w:p>
        </w:tc>
        <w:tc>
          <w:tcPr>
            <w:tcW w:w="1176" w:type="dxa"/>
          </w:tcPr>
          <w:p w:rsidR="004E4A3C" w:rsidRDefault="00FD7157">
            <w:pPr>
              <w:spacing w:after="0" w:line="240" w:lineRule="auto"/>
              <w:jc w:val="center"/>
              <w:rPr>
                <w:rFonts w:cs="Arial"/>
                <w:sz w:val="18"/>
                <w:szCs w:val="18"/>
              </w:rPr>
            </w:pPr>
            <w:r>
              <w:rPr>
                <w:rFonts w:cs="Arial"/>
                <w:sz w:val="18"/>
                <w:szCs w:val="18"/>
              </w:rPr>
              <w:t>0,00</w:t>
            </w:r>
          </w:p>
        </w:tc>
        <w:tc>
          <w:tcPr>
            <w:tcW w:w="850" w:type="dxa"/>
          </w:tcPr>
          <w:p w:rsidR="004E4A3C" w:rsidRDefault="00FD7157">
            <w:pPr>
              <w:spacing w:after="0" w:line="240" w:lineRule="auto"/>
              <w:jc w:val="center"/>
              <w:rPr>
                <w:rFonts w:cs="Arial"/>
                <w:sz w:val="18"/>
                <w:szCs w:val="18"/>
              </w:rPr>
            </w:pPr>
            <w:r>
              <w:rPr>
                <w:rFonts w:cs="Arial"/>
                <w:sz w:val="18"/>
                <w:szCs w:val="18"/>
              </w:rPr>
              <w:t>1</w:t>
            </w:r>
          </w:p>
        </w:tc>
        <w:tc>
          <w:tcPr>
            <w:tcW w:w="907" w:type="dxa"/>
          </w:tcPr>
          <w:p w:rsidR="004E4A3C" w:rsidRDefault="00FD7157">
            <w:pPr>
              <w:spacing w:after="0" w:line="240" w:lineRule="auto"/>
              <w:jc w:val="center"/>
              <w:rPr>
                <w:rFonts w:cs="Arial"/>
                <w:sz w:val="18"/>
                <w:szCs w:val="18"/>
              </w:rPr>
            </w:pPr>
            <w:r>
              <w:rPr>
                <w:rFonts w:cs="Arial"/>
                <w:sz w:val="18"/>
                <w:szCs w:val="18"/>
              </w:rPr>
              <w:t>0,00</w:t>
            </w:r>
          </w:p>
        </w:tc>
        <w:tc>
          <w:tcPr>
            <w:tcW w:w="850" w:type="dxa"/>
          </w:tcPr>
          <w:p w:rsidR="004E4A3C" w:rsidRDefault="00FD7157">
            <w:pPr>
              <w:spacing w:after="0" w:line="240" w:lineRule="auto"/>
              <w:jc w:val="center"/>
              <w:rPr>
                <w:rFonts w:cs="Arial"/>
                <w:sz w:val="18"/>
                <w:szCs w:val="18"/>
              </w:rPr>
            </w:pPr>
            <w:r>
              <w:rPr>
                <w:rFonts w:cs="Arial"/>
                <w:sz w:val="18"/>
                <w:szCs w:val="18"/>
              </w:rPr>
              <w:t>1</w:t>
            </w:r>
          </w:p>
        </w:tc>
        <w:tc>
          <w:tcPr>
            <w:tcW w:w="907" w:type="dxa"/>
          </w:tcPr>
          <w:p w:rsidR="004E4A3C" w:rsidRDefault="00FD7157">
            <w:pPr>
              <w:spacing w:after="0" w:line="240" w:lineRule="auto"/>
              <w:jc w:val="center"/>
              <w:rPr>
                <w:rFonts w:cs="Arial"/>
                <w:sz w:val="18"/>
                <w:szCs w:val="18"/>
              </w:rPr>
            </w:pPr>
            <w:r>
              <w:rPr>
                <w:rFonts w:cs="Arial"/>
                <w:sz w:val="18"/>
                <w:szCs w:val="18"/>
              </w:rPr>
              <w:t>0,00</w:t>
            </w:r>
          </w:p>
        </w:tc>
        <w:tc>
          <w:tcPr>
            <w:tcW w:w="851" w:type="dxa"/>
          </w:tcPr>
          <w:p w:rsidR="004E4A3C" w:rsidRDefault="00FD7157">
            <w:pPr>
              <w:spacing w:after="0" w:line="240" w:lineRule="auto"/>
              <w:jc w:val="center"/>
              <w:rPr>
                <w:rFonts w:cs="Arial"/>
                <w:sz w:val="18"/>
                <w:szCs w:val="18"/>
              </w:rPr>
            </w:pPr>
            <w:r>
              <w:rPr>
                <w:rFonts w:cs="Arial"/>
                <w:sz w:val="18"/>
                <w:szCs w:val="18"/>
              </w:rPr>
              <w:t>1</w:t>
            </w:r>
          </w:p>
        </w:tc>
        <w:tc>
          <w:tcPr>
            <w:tcW w:w="906" w:type="dxa"/>
          </w:tcPr>
          <w:p w:rsidR="004E4A3C" w:rsidRDefault="00FD7157">
            <w:pPr>
              <w:spacing w:after="0" w:line="240" w:lineRule="auto"/>
              <w:jc w:val="center"/>
              <w:rPr>
                <w:rFonts w:cs="Arial"/>
                <w:sz w:val="18"/>
                <w:szCs w:val="18"/>
              </w:rPr>
            </w:pPr>
            <w:r>
              <w:rPr>
                <w:rFonts w:cs="Arial"/>
                <w:sz w:val="18"/>
                <w:szCs w:val="18"/>
              </w:rPr>
              <w:t>0,00</w:t>
            </w:r>
          </w:p>
        </w:tc>
      </w:tr>
      <w:tr w:rsidR="004E4A3C">
        <w:trPr>
          <w:cantSplit/>
          <w:jc w:val="center"/>
        </w:trPr>
        <w:tc>
          <w:tcPr>
            <w:tcW w:w="1176" w:type="dxa"/>
          </w:tcPr>
          <w:p w:rsidR="004E4A3C" w:rsidRDefault="00FD7157">
            <w:pPr>
              <w:spacing w:after="0" w:line="240" w:lineRule="auto"/>
            </w:pPr>
            <w:r>
              <w:rPr>
                <w:rFonts w:cs="Arial"/>
                <w:sz w:val="18"/>
                <w:szCs w:val="18"/>
              </w:rPr>
              <w:t>TA</w:t>
            </w:r>
          </w:p>
        </w:tc>
        <w:tc>
          <w:tcPr>
            <w:tcW w:w="1259" w:type="dxa"/>
          </w:tcPr>
          <w:p w:rsidR="004E4A3C" w:rsidRDefault="00FD7157">
            <w:pPr>
              <w:spacing w:after="0" w:line="240" w:lineRule="auto"/>
              <w:jc w:val="center"/>
              <w:rPr>
                <w:rFonts w:cs="Arial"/>
                <w:sz w:val="18"/>
                <w:szCs w:val="18"/>
              </w:rPr>
            </w:pPr>
            <w:r>
              <w:rPr>
                <w:rFonts w:cs="Arial"/>
                <w:sz w:val="18"/>
                <w:szCs w:val="18"/>
              </w:rPr>
              <w:t>6</w:t>
            </w:r>
          </w:p>
        </w:tc>
        <w:tc>
          <w:tcPr>
            <w:tcW w:w="1176" w:type="dxa"/>
          </w:tcPr>
          <w:p w:rsidR="004E4A3C" w:rsidRDefault="00FD7157">
            <w:pPr>
              <w:spacing w:after="0" w:line="240" w:lineRule="auto"/>
              <w:jc w:val="center"/>
              <w:rPr>
                <w:rFonts w:cs="Arial"/>
                <w:sz w:val="18"/>
                <w:szCs w:val="18"/>
              </w:rPr>
            </w:pPr>
            <w:r>
              <w:rPr>
                <w:rFonts w:cs="Arial"/>
                <w:sz w:val="18"/>
                <w:szCs w:val="18"/>
              </w:rPr>
              <w:t>17,45</w:t>
            </w:r>
          </w:p>
        </w:tc>
        <w:tc>
          <w:tcPr>
            <w:tcW w:w="850" w:type="dxa"/>
          </w:tcPr>
          <w:p w:rsidR="004E4A3C" w:rsidRDefault="00FD7157">
            <w:pPr>
              <w:spacing w:after="0" w:line="240" w:lineRule="auto"/>
              <w:jc w:val="center"/>
              <w:rPr>
                <w:rFonts w:cs="Arial"/>
                <w:sz w:val="18"/>
                <w:szCs w:val="18"/>
              </w:rPr>
            </w:pPr>
            <w:r>
              <w:rPr>
                <w:rFonts w:cs="Arial"/>
                <w:sz w:val="18"/>
                <w:szCs w:val="18"/>
              </w:rPr>
              <w:t>2</w:t>
            </w:r>
          </w:p>
        </w:tc>
        <w:tc>
          <w:tcPr>
            <w:tcW w:w="907" w:type="dxa"/>
          </w:tcPr>
          <w:p w:rsidR="004E4A3C" w:rsidRDefault="00FD7157">
            <w:pPr>
              <w:spacing w:after="0" w:line="240" w:lineRule="auto"/>
              <w:jc w:val="center"/>
              <w:rPr>
                <w:rFonts w:cs="Arial"/>
                <w:sz w:val="18"/>
                <w:szCs w:val="18"/>
              </w:rPr>
            </w:pPr>
            <w:r>
              <w:rPr>
                <w:rFonts w:cs="Arial"/>
                <w:sz w:val="18"/>
                <w:szCs w:val="18"/>
              </w:rPr>
              <w:t>6,11</w:t>
            </w:r>
          </w:p>
        </w:tc>
        <w:tc>
          <w:tcPr>
            <w:tcW w:w="850" w:type="dxa"/>
          </w:tcPr>
          <w:p w:rsidR="004E4A3C" w:rsidRDefault="00FD7157">
            <w:pPr>
              <w:spacing w:after="0" w:line="240" w:lineRule="auto"/>
              <w:jc w:val="center"/>
              <w:rPr>
                <w:rFonts w:cs="Arial"/>
                <w:sz w:val="18"/>
                <w:szCs w:val="18"/>
              </w:rPr>
            </w:pPr>
            <w:r>
              <w:rPr>
                <w:rFonts w:cs="Arial"/>
                <w:sz w:val="18"/>
                <w:szCs w:val="18"/>
              </w:rPr>
              <w:t>2</w:t>
            </w:r>
          </w:p>
        </w:tc>
        <w:tc>
          <w:tcPr>
            <w:tcW w:w="907" w:type="dxa"/>
          </w:tcPr>
          <w:p w:rsidR="004E4A3C" w:rsidRDefault="00FD7157">
            <w:pPr>
              <w:spacing w:after="0" w:line="240" w:lineRule="auto"/>
              <w:jc w:val="center"/>
              <w:rPr>
                <w:rFonts w:cs="Arial"/>
                <w:sz w:val="18"/>
                <w:szCs w:val="18"/>
              </w:rPr>
            </w:pPr>
            <w:r>
              <w:rPr>
                <w:rFonts w:cs="Arial"/>
                <w:sz w:val="18"/>
                <w:szCs w:val="18"/>
              </w:rPr>
              <w:t>6,11</w:t>
            </w:r>
          </w:p>
        </w:tc>
        <w:tc>
          <w:tcPr>
            <w:tcW w:w="851" w:type="dxa"/>
          </w:tcPr>
          <w:p w:rsidR="004E4A3C" w:rsidRDefault="00FD7157">
            <w:pPr>
              <w:spacing w:after="0" w:line="240" w:lineRule="auto"/>
              <w:jc w:val="center"/>
              <w:rPr>
                <w:rFonts w:cs="Arial"/>
                <w:sz w:val="18"/>
                <w:szCs w:val="18"/>
              </w:rPr>
            </w:pPr>
            <w:r>
              <w:rPr>
                <w:rFonts w:cs="Arial"/>
                <w:sz w:val="18"/>
                <w:szCs w:val="18"/>
              </w:rPr>
              <w:t>2</w:t>
            </w:r>
          </w:p>
        </w:tc>
        <w:tc>
          <w:tcPr>
            <w:tcW w:w="906" w:type="dxa"/>
          </w:tcPr>
          <w:p w:rsidR="004E4A3C" w:rsidRDefault="00FD7157">
            <w:pPr>
              <w:spacing w:after="0" w:line="240" w:lineRule="auto"/>
              <w:jc w:val="center"/>
              <w:rPr>
                <w:rFonts w:cs="Arial"/>
                <w:sz w:val="18"/>
                <w:szCs w:val="18"/>
              </w:rPr>
            </w:pPr>
            <w:r>
              <w:rPr>
                <w:rFonts w:cs="Arial"/>
                <w:sz w:val="18"/>
                <w:szCs w:val="18"/>
              </w:rPr>
              <w:t>6,11</w:t>
            </w:r>
          </w:p>
        </w:tc>
      </w:tr>
      <w:tr w:rsidR="004E4A3C">
        <w:trPr>
          <w:cantSplit/>
          <w:jc w:val="center"/>
        </w:trPr>
        <w:tc>
          <w:tcPr>
            <w:tcW w:w="1176" w:type="dxa"/>
          </w:tcPr>
          <w:p w:rsidR="004E4A3C" w:rsidRDefault="00FD7157">
            <w:pPr>
              <w:spacing w:after="0" w:line="240" w:lineRule="auto"/>
            </w:pPr>
            <w:r>
              <w:rPr>
                <w:rFonts w:cs="Arial"/>
                <w:sz w:val="18"/>
                <w:szCs w:val="18"/>
              </w:rPr>
              <w:t>PZ</w:t>
            </w:r>
          </w:p>
        </w:tc>
        <w:tc>
          <w:tcPr>
            <w:tcW w:w="1259" w:type="dxa"/>
          </w:tcPr>
          <w:p w:rsidR="004E4A3C" w:rsidRDefault="00FD7157">
            <w:pPr>
              <w:spacing w:after="0" w:line="240" w:lineRule="auto"/>
              <w:jc w:val="center"/>
              <w:rPr>
                <w:rFonts w:cs="Arial"/>
                <w:sz w:val="18"/>
                <w:szCs w:val="18"/>
              </w:rPr>
            </w:pPr>
            <w:r>
              <w:rPr>
                <w:rFonts w:cs="Arial"/>
                <w:sz w:val="18"/>
                <w:szCs w:val="18"/>
              </w:rPr>
              <w:t>19</w:t>
            </w:r>
          </w:p>
        </w:tc>
        <w:tc>
          <w:tcPr>
            <w:tcW w:w="1176" w:type="dxa"/>
          </w:tcPr>
          <w:p w:rsidR="004E4A3C" w:rsidRDefault="00FD7157">
            <w:pPr>
              <w:spacing w:after="0" w:line="240" w:lineRule="auto"/>
              <w:jc w:val="center"/>
              <w:rPr>
                <w:rFonts w:cs="Arial"/>
                <w:sz w:val="18"/>
                <w:szCs w:val="18"/>
              </w:rPr>
            </w:pPr>
            <w:r>
              <w:rPr>
                <w:rFonts w:cs="Arial"/>
                <w:sz w:val="18"/>
                <w:szCs w:val="18"/>
              </w:rPr>
              <w:t>12,87</w:t>
            </w:r>
          </w:p>
        </w:tc>
        <w:tc>
          <w:tcPr>
            <w:tcW w:w="850" w:type="dxa"/>
          </w:tcPr>
          <w:p w:rsidR="004E4A3C" w:rsidRDefault="00FD7157">
            <w:pPr>
              <w:spacing w:after="0" w:line="240" w:lineRule="auto"/>
              <w:jc w:val="center"/>
              <w:rPr>
                <w:rFonts w:cs="Arial"/>
                <w:sz w:val="18"/>
                <w:szCs w:val="18"/>
              </w:rPr>
            </w:pPr>
            <w:r>
              <w:rPr>
                <w:rFonts w:cs="Arial"/>
                <w:sz w:val="18"/>
                <w:szCs w:val="18"/>
              </w:rPr>
              <w:t>0</w:t>
            </w:r>
          </w:p>
        </w:tc>
        <w:tc>
          <w:tcPr>
            <w:tcW w:w="907" w:type="dxa"/>
          </w:tcPr>
          <w:p w:rsidR="004E4A3C" w:rsidRDefault="00FD7157">
            <w:pPr>
              <w:spacing w:after="0" w:line="240" w:lineRule="auto"/>
              <w:jc w:val="center"/>
              <w:rPr>
                <w:rFonts w:cs="Arial"/>
                <w:sz w:val="18"/>
                <w:szCs w:val="18"/>
              </w:rPr>
            </w:pPr>
            <w:r>
              <w:rPr>
                <w:rFonts w:cs="Arial"/>
                <w:sz w:val="18"/>
                <w:szCs w:val="18"/>
              </w:rPr>
              <w:t>0,00</w:t>
            </w:r>
          </w:p>
        </w:tc>
        <w:tc>
          <w:tcPr>
            <w:tcW w:w="850" w:type="dxa"/>
          </w:tcPr>
          <w:p w:rsidR="004E4A3C" w:rsidRDefault="00FD7157">
            <w:pPr>
              <w:spacing w:after="0" w:line="240" w:lineRule="auto"/>
              <w:jc w:val="center"/>
              <w:rPr>
                <w:rFonts w:cs="Arial"/>
                <w:sz w:val="18"/>
                <w:szCs w:val="18"/>
              </w:rPr>
            </w:pPr>
            <w:r>
              <w:rPr>
                <w:rFonts w:cs="Arial"/>
                <w:sz w:val="18"/>
                <w:szCs w:val="18"/>
              </w:rPr>
              <w:t>0</w:t>
            </w:r>
          </w:p>
        </w:tc>
        <w:tc>
          <w:tcPr>
            <w:tcW w:w="907" w:type="dxa"/>
          </w:tcPr>
          <w:p w:rsidR="004E4A3C" w:rsidRDefault="00FD7157">
            <w:pPr>
              <w:spacing w:after="0" w:line="240" w:lineRule="auto"/>
              <w:jc w:val="center"/>
              <w:rPr>
                <w:rFonts w:cs="Arial"/>
                <w:sz w:val="18"/>
                <w:szCs w:val="18"/>
              </w:rPr>
            </w:pPr>
            <w:r>
              <w:rPr>
                <w:rFonts w:cs="Arial"/>
                <w:sz w:val="18"/>
                <w:szCs w:val="18"/>
              </w:rPr>
              <w:t>0,00</w:t>
            </w:r>
          </w:p>
        </w:tc>
        <w:tc>
          <w:tcPr>
            <w:tcW w:w="851" w:type="dxa"/>
          </w:tcPr>
          <w:p w:rsidR="004E4A3C" w:rsidRDefault="00FD7157">
            <w:pPr>
              <w:spacing w:after="0" w:line="240" w:lineRule="auto"/>
              <w:jc w:val="center"/>
              <w:rPr>
                <w:rFonts w:cs="Arial"/>
                <w:sz w:val="18"/>
                <w:szCs w:val="18"/>
              </w:rPr>
            </w:pPr>
            <w:r>
              <w:rPr>
                <w:rFonts w:cs="Arial"/>
                <w:sz w:val="18"/>
                <w:szCs w:val="18"/>
              </w:rPr>
              <w:t>0</w:t>
            </w:r>
          </w:p>
        </w:tc>
        <w:tc>
          <w:tcPr>
            <w:tcW w:w="906" w:type="dxa"/>
          </w:tcPr>
          <w:p w:rsidR="004E4A3C" w:rsidRDefault="00FD7157">
            <w:pPr>
              <w:spacing w:after="0" w:line="240" w:lineRule="auto"/>
              <w:jc w:val="center"/>
              <w:rPr>
                <w:rFonts w:cs="Arial"/>
                <w:sz w:val="18"/>
                <w:szCs w:val="18"/>
              </w:rPr>
            </w:pPr>
            <w:r>
              <w:rPr>
                <w:rFonts w:cs="Arial"/>
                <w:sz w:val="18"/>
                <w:szCs w:val="18"/>
              </w:rPr>
              <w:t>0,00</w:t>
            </w:r>
          </w:p>
        </w:tc>
      </w:tr>
      <w:tr w:rsidR="004E4A3C">
        <w:trPr>
          <w:cantSplit/>
          <w:jc w:val="center"/>
        </w:trPr>
        <w:tc>
          <w:tcPr>
            <w:tcW w:w="1176" w:type="dxa"/>
          </w:tcPr>
          <w:p w:rsidR="004E4A3C" w:rsidRDefault="00FD7157">
            <w:pPr>
              <w:spacing w:after="0" w:line="240" w:lineRule="auto"/>
            </w:pPr>
            <w:r>
              <w:rPr>
                <w:rFonts w:cs="Arial"/>
                <w:sz w:val="18"/>
                <w:szCs w:val="18"/>
              </w:rPr>
              <w:t>S</w:t>
            </w:r>
          </w:p>
        </w:tc>
        <w:tc>
          <w:tcPr>
            <w:tcW w:w="1259" w:type="dxa"/>
          </w:tcPr>
          <w:p w:rsidR="004E4A3C" w:rsidRDefault="00FD7157">
            <w:pPr>
              <w:spacing w:after="0" w:line="240" w:lineRule="auto"/>
              <w:jc w:val="center"/>
              <w:rPr>
                <w:rFonts w:cs="Arial"/>
                <w:sz w:val="18"/>
                <w:szCs w:val="18"/>
              </w:rPr>
            </w:pPr>
            <w:r>
              <w:rPr>
                <w:rFonts w:cs="Arial"/>
                <w:sz w:val="18"/>
                <w:szCs w:val="18"/>
              </w:rPr>
              <w:t>1.039</w:t>
            </w:r>
          </w:p>
        </w:tc>
        <w:tc>
          <w:tcPr>
            <w:tcW w:w="1176" w:type="dxa"/>
          </w:tcPr>
          <w:p w:rsidR="004E4A3C" w:rsidRDefault="00FD7157">
            <w:pPr>
              <w:spacing w:after="0" w:line="240" w:lineRule="auto"/>
              <w:jc w:val="center"/>
              <w:rPr>
                <w:rFonts w:cs="Arial"/>
                <w:sz w:val="18"/>
                <w:szCs w:val="18"/>
              </w:rPr>
            </w:pPr>
            <w:r>
              <w:rPr>
                <w:rFonts w:cs="Arial"/>
                <w:sz w:val="18"/>
                <w:szCs w:val="18"/>
              </w:rPr>
              <w:t>2.235,62</w:t>
            </w:r>
          </w:p>
        </w:tc>
        <w:tc>
          <w:tcPr>
            <w:tcW w:w="850" w:type="dxa"/>
          </w:tcPr>
          <w:p w:rsidR="004E4A3C" w:rsidRDefault="00FD7157">
            <w:pPr>
              <w:spacing w:after="0" w:line="240" w:lineRule="auto"/>
              <w:jc w:val="center"/>
              <w:rPr>
                <w:rFonts w:cs="Arial"/>
                <w:sz w:val="18"/>
                <w:szCs w:val="18"/>
              </w:rPr>
            </w:pPr>
            <w:r>
              <w:rPr>
                <w:rFonts w:cs="Arial"/>
                <w:sz w:val="18"/>
                <w:szCs w:val="18"/>
              </w:rPr>
              <w:t>34</w:t>
            </w:r>
          </w:p>
        </w:tc>
        <w:tc>
          <w:tcPr>
            <w:tcW w:w="907" w:type="dxa"/>
          </w:tcPr>
          <w:p w:rsidR="004E4A3C" w:rsidRDefault="00FD7157">
            <w:pPr>
              <w:spacing w:after="0" w:line="240" w:lineRule="auto"/>
              <w:jc w:val="center"/>
              <w:rPr>
                <w:rFonts w:cs="Arial"/>
                <w:sz w:val="18"/>
                <w:szCs w:val="18"/>
              </w:rPr>
            </w:pPr>
            <w:r>
              <w:rPr>
                <w:rFonts w:cs="Arial"/>
                <w:sz w:val="18"/>
                <w:szCs w:val="18"/>
              </w:rPr>
              <w:t>111,30</w:t>
            </w:r>
          </w:p>
        </w:tc>
        <w:tc>
          <w:tcPr>
            <w:tcW w:w="850" w:type="dxa"/>
          </w:tcPr>
          <w:p w:rsidR="004E4A3C" w:rsidRDefault="00FD7157">
            <w:pPr>
              <w:spacing w:after="0" w:line="240" w:lineRule="auto"/>
              <w:jc w:val="center"/>
              <w:rPr>
                <w:rFonts w:cs="Arial"/>
                <w:sz w:val="18"/>
                <w:szCs w:val="18"/>
              </w:rPr>
            </w:pPr>
            <w:r>
              <w:rPr>
                <w:rFonts w:cs="Arial"/>
                <w:sz w:val="18"/>
                <w:szCs w:val="18"/>
              </w:rPr>
              <w:t>89</w:t>
            </w:r>
          </w:p>
        </w:tc>
        <w:tc>
          <w:tcPr>
            <w:tcW w:w="907" w:type="dxa"/>
          </w:tcPr>
          <w:p w:rsidR="004E4A3C" w:rsidRDefault="00FD7157">
            <w:pPr>
              <w:spacing w:after="0" w:line="240" w:lineRule="auto"/>
              <w:jc w:val="center"/>
              <w:rPr>
                <w:rFonts w:cs="Arial"/>
                <w:sz w:val="18"/>
                <w:szCs w:val="18"/>
              </w:rPr>
            </w:pPr>
            <w:r>
              <w:rPr>
                <w:rFonts w:cs="Arial"/>
                <w:sz w:val="18"/>
                <w:szCs w:val="18"/>
              </w:rPr>
              <w:t>196,16</w:t>
            </w:r>
          </w:p>
        </w:tc>
        <w:tc>
          <w:tcPr>
            <w:tcW w:w="851" w:type="dxa"/>
          </w:tcPr>
          <w:p w:rsidR="004E4A3C" w:rsidRDefault="00FD7157">
            <w:pPr>
              <w:spacing w:after="0" w:line="240" w:lineRule="auto"/>
              <w:jc w:val="center"/>
              <w:rPr>
                <w:rFonts w:cs="Arial"/>
                <w:sz w:val="18"/>
                <w:szCs w:val="18"/>
              </w:rPr>
            </w:pPr>
            <w:r>
              <w:rPr>
                <w:rFonts w:cs="Arial"/>
                <w:sz w:val="18"/>
                <w:szCs w:val="18"/>
              </w:rPr>
              <w:t>66</w:t>
            </w:r>
          </w:p>
        </w:tc>
        <w:tc>
          <w:tcPr>
            <w:tcW w:w="906" w:type="dxa"/>
          </w:tcPr>
          <w:p w:rsidR="004E4A3C" w:rsidRDefault="00FD7157">
            <w:pPr>
              <w:spacing w:after="0" w:line="240" w:lineRule="auto"/>
              <w:jc w:val="center"/>
              <w:rPr>
                <w:rFonts w:cs="Arial"/>
                <w:sz w:val="18"/>
                <w:szCs w:val="18"/>
              </w:rPr>
            </w:pPr>
            <w:r>
              <w:rPr>
                <w:rFonts w:cs="Arial"/>
                <w:sz w:val="18"/>
                <w:szCs w:val="18"/>
              </w:rPr>
              <w:t>161,89</w:t>
            </w:r>
          </w:p>
        </w:tc>
      </w:tr>
      <w:tr w:rsidR="004E4A3C">
        <w:trPr>
          <w:cantSplit/>
          <w:jc w:val="center"/>
        </w:trPr>
        <w:tc>
          <w:tcPr>
            <w:tcW w:w="1176" w:type="dxa"/>
          </w:tcPr>
          <w:p w:rsidR="004E4A3C" w:rsidRDefault="00FD7157">
            <w:pPr>
              <w:spacing w:after="0" w:line="240" w:lineRule="auto"/>
            </w:pPr>
            <w:r>
              <w:rPr>
                <w:rFonts w:cs="Arial"/>
                <w:sz w:val="18"/>
                <w:szCs w:val="18"/>
              </w:rPr>
              <w:t>M</w:t>
            </w:r>
          </w:p>
        </w:tc>
        <w:tc>
          <w:tcPr>
            <w:tcW w:w="1259" w:type="dxa"/>
          </w:tcPr>
          <w:p w:rsidR="004E4A3C" w:rsidRDefault="00FD7157">
            <w:pPr>
              <w:spacing w:after="0" w:line="240" w:lineRule="auto"/>
              <w:jc w:val="center"/>
              <w:rPr>
                <w:rFonts w:cs="Arial"/>
                <w:sz w:val="18"/>
                <w:szCs w:val="18"/>
              </w:rPr>
            </w:pPr>
            <w:r>
              <w:rPr>
                <w:rFonts w:cs="Arial"/>
                <w:sz w:val="18"/>
                <w:szCs w:val="18"/>
              </w:rPr>
              <w:t>213</w:t>
            </w:r>
          </w:p>
        </w:tc>
        <w:tc>
          <w:tcPr>
            <w:tcW w:w="1176" w:type="dxa"/>
          </w:tcPr>
          <w:p w:rsidR="004E4A3C" w:rsidRDefault="00FD7157">
            <w:pPr>
              <w:spacing w:after="0" w:line="240" w:lineRule="auto"/>
              <w:jc w:val="center"/>
              <w:rPr>
                <w:rFonts w:cs="Arial"/>
                <w:sz w:val="18"/>
                <w:szCs w:val="18"/>
              </w:rPr>
            </w:pPr>
            <w:r>
              <w:rPr>
                <w:rFonts w:cs="Arial"/>
                <w:sz w:val="18"/>
                <w:szCs w:val="18"/>
              </w:rPr>
              <w:t>516,26</w:t>
            </w:r>
          </w:p>
        </w:tc>
        <w:tc>
          <w:tcPr>
            <w:tcW w:w="850" w:type="dxa"/>
          </w:tcPr>
          <w:p w:rsidR="004E4A3C" w:rsidRDefault="00FD7157">
            <w:pPr>
              <w:spacing w:after="0" w:line="240" w:lineRule="auto"/>
              <w:jc w:val="center"/>
              <w:rPr>
                <w:rFonts w:cs="Arial"/>
                <w:sz w:val="18"/>
                <w:szCs w:val="18"/>
              </w:rPr>
            </w:pPr>
            <w:r>
              <w:rPr>
                <w:rFonts w:cs="Arial"/>
                <w:sz w:val="18"/>
                <w:szCs w:val="18"/>
              </w:rPr>
              <w:t>1</w:t>
            </w:r>
          </w:p>
        </w:tc>
        <w:tc>
          <w:tcPr>
            <w:tcW w:w="907" w:type="dxa"/>
          </w:tcPr>
          <w:p w:rsidR="004E4A3C" w:rsidRDefault="00FD7157">
            <w:pPr>
              <w:spacing w:after="0" w:line="240" w:lineRule="auto"/>
              <w:jc w:val="center"/>
              <w:rPr>
                <w:rFonts w:cs="Arial"/>
                <w:sz w:val="18"/>
                <w:szCs w:val="18"/>
              </w:rPr>
            </w:pPr>
            <w:r>
              <w:rPr>
                <w:rFonts w:cs="Arial"/>
                <w:sz w:val="18"/>
                <w:szCs w:val="18"/>
              </w:rPr>
              <w:t>1,86</w:t>
            </w:r>
          </w:p>
        </w:tc>
        <w:tc>
          <w:tcPr>
            <w:tcW w:w="850" w:type="dxa"/>
          </w:tcPr>
          <w:p w:rsidR="004E4A3C" w:rsidRDefault="00FD7157">
            <w:pPr>
              <w:spacing w:after="0" w:line="240" w:lineRule="auto"/>
              <w:jc w:val="center"/>
              <w:rPr>
                <w:rFonts w:cs="Arial"/>
                <w:sz w:val="18"/>
                <w:szCs w:val="18"/>
              </w:rPr>
            </w:pPr>
            <w:r>
              <w:rPr>
                <w:rFonts w:cs="Arial"/>
                <w:sz w:val="18"/>
                <w:szCs w:val="18"/>
              </w:rPr>
              <w:t>7</w:t>
            </w:r>
          </w:p>
        </w:tc>
        <w:tc>
          <w:tcPr>
            <w:tcW w:w="907" w:type="dxa"/>
          </w:tcPr>
          <w:p w:rsidR="004E4A3C" w:rsidRDefault="00FD7157">
            <w:pPr>
              <w:spacing w:after="0" w:line="240" w:lineRule="auto"/>
              <w:jc w:val="center"/>
              <w:rPr>
                <w:rFonts w:cs="Arial"/>
                <w:sz w:val="18"/>
                <w:szCs w:val="18"/>
              </w:rPr>
            </w:pPr>
            <w:r>
              <w:rPr>
                <w:rFonts w:cs="Arial"/>
                <w:sz w:val="18"/>
                <w:szCs w:val="18"/>
              </w:rPr>
              <w:t>17,88</w:t>
            </w:r>
          </w:p>
        </w:tc>
        <w:tc>
          <w:tcPr>
            <w:tcW w:w="851" w:type="dxa"/>
          </w:tcPr>
          <w:p w:rsidR="004E4A3C" w:rsidRDefault="00FD7157">
            <w:pPr>
              <w:spacing w:after="0" w:line="240" w:lineRule="auto"/>
              <w:jc w:val="center"/>
              <w:rPr>
                <w:rFonts w:cs="Arial"/>
                <w:sz w:val="18"/>
                <w:szCs w:val="18"/>
              </w:rPr>
            </w:pPr>
            <w:r>
              <w:rPr>
                <w:rFonts w:cs="Arial"/>
                <w:sz w:val="18"/>
                <w:szCs w:val="18"/>
              </w:rPr>
              <w:t>4</w:t>
            </w:r>
          </w:p>
        </w:tc>
        <w:tc>
          <w:tcPr>
            <w:tcW w:w="906" w:type="dxa"/>
          </w:tcPr>
          <w:p w:rsidR="004E4A3C" w:rsidRDefault="00FD7157">
            <w:pPr>
              <w:spacing w:after="0" w:line="240" w:lineRule="auto"/>
              <w:jc w:val="center"/>
              <w:rPr>
                <w:rFonts w:cs="Arial"/>
                <w:sz w:val="18"/>
                <w:szCs w:val="18"/>
              </w:rPr>
            </w:pPr>
            <w:r>
              <w:rPr>
                <w:rFonts w:cs="Arial"/>
                <w:sz w:val="18"/>
                <w:szCs w:val="18"/>
              </w:rPr>
              <w:t>12,44</w:t>
            </w:r>
          </w:p>
        </w:tc>
      </w:tr>
      <w:tr w:rsidR="004E4A3C">
        <w:trPr>
          <w:cantSplit/>
          <w:jc w:val="center"/>
        </w:trPr>
        <w:tc>
          <w:tcPr>
            <w:tcW w:w="1176" w:type="dxa"/>
          </w:tcPr>
          <w:p w:rsidR="004E4A3C" w:rsidRDefault="00FD7157">
            <w:pPr>
              <w:spacing w:after="0" w:line="240" w:lineRule="auto"/>
            </w:pPr>
            <w:r>
              <w:rPr>
                <w:rFonts w:cs="Arial"/>
                <w:sz w:val="18"/>
                <w:szCs w:val="18"/>
              </w:rPr>
              <w:t>UB</w:t>
            </w:r>
          </w:p>
        </w:tc>
        <w:tc>
          <w:tcPr>
            <w:tcW w:w="1259" w:type="dxa"/>
          </w:tcPr>
          <w:p w:rsidR="004E4A3C" w:rsidRDefault="00FD7157">
            <w:pPr>
              <w:spacing w:after="0" w:line="240" w:lineRule="auto"/>
              <w:jc w:val="center"/>
              <w:rPr>
                <w:rFonts w:cs="Arial"/>
                <w:sz w:val="18"/>
                <w:szCs w:val="18"/>
              </w:rPr>
            </w:pPr>
            <w:r>
              <w:rPr>
                <w:rFonts w:cs="Arial"/>
                <w:sz w:val="18"/>
                <w:szCs w:val="18"/>
              </w:rPr>
              <w:t>201</w:t>
            </w:r>
          </w:p>
        </w:tc>
        <w:tc>
          <w:tcPr>
            <w:tcW w:w="1176" w:type="dxa"/>
          </w:tcPr>
          <w:p w:rsidR="004E4A3C" w:rsidRDefault="00FD7157">
            <w:pPr>
              <w:spacing w:after="0" w:line="240" w:lineRule="auto"/>
              <w:jc w:val="center"/>
              <w:rPr>
                <w:rFonts w:cs="Arial"/>
                <w:sz w:val="18"/>
                <w:szCs w:val="18"/>
              </w:rPr>
            </w:pPr>
            <w:r>
              <w:rPr>
                <w:rFonts w:cs="Arial"/>
                <w:sz w:val="18"/>
                <w:szCs w:val="18"/>
              </w:rPr>
              <w:t>922,82</w:t>
            </w:r>
          </w:p>
        </w:tc>
        <w:tc>
          <w:tcPr>
            <w:tcW w:w="850" w:type="dxa"/>
          </w:tcPr>
          <w:p w:rsidR="004E4A3C" w:rsidRDefault="00FD7157">
            <w:pPr>
              <w:spacing w:after="0" w:line="240" w:lineRule="auto"/>
              <w:jc w:val="center"/>
              <w:rPr>
                <w:rFonts w:cs="Arial"/>
                <w:sz w:val="18"/>
                <w:szCs w:val="18"/>
              </w:rPr>
            </w:pPr>
            <w:r>
              <w:rPr>
                <w:rFonts w:cs="Arial"/>
                <w:sz w:val="18"/>
                <w:szCs w:val="18"/>
              </w:rPr>
              <w:t>86</w:t>
            </w:r>
          </w:p>
        </w:tc>
        <w:tc>
          <w:tcPr>
            <w:tcW w:w="907" w:type="dxa"/>
          </w:tcPr>
          <w:p w:rsidR="004E4A3C" w:rsidRDefault="00FD7157">
            <w:pPr>
              <w:spacing w:after="0" w:line="240" w:lineRule="auto"/>
              <w:jc w:val="center"/>
              <w:rPr>
                <w:rFonts w:cs="Arial"/>
                <w:sz w:val="18"/>
                <w:szCs w:val="18"/>
              </w:rPr>
            </w:pPr>
            <w:r>
              <w:rPr>
                <w:rFonts w:cs="Arial"/>
                <w:sz w:val="18"/>
                <w:szCs w:val="18"/>
              </w:rPr>
              <w:t>171,61</w:t>
            </w:r>
          </w:p>
        </w:tc>
        <w:tc>
          <w:tcPr>
            <w:tcW w:w="850" w:type="dxa"/>
          </w:tcPr>
          <w:p w:rsidR="004E4A3C" w:rsidRDefault="00FD7157">
            <w:pPr>
              <w:spacing w:after="0" w:line="240" w:lineRule="auto"/>
              <w:jc w:val="center"/>
              <w:rPr>
                <w:rFonts w:cs="Arial"/>
                <w:sz w:val="18"/>
                <w:szCs w:val="18"/>
              </w:rPr>
            </w:pPr>
            <w:r>
              <w:rPr>
                <w:rFonts w:cs="Arial"/>
                <w:sz w:val="18"/>
                <w:szCs w:val="18"/>
              </w:rPr>
              <w:t>54</w:t>
            </w:r>
          </w:p>
        </w:tc>
        <w:tc>
          <w:tcPr>
            <w:tcW w:w="907" w:type="dxa"/>
          </w:tcPr>
          <w:p w:rsidR="004E4A3C" w:rsidRDefault="00FD7157">
            <w:pPr>
              <w:spacing w:after="0" w:line="240" w:lineRule="auto"/>
              <w:jc w:val="center"/>
              <w:rPr>
                <w:rFonts w:cs="Arial"/>
                <w:sz w:val="18"/>
                <w:szCs w:val="18"/>
              </w:rPr>
            </w:pPr>
            <w:r>
              <w:rPr>
                <w:rFonts w:cs="Arial"/>
                <w:sz w:val="18"/>
                <w:szCs w:val="18"/>
              </w:rPr>
              <w:t>97,50</w:t>
            </w:r>
          </w:p>
        </w:tc>
        <w:tc>
          <w:tcPr>
            <w:tcW w:w="851" w:type="dxa"/>
          </w:tcPr>
          <w:p w:rsidR="004E4A3C" w:rsidRDefault="00FD7157">
            <w:pPr>
              <w:spacing w:after="0" w:line="240" w:lineRule="auto"/>
              <w:jc w:val="center"/>
              <w:rPr>
                <w:rFonts w:cs="Arial"/>
                <w:sz w:val="18"/>
                <w:szCs w:val="18"/>
              </w:rPr>
            </w:pPr>
            <w:r>
              <w:rPr>
                <w:rFonts w:cs="Arial"/>
                <w:sz w:val="18"/>
                <w:szCs w:val="18"/>
              </w:rPr>
              <w:t>121</w:t>
            </w:r>
          </w:p>
        </w:tc>
        <w:tc>
          <w:tcPr>
            <w:tcW w:w="906" w:type="dxa"/>
          </w:tcPr>
          <w:p w:rsidR="004E4A3C" w:rsidRDefault="00FD7157">
            <w:pPr>
              <w:spacing w:after="0" w:line="240" w:lineRule="auto"/>
              <w:jc w:val="center"/>
              <w:rPr>
                <w:rFonts w:cs="Arial"/>
                <w:sz w:val="18"/>
                <w:szCs w:val="18"/>
              </w:rPr>
            </w:pPr>
            <w:r>
              <w:rPr>
                <w:rFonts w:cs="Arial"/>
                <w:sz w:val="18"/>
                <w:szCs w:val="18"/>
              </w:rPr>
              <w:t>268,86</w:t>
            </w:r>
          </w:p>
        </w:tc>
      </w:tr>
      <w:tr w:rsidR="004E4A3C">
        <w:trPr>
          <w:cantSplit/>
          <w:jc w:val="center"/>
        </w:trPr>
        <w:tc>
          <w:tcPr>
            <w:tcW w:w="1176" w:type="dxa"/>
          </w:tcPr>
          <w:p w:rsidR="004E4A3C" w:rsidRDefault="00FD7157">
            <w:pPr>
              <w:spacing w:after="0" w:line="240" w:lineRule="auto"/>
            </w:pPr>
            <w:r>
              <w:rPr>
                <w:rFonts w:cs="Arial"/>
                <w:sz w:val="18"/>
                <w:szCs w:val="18"/>
              </w:rPr>
              <w:t>I</w:t>
            </w:r>
          </w:p>
        </w:tc>
        <w:tc>
          <w:tcPr>
            <w:tcW w:w="1259" w:type="dxa"/>
          </w:tcPr>
          <w:p w:rsidR="004E4A3C" w:rsidRDefault="00FD7157">
            <w:pPr>
              <w:spacing w:after="0" w:line="240" w:lineRule="auto"/>
              <w:jc w:val="center"/>
              <w:rPr>
                <w:rFonts w:cs="Arial"/>
                <w:sz w:val="18"/>
                <w:szCs w:val="18"/>
              </w:rPr>
            </w:pPr>
            <w:r>
              <w:rPr>
                <w:rFonts w:cs="Arial"/>
                <w:sz w:val="18"/>
                <w:szCs w:val="18"/>
              </w:rPr>
              <w:t>122</w:t>
            </w:r>
          </w:p>
        </w:tc>
        <w:tc>
          <w:tcPr>
            <w:tcW w:w="1176" w:type="dxa"/>
          </w:tcPr>
          <w:p w:rsidR="004E4A3C" w:rsidRDefault="00FD7157">
            <w:pPr>
              <w:spacing w:after="0" w:line="240" w:lineRule="auto"/>
              <w:jc w:val="center"/>
              <w:rPr>
                <w:rFonts w:cs="Arial"/>
                <w:sz w:val="18"/>
                <w:szCs w:val="18"/>
              </w:rPr>
            </w:pPr>
            <w:r>
              <w:rPr>
                <w:rFonts w:cs="Arial"/>
                <w:sz w:val="18"/>
                <w:szCs w:val="18"/>
              </w:rPr>
              <w:t>81,34</w:t>
            </w:r>
          </w:p>
        </w:tc>
        <w:tc>
          <w:tcPr>
            <w:tcW w:w="850" w:type="dxa"/>
          </w:tcPr>
          <w:p w:rsidR="004E4A3C" w:rsidRDefault="00FD7157">
            <w:pPr>
              <w:spacing w:after="0" w:line="240" w:lineRule="auto"/>
              <w:jc w:val="center"/>
              <w:rPr>
                <w:rFonts w:cs="Arial"/>
                <w:sz w:val="18"/>
                <w:szCs w:val="18"/>
              </w:rPr>
            </w:pPr>
            <w:r>
              <w:rPr>
                <w:rFonts w:cs="Arial"/>
                <w:sz w:val="18"/>
                <w:szCs w:val="18"/>
              </w:rPr>
              <w:t>0</w:t>
            </w:r>
          </w:p>
        </w:tc>
        <w:tc>
          <w:tcPr>
            <w:tcW w:w="907" w:type="dxa"/>
          </w:tcPr>
          <w:p w:rsidR="004E4A3C" w:rsidRDefault="00FD7157">
            <w:pPr>
              <w:spacing w:after="0" w:line="240" w:lineRule="auto"/>
              <w:jc w:val="center"/>
              <w:rPr>
                <w:rFonts w:cs="Arial"/>
                <w:sz w:val="18"/>
                <w:szCs w:val="18"/>
              </w:rPr>
            </w:pPr>
            <w:r>
              <w:rPr>
                <w:rFonts w:cs="Arial"/>
                <w:sz w:val="18"/>
                <w:szCs w:val="18"/>
              </w:rPr>
              <w:t>0,00</w:t>
            </w:r>
          </w:p>
        </w:tc>
        <w:tc>
          <w:tcPr>
            <w:tcW w:w="850" w:type="dxa"/>
          </w:tcPr>
          <w:p w:rsidR="004E4A3C" w:rsidRDefault="00FD7157">
            <w:pPr>
              <w:spacing w:after="0" w:line="240" w:lineRule="auto"/>
              <w:jc w:val="center"/>
              <w:rPr>
                <w:rFonts w:cs="Arial"/>
                <w:sz w:val="18"/>
                <w:szCs w:val="18"/>
              </w:rPr>
            </w:pPr>
            <w:r>
              <w:rPr>
                <w:rFonts w:cs="Arial"/>
                <w:sz w:val="18"/>
                <w:szCs w:val="18"/>
              </w:rPr>
              <w:t>0</w:t>
            </w:r>
          </w:p>
        </w:tc>
        <w:tc>
          <w:tcPr>
            <w:tcW w:w="907" w:type="dxa"/>
          </w:tcPr>
          <w:p w:rsidR="004E4A3C" w:rsidRDefault="00FD7157">
            <w:pPr>
              <w:spacing w:after="0" w:line="240" w:lineRule="auto"/>
              <w:jc w:val="center"/>
              <w:rPr>
                <w:rFonts w:cs="Arial"/>
                <w:sz w:val="18"/>
                <w:szCs w:val="18"/>
              </w:rPr>
            </w:pPr>
            <w:r>
              <w:rPr>
                <w:rFonts w:cs="Arial"/>
                <w:sz w:val="18"/>
                <w:szCs w:val="18"/>
              </w:rPr>
              <w:t>0,00</w:t>
            </w:r>
          </w:p>
        </w:tc>
        <w:tc>
          <w:tcPr>
            <w:tcW w:w="851" w:type="dxa"/>
          </w:tcPr>
          <w:p w:rsidR="004E4A3C" w:rsidRDefault="00FD7157">
            <w:pPr>
              <w:spacing w:after="0" w:line="240" w:lineRule="auto"/>
              <w:jc w:val="center"/>
              <w:rPr>
                <w:rFonts w:cs="Arial"/>
                <w:sz w:val="18"/>
                <w:szCs w:val="18"/>
              </w:rPr>
            </w:pPr>
            <w:r>
              <w:rPr>
                <w:rFonts w:cs="Arial"/>
                <w:sz w:val="18"/>
                <w:szCs w:val="18"/>
              </w:rPr>
              <w:t>0</w:t>
            </w:r>
          </w:p>
        </w:tc>
        <w:tc>
          <w:tcPr>
            <w:tcW w:w="906" w:type="dxa"/>
          </w:tcPr>
          <w:p w:rsidR="004E4A3C" w:rsidRDefault="00FD7157">
            <w:pPr>
              <w:spacing w:after="0" w:line="240" w:lineRule="auto"/>
              <w:jc w:val="center"/>
              <w:rPr>
                <w:rFonts w:cs="Arial"/>
                <w:sz w:val="18"/>
                <w:szCs w:val="18"/>
              </w:rPr>
            </w:pPr>
            <w:r>
              <w:rPr>
                <w:rFonts w:cs="Arial"/>
                <w:sz w:val="18"/>
                <w:szCs w:val="18"/>
              </w:rPr>
              <w:t>0,00</w:t>
            </w:r>
          </w:p>
        </w:tc>
      </w:tr>
      <w:tr w:rsidR="004E4A3C">
        <w:trPr>
          <w:cantSplit/>
          <w:jc w:val="center"/>
        </w:trPr>
        <w:tc>
          <w:tcPr>
            <w:tcW w:w="1176" w:type="dxa"/>
          </w:tcPr>
          <w:p w:rsidR="004E4A3C" w:rsidRDefault="00FD7157">
            <w:pPr>
              <w:spacing w:after="0" w:line="240" w:lineRule="auto"/>
            </w:pPr>
            <w:r>
              <w:rPr>
                <w:rFonts w:cs="Arial"/>
                <w:sz w:val="18"/>
                <w:szCs w:val="18"/>
              </w:rPr>
              <w:t>/</w:t>
            </w:r>
          </w:p>
        </w:tc>
        <w:tc>
          <w:tcPr>
            <w:tcW w:w="1259" w:type="dxa"/>
          </w:tcPr>
          <w:p w:rsidR="004E4A3C" w:rsidRDefault="00FD7157">
            <w:pPr>
              <w:spacing w:after="0" w:line="240" w:lineRule="auto"/>
              <w:jc w:val="center"/>
              <w:rPr>
                <w:rFonts w:cs="Arial"/>
                <w:sz w:val="18"/>
                <w:szCs w:val="18"/>
              </w:rPr>
            </w:pPr>
            <w:r>
              <w:rPr>
                <w:rFonts w:cs="Arial"/>
                <w:sz w:val="18"/>
                <w:szCs w:val="18"/>
              </w:rPr>
              <w:t>168</w:t>
            </w:r>
          </w:p>
        </w:tc>
        <w:tc>
          <w:tcPr>
            <w:tcW w:w="1176" w:type="dxa"/>
          </w:tcPr>
          <w:p w:rsidR="004E4A3C" w:rsidRDefault="00FD7157">
            <w:pPr>
              <w:spacing w:after="0" w:line="240" w:lineRule="auto"/>
              <w:jc w:val="center"/>
              <w:rPr>
                <w:rFonts w:cs="Arial"/>
                <w:sz w:val="18"/>
                <w:szCs w:val="18"/>
              </w:rPr>
            </w:pPr>
            <w:r>
              <w:rPr>
                <w:rFonts w:cs="Arial"/>
                <w:sz w:val="18"/>
                <w:szCs w:val="18"/>
              </w:rPr>
              <w:t>393,16</w:t>
            </w:r>
          </w:p>
        </w:tc>
        <w:tc>
          <w:tcPr>
            <w:tcW w:w="850" w:type="dxa"/>
          </w:tcPr>
          <w:p w:rsidR="004E4A3C" w:rsidRDefault="00FD7157">
            <w:pPr>
              <w:spacing w:after="0" w:line="240" w:lineRule="auto"/>
              <w:jc w:val="center"/>
              <w:rPr>
                <w:rFonts w:cs="Arial"/>
                <w:sz w:val="18"/>
                <w:szCs w:val="18"/>
              </w:rPr>
            </w:pPr>
            <w:r>
              <w:rPr>
                <w:rFonts w:cs="Arial"/>
                <w:sz w:val="18"/>
                <w:szCs w:val="18"/>
              </w:rPr>
              <w:t>0</w:t>
            </w:r>
          </w:p>
        </w:tc>
        <w:tc>
          <w:tcPr>
            <w:tcW w:w="907" w:type="dxa"/>
          </w:tcPr>
          <w:p w:rsidR="004E4A3C" w:rsidRDefault="00FD7157">
            <w:pPr>
              <w:spacing w:after="0" w:line="240" w:lineRule="auto"/>
              <w:jc w:val="center"/>
              <w:rPr>
                <w:rFonts w:cs="Arial"/>
                <w:sz w:val="18"/>
                <w:szCs w:val="18"/>
              </w:rPr>
            </w:pPr>
            <w:r>
              <w:rPr>
                <w:rFonts w:cs="Arial"/>
                <w:sz w:val="18"/>
                <w:szCs w:val="18"/>
              </w:rPr>
              <w:t>0,00</w:t>
            </w:r>
          </w:p>
        </w:tc>
        <w:tc>
          <w:tcPr>
            <w:tcW w:w="850" w:type="dxa"/>
          </w:tcPr>
          <w:p w:rsidR="004E4A3C" w:rsidRDefault="00FD7157">
            <w:pPr>
              <w:spacing w:after="0" w:line="240" w:lineRule="auto"/>
              <w:jc w:val="center"/>
              <w:rPr>
                <w:rFonts w:cs="Arial"/>
                <w:sz w:val="18"/>
                <w:szCs w:val="18"/>
              </w:rPr>
            </w:pPr>
            <w:r>
              <w:rPr>
                <w:rFonts w:cs="Arial"/>
                <w:sz w:val="18"/>
                <w:szCs w:val="18"/>
              </w:rPr>
              <w:t>0</w:t>
            </w:r>
          </w:p>
        </w:tc>
        <w:tc>
          <w:tcPr>
            <w:tcW w:w="907" w:type="dxa"/>
          </w:tcPr>
          <w:p w:rsidR="004E4A3C" w:rsidRDefault="00FD7157">
            <w:pPr>
              <w:spacing w:after="0" w:line="240" w:lineRule="auto"/>
              <w:jc w:val="center"/>
              <w:rPr>
                <w:rFonts w:cs="Arial"/>
                <w:sz w:val="18"/>
                <w:szCs w:val="18"/>
              </w:rPr>
            </w:pPr>
            <w:r>
              <w:rPr>
                <w:rFonts w:cs="Arial"/>
                <w:sz w:val="18"/>
                <w:szCs w:val="18"/>
              </w:rPr>
              <w:t>0,00</w:t>
            </w:r>
          </w:p>
        </w:tc>
        <w:tc>
          <w:tcPr>
            <w:tcW w:w="851" w:type="dxa"/>
          </w:tcPr>
          <w:p w:rsidR="004E4A3C" w:rsidRDefault="00FD7157">
            <w:pPr>
              <w:spacing w:after="0" w:line="240" w:lineRule="auto"/>
              <w:jc w:val="center"/>
              <w:rPr>
                <w:rFonts w:cs="Arial"/>
                <w:sz w:val="18"/>
                <w:szCs w:val="18"/>
              </w:rPr>
            </w:pPr>
            <w:r>
              <w:rPr>
                <w:rFonts w:cs="Arial"/>
                <w:sz w:val="18"/>
                <w:szCs w:val="18"/>
              </w:rPr>
              <w:t>0</w:t>
            </w:r>
          </w:p>
        </w:tc>
        <w:tc>
          <w:tcPr>
            <w:tcW w:w="906" w:type="dxa"/>
          </w:tcPr>
          <w:p w:rsidR="004E4A3C" w:rsidRDefault="00FD7157">
            <w:pPr>
              <w:spacing w:after="0" w:line="240" w:lineRule="auto"/>
              <w:jc w:val="center"/>
              <w:rPr>
                <w:rFonts w:cs="Arial"/>
                <w:sz w:val="18"/>
                <w:szCs w:val="18"/>
              </w:rPr>
            </w:pPr>
            <w:r>
              <w:rPr>
                <w:rFonts w:cs="Arial"/>
                <w:sz w:val="18"/>
                <w:szCs w:val="18"/>
              </w:rPr>
              <w:t>0,00</w:t>
            </w:r>
          </w:p>
        </w:tc>
      </w:tr>
      <w:tr w:rsidR="004E4A3C">
        <w:trPr>
          <w:cantSplit/>
          <w:jc w:val="center"/>
        </w:trPr>
        <w:tc>
          <w:tcPr>
            <w:tcW w:w="1176" w:type="dxa"/>
          </w:tcPr>
          <w:p w:rsidR="004E4A3C" w:rsidRDefault="00FD7157">
            <w:pPr>
              <w:spacing w:after="0" w:line="240" w:lineRule="auto"/>
            </w:pPr>
            <w:r>
              <w:rPr>
                <w:rFonts w:cs="Arial"/>
                <w:sz w:val="18"/>
                <w:szCs w:val="18"/>
              </w:rPr>
              <w:t>UKUPNO</w:t>
            </w:r>
          </w:p>
        </w:tc>
        <w:tc>
          <w:tcPr>
            <w:tcW w:w="1259" w:type="dxa"/>
          </w:tcPr>
          <w:p w:rsidR="004E4A3C" w:rsidRDefault="00FD7157">
            <w:pPr>
              <w:spacing w:after="0" w:line="240" w:lineRule="auto"/>
              <w:jc w:val="center"/>
              <w:rPr>
                <w:rFonts w:cs="Arial"/>
                <w:sz w:val="18"/>
                <w:szCs w:val="18"/>
              </w:rPr>
            </w:pPr>
            <w:r>
              <w:rPr>
                <w:rFonts w:cs="Arial"/>
                <w:sz w:val="18"/>
                <w:szCs w:val="18"/>
              </w:rPr>
              <w:t>1.771</w:t>
            </w:r>
          </w:p>
        </w:tc>
        <w:tc>
          <w:tcPr>
            <w:tcW w:w="1176" w:type="dxa"/>
          </w:tcPr>
          <w:p w:rsidR="004E4A3C" w:rsidRDefault="00FD7157">
            <w:pPr>
              <w:spacing w:after="0" w:line="240" w:lineRule="auto"/>
              <w:jc w:val="center"/>
              <w:rPr>
                <w:rFonts w:cs="Arial"/>
                <w:sz w:val="18"/>
                <w:szCs w:val="18"/>
              </w:rPr>
            </w:pPr>
            <w:r>
              <w:rPr>
                <w:rFonts w:cs="Arial"/>
                <w:sz w:val="18"/>
                <w:szCs w:val="18"/>
              </w:rPr>
              <w:t>4.179,51</w:t>
            </w:r>
          </w:p>
        </w:tc>
        <w:tc>
          <w:tcPr>
            <w:tcW w:w="850" w:type="dxa"/>
          </w:tcPr>
          <w:p w:rsidR="004E4A3C" w:rsidRDefault="00FD7157">
            <w:pPr>
              <w:spacing w:after="0" w:line="240" w:lineRule="auto"/>
              <w:jc w:val="center"/>
              <w:rPr>
                <w:rFonts w:cs="Arial"/>
                <w:sz w:val="18"/>
                <w:szCs w:val="18"/>
              </w:rPr>
            </w:pPr>
            <w:r>
              <w:rPr>
                <w:rFonts w:cs="Arial"/>
                <w:sz w:val="18"/>
                <w:szCs w:val="18"/>
              </w:rPr>
              <w:t>124</w:t>
            </w:r>
          </w:p>
        </w:tc>
        <w:tc>
          <w:tcPr>
            <w:tcW w:w="907" w:type="dxa"/>
          </w:tcPr>
          <w:p w:rsidR="004E4A3C" w:rsidRDefault="00FD7157">
            <w:pPr>
              <w:spacing w:after="0" w:line="240" w:lineRule="auto"/>
              <w:jc w:val="center"/>
              <w:rPr>
                <w:rFonts w:cs="Arial"/>
                <w:sz w:val="18"/>
                <w:szCs w:val="18"/>
              </w:rPr>
            </w:pPr>
            <w:r>
              <w:rPr>
                <w:rFonts w:cs="Arial"/>
                <w:sz w:val="18"/>
                <w:szCs w:val="18"/>
              </w:rPr>
              <w:t>290,87</w:t>
            </w:r>
          </w:p>
        </w:tc>
        <w:tc>
          <w:tcPr>
            <w:tcW w:w="850" w:type="dxa"/>
          </w:tcPr>
          <w:p w:rsidR="004E4A3C" w:rsidRDefault="00FD7157">
            <w:pPr>
              <w:spacing w:after="0" w:line="240" w:lineRule="auto"/>
              <w:jc w:val="center"/>
              <w:rPr>
                <w:rFonts w:cs="Arial"/>
                <w:sz w:val="18"/>
                <w:szCs w:val="18"/>
              </w:rPr>
            </w:pPr>
            <w:r>
              <w:rPr>
                <w:rFonts w:cs="Arial"/>
                <w:sz w:val="18"/>
                <w:szCs w:val="18"/>
              </w:rPr>
              <w:t>153</w:t>
            </w:r>
          </w:p>
        </w:tc>
        <w:tc>
          <w:tcPr>
            <w:tcW w:w="907" w:type="dxa"/>
          </w:tcPr>
          <w:p w:rsidR="004E4A3C" w:rsidRDefault="00FD7157">
            <w:pPr>
              <w:spacing w:after="0" w:line="240" w:lineRule="auto"/>
              <w:jc w:val="center"/>
              <w:rPr>
                <w:rFonts w:cs="Arial"/>
                <w:sz w:val="18"/>
                <w:szCs w:val="18"/>
              </w:rPr>
            </w:pPr>
            <w:r>
              <w:rPr>
                <w:rFonts w:cs="Arial"/>
                <w:sz w:val="18"/>
                <w:szCs w:val="18"/>
              </w:rPr>
              <w:t>317,65</w:t>
            </w:r>
          </w:p>
        </w:tc>
        <w:tc>
          <w:tcPr>
            <w:tcW w:w="851" w:type="dxa"/>
          </w:tcPr>
          <w:p w:rsidR="004E4A3C" w:rsidRDefault="00FD7157">
            <w:pPr>
              <w:spacing w:after="0" w:line="240" w:lineRule="auto"/>
              <w:jc w:val="center"/>
              <w:rPr>
                <w:rFonts w:cs="Arial"/>
                <w:sz w:val="18"/>
                <w:szCs w:val="18"/>
              </w:rPr>
            </w:pPr>
            <w:r>
              <w:rPr>
                <w:rFonts w:cs="Arial"/>
                <w:sz w:val="18"/>
                <w:szCs w:val="18"/>
              </w:rPr>
              <w:t>194</w:t>
            </w:r>
          </w:p>
        </w:tc>
        <w:tc>
          <w:tcPr>
            <w:tcW w:w="906" w:type="dxa"/>
          </w:tcPr>
          <w:p w:rsidR="004E4A3C" w:rsidRDefault="00FD7157">
            <w:pPr>
              <w:spacing w:after="0" w:line="240" w:lineRule="auto"/>
              <w:jc w:val="center"/>
              <w:rPr>
                <w:rFonts w:cs="Arial"/>
                <w:sz w:val="18"/>
                <w:szCs w:val="18"/>
              </w:rPr>
            </w:pPr>
            <w:r>
              <w:rPr>
                <w:rFonts w:cs="Arial"/>
                <w:sz w:val="18"/>
                <w:szCs w:val="18"/>
              </w:rPr>
              <w:t>449,30</w:t>
            </w:r>
          </w:p>
        </w:tc>
      </w:tr>
    </w:tbl>
    <w:p w:rsidR="004E4A3C" w:rsidRDefault="004E4A3C">
      <w:pPr>
        <w:jc w:val="both"/>
      </w:pPr>
    </w:p>
    <w:p w:rsidR="004E4A3C" w:rsidRDefault="00FD7157">
      <w:pPr>
        <w:jc w:val="both"/>
      </w:pPr>
      <w:r>
        <w:t xml:space="preserve">Napomena: ova tabela prikazuje formalna prekoračenja graničnih vrijednosti po akustičkim zonama. Apsolutni pragovi izloženosti koji </w:t>
      </w:r>
      <w:r>
        <w:t>se kasnije koriste za poređenje scenarija, kao što su Lden &gt;=55 dB(A) ili Lnight &gt;=45 dB(A), imaju drugačiju metodološku ulogu i ne predstavljaju zamjenu za formalnu ocjenu prekoračenja.</w:t>
      </w:r>
    </w:p>
    <w:p w:rsidR="004E4A3C" w:rsidRDefault="00FD7157">
      <w:pPr>
        <w:jc w:val="both"/>
      </w:pPr>
      <w:r>
        <w:t>Zvanična tabela prekoračenja pokazuje da su najveći brojevi stanovnik</w:t>
      </w:r>
      <w:r>
        <w:t>a sa prekoračenjem u stambenoj zoni i u zoni jakog uticaja buke saobraćaja. Zbog toga mjere treba projektovati kao kombinaciju smanjenja emisije na izvoru, upravljanja brzinom i održavanja kolovoza, uz lokalnu provjeru preostalih objekata.</w:t>
      </w:r>
    </w:p>
    <w:p w:rsidR="004E4A3C" w:rsidRDefault="00FD7157">
      <w:pPr>
        <w:pStyle w:val="Heading2"/>
        <w:jc w:val="both"/>
      </w:pPr>
      <w:bookmarkStart w:id="77" w:name="__RefHeading___Toc9191_4023479253"/>
      <w:bookmarkStart w:id="78" w:name="_Toc231671812"/>
      <w:bookmarkEnd w:id="77"/>
      <w:r>
        <w:rPr>
          <w:rFonts w:ascii="Arial" w:eastAsia="Arial" w:hAnsi="Arial"/>
          <w:b w:val="0"/>
        </w:rPr>
        <w:t xml:space="preserve">4.8. Osjetljivi </w:t>
      </w:r>
      <w:r>
        <w:rPr>
          <w:rFonts w:ascii="Arial" w:eastAsia="Arial" w:hAnsi="Arial"/>
          <w:b w:val="0"/>
        </w:rPr>
        <w:t>objekti</w:t>
      </w:r>
      <w:bookmarkEnd w:id="78"/>
    </w:p>
    <w:p w:rsidR="004E4A3C" w:rsidRDefault="00FD7157">
      <w:pPr>
        <w:jc w:val="both"/>
      </w:pPr>
      <w:r>
        <w:t>Osjetljivi objekti se posebno razmatraju zato što mogu imati korisnike kojima je potrebna viša zaštita od buke. U nastavku su prikazani nivoi buke za evidentirane objekte takve namjene, kao osnova za dalju provjeru i eventualno lokalno djelovanje.</w:t>
      </w:r>
    </w:p>
    <w:p w:rsidR="004E4A3C" w:rsidRDefault="00FD7157">
      <w:pPr>
        <w:keepNext/>
        <w:keepLines/>
        <w:spacing w:after="40"/>
        <w:rPr>
          <w:b/>
          <w:bCs/>
        </w:rPr>
      </w:pPr>
      <w:r>
        <w:rPr>
          <w:b/>
          <w:bCs/>
        </w:rPr>
        <w:t>Tabela 15. Osjetljivi objekti po nivoima buke izraženi u dB(A)</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3736"/>
        <w:gridCol w:w="1441"/>
        <w:gridCol w:w="1530"/>
        <w:gridCol w:w="1620"/>
        <w:gridCol w:w="1538"/>
      </w:tblGrid>
      <w:tr w:rsidR="004E4A3C">
        <w:trPr>
          <w:cantSplit/>
          <w:tblHeader/>
          <w:jc w:val="center"/>
        </w:trPr>
        <w:tc>
          <w:tcPr>
            <w:tcW w:w="3736" w:type="dxa"/>
            <w:shd w:val="clear" w:color="auto" w:fill="D9EAF7"/>
          </w:tcPr>
          <w:p w:rsidR="004E4A3C" w:rsidRDefault="00FD7157">
            <w:pPr>
              <w:spacing w:after="0" w:line="240" w:lineRule="auto"/>
              <w:jc w:val="center"/>
            </w:pPr>
            <w:r>
              <w:rPr>
                <w:rFonts w:cs="Arial"/>
                <w:b/>
                <w:color w:val="000000"/>
                <w:sz w:val="18"/>
                <w:szCs w:val="18"/>
              </w:rPr>
              <w:t>Osjetljivi objekat</w:t>
            </w:r>
          </w:p>
        </w:tc>
        <w:tc>
          <w:tcPr>
            <w:tcW w:w="1441" w:type="dxa"/>
            <w:shd w:val="clear" w:color="auto" w:fill="D9EAF7"/>
          </w:tcPr>
          <w:p w:rsidR="004E4A3C" w:rsidRDefault="00FD7157">
            <w:pPr>
              <w:spacing w:after="0" w:line="240" w:lineRule="auto"/>
              <w:jc w:val="center"/>
            </w:pPr>
            <w:r>
              <w:rPr>
                <w:rFonts w:cs="Arial"/>
                <w:b/>
                <w:color w:val="000000"/>
                <w:sz w:val="18"/>
                <w:szCs w:val="18"/>
              </w:rPr>
              <w:t>Lday</w:t>
            </w:r>
          </w:p>
        </w:tc>
        <w:tc>
          <w:tcPr>
            <w:tcW w:w="1530" w:type="dxa"/>
            <w:shd w:val="clear" w:color="auto" w:fill="D9EAF7"/>
          </w:tcPr>
          <w:p w:rsidR="004E4A3C" w:rsidRDefault="00FD7157">
            <w:pPr>
              <w:spacing w:after="0" w:line="240" w:lineRule="auto"/>
              <w:jc w:val="center"/>
            </w:pPr>
            <w:r>
              <w:rPr>
                <w:rFonts w:cs="Arial"/>
                <w:b/>
                <w:color w:val="000000"/>
                <w:sz w:val="18"/>
                <w:szCs w:val="18"/>
              </w:rPr>
              <w:t>Levening</w:t>
            </w:r>
          </w:p>
        </w:tc>
        <w:tc>
          <w:tcPr>
            <w:tcW w:w="1620" w:type="dxa"/>
            <w:shd w:val="clear" w:color="auto" w:fill="D9EAF7"/>
          </w:tcPr>
          <w:p w:rsidR="004E4A3C" w:rsidRDefault="00FD7157">
            <w:pPr>
              <w:spacing w:after="0" w:line="240" w:lineRule="auto"/>
              <w:jc w:val="center"/>
            </w:pPr>
            <w:r>
              <w:rPr>
                <w:rFonts w:cs="Arial"/>
                <w:b/>
                <w:color w:val="000000"/>
                <w:sz w:val="18"/>
                <w:szCs w:val="18"/>
              </w:rPr>
              <w:t>Lnight</w:t>
            </w:r>
          </w:p>
        </w:tc>
        <w:tc>
          <w:tcPr>
            <w:tcW w:w="1538" w:type="dxa"/>
            <w:shd w:val="clear" w:color="auto" w:fill="D9EAF7"/>
          </w:tcPr>
          <w:p w:rsidR="004E4A3C" w:rsidRDefault="00FD7157">
            <w:pPr>
              <w:spacing w:after="0" w:line="240" w:lineRule="auto"/>
              <w:jc w:val="center"/>
            </w:pPr>
            <w:r>
              <w:rPr>
                <w:rFonts w:cs="Arial"/>
                <w:b/>
                <w:color w:val="000000"/>
                <w:sz w:val="18"/>
                <w:szCs w:val="18"/>
              </w:rPr>
              <w:t>Lden</w:t>
            </w:r>
          </w:p>
        </w:tc>
      </w:tr>
      <w:tr w:rsidR="004E4A3C">
        <w:trPr>
          <w:cantSplit/>
          <w:jc w:val="center"/>
        </w:trPr>
        <w:tc>
          <w:tcPr>
            <w:tcW w:w="3736" w:type="dxa"/>
          </w:tcPr>
          <w:p w:rsidR="004E4A3C" w:rsidRDefault="00FD7157">
            <w:pPr>
              <w:spacing w:after="0" w:line="240" w:lineRule="auto"/>
            </w:pPr>
            <w:r>
              <w:rPr>
                <w:rFonts w:cs="Arial"/>
                <w:sz w:val="18"/>
                <w:szCs w:val="18"/>
              </w:rPr>
              <w:t xml:space="preserve">Osnovna škola „Njegoš </w:t>
            </w:r>
            <w:proofErr w:type="gramStart"/>
            <w:r>
              <w:rPr>
                <w:rFonts w:cs="Arial"/>
                <w:sz w:val="18"/>
                <w:szCs w:val="18"/>
              </w:rPr>
              <w:t>I“ u</w:t>
            </w:r>
            <w:proofErr w:type="gramEnd"/>
            <w:r>
              <w:rPr>
                <w:rFonts w:cs="Arial"/>
                <w:sz w:val="18"/>
                <w:szCs w:val="18"/>
              </w:rPr>
              <w:t xml:space="preserve"> Spužu</w:t>
            </w:r>
          </w:p>
        </w:tc>
        <w:tc>
          <w:tcPr>
            <w:tcW w:w="1441" w:type="dxa"/>
          </w:tcPr>
          <w:p w:rsidR="004E4A3C" w:rsidRDefault="00FD7157">
            <w:pPr>
              <w:spacing w:after="0" w:line="240" w:lineRule="auto"/>
              <w:jc w:val="center"/>
            </w:pPr>
            <w:r>
              <w:rPr>
                <w:rFonts w:cs="Arial"/>
                <w:sz w:val="18"/>
                <w:szCs w:val="18"/>
              </w:rPr>
              <w:t>34,4</w:t>
            </w:r>
          </w:p>
        </w:tc>
        <w:tc>
          <w:tcPr>
            <w:tcW w:w="1530" w:type="dxa"/>
          </w:tcPr>
          <w:p w:rsidR="004E4A3C" w:rsidRDefault="00FD7157">
            <w:pPr>
              <w:spacing w:after="0" w:line="240" w:lineRule="auto"/>
              <w:jc w:val="center"/>
            </w:pPr>
            <w:r>
              <w:rPr>
                <w:rFonts w:cs="Arial"/>
                <w:sz w:val="18"/>
                <w:szCs w:val="18"/>
              </w:rPr>
              <w:t>35,0</w:t>
            </w:r>
          </w:p>
        </w:tc>
        <w:tc>
          <w:tcPr>
            <w:tcW w:w="1620" w:type="dxa"/>
          </w:tcPr>
          <w:p w:rsidR="004E4A3C" w:rsidRDefault="00FD7157">
            <w:pPr>
              <w:spacing w:after="0" w:line="240" w:lineRule="auto"/>
              <w:jc w:val="center"/>
            </w:pPr>
            <w:r>
              <w:rPr>
                <w:rFonts w:cs="Arial"/>
                <w:sz w:val="18"/>
                <w:szCs w:val="18"/>
              </w:rPr>
              <w:t>30,2</w:t>
            </w:r>
          </w:p>
        </w:tc>
        <w:tc>
          <w:tcPr>
            <w:tcW w:w="1538" w:type="dxa"/>
          </w:tcPr>
          <w:p w:rsidR="004E4A3C" w:rsidRDefault="00FD7157">
            <w:pPr>
              <w:spacing w:after="0" w:line="240" w:lineRule="auto"/>
              <w:jc w:val="center"/>
            </w:pPr>
            <w:r>
              <w:rPr>
                <w:rFonts w:cs="Arial"/>
                <w:sz w:val="18"/>
                <w:szCs w:val="18"/>
              </w:rPr>
              <w:t>38,4</w:t>
            </w:r>
          </w:p>
        </w:tc>
      </w:tr>
      <w:tr w:rsidR="004E4A3C">
        <w:trPr>
          <w:cantSplit/>
          <w:jc w:val="center"/>
        </w:trPr>
        <w:tc>
          <w:tcPr>
            <w:tcW w:w="3736" w:type="dxa"/>
          </w:tcPr>
          <w:p w:rsidR="004E4A3C" w:rsidRDefault="00FD7157">
            <w:pPr>
              <w:spacing w:after="0" w:line="240" w:lineRule="auto"/>
            </w:pPr>
            <w:r>
              <w:rPr>
                <w:rFonts w:cs="Arial"/>
                <w:sz w:val="18"/>
                <w:szCs w:val="18"/>
              </w:rPr>
              <w:t>Vrtić u Spužu</w:t>
            </w:r>
          </w:p>
        </w:tc>
        <w:tc>
          <w:tcPr>
            <w:tcW w:w="1441" w:type="dxa"/>
          </w:tcPr>
          <w:p w:rsidR="004E4A3C" w:rsidRDefault="00FD7157">
            <w:pPr>
              <w:spacing w:after="0" w:line="240" w:lineRule="auto"/>
              <w:jc w:val="center"/>
            </w:pPr>
            <w:r>
              <w:rPr>
                <w:rFonts w:cs="Arial"/>
                <w:sz w:val="18"/>
                <w:szCs w:val="18"/>
              </w:rPr>
              <w:t>19,7</w:t>
            </w:r>
          </w:p>
        </w:tc>
        <w:tc>
          <w:tcPr>
            <w:tcW w:w="1530" w:type="dxa"/>
          </w:tcPr>
          <w:p w:rsidR="004E4A3C" w:rsidRDefault="00FD7157">
            <w:pPr>
              <w:spacing w:after="0" w:line="240" w:lineRule="auto"/>
              <w:jc w:val="center"/>
            </w:pPr>
            <w:r>
              <w:rPr>
                <w:rFonts w:cs="Arial"/>
                <w:sz w:val="18"/>
                <w:szCs w:val="18"/>
              </w:rPr>
              <w:t>20,3</w:t>
            </w:r>
          </w:p>
        </w:tc>
        <w:tc>
          <w:tcPr>
            <w:tcW w:w="1620" w:type="dxa"/>
          </w:tcPr>
          <w:p w:rsidR="004E4A3C" w:rsidRDefault="00FD7157">
            <w:pPr>
              <w:spacing w:after="0" w:line="240" w:lineRule="auto"/>
              <w:jc w:val="center"/>
            </w:pPr>
            <w:r>
              <w:rPr>
                <w:rFonts w:cs="Arial"/>
                <w:sz w:val="18"/>
                <w:szCs w:val="18"/>
              </w:rPr>
              <w:t>15,4</w:t>
            </w:r>
          </w:p>
        </w:tc>
        <w:tc>
          <w:tcPr>
            <w:tcW w:w="1538" w:type="dxa"/>
          </w:tcPr>
          <w:p w:rsidR="004E4A3C" w:rsidRDefault="00FD7157">
            <w:pPr>
              <w:spacing w:after="0" w:line="240" w:lineRule="auto"/>
              <w:jc w:val="center"/>
            </w:pPr>
            <w:r>
              <w:rPr>
                <w:rFonts w:cs="Arial"/>
                <w:sz w:val="18"/>
                <w:szCs w:val="18"/>
              </w:rPr>
              <w:t>23,7</w:t>
            </w:r>
          </w:p>
        </w:tc>
      </w:tr>
      <w:tr w:rsidR="004E4A3C">
        <w:trPr>
          <w:cantSplit/>
          <w:jc w:val="center"/>
        </w:trPr>
        <w:tc>
          <w:tcPr>
            <w:tcW w:w="3736" w:type="dxa"/>
          </w:tcPr>
          <w:p w:rsidR="004E4A3C" w:rsidRDefault="00FD7157">
            <w:pPr>
              <w:spacing w:after="0" w:line="240" w:lineRule="auto"/>
            </w:pPr>
            <w:r>
              <w:rPr>
                <w:rFonts w:cs="Arial"/>
                <w:sz w:val="18"/>
                <w:szCs w:val="18"/>
              </w:rPr>
              <w:t>Crkva Svetog Petra Cetinjskog u Spužu</w:t>
            </w:r>
          </w:p>
        </w:tc>
        <w:tc>
          <w:tcPr>
            <w:tcW w:w="1441" w:type="dxa"/>
          </w:tcPr>
          <w:p w:rsidR="004E4A3C" w:rsidRDefault="00FD7157">
            <w:pPr>
              <w:spacing w:after="0" w:line="240" w:lineRule="auto"/>
              <w:jc w:val="center"/>
            </w:pPr>
            <w:r>
              <w:rPr>
                <w:rFonts w:cs="Arial"/>
                <w:sz w:val="18"/>
                <w:szCs w:val="18"/>
              </w:rPr>
              <w:t>29,0</w:t>
            </w:r>
          </w:p>
        </w:tc>
        <w:tc>
          <w:tcPr>
            <w:tcW w:w="1530" w:type="dxa"/>
          </w:tcPr>
          <w:p w:rsidR="004E4A3C" w:rsidRDefault="00FD7157">
            <w:pPr>
              <w:spacing w:after="0" w:line="240" w:lineRule="auto"/>
              <w:jc w:val="center"/>
            </w:pPr>
            <w:r>
              <w:rPr>
                <w:rFonts w:cs="Arial"/>
                <w:sz w:val="18"/>
                <w:szCs w:val="18"/>
              </w:rPr>
              <w:t>30,5</w:t>
            </w:r>
          </w:p>
        </w:tc>
        <w:tc>
          <w:tcPr>
            <w:tcW w:w="1620" w:type="dxa"/>
          </w:tcPr>
          <w:p w:rsidR="004E4A3C" w:rsidRDefault="00FD7157">
            <w:pPr>
              <w:spacing w:after="0" w:line="240" w:lineRule="auto"/>
              <w:jc w:val="center"/>
            </w:pPr>
            <w:r>
              <w:rPr>
                <w:rFonts w:cs="Arial"/>
                <w:sz w:val="18"/>
                <w:szCs w:val="18"/>
              </w:rPr>
              <w:t>26,1</w:t>
            </w:r>
          </w:p>
        </w:tc>
        <w:tc>
          <w:tcPr>
            <w:tcW w:w="1538" w:type="dxa"/>
          </w:tcPr>
          <w:p w:rsidR="004E4A3C" w:rsidRDefault="00FD7157">
            <w:pPr>
              <w:spacing w:after="0" w:line="240" w:lineRule="auto"/>
              <w:jc w:val="center"/>
            </w:pPr>
            <w:r>
              <w:rPr>
                <w:rFonts w:cs="Arial"/>
                <w:sz w:val="18"/>
                <w:szCs w:val="18"/>
              </w:rPr>
              <w:t>34,0</w:t>
            </w:r>
          </w:p>
        </w:tc>
      </w:tr>
      <w:tr w:rsidR="004E4A3C">
        <w:trPr>
          <w:cantSplit/>
          <w:jc w:val="center"/>
        </w:trPr>
        <w:tc>
          <w:tcPr>
            <w:tcW w:w="3736" w:type="dxa"/>
          </w:tcPr>
          <w:p w:rsidR="004E4A3C" w:rsidRDefault="00FD7157">
            <w:pPr>
              <w:spacing w:after="0" w:line="240" w:lineRule="auto"/>
            </w:pPr>
            <w:r>
              <w:rPr>
                <w:rFonts w:cs="Arial"/>
                <w:sz w:val="18"/>
                <w:szCs w:val="18"/>
              </w:rPr>
              <w:t>Centar za kulturu u Spužu</w:t>
            </w:r>
          </w:p>
        </w:tc>
        <w:tc>
          <w:tcPr>
            <w:tcW w:w="1441" w:type="dxa"/>
          </w:tcPr>
          <w:p w:rsidR="004E4A3C" w:rsidRDefault="00FD7157">
            <w:pPr>
              <w:spacing w:after="0" w:line="240" w:lineRule="auto"/>
              <w:jc w:val="center"/>
            </w:pPr>
            <w:r>
              <w:rPr>
                <w:rFonts w:cs="Arial"/>
                <w:sz w:val="18"/>
                <w:szCs w:val="18"/>
              </w:rPr>
              <w:t>27,8</w:t>
            </w:r>
          </w:p>
        </w:tc>
        <w:tc>
          <w:tcPr>
            <w:tcW w:w="1530" w:type="dxa"/>
          </w:tcPr>
          <w:p w:rsidR="004E4A3C" w:rsidRDefault="00FD7157">
            <w:pPr>
              <w:spacing w:after="0" w:line="240" w:lineRule="auto"/>
              <w:jc w:val="center"/>
            </w:pPr>
            <w:r>
              <w:rPr>
                <w:rFonts w:cs="Arial"/>
                <w:sz w:val="18"/>
                <w:szCs w:val="18"/>
              </w:rPr>
              <w:t>29,6</w:t>
            </w:r>
          </w:p>
        </w:tc>
        <w:tc>
          <w:tcPr>
            <w:tcW w:w="1620" w:type="dxa"/>
          </w:tcPr>
          <w:p w:rsidR="004E4A3C" w:rsidRDefault="00FD7157">
            <w:pPr>
              <w:spacing w:after="0" w:line="240" w:lineRule="auto"/>
              <w:jc w:val="center"/>
            </w:pPr>
            <w:r>
              <w:rPr>
                <w:rFonts w:cs="Arial"/>
                <w:sz w:val="18"/>
                <w:szCs w:val="18"/>
              </w:rPr>
              <w:t>25,4</w:t>
            </w:r>
          </w:p>
        </w:tc>
        <w:tc>
          <w:tcPr>
            <w:tcW w:w="1538" w:type="dxa"/>
          </w:tcPr>
          <w:p w:rsidR="004E4A3C" w:rsidRDefault="00FD7157">
            <w:pPr>
              <w:spacing w:after="0" w:line="240" w:lineRule="auto"/>
              <w:jc w:val="center"/>
            </w:pPr>
            <w:r>
              <w:rPr>
                <w:rFonts w:cs="Arial"/>
                <w:sz w:val="18"/>
                <w:szCs w:val="18"/>
              </w:rPr>
              <w:t>33,1</w:t>
            </w:r>
          </w:p>
        </w:tc>
      </w:tr>
      <w:tr w:rsidR="004E4A3C">
        <w:trPr>
          <w:cantSplit/>
          <w:jc w:val="center"/>
        </w:trPr>
        <w:tc>
          <w:tcPr>
            <w:tcW w:w="3736" w:type="dxa"/>
          </w:tcPr>
          <w:p w:rsidR="004E4A3C" w:rsidRDefault="00FD7157">
            <w:pPr>
              <w:spacing w:after="0" w:line="240" w:lineRule="auto"/>
            </w:pPr>
            <w:r>
              <w:rPr>
                <w:rFonts w:cs="Arial"/>
                <w:sz w:val="18"/>
                <w:szCs w:val="18"/>
              </w:rPr>
              <w:t>Početak groblja u Spužu</w:t>
            </w:r>
          </w:p>
        </w:tc>
        <w:tc>
          <w:tcPr>
            <w:tcW w:w="1441" w:type="dxa"/>
          </w:tcPr>
          <w:p w:rsidR="004E4A3C" w:rsidRDefault="00FD7157">
            <w:pPr>
              <w:spacing w:after="0" w:line="240" w:lineRule="auto"/>
              <w:jc w:val="center"/>
            </w:pPr>
            <w:r>
              <w:rPr>
                <w:rFonts w:cs="Arial"/>
                <w:sz w:val="18"/>
                <w:szCs w:val="18"/>
              </w:rPr>
              <w:t>27,1</w:t>
            </w:r>
          </w:p>
        </w:tc>
        <w:tc>
          <w:tcPr>
            <w:tcW w:w="1530" w:type="dxa"/>
          </w:tcPr>
          <w:p w:rsidR="004E4A3C" w:rsidRDefault="00FD7157">
            <w:pPr>
              <w:spacing w:after="0" w:line="240" w:lineRule="auto"/>
              <w:jc w:val="center"/>
            </w:pPr>
            <w:r>
              <w:rPr>
                <w:rFonts w:cs="Arial"/>
                <w:sz w:val="18"/>
                <w:szCs w:val="18"/>
              </w:rPr>
              <w:t>28,8</w:t>
            </w:r>
          </w:p>
        </w:tc>
        <w:tc>
          <w:tcPr>
            <w:tcW w:w="1620" w:type="dxa"/>
          </w:tcPr>
          <w:p w:rsidR="004E4A3C" w:rsidRDefault="00FD7157">
            <w:pPr>
              <w:spacing w:after="0" w:line="240" w:lineRule="auto"/>
              <w:jc w:val="center"/>
            </w:pPr>
            <w:r>
              <w:rPr>
                <w:rFonts w:cs="Arial"/>
                <w:sz w:val="18"/>
                <w:szCs w:val="18"/>
              </w:rPr>
              <w:t>24,5</w:t>
            </w:r>
          </w:p>
        </w:tc>
        <w:tc>
          <w:tcPr>
            <w:tcW w:w="1538" w:type="dxa"/>
          </w:tcPr>
          <w:p w:rsidR="004E4A3C" w:rsidRDefault="00FD7157">
            <w:pPr>
              <w:spacing w:after="0" w:line="240" w:lineRule="auto"/>
              <w:jc w:val="center"/>
            </w:pPr>
            <w:r>
              <w:rPr>
                <w:rFonts w:cs="Arial"/>
                <w:sz w:val="18"/>
                <w:szCs w:val="18"/>
              </w:rPr>
              <w:t>32,3</w:t>
            </w:r>
          </w:p>
        </w:tc>
      </w:tr>
      <w:tr w:rsidR="004E4A3C">
        <w:trPr>
          <w:cantSplit/>
          <w:jc w:val="center"/>
        </w:trPr>
        <w:tc>
          <w:tcPr>
            <w:tcW w:w="3736" w:type="dxa"/>
          </w:tcPr>
          <w:p w:rsidR="004E4A3C" w:rsidRDefault="00FD7157">
            <w:pPr>
              <w:spacing w:after="0" w:line="240" w:lineRule="auto"/>
            </w:pPr>
            <w:r>
              <w:rPr>
                <w:rFonts w:cs="Arial"/>
                <w:sz w:val="18"/>
                <w:szCs w:val="18"/>
              </w:rPr>
              <w:t>Duklja</w:t>
            </w:r>
          </w:p>
        </w:tc>
        <w:tc>
          <w:tcPr>
            <w:tcW w:w="1441" w:type="dxa"/>
          </w:tcPr>
          <w:p w:rsidR="004E4A3C" w:rsidRDefault="00FD7157">
            <w:pPr>
              <w:spacing w:after="0" w:line="240" w:lineRule="auto"/>
              <w:jc w:val="center"/>
            </w:pPr>
            <w:r>
              <w:rPr>
                <w:rFonts w:cs="Arial"/>
                <w:sz w:val="18"/>
                <w:szCs w:val="18"/>
              </w:rPr>
              <w:t>37,0</w:t>
            </w:r>
          </w:p>
        </w:tc>
        <w:tc>
          <w:tcPr>
            <w:tcW w:w="1530" w:type="dxa"/>
          </w:tcPr>
          <w:p w:rsidR="004E4A3C" w:rsidRDefault="00FD7157">
            <w:pPr>
              <w:spacing w:after="0" w:line="240" w:lineRule="auto"/>
              <w:jc w:val="center"/>
            </w:pPr>
            <w:r>
              <w:rPr>
                <w:rFonts w:cs="Arial"/>
                <w:sz w:val="18"/>
                <w:szCs w:val="18"/>
              </w:rPr>
              <w:t>38,1</w:t>
            </w:r>
          </w:p>
        </w:tc>
        <w:tc>
          <w:tcPr>
            <w:tcW w:w="1620" w:type="dxa"/>
          </w:tcPr>
          <w:p w:rsidR="004E4A3C" w:rsidRDefault="00FD7157">
            <w:pPr>
              <w:spacing w:after="0" w:line="240" w:lineRule="auto"/>
              <w:jc w:val="center"/>
            </w:pPr>
            <w:r>
              <w:rPr>
                <w:rFonts w:cs="Arial"/>
                <w:sz w:val="18"/>
                <w:szCs w:val="18"/>
              </w:rPr>
              <w:t>32,1</w:t>
            </w:r>
          </w:p>
        </w:tc>
        <w:tc>
          <w:tcPr>
            <w:tcW w:w="1538" w:type="dxa"/>
          </w:tcPr>
          <w:p w:rsidR="004E4A3C" w:rsidRDefault="00FD7157">
            <w:pPr>
              <w:spacing w:after="0" w:line="240" w:lineRule="auto"/>
              <w:jc w:val="center"/>
            </w:pPr>
            <w:r>
              <w:rPr>
                <w:rFonts w:cs="Arial"/>
                <w:sz w:val="18"/>
                <w:szCs w:val="18"/>
              </w:rPr>
              <w:t>40,8</w:t>
            </w:r>
          </w:p>
        </w:tc>
      </w:tr>
    </w:tbl>
    <w:p w:rsidR="004E4A3C" w:rsidRDefault="00FD7157">
      <w:pPr>
        <w:pStyle w:val="Heading1"/>
      </w:pPr>
      <w:bookmarkStart w:id="79" w:name="__RefHeading___Toc9193_4023479253"/>
      <w:bookmarkStart w:id="80" w:name="_Toc231671813"/>
      <w:bookmarkEnd w:id="79"/>
      <w:r>
        <w:rPr>
          <w:rFonts w:ascii="Arial" w:eastAsia="Arial" w:hAnsi="Arial"/>
          <w:b w:val="0"/>
        </w:rPr>
        <w:t>5. Identifikacija problema koje treba poboljšati</w:t>
      </w:r>
      <w:bookmarkEnd w:id="80"/>
    </w:p>
    <w:p w:rsidR="004E4A3C" w:rsidRDefault="004E4A3C">
      <w:pPr>
        <w:spacing w:after="0"/>
        <w:jc w:val="both"/>
      </w:pPr>
    </w:p>
    <w:p w:rsidR="004E4A3C" w:rsidRDefault="00FD7157">
      <w:pPr>
        <w:jc w:val="both"/>
      </w:pPr>
      <w:r>
        <w:t xml:space="preserve">Identifikacija problema prevodi rezultate karte buke u planske zaključke. U ovom </w:t>
      </w:r>
      <w:r>
        <w:t>poglavlju se ne posmatra samo visina izračunatih nivoa buke, već i prostorna koncentracija izloženih objekata, broj stanovnika, mogućnost sprovođenja mjera i prioritet zaštite.</w:t>
      </w:r>
    </w:p>
    <w:p w:rsidR="004E4A3C" w:rsidRDefault="00FD7157">
      <w:pPr>
        <w:pStyle w:val="Heading2"/>
        <w:jc w:val="both"/>
      </w:pPr>
      <w:bookmarkStart w:id="81" w:name="__RefHeading___Toc9195_4023479253"/>
      <w:bookmarkStart w:id="82" w:name="_Toc231671814"/>
      <w:bookmarkEnd w:id="81"/>
      <w:r>
        <w:rPr>
          <w:rFonts w:ascii="Arial" w:eastAsia="Arial" w:hAnsi="Arial"/>
          <w:b w:val="0"/>
        </w:rPr>
        <w:t>5.1. Osnov za identifikaciju problema</w:t>
      </w:r>
      <w:bookmarkEnd w:id="82"/>
    </w:p>
    <w:p w:rsidR="004E4A3C" w:rsidRDefault="00FD7157">
      <w:pPr>
        <w:jc w:val="both"/>
      </w:pPr>
      <w:r>
        <w:t>Problemi su identifikovani na osnovu komb</w:t>
      </w:r>
      <w:r>
        <w:t xml:space="preserve">inacije tri pokazatelja: apsolutnih razreda izloženosti Lden i Lnight, prekoračenja graničnih vrijednosti po akustičnim zonama i prostornog rasporeda stambenih objekata u odnosu na </w:t>
      </w:r>
      <w:r>
        <w:lastRenderedPageBreak/>
        <w:t>kolovoz. Takav pristup sprečava da se mjere predlože samo na osnovu karte b</w:t>
      </w:r>
      <w:r>
        <w:t>oja, bez uvida u stanovništvo i namjenu prostora.</w:t>
      </w:r>
    </w:p>
    <w:p w:rsidR="004E4A3C" w:rsidRDefault="00FD7157">
      <w:pPr>
        <w:pStyle w:val="Heading2"/>
        <w:jc w:val="both"/>
      </w:pPr>
      <w:bookmarkStart w:id="83" w:name="__RefHeading___Toc9197_4023479253"/>
      <w:bookmarkStart w:id="84" w:name="_Toc231671815"/>
      <w:bookmarkEnd w:id="83"/>
      <w:r>
        <w:rPr>
          <w:rFonts w:ascii="Arial" w:eastAsia="Arial" w:hAnsi="Arial"/>
          <w:b w:val="0"/>
        </w:rPr>
        <w:t>5.2. Opšta ocjena stanja</w:t>
      </w:r>
      <w:bookmarkEnd w:id="84"/>
    </w:p>
    <w:p w:rsidR="004E4A3C" w:rsidRDefault="00FD7157">
      <w:pPr>
        <w:jc w:val="both"/>
      </w:pPr>
      <w:r>
        <w:t xml:space="preserve">Buka drumskog saobraćaja je linijski i kontinuiran izvor. Najizraženiji uticaj očekuje se kod objekata uz kolovoz, naročito na otvorenim djelovima trase gdje nema prostorne zaštite </w:t>
      </w:r>
      <w:r>
        <w:t>ili gdje se stambeni objekti nalaze blizu puta.</w:t>
      </w:r>
    </w:p>
    <w:p w:rsidR="004E4A3C" w:rsidRDefault="00FD7157">
      <w:pPr>
        <w:pStyle w:val="Heading2"/>
        <w:jc w:val="both"/>
      </w:pPr>
      <w:bookmarkStart w:id="85" w:name="__RefHeading___Toc9199_4023479253"/>
      <w:bookmarkStart w:id="86" w:name="_Toc231671816"/>
      <w:bookmarkEnd w:id="85"/>
      <w:r>
        <w:rPr>
          <w:rFonts w:ascii="Arial" w:eastAsia="Arial" w:hAnsi="Arial"/>
          <w:b w:val="0"/>
        </w:rPr>
        <w:t>5.3. Prioritetna područja za djelovanje</w:t>
      </w:r>
      <w:bookmarkEnd w:id="86"/>
    </w:p>
    <w:p w:rsidR="004E4A3C" w:rsidRDefault="00FD7157">
      <w:pPr>
        <w:jc w:val="both"/>
      </w:pPr>
      <w:r>
        <w:t xml:space="preserve">Prioriteti se određuju kombinovanjem akustičkih pokazatelja i prostorne logike trase. U nastavku su navedene cjeline i uslovi koji treba da imaju prednost pri </w:t>
      </w:r>
      <w:r>
        <w:t>planiranju mjera, naročito kada se mjere moraju sprovoditi fazno.</w:t>
      </w:r>
    </w:p>
    <w:p w:rsidR="004E4A3C" w:rsidRDefault="00FD7157">
      <w:pPr>
        <w:pStyle w:val="ListBullet"/>
        <w:jc w:val="both"/>
      </w:pPr>
      <w:r>
        <w:t>stambeni objekti i grupe objekata neposredno uz kolovoz, posebno u zonama S i UB;</w:t>
      </w:r>
    </w:p>
    <w:p w:rsidR="004E4A3C" w:rsidRDefault="00FD7157">
      <w:pPr>
        <w:pStyle w:val="ListBullet"/>
        <w:jc w:val="both"/>
      </w:pPr>
      <w:r>
        <w:t>djelovi naselja Grbe, Spuž, Velje Brdo i Stijena u kojima se stambeni sadržaji nalaze u neposrednom koridoru</w:t>
      </w:r>
      <w:r>
        <w:t xml:space="preserve"> puta;</w:t>
      </w:r>
    </w:p>
    <w:p w:rsidR="004E4A3C" w:rsidRDefault="00FD7157">
      <w:pPr>
        <w:pStyle w:val="ListBullet"/>
        <w:jc w:val="both"/>
      </w:pPr>
      <w:r>
        <w:t>dionice sa višim brzinama i većim brojem objekata u prvoj liniji izloženosti;</w:t>
      </w:r>
    </w:p>
    <w:p w:rsidR="004E4A3C" w:rsidRDefault="00FD7157">
      <w:pPr>
        <w:pStyle w:val="ListBullet"/>
        <w:jc w:val="both"/>
      </w:pPr>
      <w:r>
        <w:t>lokacije gdje se mogu kombinovati saobraćajne mjere i redovno održavanje kolovoza bez velikih zasebnih investicija.</w:t>
      </w:r>
    </w:p>
    <w:p w:rsidR="004E4A3C" w:rsidRDefault="00FD7157">
      <w:pPr>
        <w:keepNext/>
        <w:keepLines/>
        <w:spacing w:after="40"/>
        <w:rPr>
          <w:b/>
          <w:bCs/>
        </w:rPr>
      </w:pPr>
      <w:r>
        <w:rPr>
          <w:b/>
          <w:bCs/>
        </w:rPr>
        <w:t>Tabela 16. Prioritetna područja i orijentacioni stacion</w:t>
      </w:r>
      <w:r>
        <w:rPr>
          <w:b/>
          <w:bCs/>
        </w:rPr>
        <w:t>ažni segmenti za provjeru mjera</w:t>
      </w:r>
    </w:p>
    <w:tbl>
      <w:tblPr>
        <w:tblStyle w:val="TableGrid"/>
        <w:tblW w:w="9913" w:type="dxa"/>
        <w:jc w:val="center"/>
        <w:tblLayout w:type="fixed"/>
        <w:tblCellMar>
          <w:top w:w="45" w:type="dxa"/>
          <w:left w:w="45" w:type="dxa"/>
          <w:bottom w:w="45" w:type="dxa"/>
          <w:right w:w="45" w:type="dxa"/>
        </w:tblCellMar>
        <w:tblLook w:val="04A0" w:firstRow="1" w:lastRow="0" w:firstColumn="1" w:lastColumn="0" w:noHBand="0" w:noVBand="1"/>
      </w:tblPr>
      <w:tblGrid>
        <w:gridCol w:w="3220"/>
        <w:gridCol w:w="1930"/>
        <w:gridCol w:w="4763"/>
      </w:tblGrid>
      <w:tr w:rsidR="004E4A3C">
        <w:trPr>
          <w:cantSplit/>
          <w:tblHeader/>
          <w:jc w:val="center"/>
        </w:trPr>
        <w:tc>
          <w:tcPr>
            <w:tcW w:w="3220" w:type="dxa"/>
            <w:shd w:val="clear" w:color="auto" w:fill="D9EAF7"/>
          </w:tcPr>
          <w:p w:rsidR="004E4A3C" w:rsidRDefault="00FD7157">
            <w:pPr>
              <w:spacing w:after="0" w:line="240" w:lineRule="auto"/>
            </w:pPr>
            <w:r>
              <w:rPr>
                <w:rFonts w:cs="Arial"/>
                <w:b/>
                <w:sz w:val="18"/>
              </w:rPr>
              <w:t>Prioritet i stacionaža</w:t>
            </w:r>
          </w:p>
        </w:tc>
        <w:tc>
          <w:tcPr>
            <w:tcW w:w="1930" w:type="dxa"/>
            <w:shd w:val="clear" w:color="auto" w:fill="D9EAF7"/>
          </w:tcPr>
          <w:p w:rsidR="004E4A3C" w:rsidRDefault="00FD7157">
            <w:pPr>
              <w:spacing w:after="0" w:line="240" w:lineRule="auto"/>
            </w:pPr>
            <w:r>
              <w:rPr>
                <w:rFonts w:cs="Arial"/>
                <w:b/>
                <w:sz w:val="18"/>
              </w:rPr>
              <w:t>Mjera / scenario</w:t>
            </w:r>
          </w:p>
        </w:tc>
        <w:tc>
          <w:tcPr>
            <w:tcW w:w="4763" w:type="dxa"/>
            <w:shd w:val="clear" w:color="auto" w:fill="D9EAF7"/>
          </w:tcPr>
          <w:p w:rsidR="004E4A3C" w:rsidRDefault="00FD7157">
            <w:pPr>
              <w:spacing w:after="0" w:line="240" w:lineRule="auto"/>
            </w:pPr>
            <w:r>
              <w:rPr>
                <w:rFonts w:cs="Arial"/>
                <w:b/>
                <w:sz w:val="18"/>
              </w:rPr>
              <w:t>Razlog i napomena za finalizaciju</w:t>
            </w:r>
          </w:p>
        </w:tc>
      </w:tr>
      <w:tr w:rsidR="004E4A3C">
        <w:trPr>
          <w:cantSplit/>
          <w:jc w:val="center"/>
        </w:trPr>
        <w:tc>
          <w:tcPr>
            <w:tcW w:w="3220" w:type="dxa"/>
          </w:tcPr>
          <w:p w:rsidR="004E4A3C" w:rsidRDefault="00FD7157">
            <w:pPr>
              <w:spacing w:after="0" w:line="240" w:lineRule="auto"/>
            </w:pPr>
            <w:r>
              <w:rPr>
                <w:rFonts w:cs="Arial"/>
                <w:sz w:val="18"/>
              </w:rPr>
              <w:t>P1 – S1: km 0+451–km 4+504 i km 5+149–km 6+933; ukupno oko 5,84 km</w:t>
            </w:r>
          </w:p>
        </w:tc>
        <w:tc>
          <w:tcPr>
            <w:tcW w:w="1930" w:type="dxa"/>
          </w:tcPr>
          <w:p w:rsidR="004E4A3C" w:rsidRDefault="00FD7157">
            <w:pPr>
              <w:spacing w:after="0" w:line="240" w:lineRule="auto"/>
            </w:pPr>
            <w:r>
              <w:rPr>
                <w:rFonts w:cs="Arial"/>
                <w:sz w:val="18"/>
              </w:rPr>
              <w:t>S1 – lokalno smanjenje brzina</w:t>
            </w:r>
          </w:p>
        </w:tc>
        <w:tc>
          <w:tcPr>
            <w:tcW w:w="4763" w:type="dxa"/>
          </w:tcPr>
          <w:p w:rsidR="004E4A3C" w:rsidRDefault="00FD7157">
            <w:pPr>
              <w:spacing w:after="0" w:line="240" w:lineRule="auto"/>
            </w:pPr>
            <w:r>
              <w:rPr>
                <w:rFonts w:cs="Arial"/>
                <w:sz w:val="18"/>
              </w:rPr>
              <w:t xml:space="preserve">Najbrža mjera na izvoru; posebno važna za noćnu </w:t>
            </w:r>
            <w:r>
              <w:rPr>
                <w:rFonts w:cs="Arial"/>
                <w:sz w:val="18"/>
              </w:rPr>
              <w:t>izloženost i objekte blizu kolovoza. Uskladiti sa saobraćajno-tehničkim elaboratom, bezbjednošću saobraćaja i mogućnostima kontrole režima.</w:t>
            </w:r>
          </w:p>
        </w:tc>
      </w:tr>
      <w:tr w:rsidR="004E4A3C">
        <w:trPr>
          <w:cantSplit/>
          <w:jc w:val="center"/>
        </w:trPr>
        <w:tc>
          <w:tcPr>
            <w:tcW w:w="3220" w:type="dxa"/>
          </w:tcPr>
          <w:p w:rsidR="004E4A3C" w:rsidRDefault="00FD7157">
            <w:pPr>
              <w:spacing w:after="0" w:line="240" w:lineRule="auto"/>
            </w:pPr>
            <w:r>
              <w:rPr>
                <w:rFonts w:cs="Arial"/>
                <w:sz w:val="18"/>
              </w:rPr>
              <w:t>P2 – S3/S4: km 0+000–km 0+844; km 0+700–km 1+659; km 2+317–km 2+484; km 2+583–km 3+156; km 3+807–km 4+495; km 4+551</w:t>
            </w:r>
            <w:r>
              <w:rPr>
                <w:rFonts w:cs="Arial"/>
                <w:sz w:val="18"/>
              </w:rPr>
              <w:t>–km 6+981; ukupno oko 5,28 km</w:t>
            </w:r>
          </w:p>
        </w:tc>
        <w:tc>
          <w:tcPr>
            <w:tcW w:w="1930" w:type="dxa"/>
          </w:tcPr>
          <w:p w:rsidR="004E4A3C" w:rsidRDefault="00FD7157">
            <w:pPr>
              <w:spacing w:after="0" w:line="240" w:lineRule="auto"/>
            </w:pPr>
            <w:r>
              <w:rPr>
                <w:rFonts w:cs="Arial"/>
                <w:sz w:val="18"/>
              </w:rPr>
              <w:t>S3/S4 – tiši kolovozni zastor CNS_15, samostalno ili u kombinaciji sa S1</w:t>
            </w:r>
          </w:p>
        </w:tc>
        <w:tc>
          <w:tcPr>
            <w:tcW w:w="4763" w:type="dxa"/>
          </w:tcPr>
          <w:p w:rsidR="004E4A3C" w:rsidRDefault="00FD7157">
            <w:pPr>
              <w:spacing w:after="0" w:line="240" w:lineRule="auto"/>
            </w:pPr>
            <w:r>
              <w:rPr>
                <w:rFonts w:cs="Arial"/>
                <w:sz w:val="18"/>
              </w:rPr>
              <w:t xml:space="preserve">Veći akustički efekat na izvoru; racionalno za vezivanje za obnovu ili investiciono održavanje kolovoza. Stacionaže su izvedene iz finalnog scenarijskog </w:t>
            </w:r>
            <w:r>
              <w:rPr>
                <w:rFonts w:cs="Arial"/>
                <w:sz w:val="18"/>
              </w:rPr>
              <w:t>paketa i treba ih administrativno uskladiti sa službenom stacionažom i tehničkom dokumentacijom.</w:t>
            </w:r>
          </w:p>
        </w:tc>
      </w:tr>
      <w:tr w:rsidR="004E4A3C">
        <w:trPr>
          <w:cantSplit/>
          <w:jc w:val="center"/>
        </w:trPr>
        <w:tc>
          <w:tcPr>
            <w:tcW w:w="3220" w:type="dxa"/>
          </w:tcPr>
          <w:p w:rsidR="004E4A3C" w:rsidRDefault="00FD7157">
            <w:pPr>
              <w:spacing w:after="0" w:line="240" w:lineRule="auto"/>
            </w:pPr>
            <w:r>
              <w:rPr>
                <w:rFonts w:cs="Arial"/>
                <w:sz w:val="18"/>
              </w:rPr>
              <w:t>P3 – rezidualne tačke nakon S4</w:t>
            </w:r>
          </w:p>
        </w:tc>
        <w:tc>
          <w:tcPr>
            <w:tcW w:w="1930" w:type="dxa"/>
          </w:tcPr>
          <w:p w:rsidR="004E4A3C" w:rsidRDefault="00FD7157">
            <w:pPr>
              <w:spacing w:after="0" w:line="240" w:lineRule="auto"/>
            </w:pPr>
            <w:r>
              <w:rPr>
                <w:rFonts w:cs="Arial"/>
                <w:sz w:val="18"/>
              </w:rPr>
              <w:t>dopunske mjere – lokalne dopunske mjere</w:t>
            </w:r>
          </w:p>
        </w:tc>
        <w:tc>
          <w:tcPr>
            <w:tcW w:w="4763" w:type="dxa"/>
          </w:tcPr>
          <w:p w:rsidR="004E4A3C" w:rsidRDefault="00FD7157">
            <w:pPr>
              <w:spacing w:after="0" w:line="240" w:lineRule="auto"/>
            </w:pPr>
            <w:r>
              <w:rPr>
                <w:rFonts w:cs="Arial"/>
                <w:sz w:val="18"/>
              </w:rPr>
              <w:t xml:space="preserve">Primjenjuje se samo za preostale objekte kada mjere na izvoru ne daju dovoljan efekat. </w:t>
            </w:r>
            <w:r>
              <w:rPr>
                <w:rFonts w:cs="Arial"/>
                <w:sz w:val="18"/>
              </w:rPr>
              <w:t>Definisati nakon finalnog izvoza rezultata i provjere prostora.</w:t>
            </w:r>
          </w:p>
        </w:tc>
      </w:tr>
    </w:tbl>
    <w:p w:rsidR="004E4A3C" w:rsidRDefault="00FD7157">
      <w:pPr>
        <w:pStyle w:val="Heading2"/>
      </w:pPr>
      <w:bookmarkStart w:id="87" w:name="__RefHeading___Toc9201_4023479253"/>
      <w:bookmarkStart w:id="88" w:name="_Toc231671817"/>
      <w:bookmarkEnd w:id="87"/>
      <w:r>
        <w:rPr>
          <w:rFonts w:ascii="Arial" w:eastAsia="Arial" w:hAnsi="Arial"/>
          <w:b w:val="0"/>
        </w:rPr>
        <w:t>5.4. Stanje koje treba poboljšati</w:t>
      </w:r>
      <w:bookmarkEnd w:id="88"/>
    </w:p>
    <w:p w:rsidR="004E4A3C" w:rsidRDefault="00FD7157">
      <w:pPr>
        <w:jc w:val="both"/>
      </w:pPr>
      <w:r>
        <w:t>Cilj nije samo smanjenje prosječnog nivoa buke, već smanjenje broja stanovnika i objekata sa prekoračenjima, naročito za noćni indikator. Paralelno treba spr</w:t>
      </w:r>
      <w:r>
        <w:t>iječiti rast buduće izloženosti kroz planske uslove za nove objekte i kroz održavanje kolovoza.</w:t>
      </w:r>
    </w:p>
    <w:p w:rsidR="004E4A3C" w:rsidRDefault="00FD7157">
      <w:pPr>
        <w:pStyle w:val="Heading1"/>
        <w:jc w:val="both"/>
      </w:pPr>
      <w:bookmarkStart w:id="89" w:name="__RefHeading___Toc9203_4023479253"/>
      <w:bookmarkStart w:id="90" w:name="_Toc231671818"/>
      <w:bookmarkEnd w:id="89"/>
      <w:r>
        <w:rPr>
          <w:rFonts w:ascii="Arial" w:eastAsia="Arial" w:hAnsi="Arial"/>
          <w:b w:val="0"/>
        </w:rPr>
        <w:t>6. Postojeće i planirane mjere zaštite od buke</w:t>
      </w:r>
      <w:bookmarkEnd w:id="90"/>
    </w:p>
    <w:p w:rsidR="004E4A3C" w:rsidRDefault="004E4A3C">
      <w:pPr>
        <w:spacing w:after="0"/>
        <w:jc w:val="both"/>
      </w:pPr>
    </w:p>
    <w:p w:rsidR="004E4A3C" w:rsidRDefault="00FD7157">
      <w:pPr>
        <w:jc w:val="both"/>
      </w:pPr>
      <w:r>
        <w:t>Ovo poglavlje prikazuje da li su u obuhvatu već sprovedene ili planirane mjere koje utiču na širenje buke. Takva</w:t>
      </w:r>
      <w:r>
        <w:t xml:space="preserve"> informacija je važna kako bi se jasno razlikovalo postojeće stanje od novih mjera koje predlaže Akcioni plan.</w:t>
      </w:r>
    </w:p>
    <w:p w:rsidR="004E4A3C" w:rsidRDefault="00FD7157">
      <w:pPr>
        <w:pStyle w:val="Heading2"/>
        <w:rPr>
          <w:rFonts w:ascii="Arial" w:eastAsia="Arial" w:hAnsi="Arial"/>
          <w:b w:val="0"/>
        </w:rPr>
      </w:pPr>
      <w:bookmarkStart w:id="91" w:name="__RefHeading___Toc9205_4023479253"/>
      <w:bookmarkStart w:id="92" w:name="_Toc231671819"/>
      <w:bookmarkEnd w:id="91"/>
      <w:r>
        <w:rPr>
          <w:rFonts w:ascii="Arial" w:eastAsia="Arial" w:hAnsi="Arial"/>
          <w:b w:val="0"/>
        </w:rPr>
        <w:t>6.1. Postojeće mjere i stanje u modelu</w:t>
      </w:r>
      <w:bookmarkEnd w:id="92"/>
    </w:p>
    <w:p w:rsidR="004E4A3C" w:rsidRDefault="00FD7157">
      <w:pPr>
        <w:jc w:val="both"/>
      </w:pPr>
      <w:r>
        <w:t>Prema dostupnim podacima, u obuhvatu strateške karte za dionicu R-23 Spuž–Vranjske Njive nijesu identifiko</w:t>
      </w:r>
      <w:r>
        <w:t xml:space="preserve">vane posebne izvedene mjere zaštite od buke kao što su protivbučne barijere, zaštitni zidovi, nasipi ili posebno projektovani tiši kolovozni slojevi. U postojećem stanju u model su uzete geometrijske karakteristike puta, tip kolovoza, brzine po segmentima </w:t>
      </w:r>
      <w:r>
        <w:t>i reljef terena.</w:t>
      </w:r>
    </w:p>
    <w:p w:rsidR="004E4A3C" w:rsidRDefault="00FD7157">
      <w:pPr>
        <w:pStyle w:val="Heading2"/>
        <w:rPr>
          <w:rFonts w:ascii="Arial" w:eastAsia="Arial" w:hAnsi="Arial"/>
          <w:b w:val="0"/>
        </w:rPr>
      </w:pPr>
      <w:bookmarkStart w:id="93" w:name="__RefHeading___Toc9207_4023479253"/>
      <w:bookmarkStart w:id="94" w:name="_Toc231671820"/>
      <w:bookmarkEnd w:id="93"/>
      <w:r>
        <w:rPr>
          <w:rFonts w:ascii="Arial" w:eastAsia="Arial" w:hAnsi="Arial"/>
          <w:b w:val="0"/>
        </w:rPr>
        <w:lastRenderedPageBreak/>
        <w:t>6.2. Planirane mjere, projekti i povezane aktivnosti</w:t>
      </w:r>
      <w:bookmarkEnd w:id="94"/>
    </w:p>
    <w:p w:rsidR="004E4A3C" w:rsidRDefault="00FD7157">
      <w:pPr>
        <w:jc w:val="both"/>
      </w:pPr>
      <w:r>
        <w:t xml:space="preserve">U dostupnoj dokumentaciji nijesu izdvojeni posebni projekti zaštite od buke koji su već u realizaciji na predmetnoj dionici. Međutim, mjere iz Akcionog plana treba vezati za redovno i </w:t>
      </w:r>
      <w:r>
        <w:t>investiciono održavanje puta, saobraćajno-tehničke provjere, obnovu kolovoza, ažuriranje akustičkih zona i planske uslove za nove objekte u koridoru.</w:t>
      </w:r>
    </w:p>
    <w:p w:rsidR="004E4A3C" w:rsidRDefault="00FD7157">
      <w:pPr>
        <w:pStyle w:val="Heading2"/>
        <w:rPr>
          <w:rFonts w:ascii="Arial" w:eastAsia="Arial" w:hAnsi="Arial"/>
          <w:b w:val="0"/>
        </w:rPr>
      </w:pPr>
      <w:bookmarkStart w:id="95" w:name="__RefHeading___Toc9209_4023479253"/>
      <w:bookmarkStart w:id="96" w:name="_Toc231671821"/>
      <w:bookmarkEnd w:id="95"/>
      <w:r>
        <w:rPr>
          <w:rFonts w:ascii="Arial" w:eastAsia="Arial" w:hAnsi="Arial"/>
          <w:b w:val="0"/>
        </w:rPr>
        <w:t>6.3. Ograničenja i polazni stav za Akcioni plan</w:t>
      </w:r>
      <w:bookmarkEnd w:id="96"/>
    </w:p>
    <w:p w:rsidR="004E4A3C" w:rsidRDefault="00FD7157">
      <w:pPr>
        <w:jc w:val="both"/>
      </w:pPr>
      <w:r>
        <w:t xml:space="preserve">Ovo znači da Akcioni plan treba da počne od mjera koje se </w:t>
      </w:r>
      <w:r>
        <w:t xml:space="preserve">mogu brzo pripremiti i sprovesti, </w:t>
      </w:r>
      <w:proofErr w:type="gramStart"/>
      <w:r>
        <w:t>a</w:t>
      </w:r>
      <w:proofErr w:type="gramEnd"/>
      <w:r>
        <w:t xml:space="preserve"> investicione mjere vezati za redovne cikluse održavanja ili rekonstrukcije. Takav pristup je u skladu sa dobrom evropskom praksom za puteve sličnog obima saobraćaja.</w:t>
      </w:r>
    </w:p>
    <w:p w:rsidR="004E4A3C" w:rsidRDefault="00FD7157">
      <w:pPr>
        <w:pStyle w:val="Heading1"/>
      </w:pPr>
      <w:bookmarkStart w:id="97" w:name="__RefHeading___Toc9211_4023479253"/>
      <w:bookmarkStart w:id="98" w:name="_Toc231671822"/>
      <w:bookmarkEnd w:id="97"/>
      <w:r>
        <w:rPr>
          <w:rFonts w:ascii="Arial" w:eastAsia="Arial" w:hAnsi="Arial"/>
          <w:b w:val="0"/>
        </w:rPr>
        <w:t>7. Mjere koje se planiraju Akcionim planom</w:t>
      </w:r>
      <w:bookmarkEnd w:id="98"/>
    </w:p>
    <w:p w:rsidR="004E4A3C" w:rsidRDefault="004E4A3C">
      <w:pPr>
        <w:spacing w:after="0"/>
        <w:jc w:val="both"/>
      </w:pPr>
    </w:p>
    <w:p w:rsidR="004E4A3C" w:rsidRDefault="00FD7157">
      <w:pPr>
        <w:jc w:val="both"/>
      </w:pPr>
      <w:r>
        <w:t>Ovo poglav</w:t>
      </w:r>
      <w:r>
        <w:t xml:space="preserve">lje daje pregled mjera koje se planiraju Akcionim planom ili se zadržavaju kao opcije za dodatnu provjeru. Mjere su grupisane prema mjestu djelovanja: na izvoru buke, na putu širenja, na prijemniku i kroz plansko-organizacione aktivnosti. Prednost se daje </w:t>
      </w:r>
      <w:r>
        <w:t>mjerama na izvoru buke, jer smanjuju emisiju prije nego što se buka proširi prema stambenim objektima.</w:t>
      </w:r>
    </w:p>
    <w:p w:rsidR="004E4A3C" w:rsidRDefault="00FD7157">
      <w:pPr>
        <w:pStyle w:val="Heading2"/>
        <w:jc w:val="both"/>
      </w:pPr>
      <w:bookmarkStart w:id="99" w:name="__RefHeading___Toc9213_4023479253"/>
      <w:bookmarkStart w:id="100" w:name="_Toc231671823"/>
      <w:bookmarkEnd w:id="99"/>
      <w:r>
        <w:rPr>
          <w:rFonts w:ascii="Arial" w:eastAsia="Arial" w:hAnsi="Arial"/>
          <w:b w:val="0"/>
        </w:rPr>
        <w:t>7.1. Mjere na izvoru buke</w:t>
      </w:r>
      <w:bookmarkEnd w:id="100"/>
    </w:p>
    <w:p w:rsidR="004E4A3C" w:rsidRDefault="00FD7157">
      <w:pPr>
        <w:jc w:val="both"/>
      </w:pPr>
      <w:r>
        <w:t>Mjere na izvoru buke usmjerene su na smanjenje emisije buke prije nego što se ona proširi prema objektima. One su naročito važn</w:t>
      </w:r>
      <w:r>
        <w:t>e za ovu dionicu jer se problem dominantno vezuje za drumski saobraćaj.</w:t>
      </w:r>
    </w:p>
    <w:p w:rsidR="004E4A3C" w:rsidRDefault="00FD7157">
      <w:pPr>
        <w:jc w:val="both"/>
      </w:pPr>
      <w:r>
        <w:t>Mjere na izvoru buke imaju prednost jer smanjuju emisiju prije širenja zvuka prema objektima. Za ovu dionicu najvažnije su upravljanje brzinama, održavanje i sanacija kolovoza, primjen</w:t>
      </w:r>
      <w:r>
        <w:t>a tišeg habajućeg sloja pri budućim radovima i kontrola teških vozila kada je to saobraćajno opravdano.</w:t>
      </w:r>
    </w:p>
    <w:p w:rsidR="004E4A3C" w:rsidRDefault="00FD7157">
      <w:pPr>
        <w:pStyle w:val="Heading2"/>
        <w:jc w:val="both"/>
      </w:pPr>
      <w:bookmarkStart w:id="101" w:name="__RefHeading___Toc9215_4023479253"/>
      <w:bookmarkStart w:id="102" w:name="_Toc231671824"/>
      <w:bookmarkEnd w:id="101"/>
      <w:r>
        <w:rPr>
          <w:rFonts w:ascii="Arial" w:eastAsia="Arial" w:hAnsi="Arial"/>
          <w:b w:val="0"/>
        </w:rPr>
        <w:t>7.2. Mjere na putu širenja buke</w:t>
      </w:r>
      <w:bookmarkEnd w:id="102"/>
    </w:p>
    <w:p w:rsidR="004E4A3C" w:rsidRDefault="00FD7157">
      <w:pPr>
        <w:jc w:val="both"/>
      </w:pPr>
      <w:r>
        <w:t>Mjere na putu širenja buke razmatraju se tamo gdje je moguće smanjiti prenos buke od kolovoza do prijemnika. Njihova pri</w:t>
      </w:r>
      <w:r>
        <w:t>mjena zavisi od konfiguracije terena, pristupa objektima, raspoloživog prostora i urbanističkih ograničenja.</w:t>
      </w:r>
    </w:p>
    <w:p w:rsidR="004E4A3C" w:rsidRDefault="00FD7157">
      <w:pPr>
        <w:jc w:val="both"/>
      </w:pPr>
      <w:r>
        <w:t xml:space="preserve">Fizičke barijere i zaštitni zidovi nijesu predloženi kao opšta linijska mjera za cijelu dionicu. Mogu se razmatrati samo na kratkim potezima, gdje </w:t>
      </w:r>
      <w:r>
        <w:t>postoji grupa izloženih objekata, gdje prostor dozvoljava ugradnju i gdje se ne narušavaju pristupi, bezbjednost i odvodnjavanje.</w:t>
      </w:r>
    </w:p>
    <w:p w:rsidR="004E4A3C" w:rsidRDefault="00FD7157">
      <w:pPr>
        <w:pStyle w:val="Heading2"/>
        <w:jc w:val="both"/>
      </w:pPr>
      <w:bookmarkStart w:id="103" w:name="__RefHeading___Toc9217_4023479253"/>
      <w:bookmarkStart w:id="104" w:name="_Toc231671825"/>
      <w:bookmarkEnd w:id="103"/>
      <w:r>
        <w:rPr>
          <w:rFonts w:ascii="Arial" w:eastAsia="Arial" w:hAnsi="Arial"/>
          <w:b w:val="0"/>
        </w:rPr>
        <w:t>7.3. Mjere na prijemniku</w:t>
      </w:r>
      <w:bookmarkEnd w:id="104"/>
    </w:p>
    <w:p w:rsidR="004E4A3C" w:rsidRDefault="00FD7157">
      <w:pPr>
        <w:jc w:val="both"/>
      </w:pPr>
      <w:r>
        <w:t xml:space="preserve">Mjere na prijemniku usmjerene su na zaštitu pojedinačnih objekata ili stanara kada mjere na izvoru i </w:t>
      </w:r>
      <w:r>
        <w:t>putu širenja nijesu dovoljne ili nijesu izvodljive. One se razmatraju oprezno, nakon dodatne provjere rezidualne izloženosti.</w:t>
      </w:r>
    </w:p>
    <w:p w:rsidR="004E4A3C" w:rsidRDefault="00FD7157">
      <w:pPr>
        <w:jc w:val="both"/>
      </w:pPr>
      <w:r>
        <w:t>Mjere na prijemniku obuhvataju poboljšanje zvučne izolacije fasada, prozora i vrata, kao i akustičku ventilaciju u posebnim slučaj</w:t>
      </w:r>
      <w:r>
        <w:t>evima. One ne smanjuju spoljašnje nivoe buke, pa se razmatraju za rezidualne objekte nakon mjera na izvoru i lokalne tehničke provjere.</w:t>
      </w:r>
    </w:p>
    <w:p w:rsidR="004E4A3C" w:rsidRDefault="00FD7157">
      <w:pPr>
        <w:pStyle w:val="Heading2"/>
        <w:jc w:val="both"/>
      </w:pPr>
      <w:bookmarkStart w:id="105" w:name="__RefHeading___Toc9219_4023479253"/>
      <w:bookmarkStart w:id="106" w:name="_Toc231671826"/>
      <w:bookmarkEnd w:id="105"/>
      <w:r>
        <w:rPr>
          <w:rFonts w:ascii="Arial" w:eastAsia="Arial" w:hAnsi="Arial"/>
          <w:b w:val="0"/>
        </w:rPr>
        <w:t>7.4. Planske, organizacione i komunikacione mjere</w:t>
      </w:r>
      <w:bookmarkEnd w:id="106"/>
    </w:p>
    <w:p w:rsidR="004E4A3C" w:rsidRDefault="00FD7157">
      <w:pPr>
        <w:jc w:val="both"/>
      </w:pPr>
      <w:r>
        <w:t xml:space="preserve">Plansko-organizacione mjere obezbjeđuju da se zaštita od buke uključi </w:t>
      </w:r>
      <w:r>
        <w:t>u svakodnevno upravljanje prostorom i saobraćajem. One često nemaju neposredan modelovani efekat kao tehničke mjere, ali su važne za dugoročno sprečavanje pogoršanja stanja.</w:t>
      </w:r>
    </w:p>
    <w:p w:rsidR="004E4A3C" w:rsidRDefault="00FD7157">
      <w:pPr>
        <w:pStyle w:val="ListBullet"/>
        <w:jc w:val="both"/>
      </w:pPr>
      <w:r>
        <w:t>u planiranju novih objekata uz put koristiti principe tihe fasade i raspored manje</w:t>
      </w:r>
      <w:r>
        <w:t xml:space="preserve"> osjetljivih prostorija prema izvoru buke;</w:t>
      </w:r>
    </w:p>
    <w:p w:rsidR="004E4A3C" w:rsidRDefault="00FD7157">
      <w:pPr>
        <w:pStyle w:val="ListBullet"/>
        <w:jc w:val="both"/>
      </w:pPr>
      <w:r>
        <w:t>u urbanističko-tehničkim uslovima za osjetljive sadržaje zahtijevati provjeru buke i mjere zaštite;</w:t>
      </w:r>
    </w:p>
    <w:p w:rsidR="004E4A3C" w:rsidRDefault="00FD7157">
      <w:pPr>
        <w:pStyle w:val="ListBullet"/>
        <w:jc w:val="both"/>
      </w:pPr>
      <w:r>
        <w:t>građanima objasniti razliku između karte buke, mjerenja i formalnog prekoračenja po akustičnoj zoni;</w:t>
      </w:r>
    </w:p>
    <w:p w:rsidR="004E4A3C" w:rsidRDefault="00FD7157">
      <w:pPr>
        <w:pStyle w:val="ListBullet"/>
        <w:jc w:val="both"/>
      </w:pPr>
      <w:r>
        <w:lastRenderedPageBreak/>
        <w:t xml:space="preserve">pritužbe iz </w:t>
      </w:r>
      <w:r>
        <w:t>javne rasprave koristiti kao dodatni sloj za provjeru prioritetnih lokacija.</w:t>
      </w:r>
    </w:p>
    <w:p w:rsidR="004E4A3C" w:rsidRDefault="00FD7157">
      <w:pPr>
        <w:pStyle w:val="Heading2"/>
        <w:rPr>
          <w:rFonts w:ascii="Arial" w:eastAsia="Arial" w:hAnsi="Arial"/>
          <w:b w:val="0"/>
        </w:rPr>
      </w:pPr>
      <w:bookmarkStart w:id="107" w:name="__RefHeading___Toc9221_4023479253"/>
      <w:bookmarkStart w:id="108" w:name="_Toc231671827"/>
      <w:bookmarkEnd w:id="107"/>
      <w:r>
        <w:rPr>
          <w:rFonts w:ascii="Arial" w:eastAsia="Arial" w:hAnsi="Arial"/>
          <w:b w:val="0"/>
        </w:rPr>
        <w:t>7.5. Institucionalne, monitoring i komunikacione mjere</w:t>
      </w:r>
      <w:bookmarkEnd w:id="108"/>
    </w:p>
    <w:p w:rsidR="004E4A3C" w:rsidRDefault="00FD7157">
      <w:pPr>
        <w:jc w:val="both"/>
      </w:pPr>
      <w:r>
        <w:t>Institucionalne i monitoring mjere obezbjeđuju da se tehničke intervencije prate kroz stvarne podatke o brzini, stanju kolov</w:t>
      </w:r>
      <w:r>
        <w:t>oza, pritužbama građana i planskim promjenama u prostoru. One su potrebne kako bi se efekti S1, S3 i S4 mogli provjeriti prije revizije Akcionog plana.</w:t>
      </w:r>
    </w:p>
    <w:p w:rsidR="004E4A3C" w:rsidRDefault="00FD7157">
      <w:pPr>
        <w:pStyle w:val="ListBullet"/>
        <w:jc w:val="both"/>
      </w:pPr>
      <w:r>
        <w:t>voditi godišnju evidenciju uvedenih režima brzine, signalizacije i kontrole;</w:t>
      </w:r>
    </w:p>
    <w:p w:rsidR="004E4A3C" w:rsidRDefault="00FD7157">
      <w:pPr>
        <w:pStyle w:val="ListBullet"/>
        <w:jc w:val="both"/>
      </w:pPr>
      <w:r>
        <w:t>prikupljati i georeferencir</w:t>
      </w:r>
      <w:r>
        <w:t>ati primjedbe građana po lokaciji, periodu dana i vrsti problema;</w:t>
      </w:r>
    </w:p>
    <w:p w:rsidR="004E4A3C" w:rsidRDefault="00FD7157">
      <w:pPr>
        <w:pStyle w:val="ListBullet"/>
        <w:jc w:val="both"/>
      </w:pPr>
      <w:r>
        <w:t>razmjenjivati podatke između Ministarstva, upravljača puta, Glavnog grada Podgorice, Opštine Danilovgrad i obrađivača karata buke;</w:t>
      </w:r>
    </w:p>
    <w:p w:rsidR="004E4A3C" w:rsidRDefault="00FD7157">
      <w:pPr>
        <w:pStyle w:val="ListBullet"/>
        <w:jc w:val="both"/>
      </w:pPr>
      <w:r>
        <w:t xml:space="preserve">periodično provjeravati akustičko zoniranje i posebno </w:t>
      </w:r>
      <w:r>
        <w:t>evidentirane objekte van akustičnih zona.</w:t>
      </w:r>
    </w:p>
    <w:p w:rsidR="004E4A3C" w:rsidRDefault="00FD7157">
      <w:pPr>
        <w:pStyle w:val="Heading1"/>
        <w:jc w:val="both"/>
      </w:pPr>
      <w:bookmarkStart w:id="109" w:name="__RefHeading___Toc9223_4023479253"/>
      <w:bookmarkStart w:id="110" w:name="_Toc231671828"/>
      <w:bookmarkEnd w:id="109"/>
      <w:r>
        <w:rPr>
          <w:rFonts w:ascii="Arial" w:eastAsia="Arial" w:hAnsi="Arial"/>
          <w:b w:val="0"/>
        </w:rPr>
        <w:t>8. Program mjera za period od pet godina</w:t>
      </w:r>
      <w:bookmarkEnd w:id="110"/>
    </w:p>
    <w:p w:rsidR="004E4A3C" w:rsidRDefault="004E4A3C">
      <w:pPr>
        <w:spacing w:after="0"/>
        <w:jc w:val="both"/>
      </w:pPr>
    </w:p>
    <w:p w:rsidR="004E4A3C" w:rsidRDefault="00FD7157">
      <w:pPr>
        <w:jc w:val="both"/>
      </w:pPr>
      <w:r>
        <w:t>Program mjera za period od pet godina povezuje hitne i troškovno povoljne aktivnosti sa mjerama koje se sprovode kroz održavanje, investicije i planiranje prostora. Program</w:t>
      </w:r>
      <w:r>
        <w:t xml:space="preserve"> je fazan: prvo se provjerava S0 - nulto stanje iz strateške karte buke i finalni scenarijski izlazi S1, S3 i S4, zatim se pokreću najbrže mjere na izvoru, tiši kolovoz se planira kroz redovno ili investiciono održavanje, a nakon provjere rezultata definiš</w:t>
      </w:r>
      <w:r>
        <w:t>u se eventualne lokalne dopunske mjere.</w:t>
      </w:r>
    </w:p>
    <w:p w:rsidR="004E4A3C" w:rsidRDefault="00FD7157">
      <w:pPr>
        <w:pStyle w:val="Heading2"/>
        <w:jc w:val="both"/>
      </w:pPr>
      <w:bookmarkStart w:id="111" w:name="__RefHeading___Toc9225_4023479253"/>
      <w:bookmarkStart w:id="112" w:name="_Toc231671829"/>
      <w:bookmarkEnd w:id="111"/>
      <w:r>
        <w:rPr>
          <w:rFonts w:ascii="Arial" w:eastAsia="Arial" w:hAnsi="Arial"/>
          <w:b w:val="0"/>
        </w:rPr>
        <w:t>8.1. Kratkoročne mjere</w:t>
      </w:r>
      <w:bookmarkEnd w:id="112"/>
    </w:p>
    <w:p w:rsidR="004E4A3C" w:rsidRDefault="00FD7157">
      <w:pPr>
        <w:jc w:val="both"/>
      </w:pPr>
      <w:r>
        <w:t>Kratkoročne mjere treba da budu tehnički jednostavne, brzo primjenjive i provjerljive kroz monitoring. One služe kao prvi korak sprovođenja Akcionog plana i kao način da se prije većih investic</w:t>
      </w:r>
      <w:r>
        <w:t>ija potvrdi stvarni efekat mjera na prioritetnim lokacijama.</w:t>
      </w:r>
    </w:p>
    <w:p w:rsidR="004E4A3C" w:rsidRDefault="00FD7157">
      <w:pPr>
        <w:pStyle w:val="ListBullet"/>
        <w:jc w:val="both"/>
      </w:pPr>
      <w:r>
        <w:t>saobraćajno-tehnička provjera i uvođenje lokalnog smanjenja brzina na prioritetnim segmentima;</w:t>
      </w:r>
    </w:p>
    <w:p w:rsidR="004E4A3C" w:rsidRDefault="00FD7157">
      <w:pPr>
        <w:pStyle w:val="ListBullet"/>
        <w:jc w:val="both"/>
      </w:pPr>
      <w:r>
        <w:t>pojačana signalizacija, obilježavanje i kontrola poštovanja režima;</w:t>
      </w:r>
    </w:p>
    <w:p w:rsidR="004E4A3C" w:rsidRDefault="00FD7157">
      <w:pPr>
        <w:pStyle w:val="ListBullet"/>
        <w:jc w:val="both"/>
      </w:pPr>
      <w:r>
        <w:t xml:space="preserve">evidencija oštećenja kolovoza i </w:t>
      </w:r>
      <w:r>
        <w:t>hitna sanacija tačaka sa impulsnom bukom;</w:t>
      </w:r>
    </w:p>
    <w:p w:rsidR="004E4A3C" w:rsidRDefault="00FD7157">
      <w:pPr>
        <w:pStyle w:val="ListBullet"/>
        <w:jc w:val="both"/>
      </w:pPr>
      <w:r>
        <w:t>priprema komunikacionog materijala za javnu raspravu.</w:t>
      </w:r>
    </w:p>
    <w:p w:rsidR="004E4A3C" w:rsidRDefault="00FD7157">
      <w:pPr>
        <w:keepNext/>
        <w:keepLines/>
        <w:spacing w:after="40"/>
        <w:rPr>
          <w:b/>
          <w:bCs/>
        </w:rPr>
      </w:pPr>
      <w:r>
        <w:rPr>
          <w:b/>
          <w:bCs/>
        </w:rPr>
        <w:t>Tabela 17. Kratkoročne mjere za period 0-12 mjeseci</w:t>
      </w:r>
    </w:p>
    <w:tbl>
      <w:tblPr>
        <w:tblStyle w:val="TableGrid"/>
        <w:tblW w:w="9694" w:type="dxa"/>
        <w:jc w:val="center"/>
        <w:tblLayout w:type="fixed"/>
        <w:tblCellMar>
          <w:top w:w="45" w:type="dxa"/>
          <w:left w:w="45" w:type="dxa"/>
          <w:bottom w:w="45" w:type="dxa"/>
          <w:right w:w="45" w:type="dxa"/>
        </w:tblCellMar>
        <w:tblLook w:val="04A0" w:firstRow="1" w:lastRow="0" w:firstColumn="1" w:lastColumn="0" w:noHBand="0" w:noVBand="1"/>
      </w:tblPr>
      <w:tblGrid>
        <w:gridCol w:w="2947"/>
        <w:gridCol w:w="2413"/>
        <w:gridCol w:w="4334"/>
      </w:tblGrid>
      <w:tr w:rsidR="004E4A3C">
        <w:trPr>
          <w:cantSplit/>
          <w:tblHeader/>
          <w:jc w:val="center"/>
        </w:trPr>
        <w:tc>
          <w:tcPr>
            <w:tcW w:w="2947" w:type="dxa"/>
            <w:shd w:val="clear" w:color="auto" w:fill="D9EAF7"/>
          </w:tcPr>
          <w:p w:rsidR="004E4A3C" w:rsidRDefault="00FD7157">
            <w:pPr>
              <w:spacing w:after="0" w:line="240" w:lineRule="auto"/>
            </w:pPr>
            <w:r>
              <w:rPr>
                <w:rFonts w:cs="Arial"/>
                <w:b/>
                <w:sz w:val="18"/>
              </w:rPr>
              <w:t>Mjera i rok</w:t>
            </w:r>
          </w:p>
        </w:tc>
        <w:tc>
          <w:tcPr>
            <w:tcW w:w="2413" w:type="dxa"/>
            <w:shd w:val="clear" w:color="auto" w:fill="D9EAF7"/>
          </w:tcPr>
          <w:p w:rsidR="004E4A3C" w:rsidRDefault="00FD7157">
            <w:pPr>
              <w:spacing w:after="0" w:line="240" w:lineRule="auto"/>
            </w:pPr>
            <w:r>
              <w:rPr>
                <w:rFonts w:cs="Arial"/>
                <w:b/>
                <w:sz w:val="18"/>
              </w:rPr>
              <w:t>Nosilac / partneri</w:t>
            </w:r>
          </w:p>
        </w:tc>
        <w:tc>
          <w:tcPr>
            <w:tcW w:w="4334" w:type="dxa"/>
            <w:shd w:val="clear" w:color="auto" w:fill="D9EAF7"/>
          </w:tcPr>
          <w:p w:rsidR="004E4A3C" w:rsidRDefault="00FD7157">
            <w:pPr>
              <w:spacing w:after="0" w:line="240" w:lineRule="auto"/>
            </w:pPr>
            <w:r>
              <w:rPr>
                <w:rFonts w:cs="Arial"/>
                <w:b/>
                <w:sz w:val="18"/>
              </w:rPr>
              <w:t>Indikator i izvor finansiranja</w:t>
            </w:r>
          </w:p>
        </w:tc>
      </w:tr>
      <w:tr w:rsidR="004E4A3C">
        <w:trPr>
          <w:cantSplit/>
          <w:jc w:val="center"/>
        </w:trPr>
        <w:tc>
          <w:tcPr>
            <w:tcW w:w="2947" w:type="dxa"/>
          </w:tcPr>
          <w:p w:rsidR="004E4A3C" w:rsidRDefault="00FD7157">
            <w:pPr>
              <w:spacing w:after="0" w:line="240" w:lineRule="auto"/>
            </w:pPr>
            <w:r>
              <w:rPr>
                <w:rFonts w:cs="Arial"/>
                <w:sz w:val="18"/>
              </w:rPr>
              <w:t xml:space="preserve">Kontrola kompletnosti finalnih scenarijskih </w:t>
            </w:r>
            <w:r>
              <w:rPr>
                <w:rFonts w:cs="Arial"/>
                <w:sz w:val="18"/>
              </w:rPr>
              <w:t>tabela; 0–3 mjeseca</w:t>
            </w:r>
          </w:p>
        </w:tc>
        <w:tc>
          <w:tcPr>
            <w:tcW w:w="2413" w:type="dxa"/>
          </w:tcPr>
          <w:p w:rsidR="004E4A3C" w:rsidRDefault="00FD7157">
            <w:pPr>
              <w:spacing w:after="0" w:line="240" w:lineRule="auto"/>
            </w:pPr>
            <w:r>
              <w:rPr>
                <w:rFonts w:cs="Arial"/>
                <w:sz w:val="18"/>
              </w:rPr>
              <w:t>Obrađivač, Ministarstvo, upravljač puta</w:t>
            </w:r>
          </w:p>
        </w:tc>
        <w:tc>
          <w:tcPr>
            <w:tcW w:w="4334" w:type="dxa"/>
          </w:tcPr>
          <w:p w:rsidR="004E4A3C" w:rsidRDefault="00FD7157">
            <w:pPr>
              <w:spacing w:after="0" w:line="240" w:lineRule="auto"/>
            </w:pPr>
            <w:r>
              <w:rPr>
                <w:rFonts w:cs="Arial"/>
                <w:sz w:val="18"/>
              </w:rPr>
              <w:t>Finalni CadnaA / Building Evaluation folderi S1, S3 i S4 provjereni po jedinstvenom obrascu; projektna sredstva / redovan rad.</w:t>
            </w:r>
          </w:p>
        </w:tc>
      </w:tr>
      <w:tr w:rsidR="004E4A3C">
        <w:trPr>
          <w:cantSplit/>
          <w:jc w:val="center"/>
        </w:trPr>
        <w:tc>
          <w:tcPr>
            <w:tcW w:w="2947" w:type="dxa"/>
          </w:tcPr>
          <w:p w:rsidR="004E4A3C" w:rsidRDefault="00FD7157">
            <w:pPr>
              <w:spacing w:after="0" w:line="240" w:lineRule="auto"/>
            </w:pPr>
            <w:r>
              <w:rPr>
                <w:rFonts w:cs="Arial"/>
                <w:sz w:val="18"/>
              </w:rPr>
              <w:t>Saobraćajno-tehnička provjera S1; 0–6 mjeseci</w:t>
            </w:r>
          </w:p>
        </w:tc>
        <w:tc>
          <w:tcPr>
            <w:tcW w:w="2413" w:type="dxa"/>
          </w:tcPr>
          <w:p w:rsidR="004E4A3C" w:rsidRDefault="00FD7157">
            <w:pPr>
              <w:spacing w:after="0" w:line="240" w:lineRule="auto"/>
            </w:pPr>
            <w:r>
              <w:rPr>
                <w:rFonts w:cs="Arial"/>
                <w:sz w:val="18"/>
              </w:rPr>
              <w:t>Upravljač puta, polici</w:t>
            </w:r>
            <w:r>
              <w:rPr>
                <w:rFonts w:cs="Arial"/>
                <w:sz w:val="18"/>
              </w:rPr>
              <w:t>ja, lokalne službe</w:t>
            </w:r>
          </w:p>
        </w:tc>
        <w:tc>
          <w:tcPr>
            <w:tcW w:w="4334" w:type="dxa"/>
          </w:tcPr>
          <w:p w:rsidR="004E4A3C" w:rsidRDefault="00FD7157">
            <w:pPr>
              <w:spacing w:after="0" w:line="240" w:lineRule="auto"/>
            </w:pPr>
            <w:r>
              <w:rPr>
                <w:rFonts w:cs="Arial"/>
                <w:sz w:val="18"/>
              </w:rPr>
              <w:t>Elaborat brzina, signalizacije i kontrole; upravljač puta / redovno održavanje.</w:t>
            </w:r>
          </w:p>
        </w:tc>
      </w:tr>
      <w:tr w:rsidR="004E4A3C">
        <w:trPr>
          <w:cantSplit/>
          <w:jc w:val="center"/>
        </w:trPr>
        <w:tc>
          <w:tcPr>
            <w:tcW w:w="2947" w:type="dxa"/>
          </w:tcPr>
          <w:p w:rsidR="004E4A3C" w:rsidRDefault="00FD7157">
            <w:pPr>
              <w:spacing w:after="0" w:line="240" w:lineRule="auto"/>
            </w:pPr>
            <w:r>
              <w:rPr>
                <w:rFonts w:cs="Arial"/>
                <w:sz w:val="18"/>
              </w:rPr>
              <w:t>Signalizacija i kontrola brzine; 6–12 mjeseci</w:t>
            </w:r>
          </w:p>
        </w:tc>
        <w:tc>
          <w:tcPr>
            <w:tcW w:w="2413" w:type="dxa"/>
          </w:tcPr>
          <w:p w:rsidR="004E4A3C" w:rsidRDefault="00FD7157">
            <w:pPr>
              <w:spacing w:after="0" w:line="240" w:lineRule="auto"/>
            </w:pPr>
            <w:r>
              <w:rPr>
                <w:rFonts w:cs="Arial"/>
                <w:sz w:val="18"/>
              </w:rPr>
              <w:t>Upravljač puta, policija</w:t>
            </w:r>
          </w:p>
        </w:tc>
        <w:tc>
          <w:tcPr>
            <w:tcW w:w="4334" w:type="dxa"/>
          </w:tcPr>
          <w:p w:rsidR="004E4A3C" w:rsidRDefault="00FD7157">
            <w:pPr>
              <w:spacing w:after="0" w:line="240" w:lineRule="auto"/>
            </w:pPr>
            <w:r>
              <w:rPr>
                <w:rFonts w:cs="Arial"/>
                <w:sz w:val="18"/>
              </w:rPr>
              <w:t>Broj i dužina uvedenih režima; redovno održavanje / kontrola.</w:t>
            </w:r>
          </w:p>
        </w:tc>
      </w:tr>
      <w:tr w:rsidR="004E4A3C">
        <w:trPr>
          <w:cantSplit/>
          <w:jc w:val="center"/>
        </w:trPr>
        <w:tc>
          <w:tcPr>
            <w:tcW w:w="2947" w:type="dxa"/>
          </w:tcPr>
          <w:p w:rsidR="004E4A3C" w:rsidRDefault="00FD7157">
            <w:pPr>
              <w:spacing w:after="0" w:line="240" w:lineRule="auto"/>
            </w:pPr>
            <w:r>
              <w:rPr>
                <w:rFonts w:cs="Arial"/>
                <w:sz w:val="18"/>
              </w:rPr>
              <w:t xml:space="preserve">Evidencija stanja </w:t>
            </w:r>
            <w:r>
              <w:rPr>
                <w:rFonts w:cs="Arial"/>
                <w:sz w:val="18"/>
              </w:rPr>
              <w:t>kolovoza; 0–12 mjeseci</w:t>
            </w:r>
          </w:p>
        </w:tc>
        <w:tc>
          <w:tcPr>
            <w:tcW w:w="2413" w:type="dxa"/>
          </w:tcPr>
          <w:p w:rsidR="004E4A3C" w:rsidRDefault="00FD7157">
            <w:pPr>
              <w:spacing w:after="0" w:line="240" w:lineRule="auto"/>
            </w:pPr>
            <w:r>
              <w:rPr>
                <w:rFonts w:cs="Arial"/>
                <w:sz w:val="18"/>
              </w:rPr>
              <w:t>Upravljač puta</w:t>
            </w:r>
          </w:p>
        </w:tc>
        <w:tc>
          <w:tcPr>
            <w:tcW w:w="4334" w:type="dxa"/>
          </w:tcPr>
          <w:p w:rsidR="004E4A3C" w:rsidRDefault="00FD7157">
            <w:pPr>
              <w:spacing w:after="0" w:line="240" w:lineRule="auto"/>
            </w:pPr>
            <w:r>
              <w:rPr>
                <w:rFonts w:cs="Arial"/>
                <w:sz w:val="18"/>
              </w:rPr>
              <w:t>Lista oštećenja, spojeva, šahtova i sanacionih tačaka; redovno održavanje.</w:t>
            </w:r>
          </w:p>
        </w:tc>
      </w:tr>
      <w:tr w:rsidR="004E4A3C">
        <w:trPr>
          <w:cantSplit/>
          <w:jc w:val="center"/>
        </w:trPr>
        <w:tc>
          <w:tcPr>
            <w:tcW w:w="2947" w:type="dxa"/>
          </w:tcPr>
          <w:p w:rsidR="004E4A3C" w:rsidRDefault="00FD7157">
            <w:pPr>
              <w:spacing w:after="0" w:line="240" w:lineRule="auto"/>
            </w:pPr>
            <w:r>
              <w:rPr>
                <w:rFonts w:cs="Arial"/>
                <w:sz w:val="18"/>
              </w:rPr>
              <w:t>Javna rasprava i lokalne primjedbe; 0–12 mjeseci</w:t>
            </w:r>
          </w:p>
        </w:tc>
        <w:tc>
          <w:tcPr>
            <w:tcW w:w="2413" w:type="dxa"/>
          </w:tcPr>
          <w:p w:rsidR="004E4A3C" w:rsidRDefault="00FD7157">
            <w:pPr>
              <w:spacing w:after="0" w:line="240" w:lineRule="auto"/>
            </w:pPr>
            <w:r>
              <w:rPr>
                <w:rFonts w:cs="Arial"/>
                <w:sz w:val="18"/>
              </w:rPr>
              <w:t>Ministarstvo, obrađivač, opštine</w:t>
            </w:r>
          </w:p>
        </w:tc>
        <w:tc>
          <w:tcPr>
            <w:tcW w:w="4334" w:type="dxa"/>
          </w:tcPr>
          <w:p w:rsidR="004E4A3C" w:rsidRDefault="00FD7157">
            <w:pPr>
              <w:spacing w:after="0" w:line="240" w:lineRule="auto"/>
            </w:pPr>
            <w:r>
              <w:rPr>
                <w:rFonts w:cs="Arial"/>
                <w:sz w:val="18"/>
              </w:rPr>
              <w:t xml:space="preserve">Izvještaj o primjedbama po lokacijama/stacionažama; </w:t>
            </w:r>
            <w:r>
              <w:rPr>
                <w:rFonts w:cs="Arial"/>
                <w:sz w:val="18"/>
              </w:rPr>
              <w:t>administrativni trošak.</w:t>
            </w:r>
          </w:p>
        </w:tc>
      </w:tr>
      <w:tr w:rsidR="004E4A3C">
        <w:trPr>
          <w:jc w:val="center"/>
        </w:trPr>
        <w:tc>
          <w:tcPr>
            <w:tcW w:w="2947" w:type="dxa"/>
          </w:tcPr>
          <w:p w:rsidR="004E4A3C" w:rsidRDefault="00FD7157">
            <w:pPr>
              <w:spacing w:after="0" w:line="240" w:lineRule="auto"/>
            </w:pPr>
            <w:r>
              <w:rPr>
                <w:rFonts w:cs="Arial"/>
                <w:sz w:val="18"/>
              </w:rPr>
              <w:t>Usklađivanje akustičkih zona i objekata van zona; 0-12 mjeseci</w:t>
            </w:r>
          </w:p>
        </w:tc>
        <w:tc>
          <w:tcPr>
            <w:tcW w:w="2413" w:type="dxa"/>
          </w:tcPr>
          <w:p w:rsidR="004E4A3C" w:rsidRDefault="00FD7157">
            <w:pPr>
              <w:spacing w:after="0" w:line="240" w:lineRule="auto"/>
            </w:pPr>
            <w:r>
              <w:rPr>
                <w:rFonts w:cs="Arial"/>
                <w:sz w:val="18"/>
              </w:rPr>
              <w:t>Glavni grad Podgorica, Opština Danilovgrad, Ministarstvo, obrađivač</w:t>
            </w:r>
          </w:p>
        </w:tc>
        <w:tc>
          <w:tcPr>
            <w:tcW w:w="4334" w:type="dxa"/>
          </w:tcPr>
          <w:p w:rsidR="004E4A3C" w:rsidRDefault="00FD7157">
            <w:pPr>
              <w:spacing w:after="0" w:line="240" w:lineRule="auto"/>
            </w:pPr>
            <w:r>
              <w:rPr>
                <w:rFonts w:cs="Arial"/>
                <w:sz w:val="18"/>
              </w:rPr>
              <w:t>Pregled 168 objekata van akustičnih zona i predlog administrativnog postupanja; redovan rad lokalnih</w:t>
            </w:r>
            <w:r>
              <w:rPr>
                <w:rFonts w:cs="Arial"/>
                <w:sz w:val="18"/>
              </w:rPr>
              <w:t xml:space="preserve"> samouprava / planske aktivnosti.</w:t>
            </w:r>
          </w:p>
        </w:tc>
      </w:tr>
    </w:tbl>
    <w:p w:rsidR="004E4A3C" w:rsidRDefault="00FD7157">
      <w:pPr>
        <w:pStyle w:val="Heading2"/>
      </w:pPr>
      <w:bookmarkStart w:id="113" w:name="__RefHeading___Toc9227_4023479253"/>
      <w:bookmarkStart w:id="114" w:name="_Toc231671830"/>
      <w:bookmarkEnd w:id="113"/>
      <w:r>
        <w:rPr>
          <w:rFonts w:ascii="Arial" w:eastAsia="Arial" w:hAnsi="Arial"/>
          <w:b w:val="0"/>
        </w:rPr>
        <w:lastRenderedPageBreak/>
        <w:t>8.2. Srednjoročne mjere</w:t>
      </w:r>
      <w:bookmarkEnd w:id="114"/>
    </w:p>
    <w:p w:rsidR="004E4A3C" w:rsidRDefault="00FD7157">
      <w:pPr>
        <w:jc w:val="both"/>
      </w:pPr>
      <w:r>
        <w:t>Srednjoročne mjere zahtijevaju više pripreme, koordinacije i finansijskog planiranja od kratkoročnih aktivnosti. Njihovo sprovođenje treba vezati za redovno ili investiciono održavanje puta, kako b</w:t>
      </w:r>
      <w:r>
        <w:t>i se akustički efekat ostvario uz racionalno korišćenje sredstava.</w:t>
      </w:r>
    </w:p>
    <w:p w:rsidR="004E4A3C" w:rsidRDefault="00FD7157">
      <w:pPr>
        <w:pStyle w:val="ListBullet"/>
        <w:jc w:val="both"/>
      </w:pPr>
      <w:r>
        <w:t>planiranje tišeg habajućeg sloja na prioritetnim segmentima pri obnovi kolovoza;</w:t>
      </w:r>
    </w:p>
    <w:p w:rsidR="004E4A3C" w:rsidRDefault="00FD7157">
      <w:pPr>
        <w:pStyle w:val="ListBullet"/>
        <w:jc w:val="both"/>
      </w:pPr>
      <w:r>
        <w:t>provjera rezidualnih objekata nakon S1 i S3;</w:t>
      </w:r>
    </w:p>
    <w:p w:rsidR="004E4A3C" w:rsidRDefault="00FD7157">
      <w:pPr>
        <w:pStyle w:val="ListBullet"/>
        <w:jc w:val="both"/>
      </w:pPr>
      <w:r>
        <w:t>priprema finansijskog okvira za faznu realizaciju S4.</w:t>
      </w:r>
    </w:p>
    <w:p w:rsidR="004E4A3C" w:rsidRDefault="00FD7157">
      <w:pPr>
        <w:keepNext/>
        <w:keepLines/>
        <w:spacing w:after="40"/>
        <w:rPr>
          <w:b/>
          <w:bCs/>
        </w:rPr>
      </w:pPr>
      <w:r>
        <w:rPr>
          <w:b/>
          <w:bCs/>
        </w:rPr>
        <w:t xml:space="preserve">Tabela </w:t>
      </w:r>
      <w:r>
        <w:rPr>
          <w:b/>
          <w:bCs/>
        </w:rPr>
        <w:t>18. Srednjoročne mjere za period 1-3 godine</w:t>
      </w:r>
    </w:p>
    <w:tbl>
      <w:tblPr>
        <w:tblStyle w:val="TableGrid"/>
        <w:tblW w:w="9694" w:type="dxa"/>
        <w:jc w:val="center"/>
        <w:tblLayout w:type="fixed"/>
        <w:tblCellMar>
          <w:top w:w="45" w:type="dxa"/>
          <w:left w:w="45" w:type="dxa"/>
          <w:bottom w:w="45" w:type="dxa"/>
          <w:right w:w="45" w:type="dxa"/>
        </w:tblCellMar>
        <w:tblLook w:val="04A0" w:firstRow="1" w:lastRow="0" w:firstColumn="1" w:lastColumn="0" w:noHBand="0" w:noVBand="1"/>
      </w:tblPr>
      <w:tblGrid>
        <w:gridCol w:w="2751"/>
        <w:gridCol w:w="2609"/>
        <w:gridCol w:w="4334"/>
      </w:tblGrid>
      <w:tr w:rsidR="004E4A3C">
        <w:trPr>
          <w:cantSplit/>
          <w:tblHeader/>
          <w:jc w:val="center"/>
        </w:trPr>
        <w:tc>
          <w:tcPr>
            <w:tcW w:w="2751" w:type="dxa"/>
            <w:shd w:val="clear" w:color="auto" w:fill="D9EAF7"/>
          </w:tcPr>
          <w:p w:rsidR="004E4A3C" w:rsidRDefault="00FD7157">
            <w:pPr>
              <w:spacing w:after="0" w:line="240" w:lineRule="auto"/>
            </w:pPr>
            <w:r>
              <w:rPr>
                <w:rFonts w:cs="Arial"/>
                <w:b/>
                <w:sz w:val="18"/>
              </w:rPr>
              <w:t>Mjera i rok</w:t>
            </w:r>
          </w:p>
        </w:tc>
        <w:tc>
          <w:tcPr>
            <w:tcW w:w="2609" w:type="dxa"/>
            <w:shd w:val="clear" w:color="auto" w:fill="D9EAF7"/>
          </w:tcPr>
          <w:p w:rsidR="004E4A3C" w:rsidRDefault="00FD7157">
            <w:pPr>
              <w:spacing w:after="0" w:line="240" w:lineRule="auto"/>
            </w:pPr>
            <w:r>
              <w:rPr>
                <w:rFonts w:cs="Arial"/>
                <w:b/>
                <w:sz w:val="18"/>
              </w:rPr>
              <w:t>Nosilac / partneri</w:t>
            </w:r>
          </w:p>
        </w:tc>
        <w:tc>
          <w:tcPr>
            <w:tcW w:w="4334" w:type="dxa"/>
            <w:shd w:val="clear" w:color="auto" w:fill="D9EAF7"/>
          </w:tcPr>
          <w:p w:rsidR="004E4A3C" w:rsidRDefault="00FD7157">
            <w:pPr>
              <w:spacing w:after="0" w:line="240" w:lineRule="auto"/>
            </w:pPr>
            <w:r>
              <w:rPr>
                <w:rFonts w:cs="Arial"/>
                <w:b/>
                <w:sz w:val="18"/>
              </w:rPr>
              <w:t>Indikator i izvor finansiranja</w:t>
            </w:r>
          </w:p>
        </w:tc>
      </w:tr>
      <w:tr w:rsidR="004E4A3C">
        <w:trPr>
          <w:cantSplit/>
          <w:jc w:val="center"/>
        </w:trPr>
        <w:tc>
          <w:tcPr>
            <w:tcW w:w="2751" w:type="dxa"/>
          </w:tcPr>
          <w:p w:rsidR="004E4A3C" w:rsidRDefault="00FD7157">
            <w:pPr>
              <w:spacing w:after="0" w:line="240" w:lineRule="auto"/>
            </w:pPr>
            <w:r>
              <w:rPr>
                <w:rFonts w:cs="Arial"/>
                <w:sz w:val="18"/>
              </w:rPr>
              <w:t>Tiši habajući sloj pri obnovi kolovoza; 1–3 godine</w:t>
            </w:r>
          </w:p>
        </w:tc>
        <w:tc>
          <w:tcPr>
            <w:tcW w:w="2609" w:type="dxa"/>
          </w:tcPr>
          <w:p w:rsidR="004E4A3C" w:rsidRDefault="00FD7157">
            <w:pPr>
              <w:spacing w:after="0" w:line="240" w:lineRule="auto"/>
            </w:pPr>
            <w:r>
              <w:rPr>
                <w:rFonts w:cs="Arial"/>
                <w:sz w:val="18"/>
              </w:rPr>
              <w:t>Upravljač puta, Ministarstvo</w:t>
            </w:r>
          </w:p>
        </w:tc>
        <w:tc>
          <w:tcPr>
            <w:tcW w:w="4334" w:type="dxa"/>
          </w:tcPr>
          <w:p w:rsidR="004E4A3C" w:rsidRDefault="00FD7157">
            <w:pPr>
              <w:spacing w:after="0" w:line="240" w:lineRule="auto"/>
            </w:pPr>
            <w:r>
              <w:rPr>
                <w:rFonts w:cs="Arial"/>
                <w:sz w:val="18"/>
              </w:rPr>
              <w:t>Dionice sa CNS_15 uključene u plan održavanja; investiciono održavanj</w:t>
            </w:r>
            <w:r>
              <w:rPr>
                <w:rFonts w:cs="Arial"/>
                <w:sz w:val="18"/>
              </w:rPr>
              <w:t>e.</w:t>
            </w:r>
          </w:p>
        </w:tc>
      </w:tr>
      <w:tr w:rsidR="004E4A3C">
        <w:trPr>
          <w:cantSplit/>
          <w:jc w:val="center"/>
        </w:trPr>
        <w:tc>
          <w:tcPr>
            <w:tcW w:w="2751" w:type="dxa"/>
          </w:tcPr>
          <w:p w:rsidR="004E4A3C" w:rsidRDefault="00FD7157">
            <w:pPr>
              <w:spacing w:after="0" w:line="240" w:lineRule="auto"/>
            </w:pPr>
            <w:r>
              <w:rPr>
                <w:rFonts w:cs="Arial"/>
                <w:sz w:val="18"/>
              </w:rPr>
              <w:t>Priprema S4 na potvrđenim segmentima; 1–3 godine</w:t>
            </w:r>
          </w:p>
        </w:tc>
        <w:tc>
          <w:tcPr>
            <w:tcW w:w="2609" w:type="dxa"/>
          </w:tcPr>
          <w:p w:rsidR="004E4A3C" w:rsidRDefault="00FD7157">
            <w:pPr>
              <w:spacing w:after="0" w:line="240" w:lineRule="auto"/>
            </w:pPr>
            <w:r>
              <w:rPr>
                <w:rFonts w:cs="Arial"/>
                <w:sz w:val="18"/>
              </w:rPr>
              <w:t>Upravljač puta, opštine, policija</w:t>
            </w:r>
          </w:p>
        </w:tc>
        <w:tc>
          <w:tcPr>
            <w:tcW w:w="4334" w:type="dxa"/>
          </w:tcPr>
          <w:p w:rsidR="004E4A3C" w:rsidRDefault="00FD7157">
            <w:pPr>
              <w:spacing w:after="0" w:line="240" w:lineRule="auto"/>
            </w:pPr>
            <w:r>
              <w:rPr>
                <w:rFonts w:cs="Arial"/>
                <w:sz w:val="18"/>
              </w:rPr>
              <w:t>Kombinacija brzina i tišeg kolovoza na potvrđenim segmentima; budžet / održavanje.</w:t>
            </w:r>
          </w:p>
        </w:tc>
      </w:tr>
      <w:tr w:rsidR="004E4A3C">
        <w:trPr>
          <w:cantSplit/>
          <w:jc w:val="center"/>
        </w:trPr>
        <w:tc>
          <w:tcPr>
            <w:tcW w:w="2751" w:type="dxa"/>
          </w:tcPr>
          <w:p w:rsidR="004E4A3C" w:rsidRDefault="00FD7157">
            <w:pPr>
              <w:spacing w:after="0" w:line="240" w:lineRule="auto"/>
            </w:pPr>
            <w:r>
              <w:rPr>
                <w:rFonts w:cs="Arial"/>
                <w:sz w:val="18"/>
              </w:rPr>
              <w:t>Provjera rezidualnih objekata; nakon S1/S3</w:t>
            </w:r>
          </w:p>
        </w:tc>
        <w:tc>
          <w:tcPr>
            <w:tcW w:w="2609" w:type="dxa"/>
          </w:tcPr>
          <w:p w:rsidR="004E4A3C" w:rsidRDefault="00FD7157">
            <w:pPr>
              <w:spacing w:after="0" w:line="240" w:lineRule="auto"/>
            </w:pPr>
            <w:r>
              <w:rPr>
                <w:rFonts w:cs="Arial"/>
                <w:sz w:val="18"/>
              </w:rPr>
              <w:t>Obrađivač, Ministarstvo, opštine</w:t>
            </w:r>
          </w:p>
        </w:tc>
        <w:tc>
          <w:tcPr>
            <w:tcW w:w="4334" w:type="dxa"/>
          </w:tcPr>
          <w:p w:rsidR="004E4A3C" w:rsidRDefault="00FD7157">
            <w:pPr>
              <w:spacing w:after="0" w:line="240" w:lineRule="auto"/>
            </w:pPr>
            <w:r>
              <w:rPr>
                <w:rFonts w:cs="Arial"/>
                <w:sz w:val="18"/>
              </w:rPr>
              <w:t xml:space="preserve">Lista </w:t>
            </w:r>
            <w:r>
              <w:rPr>
                <w:rFonts w:cs="Arial"/>
                <w:sz w:val="18"/>
              </w:rPr>
              <w:t>objekata koji ostaju izloženi nakon mjera; projektna sredstva.</w:t>
            </w:r>
          </w:p>
        </w:tc>
      </w:tr>
      <w:tr w:rsidR="004E4A3C">
        <w:trPr>
          <w:cantSplit/>
          <w:jc w:val="center"/>
        </w:trPr>
        <w:tc>
          <w:tcPr>
            <w:tcW w:w="2751" w:type="dxa"/>
          </w:tcPr>
          <w:p w:rsidR="004E4A3C" w:rsidRDefault="00FD7157">
            <w:pPr>
              <w:spacing w:after="0" w:line="240" w:lineRule="auto"/>
            </w:pPr>
            <w:r>
              <w:rPr>
                <w:rFonts w:cs="Arial"/>
                <w:sz w:val="18"/>
              </w:rPr>
              <w:t>Akustičke zone, objekti van zona i planski uslovi; 1-3 godine</w:t>
            </w:r>
          </w:p>
        </w:tc>
        <w:tc>
          <w:tcPr>
            <w:tcW w:w="2609" w:type="dxa"/>
          </w:tcPr>
          <w:p w:rsidR="004E4A3C" w:rsidRDefault="00FD7157">
            <w:pPr>
              <w:spacing w:after="0" w:line="240" w:lineRule="auto"/>
            </w:pPr>
            <w:r>
              <w:rPr>
                <w:rFonts w:cs="Arial"/>
                <w:sz w:val="18"/>
              </w:rPr>
              <w:t>Opštine, Ministarstvo, nadležni sekretarijati</w:t>
            </w:r>
          </w:p>
        </w:tc>
        <w:tc>
          <w:tcPr>
            <w:tcW w:w="4334" w:type="dxa"/>
          </w:tcPr>
          <w:p w:rsidR="004E4A3C" w:rsidRDefault="00FD7157">
            <w:pPr>
              <w:spacing w:after="0" w:line="240" w:lineRule="auto"/>
            </w:pPr>
            <w:r>
              <w:rPr>
                <w:rFonts w:cs="Arial"/>
                <w:sz w:val="18"/>
              </w:rPr>
              <w:t xml:space="preserve">Ažurirana evidencija objekata van zona i smjernice za UT uslove uz koridor; redovne </w:t>
            </w:r>
            <w:r>
              <w:rPr>
                <w:rFonts w:cs="Arial"/>
                <w:sz w:val="18"/>
              </w:rPr>
              <w:t>planske aktivnosti.</w:t>
            </w:r>
          </w:p>
        </w:tc>
      </w:tr>
    </w:tbl>
    <w:p w:rsidR="004E4A3C" w:rsidRDefault="00FD7157">
      <w:pPr>
        <w:pStyle w:val="Heading2"/>
      </w:pPr>
      <w:bookmarkStart w:id="115" w:name="__RefHeading___Toc9229_4023479253"/>
      <w:bookmarkStart w:id="116" w:name="_Toc231671831"/>
      <w:bookmarkEnd w:id="115"/>
      <w:r>
        <w:rPr>
          <w:rFonts w:ascii="Arial" w:eastAsia="Arial" w:hAnsi="Arial"/>
          <w:b w:val="0"/>
        </w:rPr>
        <w:t>8.3. Dugoročne mjere</w:t>
      </w:r>
      <w:bookmarkEnd w:id="116"/>
    </w:p>
    <w:p w:rsidR="004E4A3C" w:rsidRDefault="00FD7157">
      <w:pPr>
        <w:jc w:val="both"/>
      </w:pPr>
      <w:r>
        <w:t>Dugoročne mjere usmjerene su na trajno uključivanje zaštite od buke u prostorno planiranje, projektovanje, održavanje i praćenje stanja. One ne zamjenjuju kratkoročne intervencije, već obezbjeđuju da se problem buk</w:t>
      </w:r>
      <w:r>
        <w:t>e ne ponavlja i ne povećava kroz budući razvoj prostora.</w:t>
      </w:r>
    </w:p>
    <w:p w:rsidR="004E4A3C" w:rsidRDefault="00FD7157">
      <w:pPr>
        <w:pStyle w:val="ListBullet"/>
        <w:jc w:val="both"/>
      </w:pPr>
      <w:r>
        <w:t>integracija rezultata karte buke u planiranje namjene prostora;</w:t>
      </w:r>
    </w:p>
    <w:p w:rsidR="004E4A3C" w:rsidRDefault="00FD7157">
      <w:pPr>
        <w:pStyle w:val="ListBullet"/>
        <w:jc w:val="both"/>
      </w:pPr>
      <w:r>
        <w:t>revizija Akcionog plana nakon pet godina ili ranije u slučaju promjena u saobraćaju ili prostoru;</w:t>
      </w:r>
    </w:p>
    <w:p w:rsidR="004E4A3C" w:rsidRDefault="00FD7157">
      <w:pPr>
        <w:pStyle w:val="ListBullet"/>
        <w:jc w:val="both"/>
      </w:pPr>
      <w:r>
        <w:t>periodično ažuriranje podataka o saob</w:t>
      </w:r>
      <w:r>
        <w:t>raćaju, stanovništvu i akustičnim zonama.</w:t>
      </w:r>
    </w:p>
    <w:p w:rsidR="004E4A3C" w:rsidRDefault="00FD7157">
      <w:pPr>
        <w:keepNext/>
        <w:keepLines/>
        <w:spacing w:after="40"/>
        <w:rPr>
          <w:b/>
          <w:bCs/>
        </w:rPr>
      </w:pPr>
      <w:r>
        <w:rPr>
          <w:b/>
          <w:bCs/>
        </w:rPr>
        <w:t>Tabela 19. Dugoročne mjere za period 3-5 godina i nakon revizije</w:t>
      </w:r>
    </w:p>
    <w:tbl>
      <w:tblPr>
        <w:tblStyle w:val="TableGrid"/>
        <w:tblW w:w="9694" w:type="dxa"/>
        <w:jc w:val="center"/>
        <w:tblLayout w:type="fixed"/>
        <w:tblCellMar>
          <w:top w:w="45" w:type="dxa"/>
          <w:left w:w="45" w:type="dxa"/>
          <w:bottom w:w="45" w:type="dxa"/>
          <w:right w:w="45" w:type="dxa"/>
        </w:tblCellMar>
        <w:tblLook w:val="04A0" w:firstRow="1" w:lastRow="0" w:firstColumn="1" w:lastColumn="0" w:noHBand="0" w:noVBand="1"/>
      </w:tblPr>
      <w:tblGrid>
        <w:gridCol w:w="2947"/>
        <w:gridCol w:w="2774"/>
        <w:gridCol w:w="3973"/>
      </w:tblGrid>
      <w:tr w:rsidR="004E4A3C">
        <w:trPr>
          <w:cantSplit/>
          <w:tblHeader/>
          <w:jc w:val="center"/>
        </w:trPr>
        <w:tc>
          <w:tcPr>
            <w:tcW w:w="2947" w:type="dxa"/>
            <w:shd w:val="clear" w:color="auto" w:fill="D9EAF7"/>
          </w:tcPr>
          <w:p w:rsidR="004E4A3C" w:rsidRDefault="00FD7157">
            <w:pPr>
              <w:spacing w:after="0" w:line="240" w:lineRule="auto"/>
            </w:pPr>
            <w:r>
              <w:rPr>
                <w:rFonts w:cs="Arial"/>
                <w:b/>
                <w:sz w:val="18"/>
              </w:rPr>
              <w:t>Mjera i rok</w:t>
            </w:r>
          </w:p>
        </w:tc>
        <w:tc>
          <w:tcPr>
            <w:tcW w:w="2774" w:type="dxa"/>
            <w:shd w:val="clear" w:color="auto" w:fill="D9EAF7"/>
          </w:tcPr>
          <w:p w:rsidR="004E4A3C" w:rsidRDefault="00FD7157">
            <w:pPr>
              <w:spacing w:after="0" w:line="240" w:lineRule="auto"/>
            </w:pPr>
            <w:r>
              <w:rPr>
                <w:rFonts w:cs="Arial"/>
                <w:b/>
                <w:sz w:val="18"/>
              </w:rPr>
              <w:t>Nosilac / partneri</w:t>
            </w:r>
          </w:p>
        </w:tc>
        <w:tc>
          <w:tcPr>
            <w:tcW w:w="3973" w:type="dxa"/>
            <w:shd w:val="clear" w:color="auto" w:fill="D9EAF7"/>
          </w:tcPr>
          <w:p w:rsidR="004E4A3C" w:rsidRDefault="00FD7157">
            <w:pPr>
              <w:spacing w:after="0" w:line="240" w:lineRule="auto"/>
            </w:pPr>
            <w:r>
              <w:rPr>
                <w:rFonts w:cs="Arial"/>
                <w:b/>
                <w:sz w:val="18"/>
              </w:rPr>
              <w:t>Indikator i izvor finansiranja</w:t>
            </w:r>
          </w:p>
        </w:tc>
      </w:tr>
      <w:tr w:rsidR="004E4A3C">
        <w:trPr>
          <w:cantSplit/>
          <w:jc w:val="center"/>
        </w:trPr>
        <w:tc>
          <w:tcPr>
            <w:tcW w:w="2947" w:type="dxa"/>
          </w:tcPr>
          <w:p w:rsidR="004E4A3C" w:rsidRDefault="00FD7157">
            <w:pPr>
              <w:spacing w:after="0" w:line="240" w:lineRule="auto"/>
            </w:pPr>
            <w:r>
              <w:rPr>
                <w:rFonts w:cs="Arial"/>
                <w:sz w:val="18"/>
              </w:rPr>
              <w:t>Realizacija prioritetnih faza S3/S4; 3–5 godina</w:t>
            </w:r>
          </w:p>
        </w:tc>
        <w:tc>
          <w:tcPr>
            <w:tcW w:w="2774" w:type="dxa"/>
          </w:tcPr>
          <w:p w:rsidR="004E4A3C" w:rsidRDefault="00FD7157">
            <w:pPr>
              <w:spacing w:after="0" w:line="240" w:lineRule="auto"/>
            </w:pPr>
            <w:r>
              <w:rPr>
                <w:rFonts w:cs="Arial"/>
                <w:sz w:val="18"/>
              </w:rPr>
              <w:t>Ministarstvo, upravljač puta</w:t>
            </w:r>
          </w:p>
        </w:tc>
        <w:tc>
          <w:tcPr>
            <w:tcW w:w="3973" w:type="dxa"/>
          </w:tcPr>
          <w:p w:rsidR="004E4A3C" w:rsidRDefault="00FD7157">
            <w:pPr>
              <w:spacing w:after="0" w:line="240" w:lineRule="auto"/>
            </w:pPr>
            <w:r>
              <w:rPr>
                <w:rFonts w:cs="Arial"/>
                <w:sz w:val="18"/>
              </w:rPr>
              <w:t xml:space="preserve">Izvedeni </w:t>
            </w:r>
            <w:r>
              <w:rPr>
                <w:rFonts w:cs="Arial"/>
                <w:sz w:val="18"/>
              </w:rPr>
              <w:t>radovi po potvrđenim stacionažama; kapitalni budžet / održavanje / fondovi.</w:t>
            </w:r>
          </w:p>
        </w:tc>
      </w:tr>
      <w:tr w:rsidR="004E4A3C">
        <w:trPr>
          <w:cantSplit/>
          <w:jc w:val="center"/>
        </w:trPr>
        <w:tc>
          <w:tcPr>
            <w:tcW w:w="2947" w:type="dxa"/>
          </w:tcPr>
          <w:p w:rsidR="004E4A3C" w:rsidRDefault="00FD7157">
            <w:pPr>
              <w:spacing w:after="0" w:line="240" w:lineRule="auto"/>
            </w:pPr>
            <w:r>
              <w:rPr>
                <w:rFonts w:cs="Arial"/>
                <w:sz w:val="18"/>
              </w:rPr>
              <w:t>Rezidualni objekti i lokalne dopunske mjere; 3–5 godina</w:t>
            </w:r>
          </w:p>
        </w:tc>
        <w:tc>
          <w:tcPr>
            <w:tcW w:w="2774" w:type="dxa"/>
          </w:tcPr>
          <w:p w:rsidR="004E4A3C" w:rsidRDefault="00FD7157">
            <w:pPr>
              <w:spacing w:after="0" w:line="240" w:lineRule="auto"/>
            </w:pPr>
            <w:r>
              <w:rPr>
                <w:rFonts w:cs="Arial"/>
                <w:sz w:val="18"/>
              </w:rPr>
              <w:t>Obrađivač, opštine, upravljač puta</w:t>
            </w:r>
          </w:p>
        </w:tc>
        <w:tc>
          <w:tcPr>
            <w:tcW w:w="3973" w:type="dxa"/>
          </w:tcPr>
          <w:p w:rsidR="004E4A3C" w:rsidRDefault="00FD7157">
            <w:pPr>
              <w:spacing w:after="0" w:line="240" w:lineRule="auto"/>
            </w:pPr>
            <w:r>
              <w:rPr>
                <w:rFonts w:cs="Arial"/>
                <w:sz w:val="18"/>
              </w:rPr>
              <w:t xml:space="preserve">Lista objekata i mjera na prijemniku ili lokalnih zaštita; posebni program / lokalni </w:t>
            </w:r>
            <w:r>
              <w:rPr>
                <w:rFonts w:cs="Arial"/>
                <w:sz w:val="18"/>
              </w:rPr>
              <w:t>budžeti.</w:t>
            </w:r>
          </w:p>
        </w:tc>
      </w:tr>
      <w:tr w:rsidR="004E4A3C">
        <w:trPr>
          <w:cantSplit/>
          <w:jc w:val="center"/>
        </w:trPr>
        <w:tc>
          <w:tcPr>
            <w:tcW w:w="2947" w:type="dxa"/>
          </w:tcPr>
          <w:p w:rsidR="004E4A3C" w:rsidRDefault="00FD7157">
            <w:pPr>
              <w:spacing w:after="0" w:line="240" w:lineRule="auto"/>
            </w:pPr>
            <w:r>
              <w:rPr>
                <w:rFonts w:cs="Arial"/>
                <w:sz w:val="18"/>
              </w:rPr>
              <w:t>Planski uslovi i tihe fasade; kontinuirano</w:t>
            </w:r>
          </w:p>
        </w:tc>
        <w:tc>
          <w:tcPr>
            <w:tcW w:w="2774" w:type="dxa"/>
          </w:tcPr>
          <w:p w:rsidR="004E4A3C" w:rsidRDefault="00FD7157">
            <w:pPr>
              <w:spacing w:after="0" w:line="240" w:lineRule="auto"/>
            </w:pPr>
            <w:r>
              <w:rPr>
                <w:rFonts w:cs="Arial"/>
                <w:sz w:val="18"/>
              </w:rPr>
              <w:t>Lokalne samouprave i organi planiranja</w:t>
            </w:r>
          </w:p>
        </w:tc>
        <w:tc>
          <w:tcPr>
            <w:tcW w:w="3973" w:type="dxa"/>
          </w:tcPr>
          <w:p w:rsidR="004E4A3C" w:rsidRDefault="00FD7157">
            <w:pPr>
              <w:spacing w:after="0" w:line="240" w:lineRule="auto"/>
            </w:pPr>
            <w:r>
              <w:rPr>
                <w:rFonts w:cs="Arial"/>
                <w:sz w:val="18"/>
              </w:rPr>
              <w:t>UT uslovi uključuju zahtjeve buke i tihih fasada; redovan rad.</w:t>
            </w:r>
          </w:p>
        </w:tc>
      </w:tr>
      <w:tr w:rsidR="004E4A3C">
        <w:trPr>
          <w:cantSplit/>
          <w:jc w:val="center"/>
        </w:trPr>
        <w:tc>
          <w:tcPr>
            <w:tcW w:w="2947" w:type="dxa"/>
          </w:tcPr>
          <w:p w:rsidR="004E4A3C" w:rsidRDefault="00FD7157">
            <w:pPr>
              <w:spacing w:after="0" w:line="240" w:lineRule="auto"/>
            </w:pPr>
            <w:r>
              <w:rPr>
                <w:rFonts w:cs="Arial"/>
                <w:sz w:val="18"/>
              </w:rPr>
              <w:t>Revizija AP i nove karte; najkasnije u petoj godini</w:t>
            </w:r>
          </w:p>
        </w:tc>
        <w:tc>
          <w:tcPr>
            <w:tcW w:w="2774" w:type="dxa"/>
          </w:tcPr>
          <w:p w:rsidR="004E4A3C" w:rsidRDefault="00FD7157">
            <w:pPr>
              <w:spacing w:after="0" w:line="240" w:lineRule="auto"/>
            </w:pPr>
            <w:r>
              <w:rPr>
                <w:rFonts w:cs="Arial"/>
                <w:sz w:val="18"/>
              </w:rPr>
              <w:t>Nadležni organ i ovlašćeni obrađivač</w:t>
            </w:r>
          </w:p>
        </w:tc>
        <w:tc>
          <w:tcPr>
            <w:tcW w:w="3973" w:type="dxa"/>
          </w:tcPr>
          <w:p w:rsidR="004E4A3C" w:rsidRDefault="00FD7157">
            <w:pPr>
              <w:spacing w:after="0" w:line="240" w:lineRule="auto"/>
            </w:pPr>
            <w:r>
              <w:rPr>
                <w:rFonts w:cs="Arial"/>
                <w:sz w:val="18"/>
              </w:rPr>
              <w:t>Izvještaj o</w:t>
            </w:r>
            <w:r>
              <w:rPr>
                <w:rFonts w:cs="Arial"/>
                <w:sz w:val="18"/>
              </w:rPr>
              <w:t xml:space="preserve"> sprovođenju i odluka o reviziji; budžet nadležnog organa.</w:t>
            </w:r>
          </w:p>
        </w:tc>
      </w:tr>
    </w:tbl>
    <w:p w:rsidR="004E4A3C" w:rsidRDefault="00FD7157">
      <w:pPr>
        <w:pStyle w:val="Heading2"/>
      </w:pPr>
      <w:bookmarkStart w:id="117" w:name="__RefHeading___Toc9231_4023479253"/>
      <w:bookmarkStart w:id="118" w:name="_Toc231671832"/>
      <w:bookmarkEnd w:id="117"/>
      <w:r>
        <w:rPr>
          <w:rFonts w:ascii="Arial" w:eastAsia="Arial" w:hAnsi="Arial"/>
          <w:b w:val="0"/>
        </w:rPr>
        <w:t>8.4. Prioritet realizacije mjera</w:t>
      </w:r>
      <w:bookmarkEnd w:id="118"/>
    </w:p>
    <w:p w:rsidR="004E4A3C" w:rsidRDefault="00FD7157">
      <w:pPr>
        <w:jc w:val="both"/>
      </w:pPr>
      <w:r>
        <w:t>Prioritet realizacije povezuje očekivani akustički efekat sa troškovima i tehničkom izvodljivošću. Ovakav redosljed omogućava da se najbrže pokrenu mjere koje su j</w:t>
      </w:r>
      <w:r>
        <w:t>ednostavne, provjerljive i korisne za javnu raspravu.</w:t>
      </w:r>
    </w:p>
    <w:p w:rsidR="004E4A3C" w:rsidRDefault="00FD7157">
      <w:pPr>
        <w:jc w:val="both"/>
      </w:pPr>
      <w:r>
        <w:t>Prioritet treba dati mjerama koje imaju dobar odnos efekta i troška, koje se mogu sprovesti bez složenih imovinsko-pravnih postupaka i koje smanjuju noćnu izloženost. Zato se S1 predlaže kao početni pak</w:t>
      </w:r>
      <w:r>
        <w:t>et, S3 kao investiciono uslovljen paket, a S4 kao ciljni paket za faznu realizaciju.</w:t>
      </w:r>
    </w:p>
    <w:p w:rsidR="004E4A3C" w:rsidRDefault="00FD7157">
      <w:pPr>
        <w:pStyle w:val="Heading1"/>
        <w:jc w:val="both"/>
      </w:pPr>
      <w:bookmarkStart w:id="119" w:name="__RefHeading___Toc9233_4023479253"/>
      <w:bookmarkStart w:id="120" w:name="_Toc231671833"/>
      <w:bookmarkEnd w:id="119"/>
      <w:r>
        <w:rPr>
          <w:rFonts w:ascii="Arial" w:eastAsia="Arial" w:hAnsi="Arial"/>
          <w:b w:val="0"/>
        </w:rPr>
        <w:t>9. Analiza varijanti i izbor prioritetnih mjera</w:t>
      </w:r>
      <w:bookmarkEnd w:id="120"/>
    </w:p>
    <w:p w:rsidR="004E4A3C" w:rsidRDefault="004E4A3C">
      <w:pPr>
        <w:spacing w:after="0"/>
        <w:jc w:val="both"/>
      </w:pPr>
    </w:p>
    <w:p w:rsidR="004E4A3C" w:rsidRDefault="00FD7157">
      <w:pPr>
        <w:jc w:val="both"/>
      </w:pPr>
      <w:r>
        <w:lastRenderedPageBreak/>
        <w:t>Analiza varijanti prikazuje kako se različiti tehnički pristupi mogu koristiti za smanjenje izloženosti stanovništva. Scen</w:t>
      </w:r>
      <w:r>
        <w:t>ariji se tumače kao pomoć za odlučivanje, dok se konačni program mjera određuje prema odnosu očekivanog efekta, troška, izvodljivosti i faznosti.</w:t>
      </w:r>
    </w:p>
    <w:p w:rsidR="004E4A3C" w:rsidRDefault="00FD7157">
      <w:pPr>
        <w:pStyle w:val="Heading2"/>
        <w:jc w:val="both"/>
      </w:pPr>
      <w:bookmarkStart w:id="121" w:name="__RefHeading___Toc9235_4023479253"/>
      <w:bookmarkStart w:id="122" w:name="_Toc231671834"/>
      <w:bookmarkEnd w:id="121"/>
      <w:r>
        <w:rPr>
          <w:rFonts w:ascii="Arial" w:eastAsia="Arial" w:hAnsi="Arial"/>
          <w:b w:val="0"/>
        </w:rPr>
        <w:t>9.1. Polazna osnova za analizu varijanti</w:t>
      </w:r>
      <w:bookmarkEnd w:id="122"/>
    </w:p>
    <w:p w:rsidR="004E4A3C" w:rsidRDefault="00FD7157">
      <w:pPr>
        <w:jc w:val="both"/>
      </w:pPr>
      <w:r>
        <w:t>Polazna osnova za analizu varijanti je bazno stanje iz strateške kart</w:t>
      </w:r>
      <w:r>
        <w:t>e buke i dostupni scenarijski materijali. U nastavku se objašnjava kako se scenariji koriste kao alat za poređenje, a ne kao već projektovana rješenja.</w:t>
      </w:r>
    </w:p>
    <w:p w:rsidR="004E4A3C" w:rsidRDefault="00FD7157">
      <w:pPr>
        <w:jc w:val="both"/>
      </w:pPr>
      <w:r>
        <w:t>U ovoj verziji S0 se definiše kao nulto stanje koje proističe iz Strateške karte buke, dok se u Akcionom</w:t>
      </w:r>
      <w:r>
        <w:t xml:space="preserve"> planu razrađuju finalni scenarijski paketi CadnaA / Building Evaluation za S1, S3 i S4, zajedno sa kartografskim prilozima Lden i Lnight. U tekstu i tabelama dosljedno se razlikuju formalna prekoračenja po akustičnim zonama od apsolutnih pragova izloženos</w:t>
      </w:r>
      <w:r>
        <w:t>ti. Tabela prekoračenja iz SKB ostaje zvanična osnova za S0, dok scenarijske tabele prikazuju uporedni efekat mjera u istom proračunskom okviru.</w:t>
      </w:r>
    </w:p>
    <w:p w:rsidR="004E4A3C" w:rsidRDefault="00FD7157">
      <w:pPr>
        <w:pStyle w:val="Heading2"/>
      </w:pPr>
      <w:bookmarkStart w:id="123" w:name="__RefHeading___Toc9237_4023479253"/>
      <w:bookmarkStart w:id="124" w:name="_Toc231671835"/>
      <w:bookmarkEnd w:id="123"/>
      <w:r>
        <w:rPr>
          <w:rFonts w:ascii="Arial" w:eastAsia="Arial" w:hAnsi="Arial"/>
          <w:b w:val="0"/>
        </w:rPr>
        <w:t>9.2. Razmatrani scenariji i varijante</w:t>
      </w:r>
      <w:bookmarkEnd w:id="124"/>
    </w:p>
    <w:p w:rsidR="004E4A3C" w:rsidRDefault="00FD7157">
      <w:r>
        <w:t>Scenariji predstavljaju uporedive pakete mjera koji su korišćeni za sagle</w:t>
      </w:r>
      <w:r>
        <w:t>davanje mogućeg akustičkog efekta. U nastavku je dat njihov sažetak, sa objašnjenjem šta se u svakom scenariju mijenja i zašto je taj scenario relevantan za predmetnu dionicu.</w:t>
      </w:r>
    </w:p>
    <w:p w:rsidR="004E4A3C" w:rsidRDefault="00FD7157">
      <w:pPr>
        <w:keepNext/>
        <w:keepLines/>
        <w:spacing w:after="40"/>
        <w:rPr>
          <w:b/>
          <w:bCs/>
        </w:rPr>
      </w:pPr>
      <w:r>
        <w:rPr>
          <w:b/>
          <w:bCs/>
        </w:rPr>
        <w:t>Tabela 20. Scenariji modelovanja i obuhvat mjera</w:t>
      </w:r>
    </w:p>
    <w:tbl>
      <w:tblPr>
        <w:tblStyle w:val="TableGrid"/>
        <w:tblW w:w="9751" w:type="dxa"/>
        <w:jc w:val="center"/>
        <w:tblLayout w:type="fixed"/>
        <w:tblCellMar>
          <w:top w:w="60" w:type="dxa"/>
          <w:left w:w="60" w:type="dxa"/>
          <w:bottom w:w="60" w:type="dxa"/>
          <w:right w:w="60" w:type="dxa"/>
        </w:tblCellMar>
        <w:tblLook w:val="04A0" w:firstRow="1" w:lastRow="0" w:firstColumn="1" w:lastColumn="0" w:noHBand="0" w:noVBand="1"/>
      </w:tblPr>
      <w:tblGrid>
        <w:gridCol w:w="1250"/>
        <w:gridCol w:w="2249"/>
        <w:gridCol w:w="2057"/>
        <w:gridCol w:w="2083"/>
        <w:gridCol w:w="2112"/>
      </w:tblGrid>
      <w:tr w:rsidR="004E4A3C">
        <w:trPr>
          <w:cantSplit/>
          <w:tblHeader/>
          <w:jc w:val="center"/>
        </w:trPr>
        <w:tc>
          <w:tcPr>
            <w:tcW w:w="1250" w:type="dxa"/>
            <w:shd w:val="clear" w:color="auto" w:fill="D9EAF7"/>
          </w:tcPr>
          <w:p w:rsidR="004E4A3C" w:rsidRDefault="00FD7157">
            <w:pPr>
              <w:spacing w:after="0" w:line="240" w:lineRule="auto"/>
            </w:pPr>
            <w:r>
              <w:rPr>
                <w:rFonts w:cs="Arial"/>
                <w:b/>
                <w:sz w:val="18"/>
              </w:rPr>
              <w:t>Scenario / paket mjera</w:t>
            </w:r>
          </w:p>
        </w:tc>
        <w:tc>
          <w:tcPr>
            <w:tcW w:w="2249" w:type="dxa"/>
            <w:shd w:val="clear" w:color="auto" w:fill="D9EAF7"/>
          </w:tcPr>
          <w:p w:rsidR="004E4A3C" w:rsidRDefault="00FD7157">
            <w:pPr>
              <w:spacing w:after="0" w:line="240" w:lineRule="auto"/>
              <w:jc w:val="center"/>
            </w:pPr>
            <w:r>
              <w:rPr>
                <w:rFonts w:cs="Arial"/>
                <w:b/>
                <w:color w:val="000000"/>
                <w:sz w:val="18"/>
                <w:szCs w:val="18"/>
              </w:rPr>
              <w:t>Opis</w:t>
            </w:r>
          </w:p>
        </w:tc>
        <w:tc>
          <w:tcPr>
            <w:tcW w:w="2057" w:type="dxa"/>
            <w:shd w:val="clear" w:color="auto" w:fill="D9EAF7"/>
          </w:tcPr>
          <w:p w:rsidR="004E4A3C" w:rsidRDefault="00FD7157">
            <w:pPr>
              <w:spacing w:after="0" w:line="240" w:lineRule="auto"/>
              <w:jc w:val="center"/>
            </w:pPr>
            <w:r>
              <w:rPr>
                <w:rFonts w:cs="Arial"/>
                <w:b/>
                <w:color w:val="000000"/>
                <w:sz w:val="18"/>
                <w:szCs w:val="18"/>
              </w:rPr>
              <w:t>Brzine</w:t>
            </w:r>
          </w:p>
        </w:tc>
        <w:tc>
          <w:tcPr>
            <w:tcW w:w="2083" w:type="dxa"/>
            <w:shd w:val="clear" w:color="auto" w:fill="D9EAF7"/>
          </w:tcPr>
          <w:p w:rsidR="004E4A3C" w:rsidRDefault="00FD7157">
            <w:pPr>
              <w:spacing w:after="0" w:line="240" w:lineRule="auto"/>
              <w:jc w:val="center"/>
            </w:pPr>
            <w:r>
              <w:rPr>
                <w:rFonts w:cs="Arial"/>
                <w:b/>
                <w:color w:val="000000"/>
                <w:sz w:val="18"/>
                <w:szCs w:val="18"/>
              </w:rPr>
              <w:t>Kolovoz</w:t>
            </w:r>
          </w:p>
        </w:tc>
        <w:tc>
          <w:tcPr>
            <w:tcW w:w="2112" w:type="dxa"/>
            <w:shd w:val="clear" w:color="auto" w:fill="D9EAF7"/>
          </w:tcPr>
          <w:p w:rsidR="004E4A3C" w:rsidRDefault="00FD7157">
            <w:pPr>
              <w:spacing w:after="0" w:line="240" w:lineRule="auto"/>
              <w:jc w:val="center"/>
            </w:pPr>
            <w:r>
              <w:rPr>
                <w:rFonts w:cs="Arial"/>
                <w:b/>
                <w:color w:val="000000"/>
                <w:sz w:val="18"/>
                <w:szCs w:val="18"/>
              </w:rPr>
              <w:t>Obuhvat</w:t>
            </w:r>
          </w:p>
        </w:tc>
      </w:tr>
      <w:tr w:rsidR="004E4A3C">
        <w:trPr>
          <w:cantSplit/>
          <w:jc w:val="center"/>
        </w:trPr>
        <w:tc>
          <w:tcPr>
            <w:tcW w:w="1250" w:type="dxa"/>
          </w:tcPr>
          <w:p w:rsidR="004E4A3C" w:rsidRDefault="00FD7157">
            <w:pPr>
              <w:spacing w:after="0" w:line="240" w:lineRule="auto"/>
              <w:jc w:val="center"/>
            </w:pPr>
            <w:r>
              <w:rPr>
                <w:rFonts w:cs="Arial"/>
                <w:sz w:val="18"/>
              </w:rPr>
              <w:t>S0</w:t>
            </w:r>
          </w:p>
        </w:tc>
        <w:tc>
          <w:tcPr>
            <w:tcW w:w="2249" w:type="dxa"/>
          </w:tcPr>
          <w:p w:rsidR="004E4A3C" w:rsidRDefault="00FD7157">
            <w:pPr>
              <w:spacing w:after="0" w:line="240" w:lineRule="auto"/>
            </w:pPr>
            <w:r>
              <w:rPr>
                <w:rFonts w:cs="Arial"/>
                <w:sz w:val="18"/>
              </w:rPr>
              <w:t>Nulto stanje iz SKB</w:t>
            </w:r>
          </w:p>
        </w:tc>
        <w:tc>
          <w:tcPr>
            <w:tcW w:w="2057" w:type="dxa"/>
          </w:tcPr>
          <w:p w:rsidR="004E4A3C" w:rsidRDefault="00FD7157">
            <w:pPr>
              <w:spacing w:after="0" w:line="240" w:lineRule="auto"/>
            </w:pPr>
            <w:r>
              <w:rPr>
                <w:rFonts w:cs="Arial"/>
                <w:sz w:val="18"/>
                <w:szCs w:val="18"/>
              </w:rPr>
              <w:t>postojeće brzine 30/40/50/60 km/h</w:t>
            </w:r>
          </w:p>
        </w:tc>
        <w:tc>
          <w:tcPr>
            <w:tcW w:w="2083" w:type="dxa"/>
          </w:tcPr>
          <w:p w:rsidR="004E4A3C" w:rsidRDefault="00FD7157">
            <w:pPr>
              <w:spacing w:after="0" w:line="240" w:lineRule="auto"/>
            </w:pPr>
            <w:r>
              <w:rPr>
                <w:rFonts w:cs="Arial"/>
                <w:sz w:val="18"/>
                <w:szCs w:val="18"/>
              </w:rPr>
              <w:t>standardni kolovoz CNS_01</w:t>
            </w:r>
          </w:p>
        </w:tc>
        <w:tc>
          <w:tcPr>
            <w:tcW w:w="2112" w:type="dxa"/>
          </w:tcPr>
          <w:p w:rsidR="004E4A3C" w:rsidRDefault="00FD7157">
            <w:pPr>
              <w:spacing w:after="0" w:line="240" w:lineRule="auto"/>
            </w:pPr>
            <w:r>
              <w:rPr>
                <w:rFonts w:cs="Arial"/>
                <w:sz w:val="18"/>
                <w:szCs w:val="18"/>
              </w:rPr>
              <w:t>6,98 km</w:t>
            </w:r>
          </w:p>
        </w:tc>
      </w:tr>
      <w:tr w:rsidR="004E4A3C">
        <w:trPr>
          <w:cantSplit/>
          <w:jc w:val="center"/>
        </w:trPr>
        <w:tc>
          <w:tcPr>
            <w:tcW w:w="1250" w:type="dxa"/>
          </w:tcPr>
          <w:p w:rsidR="004E4A3C" w:rsidRDefault="00FD7157">
            <w:pPr>
              <w:spacing w:after="0" w:line="240" w:lineRule="auto"/>
              <w:jc w:val="center"/>
            </w:pPr>
            <w:r>
              <w:rPr>
                <w:rFonts w:cs="Arial"/>
                <w:sz w:val="18"/>
                <w:szCs w:val="18"/>
              </w:rPr>
              <w:t>S1</w:t>
            </w:r>
          </w:p>
        </w:tc>
        <w:tc>
          <w:tcPr>
            <w:tcW w:w="2249" w:type="dxa"/>
          </w:tcPr>
          <w:p w:rsidR="004E4A3C" w:rsidRDefault="00FD7157">
            <w:pPr>
              <w:spacing w:after="0" w:line="240" w:lineRule="auto"/>
            </w:pPr>
            <w:r>
              <w:rPr>
                <w:rFonts w:cs="Arial"/>
                <w:sz w:val="18"/>
                <w:szCs w:val="18"/>
              </w:rPr>
              <w:t>Lokalno smanjenje brzina</w:t>
            </w:r>
          </w:p>
        </w:tc>
        <w:tc>
          <w:tcPr>
            <w:tcW w:w="2057" w:type="dxa"/>
          </w:tcPr>
          <w:p w:rsidR="004E4A3C" w:rsidRDefault="00FD7157">
            <w:pPr>
              <w:spacing w:after="0" w:line="240" w:lineRule="auto"/>
            </w:pPr>
            <w:r>
              <w:rPr>
                <w:rFonts w:cs="Arial"/>
                <w:sz w:val="18"/>
                <w:szCs w:val="18"/>
              </w:rPr>
              <w:t>50 km/h umjesto 60; 40 km/h umjesto 50</w:t>
            </w:r>
          </w:p>
        </w:tc>
        <w:tc>
          <w:tcPr>
            <w:tcW w:w="2083" w:type="dxa"/>
          </w:tcPr>
          <w:p w:rsidR="004E4A3C" w:rsidRDefault="00FD7157">
            <w:pPr>
              <w:spacing w:after="0" w:line="240" w:lineRule="auto"/>
            </w:pPr>
            <w:r>
              <w:rPr>
                <w:rFonts w:cs="Arial"/>
                <w:sz w:val="18"/>
                <w:szCs w:val="18"/>
              </w:rPr>
              <w:t>standardni kolovoz CNS_01</w:t>
            </w:r>
          </w:p>
        </w:tc>
        <w:tc>
          <w:tcPr>
            <w:tcW w:w="2112" w:type="dxa"/>
          </w:tcPr>
          <w:p w:rsidR="004E4A3C" w:rsidRDefault="00FD7157">
            <w:pPr>
              <w:spacing w:after="0" w:line="240" w:lineRule="auto"/>
            </w:pPr>
            <w:r>
              <w:rPr>
                <w:rFonts w:cs="Arial"/>
                <w:sz w:val="18"/>
                <w:szCs w:val="18"/>
              </w:rPr>
              <w:t>5,84 km brzinski režim</w:t>
            </w:r>
          </w:p>
        </w:tc>
      </w:tr>
      <w:tr w:rsidR="004E4A3C">
        <w:trPr>
          <w:cantSplit/>
          <w:jc w:val="center"/>
        </w:trPr>
        <w:tc>
          <w:tcPr>
            <w:tcW w:w="1250" w:type="dxa"/>
          </w:tcPr>
          <w:p w:rsidR="004E4A3C" w:rsidRDefault="00FD7157">
            <w:pPr>
              <w:spacing w:after="0" w:line="240" w:lineRule="auto"/>
              <w:jc w:val="center"/>
            </w:pPr>
            <w:r>
              <w:rPr>
                <w:rFonts w:cs="Arial"/>
                <w:sz w:val="18"/>
                <w:szCs w:val="18"/>
              </w:rPr>
              <w:t>S3</w:t>
            </w:r>
          </w:p>
        </w:tc>
        <w:tc>
          <w:tcPr>
            <w:tcW w:w="2249" w:type="dxa"/>
          </w:tcPr>
          <w:p w:rsidR="004E4A3C" w:rsidRDefault="00FD7157">
            <w:pPr>
              <w:spacing w:after="0" w:line="240" w:lineRule="auto"/>
            </w:pPr>
            <w:r>
              <w:rPr>
                <w:rFonts w:cs="Arial"/>
                <w:sz w:val="18"/>
                <w:szCs w:val="18"/>
              </w:rPr>
              <w:t xml:space="preserve">Tiši kolovozni </w:t>
            </w:r>
            <w:r>
              <w:rPr>
                <w:rFonts w:cs="Arial"/>
                <w:sz w:val="18"/>
                <w:szCs w:val="18"/>
              </w:rPr>
              <w:t>zastor</w:t>
            </w:r>
          </w:p>
        </w:tc>
        <w:tc>
          <w:tcPr>
            <w:tcW w:w="2057" w:type="dxa"/>
          </w:tcPr>
          <w:p w:rsidR="004E4A3C" w:rsidRDefault="00FD7157">
            <w:pPr>
              <w:spacing w:after="0" w:line="240" w:lineRule="auto"/>
            </w:pPr>
            <w:r>
              <w:rPr>
                <w:rFonts w:cs="Arial"/>
                <w:sz w:val="18"/>
                <w:szCs w:val="18"/>
              </w:rPr>
              <w:t>postojeće brzine</w:t>
            </w:r>
          </w:p>
        </w:tc>
        <w:tc>
          <w:tcPr>
            <w:tcW w:w="2083" w:type="dxa"/>
          </w:tcPr>
          <w:p w:rsidR="004E4A3C" w:rsidRDefault="00FD7157">
            <w:pPr>
              <w:spacing w:after="0" w:line="240" w:lineRule="auto"/>
            </w:pPr>
            <w:r>
              <w:rPr>
                <w:rFonts w:cs="Arial"/>
                <w:sz w:val="18"/>
                <w:szCs w:val="18"/>
              </w:rPr>
              <w:t>CNS_15 na prioritetnim segmentima</w:t>
            </w:r>
          </w:p>
        </w:tc>
        <w:tc>
          <w:tcPr>
            <w:tcW w:w="2112" w:type="dxa"/>
          </w:tcPr>
          <w:p w:rsidR="004E4A3C" w:rsidRDefault="00FD7157">
            <w:pPr>
              <w:spacing w:after="0" w:line="240" w:lineRule="auto"/>
            </w:pPr>
            <w:r>
              <w:rPr>
                <w:rFonts w:cs="Arial"/>
                <w:sz w:val="18"/>
                <w:szCs w:val="18"/>
              </w:rPr>
              <w:t>5,28 km</w:t>
            </w:r>
          </w:p>
        </w:tc>
      </w:tr>
      <w:tr w:rsidR="004E4A3C">
        <w:trPr>
          <w:cantSplit/>
          <w:jc w:val="center"/>
        </w:trPr>
        <w:tc>
          <w:tcPr>
            <w:tcW w:w="1250" w:type="dxa"/>
          </w:tcPr>
          <w:p w:rsidR="004E4A3C" w:rsidRDefault="00FD7157">
            <w:pPr>
              <w:spacing w:after="0" w:line="240" w:lineRule="auto"/>
              <w:jc w:val="center"/>
            </w:pPr>
            <w:r>
              <w:rPr>
                <w:rFonts w:cs="Arial"/>
                <w:sz w:val="18"/>
                <w:szCs w:val="18"/>
              </w:rPr>
              <w:t>S4</w:t>
            </w:r>
          </w:p>
        </w:tc>
        <w:tc>
          <w:tcPr>
            <w:tcW w:w="2249" w:type="dxa"/>
          </w:tcPr>
          <w:p w:rsidR="004E4A3C" w:rsidRDefault="00FD7157">
            <w:pPr>
              <w:spacing w:after="0" w:line="240" w:lineRule="auto"/>
            </w:pPr>
            <w:r>
              <w:rPr>
                <w:rFonts w:cs="Arial"/>
                <w:sz w:val="18"/>
                <w:szCs w:val="18"/>
              </w:rPr>
              <w:t>Kombinovani paket</w:t>
            </w:r>
          </w:p>
        </w:tc>
        <w:tc>
          <w:tcPr>
            <w:tcW w:w="2057" w:type="dxa"/>
          </w:tcPr>
          <w:p w:rsidR="004E4A3C" w:rsidRDefault="00FD7157">
            <w:pPr>
              <w:spacing w:after="0" w:line="240" w:lineRule="auto"/>
            </w:pPr>
            <w:r>
              <w:rPr>
                <w:rFonts w:cs="Arial"/>
                <w:sz w:val="18"/>
                <w:szCs w:val="18"/>
              </w:rPr>
              <w:t>S1 režim brzina</w:t>
            </w:r>
          </w:p>
        </w:tc>
        <w:tc>
          <w:tcPr>
            <w:tcW w:w="2083" w:type="dxa"/>
          </w:tcPr>
          <w:p w:rsidR="004E4A3C" w:rsidRDefault="00FD7157">
            <w:pPr>
              <w:spacing w:after="0" w:line="240" w:lineRule="auto"/>
            </w:pPr>
            <w:r>
              <w:rPr>
                <w:rFonts w:cs="Arial"/>
                <w:sz w:val="18"/>
                <w:szCs w:val="18"/>
              </w:rPr>
              <w:t>CNS_15 na prioritetnim segmentima</w:t>
            </w:r>
          </w:p>
        </w:tc>
        <w:tc>
          <w:tcPr>
            <w:tcW w:w="2112" w:type="dxa"/>
          </w:tcPr>
          <w:p w:rsidR="004E4A3C" w:rsidRDefault="00FD7157">
            <w:pPr>
              <w:spacing w:after="0" w:line="240" w:lineRule="auto"/>
            </w:pPr>
            <w:r>
              <w:rPr>
                <w:rFonts w:cs="Arial"/>
                <w:sz w:val="18"/>
                <w:szCs w:val="18"/>
              </w:rPr>
              <w:t>5,84 km brzine; 5,28 km kolovoz</w:t>
            </w:r>
          </w:p>
        </w:tc>
      </w:tr>
    </w:tbl>
    <w:p w:rsidR="004E4A3C" w:rsidRDefault="00FD7157">
      <w:pPr>
        <w:pStyle w:val="Heading2"/>
      </w:pPr>
      <w:bookmarkStart w:id="125" w:name="__RefHeading___Toc9239_4023479253"/>
      <w:bookmarkStart w:id="126" w:name="_Toc231671836"/>
      <w:bookmarkEnd w:id="125"/>
      <w:r>
        <w:rPr>
          <w:rFonts w:ascii="Arial" w:eastAsia="Arial" w:hAnsi="Arial"/>
          <w:b w:val="0"/>
        </w:rPr>
        <w:t>9.3. Scenario S1 - lokalno smanjenje brzine na osjetljivim segmentima</w:t>
      </w:r>
      <w:bookmarkEnd w:id="126"/>
    </w:p>
    <w:p w:rsidR="004E4A3C" w:rsidRDefault="00FD7157">
      <w:pPr>
        <w:jc w:val="both"/>
      </w:pPr>
      <w:r>
        <w:t xml:space="preserve">Scenario S1 </w:t>
      </w:r>
      <w:r>
        <w:t>ispituje efekat smanjenja brzine na segmentima gdje je upravljanje brzinom tehnički i organizaciono najjednostavnija mjera. Ovakav scenario je pogodan za kratkoročnu provjeru jer ne zahtijeva veće građevinske radove.</w:t>
      </w:r>
    </w:p>
    <w:p w:rsidR="004E4A3C" w:rsidRDefault="00FD7157">
      <w:pPr>
        <w:jc w:val="both"/>
      </w:pPr>
      <w:r>
        <w:t>Scenario S1 testira smanjenje brzina na</w:t>
      </w:r>
      <w:r>
        <w:t xml:space="preserve"> dijelovima gdje je u referentnom modelu bilo 50 ili 60 km/h. U scenarijskom modelu obuhvaćeno je oko 5,84 km dionice. Mjera je brzo sprovodiva, ali njen stvarni efekat zavisi od poštovanja ograničenja, signalizacije i kontrole.</w:t>
      </w:r>
    </w:p>
    <w:p w:rsidR="004E4A3C" w:rsidRDefault="00FD7157">
      <w:pPr>
        <w:pStyle w:val="Heading2"/>
        <w:jc w:val="both"/>
      </w:pPr>
      <w:bookmarkStart w:id="127" w:name="__RefHeading___Toc9241_4023479253"/>
      <w:bookmarkStart w:id="128" w:name="_Toc231671837"/>
      <w:bookmarkEnd w:id="127"/>
      <w:r>
        <w:rPr>
          <w:rFonts w:ascii="Arial" w:eastAsia="Arial" w:hAnsi="Arial"/>
          <w:b w:val="0"/>
        </w:rPr>
        <w:t>9.4. Scenario S3 - tiši kol</w:t>
      </w:r>
      <w:r>
        <w:rPr>
          <w:rFonts w:ascii="Arial" w:eastAsia="Arial" w:hAnsi="Arial"/>
          <w:b w:val="0"/>
        </w:rPr>
        <w:t>ovozni zastor na prioritetnim segmentima</w:t>
      </w:r>
      <w:bookmarkEnd w:id="128"/>
    </w:p>
    <w:p w:rsidR="004E4A3C" w:rsidRDefault="00FD7157">
      <w:pPr>
        <w:jc w:val="both"/>
      </w:pPr>
      <w:r>
        <w:t>Scenario S3 razmatra primjenu tišeg kolovoznog zastora kao mjere na izvoru buke. Ova mjera ima veći investicioni karakter i zato je treba povezati sa planiranim održavanjem ili obnovom kolovoza.</w:t>
      </w:r>
    </w:p>
    <w:p w:rsidR="004E4A3C" w:rsidRDefault="00FD7157">
      <w:pPr>
        <w:jc w:val="both"/>
      </w:pPr>
      <w:r>
        <w:t>Scenario S3 zadržava</w:t>
      </w:r>
      <w:r>
        <w:t xml:space="preserve"> brzine iz referentnog stanja, ali uvodi tiši kolovozni zastor CNS_15 na oko 5,28 km. Ova mjera ima veći investicioni karakter i racionalno se planira pri redovnoj ili investicionoj obnovi kolovoza.</w:t>
      </w:r>
    </w:p>
    <w:p w:rsidR="004E4A3C" w:rsidRDefault="00FD7157">
      <w:pPr>
        <w:pStyle w:val="Heading2"/>
        <w:jc w:val="both"/>
      </w:pPr>
      <w:bookmarkStart w:id="129" w:name="__RefHeading___Toc9243_4023479253"/>
      <w:bookmarkStart w:id="130" w:name="_Toc231671838"/>
      <w:bookmarkEnd w:id="129"/>
      <w:r>
        <w:rPr>
          <w:rFonts w:ascii="Arial" w:eastAsia="Arial" w:hAnsi="Arial"/>
          <w:b w:val="0"/>
        </w:rPr>
        <w:t xml:space="preserve">9.5. Scenario S4 - kombinacija lokalnog smanjenja brzine </w:t>
      </w:r>
      <w:r>
        <w:rPr>
          <w:rFonts w:ascii="Arial" w:eastAsia="Arial" w:hAnsi="Arial"/>
          <w:b w:val="0"/>
        </w:rPr>
        <w:t>i tišeg kolovoza</w:t>
      </w:r>
      <w:bookmarkEnd w:id="130"/>
    </w:p>
    <w:p w:rsidR="004E4A3C" w:rsidRDefault="00FD7157">
      <w:pPr>
        <w:jc w:val="both"/>
      </w:pPr>
      <w:r>
        <w:t>Scenario S4 kombinuje lokalno smanjenje brzina i tiši kolovozni zastor, čime se provjerava ukupan potencijal mjera na izvoru buke. Rezultati ovog scenarija koriste se kao tehnička orijentacija za srednjoročno planiranje.</w:t>
      </w:r>
    </w:p>
    <w:p w:rsidR="004E4A3C" w:rsidRDefault="00FD7157">
      <w:pPr>
        <w:jc w:val="both"/>
      </w:pPr>
      <w:r>
        <w:lastRenderedPageBreak/>
        <w:t>Scenario S4 kombin</w:t>
      </w:r>
      <w:r>
        <w:t>uje režim brzina iz S1 i tiši kolovozni zastor iz S3. U finalnom scenarijskom poređenju daje najveće ukupno smanjenje broja objekata i stanovnika sa prekoračenjem, zbog čega se predlaže kao ciljni paket za faznu realizaciju.</w:t>
      </w:r>
    </w:p>
    <w:p w:rsidR="004E4A3C" w:rsidRDefault="00FD7157">
      <w:pPr>
        <w:pStyle w:val="Heading2"/>
        <w:rPr>
          <w:rFonts w:ascii="Arial" w:eastAsia="Arial" w:hAnsi="Arial"/>
          <w:b w:val="0"/>
        </w:rPr>
      </w:pPr>
      <w:bookmarkStart w:id="131" w:name="__RefHeading___Toc9245_4023479253"/>
      <w:bookmarkStart w:id="132" w:name="_Toc231671839"/>
      <w:bookmarkEnd w:id="131"/>
      <w:r>
        <w:rPr>
          <w:rFonts w:ascii="Arial" w:eastAsia="Arial" w:hAnsi="Arial"/>
          <w:b w:val="0"/>
        </w:rPr>
        <w:t xml:space="preserve">9.6. Dopunske lokalne mjere za </w:t>
      </w:r>
      <w:r>
        <w:rPr>
          <w:rFonts w:ascii="Arial" w:eastAsia="Arial" w:hAnsi="Arial"/>
          <w:b w:val="0"/>
        </w:rPr>
        <w:t>rezidualne objekte nakon S4</w:t>
      </w:r>
      <w:bookmarkEnd w:id="132"/>
    </w:p>
    <w:p w:rsidR="004E4A3C" w:rsidRDefault="00FD7157">
      <w:pPr>
        <w:jc w:val="both"/>
      </w:pPr>
      <w:r>
        <w:t>Dopunske lokalne mjere odnose se na objekte koji bi i nakon mjera na izvoru mogli ostati izloženi povišenim nivoima buke. Takve mjere zahtijevaju detaljniju provjeru na nivou konkretnih lokacija.</w:t>
      </w:r>
    </w:p>
    <w:p w:rsidR="004E4A3C" w:rsidRDefault="00FD7157">
      <w:pPr>
        <w:jc w:val="both"/>
      </w:pPr>
      <w:r>
        <w:t>Dopunske lokalne mjere nijesu mo</w:t>
      </w:r>
      <w:r>
        <w:t>delovane kao jedinstvena linijska barijera. To je namjerno, jer se lokalne dopunske mjere moraju definisati tek nakon uvida u preostale objekte nakon S4, raspoloživi prostor, pristupe, odvodnjavanje, bezbjednost saobraćaja i odnos troška i koristi.</w:t>
      </w:r>
    </w:p>
    <w:p w:rsidR="004E4A3C" w:rsidRDefault="00FD7157">
      <w:pPr>
        <w:pStyle w:val="Heading2"/>
      </w:pPr>
      <w:bookmarkStart w:id="133" w:name="__RefHeading___Toc9247_4023479253"/>
      <w:bookmarkStart w:id="134" w:name="_Toc231671840"/>
      <w:bookmarkEnd w:id="133"/>
      <w:r>
        <w:rPr>
          <w:rFonts w:ascii="Arial" w:eastAsia="Arial" w:hAnsi="Arial"/>
          <w:b w:val="0"/>
        </w:rPr>
        <w:t>9.7. Sc</w:t>
      </w:r>
      <w:r>
        <w:rPr>
          <w:rFonts w:ascii="Arial" w:eastAsia="Arial" w:hAnsi="Arial"/>
          <w:b w:val="0"/>
        </w:rPr>
        <w:t>enarijsko poređenje mjera</w:t>
      </w:r>
      <w:bookmarkEnd w:id="134"/>
    </w:p>
    <w:p w:rsidR="004E4A3C" w:rsidRDefault="00FD7157">
      <w:pPr>
        <w:jc w:val="both"/>
      </w:pPr>
      <w:r>
        <w:t xml:space="preserve">Poređenje scenarija zasniva se na S0 kao nultom stanju iz Strateške karte buke i na finalnim CadnaA / Building Evaluation scenarijskim izlazima za S1, S3 i S4. U nastavku su odvojeno prikazani scenarijski pokazatelji za poređenje </w:t>
      </w:r>
      <w:r>
        <w:t>mjera i apsolutni pragovi izloženosti. Zvanična S0 prekoračenja po akustičkim zonama prikazana su u poglavlju 4.7 i koriste se kao formalna osnova za javnu raspravu.</w:t>
      </w:r>
    </w:p>
    <w:p w:rsidR="004E4A3C" w:rsidRDefault="00FD7157">
      <w:pPr>
        <w:jc w:val="both"/>
      </w:pPr>
      <w:r>
        <w:t>Metodološka napomena: u nastavku se odvojeno prikazuju dva tipa pokazatelja - informativno</w:t>
      </w:r>
      <w:r>
        <w:t xml:space="preserve"> zonsko poređenje scenarija prema preračunatom Building Evaluation kriterijumu i pokazatelji izloženosti po apsolutnim pragovima. Formalna regulatorna osnova za S0 ostaje tabela prekoračenja iz Strateške karte buke.</w:t>
      </w:r>
    </w:p>
    <w:p w:rsidR="004E4A3C" w:rsidRDefault="00FD7157">
      <w:pPr>
        <w:keepNext/>
        <w:keepLines/>
        <w:spacing w:after="40"/>
        <w:rPr>
          <w:b/>
          <w:bCs/>
        </w:rPr>
      </w:pPr>
      <w:r>
        <w:rPr>
          <w:b/>
          <w:bCs/>
        </w:rPr>
        <w:t>Tabela 21. Informativno zonsko poređenje</w:t>
      </w:r>
      <w:r>
        <w:rPr>
          <w:b/>
          <w:bCs/>
        </w:rPr>
        <w:t xml:space="preserve"> S0/S1/S3/S4 prema preračunatom zonskom Building Evaluation kriterijumu</w:t>
      </w:r>
    </w:p>
    <w:tbl>
      <w:tblPr>
        <w:tblStyle w:val="TableGrid"/>
        <w:tblW w:w="10025" w:type="dxa"/>
        <w:jc w:val="center"/>
        <w:tblLayout w:type="fixed"/>
        <w:tblCellMar>
          <w:top w:w="60" w:type="dxa"/>
          <w:left w:w="60" w:type="dxa"/>
          <w:bottom w:w="60" w:type="dxa"/>
          <w:right w:w="60" w:type="dxa"/>
        </w:tblCellMar>
        <w:tblLook w:val="04A0" w:firstRow="1" w:lastRow="0" w:firstColumn="1" w:lastColumn="0" w:noHBand="0" w:noVBand="1"/>
      </w:tblPr>
      <w:tblGrid>
        <w:gridCol w:w="2340"/>
        <w:gridCol w:w="1260"/>
        <w:gridCol w:w="1351"/>
        <w:gridCol w:w="1260"/>
        <w:gridCol w:w="1799"/>
        <w:gridCol w:w="2015"/>
      </w:tblGrid>
      <w:tr w:rsidR="004E4A3C">
        <w:trPr>
          <w:cantSplit/>
          <w:tblHeader/>
          <w:jc w:val="center"/>
        </w:trPr>
        <w:tc>
          <w:tcPr>
            <w:tcW w:w="2339" w:type="dxa"/>
            <w:shd w:val="clear" w:color="auto" w:fill="D9EAF7"/>
          </w:tcPr>
          <w:p w:rsidR="004E4A3C" w:rsidRDefault="00FD7157">
            <w:pPr>
              <w:spacing w:after="0" w:line="240" w:lineRule="auto"/>
            </w:pPr>
            <w:r>
              <w:rPr>
                <w:sz w:val="18"/>
              </w:rPr>
              <w:t>Scenario</w:t>
            </w:r>
          </w:p>
        </w:tc>
        <w:tc>
          <w:tcPr>
            <w:tcW w:w="1260" w:type="dxa"/>
            <w:shd w:val="clear" w:color="auto" w:fill="D9EAF7"/>
          </w:tcPr>
          <w:p w:rsidR="004E4A3C" w:rsidRDefault="00FD7157">
            <w:pPr>
              <w:spacing w:after="0" w:line="240" w:lineRule="auto"/>
            </w:pPr>
            <w:r>
              <w:rPr>
                <w:sz w:val="18"/>
              </w:rPr>
              <w:t>Stan. Lden - zonski BE kriterijum</w:t>
            </w:r>
          </w:p>
        </w:tc>
        <w:tc>
          <w:tcPr>
            <w:tcW w:w="1351" w:type="dxa"/>
            <w:shd w:val="clear" w:color="auto" w:fill="D9EAF7"/>
          </w:tcPr>
          <w:p w:rsidR="004E4A3C" w:rsidRDefault="00FD7157">
            <w:pPr>
              <w:spacing w:after="0" w:line="240" w:lineRule="auto"/>
            </w:pPr>
            <w:r>
              <w:rPr>
                <w:sz w:val="18"/>
              </w:rPr>
              <w:t>Stan. Lnight - zonski BE kriterijum</w:t>
            </w:r>
          </w:p>
        </w:tc>
        <w:tc>
          <w:tcPr>
            <w:tcW w:w="1260" w:type="dxa"/>
            <w:shd w:val="clear" w:color="auto" w:fill="D9EAF7"/>
          </w:tcPr>
          <w:p w:rsidR="004E4A3C" w:rsidRDefault="00FD7157">
            <w:pPr>
              <w:spacing w:after="0" w:line="240" w:lineRule="auto"/>
            </w:pPr>
            <w:r>
              <w:rPr>
                <w:sz w:val="18"/>
              </w:rPr>
              <w:t>Obj. Lden - zonski BE kriterijum</w:t>
            </w:r>
          </w:p>
        </w:tc>
        <w:tc>
          <w:tcPr>
            <w:tcW w:w="1799" w:type="dxa"/>
            <w:shd w:val="clear" w:color="auto" w:fill="D9EAF7"/>
          </w:tcPr>
          <w:p w:rsidR="004E4A3C" w:rsidRDefault="00FD7157">
            <w:pPr>
              <w:spacing w:after="0" w:line="240" w:lineRule="auto"/>
            </w:pPr>
            <w:r>
              <w:rPr>
                <w:sz w:val="18"/>
              </w:rPr>
              <w:t>Obj. Lnight - zonski BE kriterijum</w:t>
            </w:r>
          </w:p>
        </w:tc>
        <w:tc>
          <w:tcPr>
            <w:tcW w:w="2015" w:type="dxa"/>
            <w:shd w:val="clear" w:color="auto" w:fill="D9EAF7"/>
          </w:tcPr>
          <w:p w:rsidR="004E4A3C" w:rsidRDefault="00FD7157">
            <w:pPr>
              <w:spacing w:after="0" w:line="240" w:lineRule="auto"/>
            </w:pPr>
            <w:r>
              <w:rPr>
                <w:sz w:val="18"/>
              </w:rPr>
              <w:t>Smanjenje stan. Lden / Lnight u odnos</w:t>
            </w:r>
            <w:r>
              <w:rPr>
                <w:sz w:val="18"/>
              </w:rPr>
              <w:t>u na S0</w:t>
            </w:r>
          </w:p>
        </w:tc>
      </w:tr>
      <w:tr w:rsidR="004E4A3C">
        <w:trPr>
          <w:cantSplit/>
          <w:jc w:val="center"/>
        </w:trPr>
        <w:tc>
          <w:tcPr>
            <w:tcW w:w="2339" w:type="dxa"/>
          </w:tcPr>
          <w:p w:rsidR="004E4A3C" w:rsidRDefault="00FD7157">
            <w:pPr>
              <w:spacing w:after="0" w:line="240" w:lineRule="auto"/>
            </w:pPr>
            <w:r>
              <w:rPr>
                <w:sz w:val="18"/>
              </w:rPr>
              <w:t>S0 - nulto stanje, preračunati zonski BE kriterijum</w:t>
            </w:r>
          </w:p>
        </w:tc>
        <w:tc>
          <w:tcPr>
            <w:tcW w:w="1260" w:type="dxa"/>
          </w:tcPr>
          <w:p w:rsidR="004E4A3C" w:rsidRDefault="00FD7157">
            <w:pPr>
              <w:spacing w:after="0" w:line="240" w:lineRule="auto"/>
            </w:pPr>
            <w:r>
              <w:rPr>
                <w:rFonts w:cs="Arial"/>
                <w:sz w:val="18"/>
                <w:szCs w:val="18"/>
              </w:rPr>
              <w:t>471,9</w:t>
            </w:r>
          </w:p>
        </w:tc>
        <w:tc>
          <w:tcPr>
            <w:tcW w:w="1351" w:type="dxa"/>
          </w:tcPr>
          <w:p w:rsidR="004E4A3C" w:rsidRDefault="00FD7157">
            <w:pPr>
              <w:spacing w:after="0" w:line="240" w:lineRule="auto"/>
            </w:pPr>
            <w:r>
              <w:rPr>
                <w:rFonts w:cs="Arial"/>
                <w:sz w:val="18"/>
                <w:szCs w:val="18"/>
              </w:rPr>
              <w:t>513,7</w:t>
            </w:r>
          </w:p>
        </w:tc>
        <w:tc>
          <w:tcPr>
            <w:tcW w:w="1260" w:type="dxa"/>
          </w:tcPr>
          <w:p w:rsidR="004E4A3C" w:rsidRDefault="00FD7157">
            <w:pPr>
              <w:spacing w:after="0" w:line="240" w:lineRule="auto"/>
            </w:pPr>
            <w:r>
              <w:rPr>
                <w:rFonts w:cs="Arial"/>
                <w:sz w:val="18"/>
                <w:szCs w:val="18"/>
              </w:rPr>
              <w:t>208</w:t>
            </w:r>
          </w:p>
        </w:tc>
        <w:tc>
          <w:tcPr>
            <w:tcW w:w="1799" w:type="dxa"/>
          </w:tcPr>
          <w:p w:rsidR="004E4A3C" w:rsidRDefault="00FD7157">
            <w:pPr>
              <w:spacing w:after="0" w:line="240" w:lineRule="auto"/>
            </w:pPr>
            <w:r>
              <w:rPr>
                <w:rFonts w:cs="Arial"/>
                <w:sz w:val="18"/>
                <w:szCs w:val="18"/>
              </w:rPr>
              <w:t>239</w:t>
            </w:r>
          </w:p>
        </w:tc>
        <w:tc>
          <w:tcPr>
            <w:tcW w:w="2015" w:type="dxa"/>
          </w:tcPr>
          <w:p w:rsidR="004E4A3C" w:rsidRDefault="004E4A3C">
            <w:pPr>
              <w:spacing w:after="0" w:line="240" w:lineRule="auto"/>
            </w:pPr>
          </w:p>
        </w:tc>
      </w:tr>
      <w:tr w:rsidR="004E4A3C">
        <w:trPr>
          <w:cantSplit/>
          <w:jc w:val="center"/>
        </w:trPr>
        <w:tc>
          <w:tcPr>
            <w:tcW w:w="2339" w:type="dxa"/>
          </w:tcPr>
          <w:p w:rsidR="004E4A3C" w:rsidRDefault="00FD7157">
            <w:pPr>
              <w:spacing w:after="0" w:line="240" w:lineRule="auto"/>
            </w:pPr>
            <w:r>
              <w:rPr>
                <w:rFonts w:cs="Arial"/>
                <w:sz w:val="18"/>
                <w:szCs w:val="18"/>
              </w:rPr>
              <w:t>S1 - lokalno smanjenje brzina</w:t>
            </w:r>
          </w:p>
        </w:tc>
        <w:tc>
          <w:tcPr>
            <w:tcW w:w="1260" w:type="dxa"/>
          </w:tcPr>
          <w:p w:rsidR="004E4A3C" w:rsidRDefault="00FD7157">
            <w:pPr>
              <w:spacing w:after="0" w:line="240" w:lineRule="auto"/>
            </w:pPr>
            <w:r>
              <w:rPr>
                <w:rFonts w:cs="Arial"/>
                <w:sz w:val="18"/>
                <w:szCs w:val="18"/>
              </w:rPr>
              <w:t>408,6</w:t>
            </w:r>
          </w:p>
        </w:tc>
        <w:tc>
          <w:tcPr>
            <w:tcW w:w="1351" w:type="dxa"/>
          </w:tcPr>
          <w:p w:rsidR="004E4A3C" w:rsidRDefault="00FD7157">
            <w:pPr>
              <w:spacing w:after="0" w:line="240" w:lineRule="auto"/>
            </w:pPr>
            <w:r>
              <w:rPr>
                <w:rFonts w:cs="Arial"/>
                <w:sz w:val="18"/>
                <w:szCs w:val="18"/>
              </w:rPr>
              <w:t>439,6</w:t>
            </w:r>
          </w:p>
        </w:tc>
        <w:tc>
          <w:tcPr>
            <w:tcW w:w="1260" w:type="dxa"/>
          </w:tcPr>
          <w:p w:rsidR="004E4A3C" w:rsidRDefault="00FD7157">
            <w:pPr>
              <w:spacing w:after="0" w:line="240" w:lineRule="auto"/>
            </w:pPr>
            <w:r>
              <w:rPr>
                <w:rFonts w:cs="Arial"/>
                <w:sz w:val="18"/>
                <w:szCs w:val="18"/>
              </w:rPr>
              <w:t>176</w:t>
            </w:r>
          </w:p>
        </w:tc>
        <w:tc>
          <w:tcPr>
            <w:tcW w:w="1799" w:type="dxa"/>
          </w:tcPr>
          <w:p w:rsidR="004E4A3C" w:rsidRDefault="00FD7157">
            <w:pPr>
              <w:spacing w:after="0" w:line="240" w:lineRule="auto"/>
            </w:pPr>
            <w:r>
              <w:rPr>
                <w:rFonts w:cs="Arial"/>
                <w:sz w:val="18"/>
                <w:szCs w:val="18"/>
              </w:rPr>
              <w:t>202</w:t>
            </w:r>
          </w:p>
        </w:tc>
        <w:tc>
          <w:tcPr>
            <w:tcW w:w="2015" w:type="dxa"/>
          </w:tcPr>
          <w:p w:rsidR="004E4A3C" w:rsidRDefault="00FD7157">
            <w:pPr>
              <w:spacing w:after="0" w:line="240" w:lineRule="auto"/>
            </w:pPr>
            <w:r>
              <w:rPr>
                <w:rFonts w:cs="Arial"/>
                <w:sz w:val="18"/>
                <w:szCs w:val="18"/>
              </w:rPr>
              <w:t>63,3 / 74,0</w:t>
            </w:r>
          </w:p>
        </w:tc>
      </w:tr>
      <w:tr w:rsidR="004E4A3C">
        <w:trPr>
          <w:cantSplit/>
          <w:jc w:val="center"/>
        </w:trPr>
        <w:tc>
          <w:tcPr>
            <w:tcW w:w="2339" w:type="dxa"/>
          </w:tcPr>
          <w:p w:rsidR="004E4A3C" w:rsidRDefault="00FD7157">
            <w:pPr>
              <w:spacing w:after="0" w:line="240" w:lineRule="auto"/>
            </w:pPr>
            <w:r>
              <w:rPr>
                <w:rFonts w:cs="Arial"/>
                <w:sz w:val="18"/>
                <w:szCs w:val="18"/>
              </w:rPr>
              <w:t>S3 - tiši kolovozni zastor</w:t>
            </w:r>
          </w:p>
        </w:tc>
        <w:tc>
          <w:tcPr>
            <w:tcW w:w="1260" w:type="dxa"/>
          </w:tcPr>
          <w:p w:rsidR="004E4A3C" w:rsidRDefault="00FD7157">
            <w:pPr>
              <w:spacing w:after="0" w:line="240" w:lineRule="auto"/>
            </w:pPr>
            <w:r>
              <w:rPr>
                <w:rFonts w:cs="Arial"/>
                <w:sz w:val="18"/>
                <w:szCs w:val="18"/>
              </w:rPr>
              <w:t>220,5</w:t>
            </w:r>
          </w:p>
        </w:tc>
        <w:tc>
          <w:tcPr>
            <w:tcW w:w="1351" w:type="dxa"/>
          </w:tcPr>
          <w:p w:rsidR="004E4A3C" w:rsidRDefault="00FD7157">
            <w:pPr>
              <w:spacing w:after="0" w:line="240" w:lineRule="auto"/>
            </w:pPr>
            <w:r>
              <w:rPr>
                <w:rFonts w:cs="Arial"/>
                <w:sz w:val="18"/>
                <w:szCs w:val="18"/>
              </w:rPr>
              <w:t>277,3</w:t>
            </w:r>
          </w:p>
        </w:tc>
        <w:tc>
          <w:tcPr>
            <w:tcW w:w="1260" w:type="dxa"/>
          </w:tcPr>
          <w:p w:rsidR="004E4A3C" w:rsidRDefault="00FD7157">
            <w:pPr>
              <w:spacing w:after="0" w:line="240" w:lineRule="auto"/>
            </w:pPr>
            <w:r>
              <w:rPr>
                <w:rFonts w:cs="Arial"/>
                <w:sz w:val="18"/>
                <w:szCs w:val="18"/>
              </w:rPr>
              <w:t>97</w:t>
            </w:r>
          </w:p>
        </w:tc>
        <w:tc>
          <w:tcPr>
            <w:tcW w:w="1799" w:type="dxa"/>
          </w:tcPr>
          <w:p w:rsidR="004E4A3C" w:rsidRDefault="00FD7157">
            <w:pPr>
              <w:spacing w:after="0" w:line="240" w:lineRule="auto"/>
            </w:pPr>
            <w:r>
              <w:rPr>
                <w:rFonts w:cs="Arial"/>
                <w:sz w:val="18"/>
                <w:szCs w:val="18"/>
              </w:rPr>
              <w:t>121</w:t>
            </w:r>
          </w:p>
        </w:tc>
        <w:tc>
          <w:tcPr>
            <w:tcW w:w="2015" w:type="dxa"/>
          </w:tcPr>
          <w:p w:rsidR="004E4A3C" w:rsidRDefault="00FD7157">
            <w:pPr>
              <w:spacing w:after="0" w:line="240" w:lineRule="auto"/>
            </w:pPr>
            <w:r>
              <w:rPr>
                <w:rFonts w:cs="Arial"/>
                <w:sz w:val="18"/>
                <w:szCs w:val="18"/>
              </w:rPr>
              <w:t>251,4 / 236,4</w:t>
            </w:r>
          </w:p>
        </w:tc>
      </w:tr>
      <w:tr w:rsidR="004E4A3C">
        <w:trPr>
          <w:cantSplit/>
          <w:jc w:val="center"/>
        </w:trPr>
        <w:tc>
          <w:tcPr>
            <w:tcW w:w="2339" w:type="dxa"/>
          </w:tcPr>
          <w:p w:rsidR="004E4A3C" w:rsidRDefault="00FD7157">
            <w:pPr>
              <w:spacing w:after="0" w:line="240" w:lineRule="auto"/>
            </w:pPr>
            <w:r>
              <w:rPr>
                <w:rFonts w:cs="Arial"/>
                <w:sz w:val="18"/>
                <w:szCs w:val="18"/>
              </w:rPr>
              <w:t>S4 - S1 + S3</w:t>
            </w:r>
          </w:p>
        </w:tc>
        <w:tc>
          <w:tcPr>
            <w:tcW w:w="1260" w:type="dxa"/>
          </w:tcPr>
          <w:p w:rsidR="004E4A3C" w:rsidRDefault="00FD7157">
            <w:pPr>
              <w:spacing w:after="0" w:line="240" w:lineRule="auto"/>
            </w:pPr>
            <w:r>
              <w:rPr>
                <w:rFonts w:cs="Arial"/>
                <w:sz w:val="18"/>
                <w:szCs w:val="18"/>
              </w:rPr>
              <w:t>126,0</w:t>
            </w:r>
          </w:p>
        </w:tc>
        <w:tc>
          <w:tcPr>
            <w:tcW w:w="1351" w:type="dxa"/>
          </w:tcPr>
          <w:p w:rsidR="004E4A3C" w:rsidRDefault="00FD7157">
            <w:pPr>
              <w:spacing w:after="0" w:line="240" w:lineRule="auto"/>
            </w:pPr>
            <w:r>
              <w:rPr>
                <w:rFonts w:cs="Arial"/>
                <w:sz w:val="18"/>
                <w:szCs w:val="18"/>
              </w:rPr>
              <w:t>216,7</w:t>
            </w:r>
          </w:p>
        </w:tc>
        <w:tc>
          <w:tcPr>
            <w:tcW w:w="1260" w:type="dxa"/>
          </w:tcPr>
          <w:p w:rsidR="004E4A3C" w:rsidRDefault="00FD7157">
            <w:pPr>
              <w:spacing w:after="0" w:line="240" w:lineRule="auto"/>
            </w:pPr>
            <w:r>
              <w:rPr>
                <w:rFonts w:cs="Arial"/>
                <w:sz w:val="18"/>
                <w:szCs w:val="18"/>
              </w:rPr>
              <w:t>65</w:t>
            </w:r>
          </w:p>
        </w:tc>
        <w:tc>
          <w:tcPr>
            <w:tcW w:w="1799" w:type="dxa"/>
          </w:tcPr>
          <w:p w:rsidR="004E4A3C" w:rsidRDefault="00FD7157">
            <w:pPr>
              <w:spacing w:after="0" w:line="240" w:lineRule="auto"/>
            </w:pPr>
            <w:r>
              <w:rPr>
                <w:rFonts w:cs="Arial"/>
                <w:sz w:val="18"/>
                <w:szCs w:val="18"/>
              </w:rPr>
              <w:t>93</w:t>
            </w:r>
          </w:p>
        </w:tc>
        <w:tc>
          <w:tcPr>
            <w:tcW w:w="2015" w:type="dxa"/>
          </w:tcPr>
          <w:p w:rsidR="004E4A3C" w:rsidRDefault="00FD7157">
            <w:pPr>
              <w:spacing w:after="0" w:line="240" w:lineRule="auto"/>
            </w:pPr>
            <w:r>
              <w:rPr>
                <w:rFonts w:cs="Arial"/>
                <w:sz w:val="18"/>
                <w:szCs w:val="18"/>
              </w:rPr>
              <w:t>345,9 / 297,0</w:t>
            </w:r>
          </w:p>
        </w:tc>
      </w:tr>
    </w:tbl>
    <w:p w:rsidR="004E4A3C" w:rsidRDefault="004E4A3C">
      <w:pPr>
        <w:spacing w:before="60" w:after="120"/>
        <w:rPr>
          <w:b/>
          <w:sz w:val="18"/>
        </w:rPr>
      </w:pPr>
    </w:p>
    <w:p w:rsidR="004E4A3C" w:rsidRDefault="00FD7157">
      <w:pPr>
        <w:spacing w:before="60" w:after="120"/>
        <w:jc w:val="both"/>
        <w:rPr>
          <w:szCs w:val="20"/>
        </w:rPr>
      </w:pPr>
      <w:r>
        <w:rPr>
          <w:b/>
          <w:szCs w:val="20"/>
        </w:rPr>
        <w:t>Napomena uz Tabelu 21:</w:t>
      </w:r>
      <w:r>
        <w:rPr>
          <w:szCs w:val="20"/>
        </w:rPr>
        <w:t xml:space="preserve"> Vrijednosti za S0 u ovoj tabeli nijesu zvanična tabela prekoračenja iz Strateške karte buke, već preračun baznog stanja za potrebe scenarijskog poređenja sa mjerama S1, S3 i S4. Preračun koristi nivoe buke iz baznog CadnaA / Building</w:t>
      </w:r>
      <w:r>
        <w:rPr>
          <w:szCs w:val="20"/>
        </w:rPr>
        <w:t xml:space="preserve"> Evaluation modela S0, harmonizovani broj stanovnika iz finalnih scenarijskih setova, uparivanje objekata po redosljedu zapisa i granične vrijednosti pripadajućih akustičnih zona. U ovom preračunu zona jakog uticaja buke saobraćaja tumači se prema pripadaj</w:t>
      </w:r>
      <w:r>
        <w:rPr>
          <w:szCs w:val="20"/>
        </w:rPr>
        <w:t>ućoj graničnoj vrijednosti 60/50 dB, a ne kao stambena zona 55/45 dB. Objekti van akustičnih zona nijesu uključeni u ovu tabelu jer za njih nije moguće jednoznačno dodijeliti graničnu vrijednost. Zvanična regulatorna osnova za S0 ostaje tabela prekoračenja</w:t>
      </w:r>
      <w:r>
        <w:rPr>
          <w:szCs w:val="20"/>
        </w:rPr>
        <w:t xml:space="preserve"> iz Strateške karte buke: Lden 194 objekta / 449,30 stanovnika i Lnight 153 objekta / 317,65 stanovnika. Vrijednosti iz Tabele 22 odnose se na apsolutne pragove izloženosti i ne zamjenjuju zonski Building Evaluation kriterijum iz Tabele 21.</w:t>
      </w:r>
    </w:p>
    <w:p w:rsidR="004E4A3C" w:rsidRDefault="004E4A3C">
      <w:pPr>
        <w:keepNext/>
        <w:keepLines/>
        <w:spacing w:after="40"/>
        <w:rPr>
          <w:b/>
          <w:bCs/>
        </w:rPr>
      </w:pPr>
    </w:p>
    <w:p w:rsidR="004E4A3C" w:rsidRDefault="004E4A3C">
      <w:pPr>
        <w:keepNext/>
        <w:keepLines/>
        <w:spacing w:after="40"/>
        <w:rPr>
          <w:b/>
          <w:bCs/>
        </w:rPr>
      </w:pPr>
    </w:p>
    <w:p w:rsidR="004E4A3C" w:rsidRDefault="00FD7157">
      <w:pPr>
        <w:rPr>
          <w:b/>
          <w:bCs/>
        </w:rPr>
      </w:pPr>
      <w:r>
        <w:br w:type="page"/>
      </w:r>
    </w:p>
    <w:p w:rsidR="004E4A3C" w:rsidRDefault="00FD7157">
      <w:pPr>
        <w:keepNext/>
        <w:keepLines/>
        <w:spacing w:after="40"/>
        <w:rPr>
          <w:b/>
          <w:bCs/>
        </w:rPr>
      </w:pPr>
      <w:r>
        <w:rPr>
          <w:b/>
          <w:bCs/>
        </w:rPr>
        <w:lastRenderedPageBreak/>
        <w:t xml:space="preserve">Tabela 22. </w:t>
      </w:r>
      <w:r>
        <w:rPr>
          <w:b/>
          <w:bCs/>
        </w:rPr>
        <w:t>Pokazatelji izloženosti po apsolutnim pragovima iz finalnih scenarijskih izlaza</w:t>
      </w:r>
    </w:p>
    <w:tbl>
      <w:tblPr>
        <w:tblStyle w:val="TableGrid"/>
        <w:tblW w:w="9808" w:type="dxa"/>
        <w:jc w:val="center"/>
        <w:tblLayout w:type="fixed"/>
        <w:tblCellMar>
          <w:top w:w="60" w:type="dxa"/>
          <w:left w:w="60" w:type="dxa"/>
          <w:bottom w:w="60" w:type="dxa"/>
          <w:right w:w="60" w:type="dxa"/>
        </w:tblCellMar>
        <w:tblLook w:val="04A0" w:firstRow="1" w:lastRow="0" w:firstColumn="1" w:lastColumn="0" w:noHBand="0" w:noVBand="1"/>
      </w:tblPr>
      <w:tblGrid>
        <w:gridCol w:w="1419"/>
        <w:gridCol w:w="1474"/>
        <w:gridCol w:w="1473"/>
        <w:gridCol w:w="1474"/>
        <w:gridCol w:w="1474"/>
        <w:gridCol w:w="2494"/>
      </w:tblGrid>
      <w:tr w:rsidR="004E4A3C">
        <w:trPr>
          <w:cantSplit/>
          <w:tblHeader/>
          <w:jc w:val="center"/>
        </w:trPr>
        <w:tc>
          <w:tcPr>
            <w:tcW w:w="1418" w:type="dxa"/>
            <w:shd w:val="clear" w:color="auto" w:fill="D9EAF7"/>
          </w:tcPr>
          <w:p w:rsidR="004E4A3C" w:rsidRDefault="00FD7157">
            <w:pPr>
              <w:spacing w:after="0" w:line="240" w:lineRule="auto"/>
              <w:jc w:val="center"/>
            </w:pPr>
            <w:r>
              <w:rPr>
                <w:rFonts w:cs="Arial"/>
                <w:b/>
                <w:color w:val="000000"/>
                <w:sz w:val="18"/>
                <w:szCs w:val="18"/>
              </w:rPr>
              <w:t>Scenario</w:t>
            </w:r>
          </w:p>
        </w:tc>
        <w:tc>
          <w:tcPr>
            <w:tcW w:w="1474" w:type="dxa"/>
            <w:shd w:val="clear" w:color="auto" w:fill="D9EAF7"/>
          </w:tcPr>
          <w:p w:rsidR="004E4A3C" w:rsidRDefault="00FD7157">
            <w:pPr>
              <w:spacing w:after="0" w:line="240" w:lineRule="auto"/>
              <w:jc w:val="center"/>
            </w:pPr>
            <w:r>
              <w:rPr>
                <w:rFonts w:cs="Arial"/>
                <w:b/>
                <w:color w:val="000000"/>
                <w:sz w:val="18"/>
                <w:szCs w:val="18"/>
              </w:rPr>
              <w:t>Lden ≥55</w:t>
            </w:r>
          </w:p>
        </w:tc>
        <w:tc>
          <w:tcPr>
            <w:tcW w:w="1473" w:type="dxa"/>
            <w:shd w:val="clear" w:color="auto" w:fill="D9EAF7"/>
          </w:tcPr>
          <w:p w:rsidR="004E4A3C" w:rsidRDefault="00FD7157">
            <w:pPr>
              <w:spacing w:after="0" w:line="240" w:lineRule="auto"/>
              <w:jc w:val="center"/>
            </w:pPr>
            <w:r>
              <w:rPr>
                <w:rFonts w:cs="Arial"/>
                <w:b/>
                <w:color w:val="000000"/>
                <w:sz w:val="18"/>
                <w:szCs w:val="18"/>
              </w:rPr>
              <w:t>Lden ≥60</w:t>
            </w:r>
          </w:p>
        </w:tc>
        <w:tc>
          <w:tcPr>
            <w:tcW w:w="1474" w:type="dxa"/>
            <w:shd w:val="clear" w:color="auto" w:fill="D9EAF7"/>
          </w:tcPr>
          <w:p w:rsidR="004E4A3C" w:rsidRDefault="00FD7157">
            <w:pPr>
              <w:spacing w:after="0" w:line="240" w:lineRule="auto"/>
              <w:jc w:val="center"/>
            </w:pPr>
            <w:r>
              <w:rPr>
                <w:rFonts w:cs="Arial"/>
                <w:b/>
                <w:color w:val="000000"/>
                <w:sz w:val="18"/>
                <w:szCs w:val="18"/>
              </w:rPr>
              <w:t>Lnight ≥45</w:t>
            </w:r>
          </w:p>
        </w:tc>
        <w:tc>
          <w:tcPr>
            <w:tcW w:w="1474" w:type="dxa"/>
            <w:shd w:val="clear" w:color="auto" w:fill="D9EAF7"/>
          </w:tcPr>
          <w:p w:rsidR="004E4A3C" w:rsidRDefault="00FD7157">
            <w:pPr>
              <w:spacing w:after="0" w:line="240" w:lineRule="auto"/>
              <w:jc w:val="center"/>
            </w:pPr>
            <w:r>
              <w:rPr>
                <w:rFonts w:cs="Arial"/>
                <w:b/>
                <w:color w:val="000000"/>
                <w:sz w:val="18"/>
                <w:szCs w:val="18"/>
              </w:rPr>
              <w:t>Lnight ≥50</w:t>
            </w:r>
          </w:p>
        </w:tc>
        <w:tc>
          <w:tcPr>
            <w:tcW w:w="2494" w:type="dxa"/>
            <w:shd w:val="clear" w:color="auto" w:fill="D9EAF7"/>
          </w:tcPr>
          <w:p w:rsidR="004E4A3C" w:rsidRDefault="00FD7157">
            <w:pPr>
              <w:spacing w:after="0" w:line="240" w:lineRule="auto"/>
              <w:jc w:val="center"/>
            </w:pPr>
            <w:r>
              <w:rPr>
                <w:rFonts w:cs="Arial"/>
                <w:b/>
                <w:color w:val="000000"/>
                <w:sz w:val="18"/>
                <w:szCs w:val="18"/>
              </w:rPr>
              <w:t>Lnight ≥55</w:t>
            </w:r>
          </w:p>
        </w:tc>
      </w:tr>
      <w:tr w:rsidR="004E4A3C">
        <w:trPr>
          <w:cantSplit/>
          <w:jc w:val="center"/>
        </w:trPr>
        <w:tc>
          <w:tcPr>
            <w:tcW w:w="1418" w:type="dxa"/>
          </w:tcPr>
          <w:p w:rsidR="004E4A3C" w:rsidRDefault="00FD7157">
            <w:pPr>
              <w:spacing w:after="0" w:line="240" w:lineRule="auto"/>
              <w:jc w:val="center"/>
            </w:pPr>
            <w:r>
              <w:rPr>
                <w:rFonts w:cs="Arial"/>
                <w:sz w:val="18"/>
              </w:rPr>
              <w:t>S0</w:t>
            </w:r>
          </w:p>
        </w:tc>
        <w:tc>
          <w:tcPr>
            <w:tcW w:w="1474" w:type="dxa"/>
          </w:tcPr>
          <w:p w:rsidR="004E4A3C" w:rsidRDefault="00FD7157">
            <w:pPr>
              <w:spacing w:after="0" w:line="240" w:lineRule="auto"/>
              <w:jc w:val="center"/>
            </w:pPr>
            <w:r>
              <w:rPr>
                <w:rFonts w:cs="Arial"/>
                <w:sz w:val="18"/>
                <w:szCs w:val="18"/>
              </w:rPr>
              <w:t>581,8</w:t>
            </w:r>
          </w:p>
        </w:tc>
        <w:tc>
          <w:tcPr>
            <w:tcW w:w="1473" w:type="dxa"/>
          </w:tcPr>
          <w:p w:rsidR="004E4A3C" w:rsidRDefault="00FD7157">
            <w:pPr>
              <w:spacing w:after="0" w:line="240" w:lineRule="auto"/>
              <w:jc w:val="center"/>
            </w:pPr>
            <w:r>
              <w:rPr>
                <w:rFonts w:cs="Arial"/>
                <w:sz w:val="18"/>
                <w:szCs w:val="18"/>
              </w:rPr>
              <w:t>317,4</w:t>
            </w:r>
          </w:p>
        </w:tc>
        <w:tc>
          <w:tcPr>
            <w:tcW w:w="1474" w:type="dxa"/>
          </w:tcPr>
          <w:p w:rsidR="004E4A3C" w:rsidRDefault="00FD7157">
            <w:pPr>
              <w:spacing w:after="0" w:line="240" w:lineRule="auto"/>
              <w:jc w:val="center"/>
            </w:pPr>
            <w:r>
              <w:rPr>
                <w:rFonts w:cs="Arial"/>
                <w:sz w:val="18"/>
                <w:szCs w:val="18"/>
              </w:rPr>
              <w:t>624,2</w:t>
            </w:r>
          </w:p>
        </w:tc>
        <w:tc>
          <w:tcPr>
            <w:tcW w:w="1474" w:type="dxa"/>
          </w:tcPr>
          <w:p w:rsidR="004E4A3C" w:rsidRDefault="00FD7157">
            <w:pPr>
              <w:spacing w:after="0" w:line="240" w:lineRule="auto"/>
              <w:jc w:val="center"/>
            </w:pPr>
            <w:r>
              <w:rPr>
                <w:rFonts w:cs="Arial"/>
                <w:sz w:val="18"/>
                <w:szCs w:val="18"/>
              </w:rPr>
              <w:t>379,6</w:t>
            </w:r>
          </w:p>
        </w:tc>
        <w:tc>
          <w:tcPr>
            <w:tcW w:w="2494" w:type="dxa"/>
          </w:tcPr>
          <w:p w:rsidR="004E4A3C" w:rsidRDefault="00FD7157">
            <w:pPr>
              <w:spacing w:after="0" w:line="240" w:lineRule="auto"/>
              <w:jc w:val="center"/>
            </w:pPr>
            <w:r>
              <w:rPr>
                <w:rFonts w:cs="Arial"/>
                <w:sz w:val="18"/>
                <w:szCs w:val="18"/>
              </w:rPr>
              <w:t>103,9</w:t>
            </w:r>
          </w:p>
        </w:tc>
      </w:tr>
      <w:tr w:rsidR="004E4A3C">
        <w:trPr>
          <w:cantSplit/>
          <w:jc w:val="center"/>
        </w:trPr>
        <w:tc>
          <w:tcPr>
            <w:tcW w:w="1418" w:type="dxa"/>
          </w:tcPr>
          <w:p w:rsidR="004E4A3C" w:rsidRDefault="00FD7157">
            <w:pPr>
              <w:spacing w:after="0" w:line="240" w:lineRule="auto"/>
              <w:jc w:val="center"/>
            </w:pPr>
            <w:r>
              <w:rPr>
                <w:rFonts w:cs="Arial"/>
                <w:sz w:val="18"/>
                <w:szCs w:val="18"/>
              </w:rPr>
              <w:t>S1</w:t>
            </w:r>
          </w:p>
        </w:tc>
        <w:tc>
          <w:tcPr>
            <w:tcW w:w="1474" w:type="dxa"/>
          </w:tcPr>
          <w:p w:rsidR="004E4A3C" w:rsidRDefault="00FD7157">
            <w:pPr>
              <w:spacing w:after="0" w:line="240" w:lineRule="auto"/>
              <w:jc w:val="center"/>
            </w:pPr>
            <w:r>
              <w:rPr>
                <w:rFonts w:cs="Arial"/>
                <w:sz w:val="18"/>
                <w:szCs w:val="18"/>
              </w:rPr>
              <w:t>550,3</w:t>
            </w:r>
          </w:p>
        </w:tc>
        <w:tc>
          <w:tcPr>
            <w:tcW w:w="1473" w:type="dxa"/>
          </w:tcPr>
          <w:p w:rsidR="004E4A3C" w:rsidRDefault="00FD7157">
            <w:pPr>
              <w:spacing w:after="0" w:line="240" w:lineRule="auto"/>
              <w:jc w:val="center"/>
            </w:pPr>
            <w:r>
              <w:rPr>
                <w:rFonts w:cs="Arial"/>
                <w:sz w:val="18"/>
                <w:szCs w:val="18"/>
              </w:rPr>
              <w:t>263,8</w:t>
            </w:r>
          </w:p>
        </w:tc>
        <w:tc>
          <w:tcPr>
            <w:tcW w:w="1474" w:type="dxa"/>
          </w:tcPr>
          <w:p w:rsidR="004E4A3C" w:rsidRDefault="00FD7157">
            <w:pPr>
              <w:spacing w:after="0" w:line="240" w:lineRule="auto"/>
              <w:jc w:val="center"/>
            </w:pPr>
            <w:r>
              <w:rPr>
                <w:rFonts w:cs="Arial"/>
                <w:sz w:val="18"/>
                <w:szCs w:val="18"/>
              </w:rPr>
              <w:t>578,2</w:t>
            </w:r>
          </w:p>
        </w:tc>
        <w:tc>
          <w:tcPr>
            <w:tcW w:w="1474" w:type="dxa"/>
          </w:tcPr>
          <w:p w:rsidR="004E4A3C" w:rsidRDefault="00FD7157">
            <w:pPr>
              <w:spacing w:after="0" w:line="240" w:lineRule="auto"/>
              <w:jc w:val="center"/>
            </w:pPr>
            <w:r>
              <w:rPr>
                <w:rFonts w:cs="Arial"/>
                <w:sz w:val="18"/>
                <w:szCs w:val="18"/>
              </w:rPr>
              <w:t>322,4</w:t>
            </w:r>
          </w:p>
        </w:tc>
        <w:tc>
          <w:tcPr>
            <w:tcW w:w="2494" w:type="dxa"/>
          </w:tcPr>
          <w:p w:rsidR="004E4A3C" w:rsidRDefault="00FD7157">
            <w:pPr>
              <w:spacing w:after="0" w:line="240" w:lineRule="auto"/>
              <w:jc w:val="center"/>
            </w:pPr>
            <w:r>
              <w:rPr>
                <w:rFonts w:cs="Arial"/>
                <w:sz w:val="18"/>
                <w:szCs w:val="18"/>
              </w:rPr>
              <w:t>48,0</w:t>
            </w:r>
          </w:p>
        </w:tc>
      </w:tr>
      <w:tr w:rsidR="004E4A3C">
        <w:trPr>
          <w:cantSplit/>
          <w:jc w:val="center"/>
        </w:trPr>
        <w:tc>
          <w:tcPr>
            <w:tcW w:w="1418" w:type="dxa"/>
          </w:tcPr>
          <w:p w:rsidR="004E4A3C" w:rsidRDefault="00FD7157">
            <w:pPr>
              <w:spacing w:after="0" w:line="240" w:lineRule="auto"/>
              <w:jc w:val="center"/>
            </w:pPr>
            <w:r>
              <w:rPr>
                <w:rFonts w:cs="Arial"/>
                <w:sz w:val="18"/>
                <w:szCs w:val="18"/>
              </w:rPr>
              <w:t>S3</w:t>
            </w:r>
          </w:p>
        </w:tc>
        <w:tc>
          <w:tcPr>
            <w:tcW w:w="1474" w:type="dxa"/>
          </w:tcPr>
          <w:p w:rsidR="004E4A3C" w:rsidRDefault="00FD7157">
            <w:pPr>
              <w:spacing w:after="0" w:line="240" w:lineRule="auto"/>
              <w:jc w:val="center"/>
            </w:pPr>
            <w:r>
              <w:rPr>
                <w:rFonts w:cs="Arial"/>
                <w:sz w:val="18"/>
                <w:szCs w:val="18"/>
              </w:rPr>
              <w:t>431,7</w:t>
            </w:r>
          </w:p>
        </w:tc>
        <w:tc>
          <w:tcPr>
            <w:tcW w:w="1473" w:type="dxa"/>
          </w:tcPr>
          <w:p w:rsidR="004E4A3C" w:rsidRDefault="00FD7157">
            <w:pPr>
              <w:spacing w:after="0" w:line="240" w:lineRule="auto"/>
              <w:jc w:val="center"/>
            </w:pPr>
            <w:r>
              <w:rPr>
                <w:rFonts w:cs="Arial"/>
                <w:sz w:val="18"/>
                <w:szCs w:val="18"/>
              </w:rPr>
              <w:t>134,4</w:t>
            </w:r>
          </w:p>
        </w:tc>
        <w:tc>
          <w:tcPr>
            <w:tcW w:w="1474" w:type="dxa"/>
          </w:tcPr>
          <w:p w:rsidR="004E4A3C" w:rsidRDefault="00FD7157">
            <w:pPr>
              <w:spacing w:after="0" w:line="240" w:lineRule="auto"/>
              <w:jc w:val="center"/>
            </w:pPr>
            <w:r>
              <w:rPr>
                <w:rFonts w:cs="Arial"/>
                <w:sz w:val="18"/>
                <w:szCs w:val="18"/>
              </w:rPr>
              <w:t>492,7</w:t>
            </w:r>
          </w:p>
        </w:tc>
        <w:tc>
          <w:tcPr>
            <w:tcW w:w="1474" w:type="dxa"/>
          </w:tcPr>
          <w:p w:rsidR="004E4A3C" w:rsidRDefault="00FD7157">
            <w:pPr>
              <w:spacing w:after="0" w:line="240" w:lineRule="auto"/>
              <w:jc w:val="center"/>
            </w:pPr>
            <w:r>
              <w:rPr>
                <w:rFonts w:cs="Arial"/>
                <w:sz w:val="18"/>
                <w:szCs w:val="18"/>
              </w:rPr>
              <w:t>164,5</w:t>
            </w:r>
          </w:p>
        </w:tc>
        <w:tc>
          <w:tcPr>
            <w:tcW w:w="2494" w:type="dxa"/>
          </w:tcPr>
          <w:p w:rsidR="004E4A3C" w:rsidRDefault="00FD7157">
            <w:pPr>
              <w:spacing w:after="0" w:line="240" w:lineRule="auto"/>
              <w:jc w:val="center"/>
            </w:pPr>
            <w:r>
              <w:rPr>
                <w:rFonts w:cs="Arial"/>
                <w:sz w:val="18"/>
                <w:szCs w:val="18"/>
              </w:rPr>
              <w:t>16,0</w:t>
            </w:r>
          </w:p>
        </w:tc>
      </w:tr>
      <w:tr w:rsidR="004E4A3C">
        <w:trPr>
          <w:cantSplit/>
          <w:jc w:val="center"/>
        </w:trPr>
        <w:tc>
          <w:tcPr>
            <w:tcW w:w="1418" w:type="dxa"/>
          </w:tcPr>
          <w:p w:rsidR="004E4A3C" w:rsidRDefault="00FD7157">
            <w:pPr>
              <w:spacing w:after="0" w:line="240" w:lineRule="auto"/>
              <w:jc w:val="center"/>
            </w:pPr>
            <w:r>
              <w:rPr>
                <w:rFonts w:cs="Arial"/>
                <w:sz w:val="18"/>
                <w:szCs w:val="18"/>
              </w:rPr>
              <w:t>S4</w:t>
            </w:r>
          </w:p>
        </w:tc>
        <w:tc>
          <w:tcPr>
            <w:tcW w:w="1474" w:type="dxa"/>
          </w:tcPr>
          <w:p w:rsidR="004E4A3C" w:rsidRDefault="00FD7157">
            <w:pPr>
              <w:spacing w:after="0" w:line="240" w:lineRule="auto"/>
              <w:jc w:val="center"/>
            </w:pPr>
            <w:r>
              <w:rPr>
                <w:rFonts w:cs="Arial"/>
                <w:sz w:val="18"/>
                <w:szCs w:val="18"/>
              </w:rPr>
              <w:t>379,1</w:t>
            </w:r>
          </w:p>
        </w:tc>
        <w:tc>
          <w:tcPr>
            <w:tcW w:w="1473" w:type="dxa"/>
          </w:tcPr>
          <w:p w:rsidR="004E4A3C" w:rsidRDefault="00FD7157">
            <w:pPr>
              <w:spacing w:after="0" w:line="240" w:lineRule="auto"/>
              <w:jc w:val="center"/>
            </w:pPr>
            <w:r>
              <w:rPr>
                <w:rFonts w:cs="Arial"/>
                <w:sz w:val="18"/>
                <w:szCs w:val="18"/>
              </w:rPr>
              <w:t>75,3</w:t>
            </w:r>
          </w:p>
        </w:tc>
        <w:tc>
          <w:tcPr>
            <w:tcW w:w="1474" w:type="dxa"/>
          </w:tcPr>
          <w:p w:rsidR="004E4A3C" w:rsidRDefault="00FD7157">
            <w:pPr>
              <w:spacing w:after="0" w:line="240" w:lineRule="auto"/>
              <w:jc w:val="center"/>
            </w:pPr>
            <w:r>
              <w:rPr>
                <w:rFonts w:cs="Arial"/>
                <w:sz w:val="18"/>
                <w:szCs w:val="18"/>
              </w:rPr>
              <w:t>443,4</w:t>
            </w:r>
          </w:p>
        </w:tc>
        <w:tc>
          <w:tcPr>
            <w:tcW w:w="1474" w:type="dxa"/>
          </w:tcPr>
          <w:p w:rsidR="004E4A3C" w:rsidRDefault="00FD7157">
            <w:pPr>
              <w:spacing w:after="0" w:line="240" w:lineRule="auto"/>
              <w:jc w:val="center"/>
            </w:pPr>
            <w:r>
              <w:rPr>
                <w:rFonts w:cs="Arial"/>
                <w:sz w:val="18"/>
                <w:szCs w:val="18"/>
              </w:rPr>
              <w:t>127,4</w:t>
            </w:r>
          </w:p>
        </w:tc>
        <w:tc>
          <w:tcPr>
            <w:tcW w:w="2494" w:type="dxa"/>
          </w:tcPr>
          <w:p w:rsidR="004E4A3C" w:rsidRDefault="00FD7157">
            <w:pPr>
              <w:spacing w:after="0" w:line="240" w:lineRule="auto"/>
              <w:jc w:val="center"/>
            </w:pPr>
            <w:r>
              <w:rPr>
                <w:rFonts w:cs="Arial"/>
                <w:sz w:val="18"/>
                <w:szCs w:val="18"/>
              </w:rPr>
              <w:t>7,3</w:t>
            </w:r>
          </w:p>
        </w:tc>
      </w:tr>
    </w:tbl>
    <w:p w:rsidR="004E4A3C" w:rsidRDefault="004E4A3C">
      <w:pPr>
        <w:keepNext/>
        <w:keepLines/>
        <w:spacing w:after="0"/>
      </w:pPr>
    </w:p>
    <w:p w:rsidR="004E4A3C" w:rsidRDefault="004E4A3C">
      <w:pPr>
        <w:keepNext/>
        <w:keepLines/>
        <w:spacing w:after="40"/>
        <w:rPr>
          <w:b/>
          <w:bCs/>
        </w:rPr>
      </w:pPr>
    </w:p>
    <w:p w:rsidR="004E4A3C" w:rsidRDefault="00FD7157">
      <w:pPr>
        <w:keepNext/>
        <w:keepLines/>
        <w:spacing w:after="40"/>
        <w:rPr>
          <w:b/>
          <w:bCs/>
        </w:rPr>
      </w:pPr>
      <w:r>
        <w:rPr>
          <w:b/>
          <w:bCs/>
        </w:rPr>
        <w:t>Tabela 23. Status finalnih scenarijskih izlaza i dokumentacione sljedivosti</w:t>
      </w:r>
    </w:p>
    <w:tbl>
      <w:tblPr>
        <w:tblStyle w:val="TableGrid"/>
        <w:tblW w:w="9694" w:type="dxa"/>
        <w:jc w:val="center"/>
        <w:tblLayout w:type="fixed"/>
        <w:tblCellMar>
          <w:top w:w="40" w:type="dxa"/>
          <w:left w:w="40" w:type="dxa"/>
          <w:bottom w:w="40" w:type="dxa"/>
          <w:right w:w="40" w:type="dxa"/>
        </w:tblCellMar>
        <w:tblLook w:val="04A0" w:firstRow="1" w:lastRow="0" w:firstColumn="1" w:lastColumn="0" w:noHBand="0" w:noVBand="1"/>
      </w:tblPr>
      <w:tblGrid>
        <w:gridCol w:w="1418"/>
        <w:gridCol w:w="3044"/>
        <w:gridCol w:w="3689"/>
        <w:gridCol w:w="1543"/>
      </w:tblGrid>
      <w:tr w:rsidR="004E4A3C">
        <w:trPr>
          <w:cantSplit/>
          <w:tblHeader/>
          <w:jc w:val="center"/>
        </w:trPr>
        <w:tc>
          <w:tcPr>
            <w:tcW w:w="1417" w:type="dxa"/>
            <w:shd w:val="clear" w:color="auto" w:fill="D9EAF7"/>
          </w:tcPr>
          <w:p w:rsidR="004E4A3C" w:rsidRDefault="00FD7157">
            <w:pPr>
              <w:spacing w:after="0" w:line="240" w:lineRule="auto"/>
            </w:pPr>
            <w:r>
              <w:rPr>
                <w:rFonts w:cs="Arial"/>
                <w:b/>
                <w:sz w:val="18"/>
              </w:rPr>
              <w:t>Scenario / podloga</w:t>
            </w:r>
          </w:p>
        </w:tc>
        <w:tc>
          <w:tcPr>
            <w:tcW w:w="3044" w:type="dxa"/>
            <w:shd w:val="clear" w:color="auto" w:fill="D9EAF7"/>
          </w:tcPr>
          <w:p w:rsidR="004E4A3C" w:rsidRDefault="00FD7157">
            <w:pPr>
              <w:spacing w:after="0" w:line="240" w:lineRule="auto"/>
            </w:pPr>
            <w:r>
              <w:rPr>
                <w:rFonts w:cs="Arial"/>
                <w:b/>
                <w:sz w:val="18"/>
              </w:rPr>
              <w:t>Osnov za javnu raspravu</w:t>
            </w:r>
          </w:p>
        </w:tc>
        <w:tc>
          <w:tcPr>
            <w:tcW w:w="3689" w:type="dxa"/>
            <w:shd w:val="clear" w:color="auto" w:fill="D9EAF7"/>
          </w:tcPr>
          <w:p w:rsidR="004E4A3C" w:rsidRDefault="00FD7157">
            <w:pPr>
              <w:spacing w:after="0" w:line="240" w:lineRule="auto"/>
            </w:pPr>
            <w:r>
              <w:rPr>
                <w:sz w:val="18"/>
              </w:rPr>
              <w:t>Provjera sljedivosti u javnoj verziji</w:t>
            </w:r>
          </w:p>
        </w:tc>
        <w:tc>
          <w:tcPr>
            <w:tcW w:w="1543" w:type="dxa"/>
            <w:shd w:val="clear" w:color="auto" w:fill="D9EAF7"/>
          </w:tcPr>
          <w:p w:rsidR="004E4A3C" w:rsidRDefault="00FD7157">
            <w:pPr>
              <w:spacing w:after="0" w:line="240" w:lineRule="auto"/>
            </w:pPr>
            <w:r>
              <w:rPr>
                <w:rFonts w:cs="Arial"/>
                <w:b/>
                <w:sz w:val="18"/>
              </w:rPr>
              <w:t>Status za javnu raspravu</w:t>
            </w:r>
          </w:p>
        </w:tc>
      </w:tr>
      <w:tr w:rsidR="004E4A3C">
        <w:trPr>
          <w:cantSplit/>
          <w:jc w:val="center"/>
        </w:trPr>
        <w:tc>
          <w:tcPr>
            <w:tcW w:w="1417" w:type="dxa"/>
          </w:tcPr>
          <w:p w:rsidR="004E4A3C" w:rsidRDefault="00FD7157">
            <w:pPr>
              <w:spacing w:after="0" w:line="240" w:lineRule="auto"/>
            </w:pPr>
            <w:r>
              <w:rPr>
                <w:rFonts w:cs="Arial"/>
                <w:sz w:val="18"/>
              </w:rPr>
              <w:t>S0 - nulto stanje</w:t>
            </w:r>
          </w:p>
        </w:tc>
        <w:tc>
          <w:tcPr>
            <w:tcW w:w="3044" w:type="dxa"/>
          </w:tcPr>
          <w:p w:rsidR="004E4A3C" w:rsidRDefault="00FD7157">
            <w:pPr>
              <w:spacing w:after="0" w:line="240" w:lineRule="auto"/>
            </w:pPr>
            <w:r>
              <w:rPr>
                <w:rFonts w:cs="Arial"/>
                <w:sz w:val="18"/>
              </w:rPr>
              <w:t xml:space="preserve">Strateška karta buke i bazni CadnaA </w:t>
            </w:r>
            <w:r>
              <w:rPr>
                <w:rFonts w:cs="Arial"/>
                <w:sz w:val="18"/>
              </w:rPr>
              <w:t>/ Building Evaluation izvoz</w:t>
            </w:r>
          </w:p>
        </w:tc>
        <w:tc>
          <w:tcPr>
            <w:tcW w:w="3689" w:type="dxa"/>
          </w:tcPr>
          <w:p w:rsidR="004E4A3C" w:rsidRDefault="00FD7157">
            <w:pPr>
              <w:spacing w:after="0" w:line="240" w:lineRule="auto"/>
            </w:pPr>
            <w:r>
              <w:rPr>
                <w:rFonts w:cs="Arial"/>
                <w:sz w:val="18"/>
              </w:rPr>
              <w:t>SKB tabele, karte Lden/Lnight i tabela prekoračenja po akustičkim zonama čine zvaničnu polaznu osnovu.</w:t>
            </w:r>
          </w:p>
        </w:tc>
        <w:tc>
          <w:tcPr>
            <w:tcW w:w="1543" w:type="dxa"/>
          </w:tcPr>
          <w:p w:rsidR="004E4A3C" w:rsidRDefault="00FD7157">
            <w:pPr>
              <w:spacing w:after="0" w:line="240" w:lineRule="auto"/>
            </w:pPr>
            <w:r>
              <w:rPr>
                <w:rFonts w:cs="Arial"/>
                <w:sz w:val="18"/>
              </w:rPr>
              <w:t>polazno stanje, nije mjera</w:t>
            </w:r>
          </w:p>
        </w:tc>
      </w:tr>
      <w:tr w:rsidR="004E4A3C">
        <w:trPr>
          <w:cantSplit/>
          <w:jc w:val="center"/>
        </w:trPr>
        <w:tc>
          <w:tcPr>
            <w:tcW w:w="1417" w:type="dxa"/>
          </w:tcPr>
          <w:p w:rsidR="004E4A3C" w:rsidRDefault="00FD7157">
            <w:pPr>
              <w:spacing w:after="0" w:line="240" w:lineRule="auto"/>
            </w:pPr>
            <w:r>
              <w:rPr>
                <w:rFonts w:cs="Arial"/>
                <w:sz w:val="18"/>
              </w:rPr>
              <w:t>S1</w:t>
            </w:r>
          </w:p>
        </w:tc>
        <w:tc>
          <w:tcPr>
            <w:tcW w:w="3044" w:type="dxa"/>
          </w:tcPr>
          <w:p w:rsidR="004E4A3C" w:rsidRDefault="00FD7157">
            <w:pPr>
              <w:spacing w:after="0" w:line="240" w:lineRule="auto"/>
            </w:pPr>
            <w:r>
              <w:rPr>
                <w:rFonts w:cs="Arial"/>
                <w:sz w:val="18"/>
              </w:rPr>
              <w:t>finalni CadnaA / Building Evaluation folder i prateći kartografski/GIS izlazi</w:t>
            </w:r>
          </w:p>
        </w:tc>
        <w:tc>
          <w:tcPr>
            <w:tcW w:w="3689" w:type="dxa"/>
          </w:tcPr>
          <w:p w:rsidR="004E4A3C" w:rsidRDefault="00FD7157">
            <w:pPr>
              <w:spacing w:after="0" w:line="240" w:lineRule="auto"/>
            </w:pPr>
            <w:r>
              <w:rPr>
                <w:rFonts w:cs="Arial"/>
                <w:sz w:val="18"/>
              </w:rPr>
              <w:t xml:space="preserve">u AP se koristi </w:t>
            </w:r>
            <w:r>
              <w:rPr>
                <w:rFonts w:cs="Arial"/>
                <w:sz w:val="18"/>
              </w:rPr>
              <w:t>kao finalni scenarijski izlaz za lokalno smanjenje brzina i poređenje sa S0</w:t>
            </w:r>
          </w:p>
        </w:tc>
        <w:tc>
          <w:tcPr>
            <w:tcW w:w="1543" w:type="dxa"/>
          </w:tcPr>
          <w:p w:rsidR="004E4A3C" w:rsidRDefault="00FD7157">
            <w:pPr>
              <w:spacing w:after="0" w:line="240" w:lineRule="auto"/>
            </w:pPr>
            <w:r>
              <w:rPr>
                <w:rFonts w:cs="Arial"/>
                <w:sz w:val="18"/>
              </w:rPr>
              <w:t>spremno za javnu raspravu</w:t>
            </w:r>
          </w:p>
        </w:tc>
      </w:tr>
      <w:tr w:rsidR="004E4A3C">
        <w:trPr>
          <w:cantSplit/>
          <w:jc w:val="center"/>
        </w:trPr>
        <w:tc>
          <w:tcPr>
            <w:tcW w:w="1417" w:type="dxa"/>
          </w:tcPr>
          <w:p w:rsidR="004E4A3C" w:rsidRDefault="00FD7157">
            <w:pPr>
              <w:spacing w:after="0" w:line="240" w:lineRule="auto"/>
            </w:pPr>
            <w:r>
              <w:rPr>
                <w:rFonts w:cs="Arial"/>
                <w:sz w:val="18"/>
              </w:rPr>
              <w:t>S3</w:t>
            </w:r>
          </w:p>
        </w:tc>
        <w:tc>
          <w:tcPr>
            <w:tcW w:w="3044" w:type="dxa"/>
          </w:tcPr>
          <w:p w:rsidR="004E4A3C" w:rsidRDefault="00FD7157">
            <w:pPr>
              <w:spacing w:after="0" w:line="240" w:lineRule="auto"/>
            </w:pPr>
            <w:r>
              <w:rPr>
                <w:rFonts w:cs="Arial"/>
                <w:sz w:val="18"/>
              </w:rPr>
              <w:t>finalni CadnaA / Building Evaluation folder i prateći kartografski/GIS izlazi</w:t>
            </w:r>
          </w:p>
        </w:tc>
        <w:tc>
          <w:tcPr>
            <w:tcW w:w="3689" w:type="dxa"/>
          </w:tcPr>
          <w:p w:rsidR="004E4A3C" w:rsidRDefault="00FD7157">
            <w:pPr>
              <w:spacing w:after="0" w:line="240" w:lineRule="auto"/>
            </w:pPr>
            <w:r>
              <w:rPr>
                <w:rFonts w:cs="Arial"/>
                <w:sz w:val="18"/>
              </w:rPr>
              <w:t>u AP se koristi kao finalni scenarijski izlaz za tiši kolovoz; trošak se</w:t>
            </w:r>
            <w:r>
              <w:rPr>
                <w:rFonts w:cs="Arial"/>
                <w:sz w:val="18"/>
              </w:rPr>
              <w:t xml:space="preserve"> tumači u vezi sa planiranom obnovom kolovoza</w:t>
            </w:r>
          </w:p>
        </w:tc>
        <w:tc>
          <w:tcPr>
            <w:tcW w:w="1543" w:type="dxa"/>
          </w:tcPr>
          <w:p w:rsidR="004E4A3C" w:rsidRDefault="00FD7157">
            <w:pPr>
              <w:spacing w:after="0" w:line="240" w:lineRule="auto"/>
            </w:pPr>
            <w:r>
              <w:rPr>
                <w:rFonts w:cs="Arial"/>
                <w:sz w:val="18"/>
              </w:rPr>
              <w:t>spremno za javnu raspravu</w:t>
            </w:r>
          </w:p>
        </w:tc>
      </w:tr>
      <w:tr w:rsidR="004E4A3C">
        <w:trPr>
          <w:cantSplit/>
          <w:jc w:val="center"/>
        </w:trPr>
        <w:tc>
          <w:tcPr>
            <w:tcW w:w="1417" w:type="dxa"/>
          </w:tcPr>
          <w:p w:rsidR="004E4A3C" w:rsidRDefault="00FD7157">
            <w:pPr>
              <w:spacing w:after="0" w:line="240" w:lineRule="auto"/>
            </w:pPr>
            <w:r>
              <w:rPr>
                <w:rFonts w:cs="Arial"/>
                <w:sz w:val="18"/>
              </w:rPr>
              <w:t>S4</w:t>
            </w:r>
          </w:p>
        </w:tc>
        <w:tc>
          <w:tcPr>
            <w:tcW w:w="3044" w:type="dxa"/>
          </w:tcPr>
          <w:p w:rsidR="004E4A3C" w:rsidRDefault="00FD7157">
            <w:pPr>
              <w:spacing w:after="0" w:line="240" w:lineRule="auto"/>
            </w:pPr>
            <w:r>
              <w:rPr>
                <w:rFonts w:cs="Arial"/>
                <w:sz w:val="18"/>
              </w:rPr>
              <w:t>finalni CadnaA / Building Evaluation folder i dostavljene karte Lden/Lnight</w:t>
            </w:r>
          </w:p>
        </w:tc>
        <w:tc>
          <w:tcPr>
            <w:tcW w:w="3689" w:type="dxa"/>
          </w:tcPr>
          <w:p w:rsidR="004E4A3C" w:rsidRDefault="00FD7157">
            <w:pPr>
              <w:spacing w:after="0" w:line="240" w:lineRule="auto"/>
            </w:pPr>
            <w:r>
              <w:rPr>
                <w:rFonts w:cs="Arial"/>
                <w:sz w:val="18"/>
              </w:rPr>
              <w:t>u AP se koristi kao ciljni kombinovani scenario; rezidualni objekti se izdvajaju za lokalnu provjeru</w:t>
            </w:r>
          </w:p>
        </w:tc>
        <w:tc>
          <w:tcPr>
            <w:tcW w:w="1543" w:type="dxa"/>
          </w:tcPr>
          <w:p w:rsidR="004E4A3C" w:rsidRDefault="00FD7157">
            <w:pPr>
              <w:spacing w:after="0" w:line="240" w:lineRule="auto"/>
            </w:pPr>
            <w:r>
              <w:rPr>
                <w:rFonts w:cs="Arial"/>
                <w:sz w:val="18"/>
              </w:rPr>
              <w:t>spremno za javnu raspravu</w:t>
            </w:r>
          </w:p>
        </w:tc>
      </w:tr>
      <w:tr w:rsidR="004E4A3C">
        <w:trPr>
          <w:cantSplit/>
          <w:jc w:val="center"/>
        </w:trPr>
        <w:tc>
          <w:tcPr>
            <w:tcW w:w="1417" w:type="dxa"/>
          </w:tcPr>
          <w:p w:rsidR="004E4A3C" w:rsidRDefault="00FD7157">
            <w:pPr>
              <w:spacing w:after="0" w:line="240" w:lineRule="auto"/>
            </w:pPr>
            <w:r>
              <w:rPr>
                <w:rFonts w:cs="Arial"/>
                <w:sz w:val="18"/>
              </w:rPr>
              <w:t>Dopunske lokalne mjere nakon S4</w:t>
            </w:r>
          </w:p>
        </w:tc>
        <w:tc>
          <w:tcPr>
            <w:tcW w:w="3044" w:type="dxa"/>
          </w:tcPr>
          <w:p w:rsidR="004E4A3C" w:rsidRDefault="00FD7157">
            <w:pPr>
              <w:spacing w:after="0" w:line="240" w:lineRule="auto"/>
            </w:pPr>
            <w:r>
              <w:rPr>
                <w:rFonts w:cs="Arial"/>
                <w:sz w:val="18"/>
              </w:rPr>
              <w:t>ne modeluju se kao poseban linijski scenario u AP</w:t>
            </w:r>
          </w:p>
        </w:tc>
        <w:tc>
          <w:tcPr>
            <w:tcW w:w="3689" w:type="dxa"/>
          </w:tcPr>
          <w:p w:rsidR="004E4A3C" w:rsidRDefault="00FD7157">
            <w:pPr>
              <w:spacing w:after="0" w:line="240" w:lineRule="auto"/>
            </w:pPr>
            <w:r>
              <w:rPr>
                <w:rFonts w:cs="Arial"/>
                <w:sz w:val="18"/>
              </w:rPr>
              <w:t>definišu se nakon S4, javnih komentara i terenske provjere prostora</w:t>
            </w:r>
          </w:p>
        </w:tc>
        <w:tc>
          <w:tcPr>
            <w:tcW w:w="1543" w:type="dxa"/>
          </w:tcPr>
          <w:p w:rsidR="004E4A3C" w:rsidRDefault="00FD7157">
            <w:pPr>
              <w:spacing w:after="0" w:line="240" w:lineRule="auto"/>
            </w:pPr>
            <w:r>
              <w:rPr>
                <w:rFonts w:cs="Arial"/>
                <w:sz w:val="18"/>
              </w:rPr>
              <w:t>rezervna lokalna mjera</w:t>
            </w:r>
          </w:p>
        </w:tc>
      </w:tr>
    </w:tbl>
    <w:p w:rsidR="004E4A3C" w:rsidRDefault="004E4A3C"/>
    <w:p w:rsidR="004E4A3C" w:rsidRDefault="00FD7157">
      <w:pPr>
        <w:jc w:val="both"/>
      </w:pPr>
      <w:r>
        <w:t xml:space="preserve">Sljedivost scenarijskih podataka znači da su za javnu </w:t>
      </w:r>
      <w:r>
        <w:t>raspravu poznati izvor podataka, scenarijska logika i način poređenja. Javna rasprava može dopuniti prioritete i lokalna ograničenja, ali ne mijenja činjenicu da se S0, S1, S3 i S4 razmatraju kao osnovni scenarijski set ovog Akcionog plana.</w:t>
      </w:r>
    </w:p>
    <w:p w:rsidR="004E4A3C" w:rsidRDefault="00FD7157">
      <w:pPr>
        <w:jc w:val="both"/>
      </w:pPr>
      <w:r>
        <w:t>Finalni scenari</w:t>
      </w:r>
      <w:r>
        <w:t>jski izlazi pokazuju da S4 ima najbolji ukupni efekat, naročito kod Lden i Lnight pokazatelja. S1 je najbrža i finansijski najpovoljnija mjera, dok S3 i S4 daju veći efekat, ali zavise od investicionog ciklusa na kolovozu. Tabela 21 služi za informativno z</w:t>
      </w:r>
      <w:r>
        <w:t>onsko poređenje efekata scenarija u istom preračunatom modelskom okviru. Tabela 22 prikazuje apsolutne pragove izloženosti, dok formalna tabela prekoračenja SKB iz poglavlja 4.7 ostaje polazna regulatorna osnova za S0.</w:t>
      </w:r>
    </w:p>
    <w:p w:rsidR="004E4A3C" w:rsidRDefault="00FD7157">
      <w:pPr>
        <w:pStyle w:val="Heading2"/>
        <w:jc w:val="both"/>
      </w:pPr>
      <w:bookmarkStart w:id="135" w:name="__RefHeading___Toc9249_4023479253"/>
      <w:bookmarkStart w:id="136" w:name="_Toc231671841"/>
      <w:bookmarkEnd w:id="135"/>
      <w:r>
        <w:rPr>
          <w:rFonts w:ascii="Arial" w:eastAsia="Arial" w:hAnsi="Arial"/>
          <w:b w:val="0"/>
        </w:rPr>
        <w:t>9.8. Kvalitativna ocjena varijanti</w:t>
      </w:r>
      <w:bookmarkEnd w:id="136"/>
    </w:p>
    <w:p w:rsidR="004E4A3C" w:rsidRDefault="00FD7157">
      <w:pPr>
        <w:jc w:val="both"/>
      </w:pPr>
      <w:r>
        <w:t>Pored brojčanog efekta, za izbor mjera važni su izvodljivost, troškovi, rokovi, prihvatljivost za korisnike puta i mogućnost faznog sprovođenja. Zbog toga se scenariji u nastavku ocjenjuju i kvalitativno, a ne samo prema promjeni broja izloženih stanovnika</w:t>
      </w:r>
      <w:r>
        <w:t>.</w:t>
      </w:r>
    </w:p>
    <w:p w:rsidR="004E4A3C" w:rsidRDefault="004E4A3C">
      <w:pPr>
        <w:keepNext/>
        <w:keepLines/>
        <w:spacing w:after="40"/>
        <w:rPr>
          <w:b/>
          <w:bCs/>
        </w:rPr>
      </w:pPr>
    </w:p>
    <w:p w:rsidR="004E4A3C" w:rsidRDefault="004E4A3C">
      <w:pPr>
        <w:keepNext/>
        <w:keepLines/>
        <w:spacing w:after="40"/>
        <w:rPr>
          <w:b/>
          <w:bCs/>
        </w:rPr>
      </w:pPr>
    </w:p>
    <w:p w:rsidR="004E4A3C" w:rsidRDefault="00FD7157">
      <w:pPr>
        <w:rPr>
          <w:b/>
          <w:bCs/>
        </w:rPr>
      </w:pPr>
      <w:r>
        <w:br w:type="page"/>
      </w:r>
    </w:p>
    <w:p w:rsidR="004E4A3C" w:rsidRDefault="00FD7157">
      <w:pPr>
        <w:keepNext/>
        <w:keepLines/>
        <w:spacing w:after="40"/>
        <w:rPr>
          <w:b/>
          <w:bCs/>
        </w:rPr>
      </w:pPr>
      <w:r>
        <w:rPr>
          <w:b/>
          <w:bCs/>
        </w:rPr>
        <w:lastRenderedPageBreak/>
        <w:t>Tabela 24. Kvalitativna ocjena varijanti</w:t>
      </w:r>
    </w:p>
    <w:tbl>
      <w:tblPr>
        <w:tblStyle w:val="TableGrid"/>
        <w:tblW w:w="9978" w:type="dxa"/>
        <w:jc w:val="center"/>
        <w:tblLayout w:type="fixed"/>
        <w:tblCellMar>
          <w:top w:w="60" w:type="dxa"/>
          <w:left w:w="60" w:type="dxa"/>
          <w:bottom w:w="60" w:type="dxa"/>
          <w:right w:w="60" w:type="dxa"/>
        </w:tblCellMar>
        <w:tblLook w:val="04A0" w:firstRow="1" w:lastRow="0" w:firstColumn="1" w:lastColumn="0" w:noHBand="0" w:noVBand="1"/>
      </w:tblPr>
      <w:tblGrid>
        <w:gridCol w:w="1634"/>
        <w:gridCol w:w="1316"/>
        <w:gridCol w:w="2464"/>
        <w:gridCol w:w="1350"/>
        <w:gridCol w:w="1529"/>
        <w:gridCol w:w="1685"/>
      </w:tblGrid>
      <w:tr w:rsidR="004E4A3C">
        <w:trPr>
          <w:cantSplit/>
          <w:tblHeader/>
          <w:jc w:val="center"/>
        </w:trPr>
        <w:tc>
          <w:tcPr>
            <w:tcW w:w="1633" w:type="dxa"/>
            <w:shd w:val="clear" w:color="auto" w:fill="D9EAF7"/>
          </w:tcPr>
          <w:p w:rsidR="004E4A3C" w:rsidRDefault="00FD7157">
            <w:pPr>
              <w:spacing w:after="0" w:line="240" w:lineRule="auto"/>
            </w:pPr>
            <w:r>
              <w:rPr>
                <w:rFonts w:cs="Arial"/>
                <w:b/>
                <w:sz w:val="18"/>
              </w:rPr>
              <w:t>Scenario / mjera</w:t>
            </w:r>
          </w:p>
        </w:tc>
        <w:tc>
          <w:tcPr>
            <w:tcW w:w="1316" w:type="dxa"/>
            <w:shd w:val="clear" w:color="auto" w:fill="D9EAF7"/>
          </w:tcPr>
          <w:p w:rsidR="004E4A3C" w:rsidRDefault="00FD7157">
            <w:pPr>
              <w:spacing w:after="0" w:line="240" w:lineRule="auto"/>
            </w:pPr>
            <w:r>
              <w:rPr>
                <w:rFonts w:cs="Arial"/>
                <w:b/>
                <w:sz w:val="18"/>
              </w:rPr>
              <w:t>Izvodljivost</w:t>
            </w:r>
          </w:p>
        </w:tc>
        <w:tc>
          <w:tcPr>
            <w:tcW w:w="2464" w:type="dxa"/>
            <w:shd w:val="clear" w:color="auto" w:fill="D9EAF7"/>
          </w:tcPr>
          <w:p w:rsidR="004E4A3C" w:rsidRDefault="00FD7157">
            <w:pPr>
              <w:spacing w:after="0" w:line="240" w:lineRule="auto"/>
            </w:pPr>
            <w:r>
              <w:rPr>
                <w:rFonts w:cs="Arial"/>
                <w:b/>
                <w:sz w:val="18"/>
              </w:rPr>
              <w:t>Trošak</w:t>
            </w:r>
          </w:p>
        </w:tc>
        <w:tc>
          <w:tcPr>
            <w:tcW w:w="1350" w:type="dxa"/>
            <w:shd w:val="clear" w:color="auto" w:fill="D9EAF7"/>
          </w:tcPr>
          <w:p w:rsidR="004E4A3C" w:rsidRDefault="00FD7157">
            <w:pPr>
              <w:spacing w:after="0" w:line="240" w:lineRule="auto"/>
            </w:pPr>
            <w:r>
              <w:rPr>
                <w:rFonts w:cs="Arial"/>
                <w:b/>
                <w:sz w:val="18"/>
              </w:rPr>
              <w:t>Vrijeme pripreme</w:t>
            </w:r>
          </w:p>
        </w:tc>
        <w:tc>
          <w:tcPr>
            <w:tcW w:w="1529" w:type="dxa"/>
            <w:shd w:val="clear" w:color="auto" w:fill="D9EAF7"/>
          </w:tcPr>
          <w:p w:rsidR="004E4A3C" w:rsidRDefault="00FD7157">
            <w:pPr>
              <w:spacing w:after="0" w:line="240" w:lineRule="auto"/>
            </w:pPr>
            <w:r>
              <w:rPr>
                <w:rFonts w:cs="Arial"/>
                <w:b/>
                <w:sz w:val="18"/>
              </w:rPr>
              <w:t>Očekivani efekat</w:t>
            </w:r>
          </w:p>
        </w:tc>
        <w:tc>
          <w:tcPr>
            <w:tcW w:w="1685" w:type="dxa"/>
            <w:shd w:val="clear" w:color="auto" w:fill="D9EAF7"/>
          </w:tcPr>
          <w:p w:rsidR="004E4A3C" w:rsidRDefault="00FD7157">
            <w:pPr>
              <w:spacing w:after="0" w:line="240" w:lineRule="auto"/>
            </w:pPr>
            <w:r>
              <w:rPr>
                <w:rFonts w:cs="Arial"/>
                <w:b/>
                <w:sz w:val="18"/>
              </w:rPr>
              <w:t>Ocjena</w:t>
            </w:r>
          </w:p>
        </w:tc>
      </w:tr>
      <w:tr w:rsidR="004E4A3C">
        <w:trPr>
          <w:cantSplit/>
          <w:jc w:val="center"/>
        </w:trPr>
        <w:tc>
          <w:tcPr>
            <w:tcW w:w="1633" w:type="dxa"/>
          </w:tcPr>
          <w:p w:rsidR="004E4A3C" w:rsidRDefault="00FD7157">
            <w:pPr>
              <w:spacing w:after="0" w:line="240" w:lineRule="auto"/>
            </w:pPr>
            <w:r>
              <w:rPr>
                <w:rFonts w:cs="Arial"/>
                <w:sz w:val="18"/>
              </w:rPr>
              <w:t>S0</w:t>
            </w:r>
          </w:p>
        </w:tc>
        <w:tc>
          <w:tcPr>
            <w:tcW w:w="1316" w:type="dxa"/>
          </w:tcPr>
          <w:p w:rsidR="004E4A3C" w:rsidRDefault="00FD7157">
            <w:pPr>
              <w:spacing w:after="0" w:line="240" w:lineRule="auto"/>
            </w:pPr>
            <w:r>
              <w:rPr>
                <w:rFonts w:cs="Arial"/>
                <w:sz w:val="18"/>
              </w:rPr>
              <w:t>polazno stanje iz SKB, bez novih mjera</w:t>
            </w:r>
          </w:p>
        </w:tc>
        <w:tc>
          <w:tcPr>
            <w:tcW w:w="2464" w:type="dxa"/>
          </w:tcPr>
          <w:p w:rsidR="004E4A3C" w:rsidRDefault="00FD7157">
            <w:pPr>
              <w:spacing w:after="0" w:line="240" w:lineRule="auto"/>
            </w:pPr>
            <w:r>
              <w:rPr>
                <w:rFonts w:cs="Arial"/>
                <w:sz w:val="18"/>
              </w:rPr>
              <w:t>nema budžetskog troška radova, ali ostaje društveni trošak buke</w:t>
            </w:r>
          </w:p>
        </w:tc>
        <w:tc>
          <w:tcPr>
            <w:tcW w:w="1350" w:type="dxa"/>
          </w:tcPr>
          <w:p w:rsidR="004E4A3C" w:rsidRDefault="00FD7157">
            <w:pPr>
              <w:spacing w:after="0" w:line="240" w:lineRule="auto"/>
            </w:pPr>
            <w:r>
              <w:rPr>
                <w:rFonts w:cs="Arial"/>
                <w:sz w:val="18"/>
              </w:rPr>
              <w:t>bez pripreme</w:t>
            </w:r>
          </w:p>
        </w:tc>
        <w:tc>
          <w:tcPr>
            <w:tcW w:w="1529" w:type="dxa"/>
          </w:tcPr>
          <w:p w:rsidR="004E4A3C" w:rsidRDefault="00FD7157">
            <w:pPr>
              <w:spacing w:after="0" w:line="240" w:lineRule="auto"/>
            </w:pPr>
            <w:r>
              <w:rPr>
                <w:rFonts w:cs="Arial"/>
                <w:sz w:val="18"/>
              </w:rPr>
              <w:t xml:space="preserve">nema </w:t>
            </w:r>
            <w:r>
              <w:rPr>
                <w:rFonts w:cs="Arial"/>
                <w:sz w:val="18"/>
              </w:rPr>
              <w:t>poboljšanja</w:t>
            </w:r>
          </w:p>
        </w:tc>
        <w:tc>
          <w:tcPr>
            <w:tcW w:w="1685" w:type="dxa"/>
          </w:tcPr>
          <w:p w:rsidR="004E4A3C" w:rsidRDefault="00FD7157">
            <w:pPr>
              <w:spacing w:after="0" w:line="240" w:lineRule="auto"/>
            </w:pPr>
            <w:r>
              <w:rPr>
                <w:rFonts w:cs="Arial"/>
                <w:sz w:val="18"/>
              </w:rPr>
              <w:t>referentno stanje, nije mjera</w:t>
            </w:r>
          </w:p>
        </w:tc>
      </w:tr>
      <w:tr w:rsidR="004E4A3C">
        <w:trPr>
          <w:cantSplit/>
          <w:jc w:val="center"/>
        </w:trPr>
        <w:tc>
          <w:tcPr>
            <w:tcW w:w="1633" w:type="dxa"/>
          </w:tcPr>
          <w:p w:rsidR="004E4A3C" w:rsidRDefault="00FD7157">
            <w:pPr>
              <w:spacing w:after="0" w:line="240" w:lineRule="auto"/>
            </w:pPr>
            <w:r>
              <w:rPr>
                <w:rFonts w:cs="Arial"/>
                <w:sz w:val="18"/>
              </w:rPr>
              <w:t>S1</w:t>
            </w:r>
          </w:p>
        </w:tc>
        <w:tc>
          <w:tcPr>
            <w:tcW w:w="1316" w:type="dxa"/>
          </w:tcPr>
          <w:p w:rsidR="004E4A3C" w:rsidRDefault="00FD7157">
            <w:pPr>
              <w:spacing w:after="0" w:line="240" w:lineRule="auto"/>
            </w:pPr>
            <w:r>
              <w:rPr>
                <w:rFonts w:cs="Arial"/>
                <w:sz w:val="18"/>
              </w:rPr>
              <w:t>visoka</w:t>
            </w:r>
          </w:p>
        </w:tc>
        <w:tc>
          <w:tcPr>
            <w:tcW w:w="2464" w:type="dxa"/>
          </w:tcPr>
          <w:p w:rsidR="004E4A3C" w:rsidRDefault="00FD7157">
            <w:pPr>
              <w:spacing w:after="0" w:line="240" w:lineRule="auto"/>
            </w:pPr>
            <w:r>
              <w:rPr>
                <w:rFonts w:cs="Arial"/>
                <w:sz w:val="18"/>
              </w:rPr>
              <w:t>nizak do umjeren</w:t>
            </w:r>
          </w:p>
        </w:tc>
        <w:tc>
          <w:tcPr>
            <w:tcW w:w="1350" w:type="dxa"/>
          </w:tcPr>
          <w:p w:rsidR="004E4A3C" w:rsidRDefault="00FD7157">
            <w:pPr>
              <w:spacing w:after="0" w:line="240" w:lineRule="auto"/>
            </w:pPr>
            <w:r>
              <w:rPr>
                <w:rFonts w:cs="Arial"/>
                <w:sz w:val="18"/>
              </w:rPr>
              <w:t>kratak</w:t>
            </w:r>
          </w:p>
        </w:tc>
        <w:tc>
          <w:tcPr>
            <w:tcW w:w="1529" w:type="dxa"/>
          </w:tcPr>
          <w:p w:rsidR="004E4A3C" w:rsidRDefault="00FD7157">
            <w:pPr>
              <w:spacing w:after="0" w:line="240" w:lineRule="auto"/>
            </w:pPr>
            <w:r>
              <w:rPr>
                <w:rFonts w:cs="Arial"/>
                <w:sz w:val="18"/>
              </w:rPr>
              <w:t>visok ako postoji kontrola</w:t>
            </w:r>
          </w:p>
        </w:tc>
        <w:tc>
          <w:tcPr>
            <w:tcW w:w="1685" w:type="dxa"/>
          </w:tcPr>
          <w:p w:rsidR="004E4A3C" w:rsidRDefault="00FD7157">
            <w:pPr>
              <w:spacing w:after="0" w:line="240" w:lineRule="auto"/>
            </w:pPr>
            <w:r>
              <w:rPr>
                <w:rFonts w:cs="Arial"/>
                <w:sz w:val="18"/>
              </w:rPr>
              <w:t>prioritet 1</w:t>
            </w:r>
          </w:p>
        </w:tc>
      </w:tr>
      <w:tr w:rsidR="004E4A3C">
        <w:trPr>
          <w:cantSplit/>
          <w:jc w:val="center"/>
        </w:trPr>
        <w:tc>
          <w:tcPr>
            <w:tcW w:w="1633" w:type="dxa"/>
          </w:tcPr>
          <w:p w:rsidR="004E4A3C" w:rsidRDefault="00FD7157">
            <w:pPr>
              <w:spacing w:after="0" w:line="240" w:lineRule="auto"/>
            </w:pPr>
            <w:r>
              <w:rPr>
                <w:rFonts w:cs="Arial"/>
                <w:sz w:val="18"/>
              </w:rPr>
              <w:t>S3</w:t>
            </w:r>
          </w:p>
        </w:tc>
        <w:tc>
          <w:tcPr>
            <w:tcW w:w="1316" w:type="dxa"/>
          </w:tcPr>
          <w:p w:rsidR="004E4A3C" w:rsidRDefault="00FD7157">
            <w:pPr>
              <w:spacing w:after="0" w:line="240" w:lineRule="auto"/>
            </w:pPr>
            <w:r>
              <w:rPr>
                <w:rFonts w:cs="Arial"/>
                <w:sz w:val="18"/>
              </w:rPr>
              <w:t>srednja</w:t>
            </w:r>
          </w:p>
        </w:tc>
        <w:tc>
          <w:tcPr>
            <w:tcW w:w="2464" w:type="dxa"/>
          </w:tcPr>
          <w:p w:rsidR="004E4A3C" w:rsidRDefault="00FD7157">
            <w:pPr>
              <w:spacing w:after="0" w:line="240" w:lineRule="auto"/>
            </w:pPr>
            <w:r>
              <w:rPr>
                <w:rFonts w:cs="Arial"/>
                <w:sz w:val="18"/>
              </w:rPr>
              <w:t>visok ako se radi samostalno; povoljniji ako se veže za obnovu</w:t>
            </w:r>
          </w:p>
        </w:tc>
        <w:tc>
          <w:tcPr>
            <w:tcW w:w="1350" w:type="dxa"/>
          </w:tcPr>
          <w:p w:rsidR="004E4A3C" w:rsidRDefault="00FD7157">
            <w:pPr>
              <w:spacing w:after="0" w:line="240" w:lineRule="auto"/>
            </w:pPr>
            <w:r>
              <w:rPr>
                <w:rFonts w:cs="Arial"/>
                <w:sz w:val="18"/>
              </w:rPr>
              <w:t>srednji</w:t>
            </w:r>
          </w:p>
        </w:tc>
        <w:tc>
          <w:tcPr>
            <w:tcW w:w="1529" w:type="dxa"/>
          </w:tcPr>
          <w:p w:rsidR="004E4A3C" w:rsidRDefault="00FD7157">
            <w:pPr>
              <w:spacing w:after="0" w:line="240" w:lineRule="auto"/>
            </w:pPr>
            <w:r>
              <w:rPr>
                <w:rFonts w:cs="Arial"/>
                <w:sz w:val="18"/>
              </w:rPr>
              <w:t>visok na izvoru buke</w:t>
            </w:r>
          </w:p>
        </w:tc>
        <w:tc>
          <w:tcPr>
            <w:tcW w:w="1685" w:type="dxa"/>
          </w:tcPr>
          <w:p w:rsidR="004E4A3C" w:rsidRDefault="00FD7157">
            <w:pPr>
              <w:spacing w:after="0" w:line="240" w:lineRule="auto"/>
            </w:pPr>
            <w:r>
              <w:rPr>
                <w:rFonts w:cs="Arial"/>
                <w:sz w:val="18"/>
              </w:rPr>
              <w:t>prioritet 2</w:t>
            </w:r>
          </w:p>
        </w:tc>
      </w:tr>
      <w:tr w:rsidR="004E4A3C">
        <w:trPr>
          <w:cantSplit/>
          <w:jc w:val="center"/>
        </w:trPr>
        <w:tc>
          <w:tcPr>
            <w:tcW w:w="1633" w:type="dxa"/>
          </w:tcPr>
          <w:p w:rsidR="004E4A3C" w:rsidRDefault="00FD7157">
            <w:pPr>
              <w:spacing w:after="0" w:line="240" w:lineRule="auto"/>
            </w:pPr>
            <w:r>
              <w:rPr>
                <w:rFonts w:cs="Arial"/>
                <w:sz w:val="18"/>
              </w:rPr>
              <w:t>S4</w:t>
            </w:r>
          </w:p>
        </w:tc>
        <w:tc>
          <w:tcPr>
            <w:tcW w:w="1316" w:type="dxa"/>
          </w:tcPr>
          <w:p w:rsidR="004E4A3C" w:rsidRDefault="00FD7157">
            <w:pPr>
              <w:spacing w:after="0" w:line="240" w:lineRule="auto"/>
            </w:pPr>
            <w:r>
              <w:rPr>
                <w:rFonts w:cs="Arial"/>
                <w:sz w:val="18"/>
              </w:rPr>
              <w:t>srednja</w:t>
            </w:r>
          </w:p>
        </w:tc>
        <w:tc>
          <w:tcPr>
            <w:tcW w:w="2464" w:type="dxa"/>
          </w:tcPr>
          <w:p w:rsidR="004E4A3C" w:rsidRDefault="00FD7157">
            <w:pPr>
              <w:spacing w:after="0" w:line="240" w:lineRule="auto"/>
            </w:pPr>
            <w:r>
              <w:rPr>
                <w:rFonts w:cs="Arial"/>
                <w:sz w:val="18"/>
              </w:rPr>
              <w:t xml:space="preserve">najviši </w:t>
            </w:r>
            <w:r>
              <w:rPr>
                <w:rFonts w:cs="Arial"/>
                <w:sz w:val="18"/>
              </w:rPr>
              <w:t>ukupni, ali fazno upravljiv</w:t>
            </w:r>
          </w:p>
        </w:tc>
        <w:tc>
          <w:tcPr>
            <w:tcW w:w="1350" w:type="dxa"/>
          </w:tcPr>
          <w:p w:rsidR="004E4A3C" w:rsidRDefault="00FD7157">
            <w:pPr>
              <w:spacing w:after="0" w:line="240" w:lineRule="auto"/>
            </w:pPr>
            <w:r>
              <w:rPr>
                <w:rFonts w:cs="Arial"/>
                <w:sz w:val="18"/>
              </w:rPr>
              <w:t>srednji</w:t>
            </w:r>
          </w:p>
        </w:tc>
        <w:tc>
          <w:tcPr>
            <w:tcW w:w="1529" w:type="dxa"/>
          </w:tcPr>
          <w:p w:rsidR="004E4A3C" w:rsidRDefault="00FD7157">
            <w:pPr>
              <w:spacing w:after="0" w:line="240" w:lineRule="auto"/>
            </w:pPr>
            <w:r>
              <w:rPr>
                <w:rFonts w:cs="Arial"/>
                <w:sz w:val="18"/>
              </w:rPr>
              <w:t>najbolji zbirni efekat</w:t>
            </w:r>
          </w:p>
        </w:tc>
        <w:tc>
          <w:tcPr>
            <w:tcW w:w="1685" w:type="dxa"/>
          </w:tcPr>
          <w:p w:rsidR="004E4A3C" w:rsidRDefault="00FD7157">
            <w:pPr>
              <w:spacing w:after="0" w:line="240" w:lineRule="auto"/>
            </w:pPr>
            <w:r>
              <w:rPr>
                <w:rFonts w:cs="Arial"/>
                <w:sz w:val="18"/>
              </w:rPr>
              <w:t>ciljni paket</w:t>
            </w:r>
          </w:p>
        </w:tc>
      </w:tr>
      <w:tr w:rsidR="004E4A3C">
        <w:trPr>
          <w:cantSplit/>
          <w:jc w:val="center"/>
        </w:trPr>
        <w:tc>
          <w:tcPr>
            <w:tcW w:w="1633" w:type="dxa"/>
            <w:tcMar>
              <w:top w:w="40" w:type="dxa"/>
              <w:left w:w="40" w:type="dxa"/>
              <w:bottom w:w="40" w:type="dxa"/>
              <w:right w:w="40" w:type="dxa"/>
            </w:tcMar>
          </w:tcPr>
          <w:p w:rsidR="004E4A3C" w:rsidRDefault="00FD7157">
            <w:pPr>
              <w:spacing w:after="0" w:line="240" w:lineRule="auto"/>
            </w:pPr>
            <w:r>
              <w:rPr>
                <w:rFonts w:cs="Arial"/>
                <w:sz w:val="18"/>
              </w:rPr>
              <w:t>Dopunske lokalne mjere nakon S4</w:t>
            </w:r>
          </w:p>
        </w:tc>
        <w:tc>
          <w:tcPr>
            <w:tcW w:w="1316" w:type="dxa"/>
            <w:tcMar>
              <w:top w:w="40" w:type="dxa"/>
              <w:left w:w="40" w:type="dxa"/>
              <w:bottom w:w="40" w:type="dxa"/>
              <w:right w:w="40" w:type="dxa"/>
            </w:tcMar>
          </w:tcPr>
          <w:p w:rsidR="004E4A3C" w:rsidRDefault="00FD7157">
            <w:pPr>
              <w:spacing w:after="0" w:line="240" w:lineRule="auto"/>
            </w:pPr>
            <w:r>
              <w:rPr>
                <w:rFonts w:cs="Arial"/>
                <w:sz w:val="18"/>
              </w:rPr>
              <w:t>lokalno promjenljiva</w:t>
            </w:r>
          </w:p>
        </w:tc>
        <w:tc>
          <w:tcPr>
            <w:tcW w:w="2464" w:type="dxa"/>
            <w:tcMar>
              <w:top w:w="40" w:type="dxa"/>
              <w:left w:w="40" w:type="dxa"/>
              <w:bottom w:w="40" w:type="dxa"/>
              <w:right w:w="40" w:type="dxa"/>
            </w:tcMar>
          </w:tcPr>
          <w:p w:rsidR="004E4A3C" w:rsidRDefault="00FD7157">
            <w:pPr>
              <w:spacing w:after="0" w:line="240" w:lineRule="auto"/>
            </w:pPr>
            <w:r>
              <w:rPr>
                <w:rFonts w:cs="Arial"/>
                <w:sz w:val="18"/>
              </w:rPr>
              <w:t>promjenljiv</w:t>
            </w:r>
          </w:p>
        </w:tc>
        <w:tc>
          <w:tcPr>
            <w:tcW w:w="1350" w:type="dxa"/>
            <w:tcMar>
              <w:top w:w="40" w:type="dxa"/>
              <w:left w:w="40" w:type="dxa"/>
              <w:bottom w:w="40" w:type="dxa"/>
              <w:right w:w="40" w:type="dxa"/>
            </w:tcMar>
          </w:tcPr>
          <w:p w:rsidR="004E4A3C" w:rsidRDefault="00FD7157">
            <w:pPr>
              <w:spacing w:after="0" w:line="240" w:lineRule="auto"/>
            </w:pPr>
            <w:r>
              <w:rPr>
                <w:rFonts w:cs="Arial"/>
                <w:sz w:val="18"/>
              </w:rPr>
              <w:t>nakon provjere</w:t>
            </w:r>
          </w:p>
        </w:tc>
        <w:tc>
          <w:tcPr>
            <w:tcW w:w="1529" w:type="dxa"/>
            <w:tcMar>
              <w:top w:w="40" w:type="dxa"/>
              <w:left w:w="40" w:type="dxa"/>
              <w:bottom w:w="40" w:type="dxa"/>
              <w:right w:w="40" w:type="dxa"/>
            </w:tcMar>
          </w:tcPr>
          <w:p w:rsidR="004E4A3C" w:rsidRDefault="00FD7157">
            <w:pPr>
              <w:spacing w:after="0" w:line="240" w:lineRule="auto"/>
            </w:pPr>
            <w:r>
              <w:rPr>
                <w:rFonts w:cs="Arial"/>
                <w:sz w:val="18"/>
              </w:rPr>
              <w:t>visok lokalno za mali broj objekata</w:t>
            </w:r>
          </w:p>
        </w:tc>
        <w:tc>
          <w:tcPr>
            <w:tcW w:w="1685" w:type="dxa"/>
            <w:tcMar>
              <w:top w:w="40" w:type="dxa"/>
              <w:left w:w="40" w:type="dxa"/>
              <w:bottom w:w="40" w:type="dxa"/>
              <w:right w:w="40" w:type="dxa"/>
            </w:tcMar>
          </w:tcPr>
          <w:p w:rsidR="004E4A3C" w:rsidRDefault="00FD7157">
            <w:pPr>
              <w:spacing w:after="0" w:line="240" w:lineRule="auto"/>
            </w:pPr>
            <w:r>
              <w:rPr>
                <w:rFonts w:cs="Arial"/>
                <w:sz w:val="18"/>
              </w:rPr>
              <w:t>rezidualno, nije osnovni scenario</w:t>
            </w:r>
          </w:p>
        </w:tc>
      </w:tr>
    </w:tbl>
    <w:p w:rsidR="004E4A3C" w:rsidRDefault="00FD7157">
      <w:pPr>
        <w:pStyle w:val="Heading2"/>
      </w:pPr>
      <w:bookmarkStart w:id="137" w:name="__RefHeading___Toc9251_4023479253"/>
      <w:bookmarkStart w:id="138" w:name="_Toc231671842"/>
      <w:bookmarkEnd w:id="137"/>
      <w:r>
        <w:rPr>
          <w:rFonts w:ascii="Arial" w:eastAsia="Arial" w:hAnsi="Arial"/>
          <w:b w:val="0"/>
        </w:rPr>
        <w:t>9.9. Izbor prioritetnih mjera</w:t>
      </w:r>
      <w:bookmarkEnd w:id="138"/>
    </w:p>
    <w:p w:rsidR="004E4A3C" w:rsidRDefault="00FD7157">
      <w:pPr>
        <w:jc w:val="both"/>
      </w:pPr>
      <w:r>
        <w:t>Izbor prioritetnih mjera zasniva se na objedinjavanju akustičkog efekta, troška, izvodljivosti i prihvatljivosti za korisnike prostora. U nastavku se izdvajaju mjere koje čine preporučeni program za sprovođenje.</w:t>
      </w:r>
    </w:p>
    <w:p w:rsidR="004E4A3C" w:rsidRDefault="00FD7157">
      <w:pPr>
        <w:jc w:val="both"/>
      </w:pPr>
      <w:r>
        <w:t>Prioritetni paket za javnu raspravu je fazan</w:t>
      </w:r>
      <w:r>
        <w:t>: prvo S1 i održavanje kolovoza, zatim S3 pri obnovi kolovoza, potom S4 kao kombinovani cilj. Dopunske lokalne mjere zadržavaju se kao dodatni lokalni instrument za preostale objekte nakon realizacije mjera na izvoru.</w:t>
      </w:r>
    </w:p>
    <w:p w:rsidR="004E4A3C" w:rsidRDefault="00FD7157">
      <w:pPr>
        <w:pStyle w:val="Heading1"/>
        <w:jc w:val="both"/>
      </w:pPr>
      <w:bookmarkStart w:id="139" w:name="__RefHeading___Toc9253_4023479253"/>
      <w:bookmarkStart w:id="140" w:name="_Toc231671843"/>
      <w:bookmarkEnd w:id="139"/>
      <w:r>
        <w:rPr>
          <w:rFonts w:ascii="Arial" w:eastAsia="Arial" w:hAnsi="Arial"/>
          <w:b w:val="0"/>
        </w:rPr>
        <w:t>10. Okvirna procjena troškova, faznost</w:t>
      </w:r>
      <w:r>
        <w:rPr>
          <w:rFonts w:ascii="Arial" w:eastAsia="Arial" w:hAnsi="Arial"/>
          <w:b w:val="0"/>
        </w:rPr>
        <w:t xml:space="preserve"> i izvori finansiranja</w:t>
      </w:r>
      <w:bookmarkEnd w:id="140"/>
    </w:p>
    <w:p w:rsidR="004E4A3C" w:rsidRDefault="004E4A3C">
      <w:pPr>
        <w:spacing w:after="0"/>
        <w:jc w:val="both"/>
      </w:pPr>
    </w:p>
    <w:p w:rsidR="004E4A3C" w:rsidRDefault="00FD7157">
      <w:pPr>
        <w:spacing w:after="0"/>
        <w:jc w:val="both"/>
      </w:pPr>
      <w:r>
        <w:t>Finansijski okvir prikazuje red veličine ulaganja potrebnih za sprovođenje mjera i pomaže da se mjere razvrstaju prema realnosti realizacije. Procjene troškova u ovoj fazi nijesu projektantski predmjer, već planska osnova za javnu r</w:t>
      </w:r>
      <w:r>
        <w:t>aspravu i pripremu odluka.</w:t>
      </w:r>
    </w:p>
    <w:p w:rsidR="004E4A3C" w:rsidRDefault="00FD7157">
      <w:pPr>
        <w:pStyle w:val="Heading2"/>
        <w:jc w:val="both"/>
      </w:pPr>
      <w:bookmarkStart w:id="141" w:name="__RefHeading___Toc9255_4023479253"/>
      <w:bookmarkStart w:id="142" w:name="_Toc231671844"/>
      <w:bookmarkEnd w:id="141"/>
      <w:r>
        <w:rPr>
          <w:rFonts w:ascii="Arial" w:eastAsia="Arial" w:hAnsi="Arial"/>
          <w:b w:val="0"/>
        </w:rPr>
        <w:t>10.1. Okvirna procjena troškova scenarija i mjera</w:t>
      </w:r>
      <w:bookmarkEnd w:id="142"/>
    </w:p>
    <w:p w:rsidR="004E4A3C" w:rsidRDefault="00FD7157">
      <w:pPr>
        <w:jc w:val="both"/>
      </w:pPr>
      <w:r>
        <w:t>Troškovi su prikazani indikativno, na nivou koji je primjeren akcionom planu i javnoj raspravi. U nastavku se razlikuju mjere koje se mogu sprovesti relativno brzo od mjera koje j</w:t>
      </w:r>
      <w:r>
        <w:t>e racionalno vezati za veće radove održavanja i obnovu kolovoza.</w:t>
      </w:r>
    </w:p>
    <w:p w:rsidR="004E4A3C" w:rsidRDefault="00FD7157">
      <w:pPr>
        <w:keepNext/>
        <w:keepLines/>
        <w:spacing w:after="40"/>
        <w:rPr>
          <w:b/>
          <w:bCs/>
        </w:rPr>
      </w:pPr>
      <w:r>
        <w:rPr>
          <w:b/>
          <w:bCs/>
        </w:rPr>
        <w:t>Tabela 25. Okvirna procjena troškova i faznost realizacije</w:t>
      </w:r>
    </w:p>
    <w:tbl>
      <w:tblPr>
        <w:tblStyle w:val="TableGrid"/>
        <w:tblW w:w="9751" w:type="dxa"/>
        <w:jc w:val="center"/>
        <w:tblLayout w:type="fixed"/>
        <w:tblCellMar>
          <w:top w:w="60" w:type="dxa"/>
          <w:left w:w="60" w:type="dxa"/>
          <w:bottom w:w="60" w:type="dxa"/>
          <w:right w:w="60" w:type="dxa"/>
        </w:tblCellMar>
        <w:tblLook w:val="04A0" w:firstRow="1" w:lastRow="0" w:firstColumn="1" w:lastColumn="0" w:noHBand="0" w:noVBand="1"/>
      </w:tblPr>
      <w:tblGrid>
        <w:gridCol w:w="1699"/>
        <w:gridCol w:w="2700"/>
        <w:gridCol w:w="1981"/>
        <w:gridCol w:w="1979"/>
        <w:gridCol w:w="1392"/>
      </w:tblGrid>
      <w:tr w:rsidR="004E4A3C">
        <w:trPr>
          <w:cantSplit/>
          <w:tblHeader/>
          <w:jc w:val="center"/>
        </w:trPr>
        <w:tc>
          <w:tcPr>
            <w:tcW w:w="1699" w:type="dxa"/>
            <w:shd w:val="clear" w:color="auto" w:fill="D9EAF7"/>
          </w:tcPr>
          <w:p w:rsidR="004E4A3C" w:rsidRDefault="00FD7157">
            <w:pPr>
              <w:spacing w:after="0" w:line="240" w:lineRule="auto"/>
              <w:jc w:val="center"/>
            </w:pPr>
            <w:r>
              <w:rPr>
                <w:rFonts w:cs="Arial"/>
                <w:b/>
                <w:color w:val="000000"/>
                <w:sz w:val="18"/>
                <w:szCs w:val="18"/>
              </w:rPr>
              <w:t>Mjera / scenario</w:t>
            </w:r>
          </w:p>
        </w:tc>
        <w:tc>
          <w:tcPr>
            <w:tcW w:w="2700" w:type="dxa"/>
            <w:shd w:val="clear" w:color="auto" w:fill="D9EAF7"/>
          </w:tcPr>
          <w:p w:rsidR="004E4A3C" w:rsidRDefault="00FD7157">
            <w:pPr>
              <w:spacing w:after="0" w:line="240" w:lineRule="auto"/>
              <w:jc w:val="center"/>
            </w:pPr>
            <w:r>
              <w:rPr>
                <w:rFonts w:cs="Arial"/>
                <w:b/>
                <w:color w:val="000000"/>
                <w:sz w:val="18"/>
                <w:szCs w:val="18"/>
              </w:rPr>
              <w:t>Elementi troška</w:t>
            </w:r>
          </w:p>
        </w:tc>
        <w:tc>
          <w:tcPr>
            <w:tcW w:w="1981" w:type="dxa"/>
            <w:shd w:val="clear" w:color="auto" w:fill="D9EAF7"/>
          </w:tcPr>
          <w:p w:rsidR="004E4A3C" w:rsidRDefault="00FD7157">
            <w:pPr>
              <w:spacing w:after="0" w:line="240" w:lineRule="auto"/>
              <w:jc w:val="center"/>
            </w:pPr>
            <w:r>
              <w:rPr>
                <w:rFonts w:cs="Arial"/>
                <w:b/>
                <w:color w:val="000000"/>
                <w:sz w:val="18"/>
                <w:szCs w:val="18"/>
              </w:rPr>
              <w:t>Modelovani obuhvat</w:t>
            </w:r>
          </w:p>
        </w:tc>
        <w:tc>
          <w:tcPr>
            <w:tcW w:w="1979" w:type="dxa"/>
            <w:shd w:val="clear" w:color="auto" w:fill="D9EAF7"/>
          </w:tcPr>
          <w:p w:rsidR="004E4A3C" w:rsidRDefault="00FD7157">
            <w:pPr>
              <w:spacing w:after="0" w:line="240" w:lineRule="auto"/>
              <w:jc w:val="center"/>
            </w:pPr>
            <w:r>
              <w:rPr>
                <w:rFonts w:cs="Arial"/>
                <w:b/>
                <w:color w:val="000000"/>
                <w:sz w:val="18"/>
                <w:szCs w:val="18"/>
              </w:rPr>
              <w:t>Indikativni trošak</w:t>
            </w:r>
          </w:p>
        </w:tc>
        <w:tc>
          <w:tcPr>
            <w:tcW w:w="1392" w:type="dxa"/>
            <w:shd w:val="clear" w:color="auto" w:fill="D9EAF7"/>
          </w:tcPr>
          <w:p w:rsidR="004E4A3C" w:rsidRDefault="00FD7157">
            <w:pPr>
              <w:spacing w:after="0" w:line="240" w:lineRule="auto"/>
              <w:jc w:val="center"/>
            </w:pPr>
            <w:r>
              <w:rPr>
                <w:rFonts w:cs="Arial"/>
                <w:b/>
                <w:color w:val="000000"/>
                <w:sz w:val="18"/>
                <w:szCs w:val="18"/>
              </w:rPr>
              <w:t>Faza</w:t>
            </w:r>
          </w:p>
        </w:tc>
      </w:tr>
      <w:tr w:rsidR="004E4A3C">
        <w:trPr>
          <w:cantSplit/>
          <w:jc w:val="center"/>
        </w:trPr>
        <w:tc>
          <w:tcPr>
            <w:tcW w:w="1699" w:type="dxa"/>
          </w:tcPr>
          <w:p w:rsidR="004E4A3C" w:rsidRDefault="00FD7157">
            <w:pPr>
              <w:spacing w:after="0" w:line="240" w:lineRule="auto"/>
            </w:pPr>
            <w:r>
              <w:rPr>
                <w:rFonts w:cs="Arial"/>
                <w:sz w:val="18"/>
                <w:szCs w:val="18"/>
              </w:rPr>
              <w:t>S1 - upravljanje brzinama</w:t>
            </w:r>
          </w:p>
        </w:tc>
        <w:tc>
          <w:tcPr>
            <w:tcW w:w="2700" w:type="dxa"/>
          </w:tcPr>
          <w:p w:rsidR="004E4A3C" w:rsidRDefault="00FD7157">
            <w:pPr>
              <w:spacing w:after="0" w:line="240" w:lineRule="auto"/>
            </w:pPr>
            <w:r>
              <w:rPr>
                <w:rFonts w:cs="Arial"/>
                <w:sz w:val="18"/>
                <w:szCs w:val="18"/>
              </w:rPr>
              <w:t xml:space="preserve">signalizacija, oznake, </w:t>
            </w:r>
            <w:r>
              <w:rPr>
                <w:rFonts w:cs="Arial"/>
                <w:sz w:val="18"/>
                <w:szCs w:val="18"/>
              </w:rPr>
              <w:t>kontrola i komunikacija</w:t>
            </w:r>
          </w:p>
        </w:tc>
        <w:tc>
          <w:tcPr>
            <w:tcW w:w="1981" w:type="dxa"/>
          </w:tcPr>
          <w:p w:rsidR="004E4A3C" w:rsidRDefault="00FD7157">
            <w:pPr>
              <w:spacing w:after="0" w:line="240" w:lineRule="auto"/>
            </w:pPr>
            <w:r>
              <w:rPr>
                <w:rFonts w:cs="Arial"/>
                <w:sz w:val="18"/>
                <w:szCs w:val="18"/>
              </w:rPr>
              <w:t>5,84 km režima brzina u modelu</w:t>
            </w:r>
          </w:p>
        </w:tc>
        <w:tc>
          <w:tcPr>
            <w:tcW w:w="1979" w:type="dxa"/>
          </w:tcPr>
          <w:p w:rsidR="004E4A3C" w:rsidRDefault="00FD7157">
            <w:pPr>
              <w:spacing w:after="0" w:line="240" w:lineRule="auto"/>
            </w:pPr>
            <w:r>
              <w:rPr>
                <w:rFonts w:cs="Arial"/>
                <w:sz w:val="18"/>
                <w:szCs w:val="18"/>
              </w:rPr>
              <w:t>30.000-90.000 EUR</w:t>
            </w:r>
          </w:p>
        </w:tc>
        <w:tc>
          <w:tcPr>
            <w:tcW w:w="1392" w:type="dxa"/>
          </w:tcPr>
          <w:p w:rsidR="004E4A3C" w:rsidRDefault="00FD7157">
            <w:pPr>
              <w:spacing w:after="0" w:line="240" w:lineRule="auto"/>
            </w:pPr>
            <w:r>
              <w:rPr>
                <w:rFonts w:cs="Arial"/>
                <w:sz w:val="18"/>
                <w:szCs w:val="18"/>
              </w:rPr>
              <w:t>kratkoročno</w:t>
            </w:r>
          </w:p>
        </w:tc>
      </w:tr>
      <w:tr w:rsidR="004E4A3C">
        <w:trPr>
          <w:cantSplit/>
          <w:jc w:val="center"/>
        </w:trPr>
        <w:tc>
          <w:tcPr>
            <w:tcW w:w="1699" w:type="dxa"/>
          </w:tcPr>
          <w:p w:rsidR="004E4A3C" w:rsidRDefault="00FD7157">
            <w:pPr>
              <w:spacing w:after="0" w:line="240" w:lineRule="auto"/>
            </w:pPr>
            <w:r>
              <w:rPr>
                <w:rFonts w:cs="Arial"/>
                <w:sz w:val="18"/>
                <w:szCs w:val="18"/>
              </w:rPr>
              <w:t>Održavanje kolovoza</w:t>
            </w:r>
          </w:p>
        </w:tc>
        <w:tc>
          <w:tcPr>
            <w:tcW w:w="2700" w:type="dxa"/>
          </w:tcPr>
          <w:p w:rsidR="004E4A3C" w:rsidRDefault="00FD7157">
            <w:pPr>
              <w:spacing w:after="0" w:line="240" w:lineRule="auto"/>
            </w:pPr>
            <w:r>
              <w:rPr>
                <w:rFonts w:cs="Arial"/>
                <w:sz w:val="18"/>
                <w:szCs w:val="18"/>
              </w:rPr>
              <w:t>sanacija oštećenja, ravnost, šahtovi i spojevi</w:t>
            </w:r>
          </w:p>
        </w:tc>
        <w:tc>
          <w:tcPr>
            <w:tcW w:w="1981" w:type="dxa"/>
          </w:tcPr>
          <w:p w:rsidR="004E4A3C" w:rsidRDefault="00FD7157">
            <w:pPr>
              <w:spacing w:after="0" w:line="240" w:lineRule="auto"/>
            </w:pPr>
            <w:r>
              <w:rPr>
                <w:rFonts w:cs="Arial"/>
                <w:sz w:val="18"/>
                <w:szCs w:val="18"/>
              </w:rPr>
              <w:t>tačkasto i linijski prema stanju kolovoza</w:t>
            </w:r>
          </w:p>
        </w:tc>
        <w:tc>
          <w:tcPr>
            <w:tcW w:w="1979" w:type="dxa"/>
          </w:tcPr>
          <w:p w:rsidR="004E4A3C" w:rsidRDefault="00FD7157">
            <w:pPr>
              <w:spacing w:after="0" w:line="240" w:lineRule="auto"/>
            </w:pPr>
            <w:r>
              <w:rPr>
                <w:rFonts w:cs="Arial"/>
                <w:sz w:val="18"/>
                <w:szCs w:val="18"/>
              </w:rPr>
              <w:t>u okviru redovnog održavanja</w:t>
            </w:r>
          </w:p>
        </w:tc>
        <w:tc>
          <w:tcPr>
            <w:tcW w:w="1392" w:type="dxa"/>
          </w:tcPr>
          <w:p w:rsidR="004E4A3C" w:rsidRDefault="00FD7157">
            <w:pPr>
              <w:spacing w:after="0" w:line="240" w:lineRule="auto"/>
            </w:pPr>
            <w:r>
              <w:rPr>
                <w:rFonts w:cs="Arial"/>
                <w:sz w:val="18"/>
                <w:szCs w:val="18"/>
              </w:rPr>
              <w:t>kontinuirano</w:t>
            </w:r>
          </w:p>
        </w:tc>
      </w:tr>
      <w:tr w:rsidR="004E4A3C">
        <w:trPr>
          <w:cantSplit/>
          <w:jc w:val="center"/>
        </w:trPr>
        <w:tc>
          <w:tcPr>
            <w:tcW w:w="1699" w:type="dxa"/>
          </w:tcPr>
          <w:p w:rsidR="004E4A3C" w:rsidRDefault="00FD7157">
            <w:pPr>
              <w:spacing w:after="0" w:line="240" w:lineRule="auto"/>
            </w:pPr>
            <w:r>
              <w:rPr>
                <w:rFonts w:cs="Arial"/>
                <w:sz w:val="18"/>
                <w:szCs w:val="18"/>
              </w:rPr>
              <w:t xml:space="preserve">S3 - tiši </w:t>
            </w:r>
            <w:r>
              <w:rPr>
                <w:rFonts w:cs="Arial"/>
                <w:sz w:val="18"/>
                <w:szCs w:val="18"/>
              </w:rPr>
              <w:t>kolovozni zastor</w:t>
            </w:r>
          </w:p>
        </w:tc>
        <w:tc>
          <w:tcPr>
            <w:tcW w:w="2700" w:type="dxa"/>
          </w:tcPr>
          <w:p w:rsidR="004E4A3C" w:rsidRDefault="00FD7157">
            <w:pPr>
              <w:spacing w:after="0" w:line="240" w:lineRule="auto"/>
            </w:pPr>
            <w:r>
              <w:rPr>
                <w:rFonts w:cs="Arial"/>
                <w:sz w:val="18"/>
                <w:szCs w:val="18"/>
              </w:rPr>
              <w:t>zamjena habajućeg sloja tišim zastorom</w:t>
            </w:r>
          </w:p>
        </w:tc>
        <w:tc>
          <w:tcPr>
            <w:tcW w:w="1981" w:type="dxa"/>
          </w:tcPr>
          <w:p w:rsidR="004E4A3C" w:rsidRDefault="00FD7157">
            <w:pPr>
              <w:spacing w:after="0" w:line="240" w:lineRule="auto"/>
            </w:pPr>
            <w:r>
              <w:rPr>
                <w:rFonts w:cs="Arial"/>
                <w:sz w:val="18"/>
                <w:szCs w:val="18"/>
              </w:rPr>
              <w:t>5,28 km u modelu</w:t>
            </w:r>
          </w:p>
        </w:tc>
        <w:tc>
          <w:tcPr>
            <w:tcW w:w="1979" w:type="dxa"/>
          </w:tcPr>
          <w:p w:rsidR="004E4A3C" w:rsidRDefault="00FD7157">
            <w:pPr>
              <w:spacing w:after="0" w:line="240" w:lineRule="auto"/>
            </w:pPr>
            <w:r>
              <w:rPr>
                <w:rFonts w:cs="Arial"/>
                <w:sz w:val="18"/>
                <w:szCs w:val="18"/>
              </w:rPr>
              <w:t>1.000.000-2.000.000 EUR</w:t>
            </w:r>
          </w:p>
        </w:tc>
        <w:tc>
          <w:tcPr>
            <w:tcW w:w="1392" w:type="dxa"/>
          </w:tcPr>
          <w:p w:rsidR="004E4A3C" w:rsidRDefault="00FD7157">
            <w:pPr>
              <w:spacing w:after="0" w:line="240" w:lineRule="auto"/>
            </w:pPr>
            <w:r>
              <w:rPr>
                <w:rFonts w:cs="Arial"/>
                <w:sz w:val="18"/>
                <w:szCs w:val="18"/>
              </w:rPr>
              <w:t>srednjoročno</w:t>
            </w:r>
          </w:p>
        </w:tc>
      </w:tr>
      <w:tr w:rsidR="004E4A3C">
        <w:trPr>
          <w:cantSplit/>
          <w:jc w:val="center"/>
        </w:trPr>
        <w:tc>
          <w:tcPr>
            <w:tcW w:w="1699" w:type="dxa"/>
          </w:tcPr>
          <w:p w:rsidR="004E4A3C" w:rsidRDefault="00FD7157">
            <w:pPr>
              <w:spacing w:after="0" w:line="240" w:lineRule="auto"/>
            </w:pPr>
            <w:r>
              <w:rPr>
                <w:rFonts w:cs="Arial"/>
                <w:sz w:val="18"/>
                <w:szCs w:val="18"/>
              </w:rPr>
              <w:t>S4 - kombinovani paket</w:t>
            </w:r>
          </w:p>
        </w:tc>
        <w:tc>
          <w:tcPr>
            <w:tcW w:w="2700" w:type="dxa"/>
          </w:tcPr>
          <w:p w:rsidR="004E4A3C" w:rsidRDefault="00FD7157">
            <w:pPr>
              <w:spacing w:after="0" w:line="240" w:lineRule="auto"/>
            </w:pPr>
            <w:r>
              <w:rPr>
                <w:rFonts w:cs="Arial"/>
                <w:sz w:val="18"/>
                <w:szCs w:val="18"/>
              </w:rPr>
              <w:t>S1 + S3, uz monitoring</w:t>
            </w:r>
          </w:p>
        </w:tc>
        <w:tc>
          <w:tcPr>
            <w:tcW w:w="1981" w:type="dxa"/>
          </w:tcPr>
          <w:p w:rsidR="004E4A3C" w:rsidRDefault="00FD7157">
            <w:pPr>
              <w:spacing w:after="0" w:line="240" w:lineRule="auto"/>
            </w:pPr>
            <w:r>
              <w:rPr>
                <w:rFonts w:cs="Arial"/>
                <w:sz w:val="18"/>
                <w:szCs w:val="18"/>
              </w:rPr>
              <w:t>5,84 km brzine + 5,28 km zastora</w:t>
            </w:r>
          </w:p>
        </w:tc>
        <w:tc>
          <w:tcPr>
            <w:tcW w:w="1979" w:type="dxa"/>
          </w:tcPr>
          <w:p w:rsidR="004E4A3C" w:rsidRDefault="00FD7157">
            <w:pPr>
              <w:spacing w:after="0" w:line="240" w:lineRule="auto"/>
            </w:pPr>
            <w:r>
              <w:rPr>
                <w:rFonts w:cs="Arial"/>
                <w:sz w:val="18"/>
                <w:szCs w:val="18"/>
              </w:rPr>
              <w:t>1.050.000-2.100.000 EUR</w:t>
            </w:r>
          </w:p>
        </w:tc>
        <w:tc>
          <w:tcPr>
            <w:tcW w:w="1392" w:type="dxa"/>
          </w:tcPr>
          <w:p w:rsidR="004E4A3C" w:rsidRDefault="00FD7157">
            <w:pPr>
              <w:spacing w:after="0" w:line="240" w:lineRule="auto"/>
            </w:pPr>
            <w:r>
              <w:rPr>
                <w:rFonts w:cs="Arial"/>
                <w:sz w:val="18"/>
                <w:szCs w:val="18"/>
              </w:rPr>
              <w:t>ciljni paket</w:t>
            </w:r>
          </w:p>
        </w:tc>
      </w:tr>
      <w:tr w:rsidR="004E4A3C">
        <w:trPr>
          <w:cantSplit/>
          <w:jc w:val="center"/>
        </w:trPr>
        <w:tc>
          <w:tcPr>
            <w:tcW w:w="1699" w:type="dxa"/>
          </w:tcPr>
          <w:p w:rsidR="004E4A3C" w:rsidRDefault="00FD7157">
            <w:pPr>
              <w:spacing w:after="0" w:line="240" w:lineRule="auto"/>
            </w:pPr>
            <w:r>
              <w:rPr>
                <w:rFonts w:cs="Arial"/>
                <w:sz w:val="18"/>
              </w:rPr>
              <w:t>Dopunske lokalne mjere nakon</w:t>
            </w:r>
            <w:r>
              <w:rPr>
                <w:rFonts w:cs="Arial"/>
                <w:sz w:val="18"/>
              </w:rPr>
              <w:t xml:space="preserve"> S4</w:t>
            </w:r>
          </w:p>
        </w:tc>
        <w:tc>
          <w:tcPr>
            <w:tcW w:w="2700" w:type="dxa"/>
          </w:tcPr>
          <w:p w:rsidR="004E4A3C" w:rsidRDefault="00FD7157">
            <w:pPr>
              <w:spacing w:after="0" w:line="240" w:lineRule="auto"/>
            </w:pPr>
            <w:r>
              <w:rPr>
                <w:rFonts w:cs="Arial"/>
                <w:sz w:val="18"/>
                <w:szCs w:val="18"/>
              </w:rPr>
              <w:t>lokalna provjera, eventualni kratki zaštitni elementi ili mjere na prijemniku</w:t>
            </w:r>
          </w:p>
        </w:tc>
        <w:tc>
          <w:tcPr>
            <w:tcW w:w="1981" w:type="dxa"/>
          </w:tcPr>
          <w:p w:rsidR="004E4A3C" w:rsidRDefault="00FD7157">
            <w:pPr>
              <w:spacing w:after="0" w:line="240" w:lineRule="auto"/>
            </w:pPr>
            <w:r>
              <w:rPr>
                <w:rFonts w:cs="Arial"/>
                <w:sz w:val="18"/>
                <w:szCs w:val="18"/>
              </w:rPr>
              <w:t>rezidualni objekti nakon S4</w:t>
            </w:r>
          </w:p>
        </w:tc>
        <w:tc>
          <w:tcPr>
            <w:tcW w:w="1979" w:type="dxa"/>
          </w:tcPr>
          <w:p w:rsidR="004E4A3C" w:rsidRDefault="00FD7157">
            <w:pPr>
              <w:spacing w:after="0" w:line="240" w:lineRule="auto"/>
            </w:pPr>
            <w:r>
              <w:rPr>
                <w:rFonts w:cs="Arial"/>
                <w:sz w:val="18"/>
                <w:szCs w:val="18"/>
              </w:rPr>
              <w:t>80.000-400.000 EUR</w:t>
            </w:r>
          </w:p>
        </w:tc>
        <w:tc>
          <w:tcPr>
            <w:tcW w:w="1392" w:type="dxa"/>
          </w:tcPr>
          <w:p w:rsidR="004E4A3C" w:rsidRDefault="00FD7157">
            <w:pPr>
              <w:spacing w:after="0" w:line="240" w:lineRule="auto"/>
            </w:pPr>
            <w:r>
              <w:rPr>
                <w:rFonts w:cs="Arial"/>
                <w:sz w:val="18"/>
                <w:szCs w:val="18"/>
              </w:rPr>
              <w:t>nakon provjere</w:t>
            </w:r>
          </w:p>
        </w:tc>
      </w:tr>
    </w:tbl>
    <w:p w:rsidR="004E4A3C" w:rsidRDefault="004E4A3C"/>
    <w:p w:rsidR="004E4A3C" w:rsidRDefault="00FD7157">
      <w:pPr>
        <w:jc w:val="both"/>
      </w:pPr>
      <w:r>
        <w:lastRenderedPageBreak/>
        <w:t xml:space="preserve">Troškovi su dati kao indikativni raspon za javnu raspravu i planiranje. Konačni iznosi zavise od projektne </w:t>
      </w:r>
      <w:r>
        <w:t>dokumentacije, stanja kolovoza, predmjera, jediničnih cijena, režima saobraćaja tokom radova i odluke da li se trošak kolovoza računa kao puni trošak ili samo dodatni trošak tišeg rješenja u okviru planirane obnove.</w:t>
      </w:r>
    </w:p>
    <w:p w:rsidR="004E4A3C" w:rsidRDefault="00FD7157">
      <w:pPr>
        <w:pStyle w:val="Heading2"/>
        <w:jc w:val="both"/>
      </w:pPr>
      <w:bookmarkStart w:id="143" w:name="__RefHeading___Toc9257_4023479253"/>
      <w:bookmarkStart w:id="144" w:name="_Toc231671845"/>
      <w:bookmarkEnd w:id="143"/>
      <w:r>
        <w:rPr>
          <w:rFonts w:ascii="Arial" w:eastAsia="Arial" w:hAnsi="Arial"/>
          <w:b w:val="0"/>
        </w:rPr>
        <w:t>10.2. Indikativna ocjena troškovne efika</w:t>
      </w:r>
      <w:r>
        <w:rPr>
          <w:rFonts w:ascii="Arial" w:eastAsia="Arial" w:hAnsi="Arial"/>
          <w:b w:val="0"/>
        </w:rPr>
        <w:t>snosti i odnosa ulaganja i koristi</w:t>
      </w:r>
      <w:bookmarkEnd w:id="144"/>
    </w:p>
    <w:p w:rsidR="004E4A3C" w:rsidRDefault="00FD7157">
      <w:pPr>
        <w:jc w:val="both"/>
      </w:pPr>
      <w:r>
        <w:t>Troškovna efikasnost se tumači u odnosu na broj stanovnika i objekata kod kojih se očekuje smanjenje izloženosti. Ovaj pristup ne zamjenjuje detaljnu ekonomsku analizu, ali omogućava transparentnije poređenje mjera u fazi</w:t>
      </w:r>
      <w:r>
        <w:t xml:space="preserve"> javne rasprave.</w:t>
      </w:r>
    </w:p>
    <w:p w:rsidR="004E4A3C" w:rsidRDefault="00FD7157">
      <w:pPr>
        <w:jc w:val="both"/>
      </w:pPr>
      <w:r>
        <w:t>S1 ima najbolji kratkoročni odnos troška i efekta jer zahtijeva relativno mali investicioni paket. S3 i S4 imaju veći akustički potencijal, ali ih je racionalno vezati za planirano održavanje kolovoza. Dopunske lokalne mjere imaju smisla s</w:t>
      </w:r>
      <w:r>
        <w:t>amo kada se identifikuje mali broj rezidualnih objekata za koje su lokalne mjere isplativije od novih linijskih intervencija.</w:t>
      </w:r>
    </w:p>
    <w:p w:rsidR="004E4A3C" w:rsidRDefault="00FD7157">
      <w:pPr>
        <w:pStyle w:val="Heading2"/>
      </w:pPr>
      <w:bookmarkStart w:id="145" w:name="__RefHeading___Toc9259_4023479253"/>
      <w:bookmarkStart w:id="146" w:name="_Toc231671846"/>
      <w:bookmarkEnd w:id="145"/>
      <w:r>
        <w:rPr>
          <w:rFonts w:ascii="Arial" w:eastAsia="Arial" w:hAnsi="Arial"/>
          <w:b w:val="0"/>
        </w:rPr>
        <w:t>10.3. Poređenje mjera na izvoru i mjera na prijemniku</w:t>
      </w:r>
      <w:bookmarkEnd w:id="146"/>
    </w:p>
    <w:p w:rsidR="004E4A3C" w:rsidRDefault="00FD7157">
      <w:pPr>
        <w:jc w:val="both"/>
      </w:pPr>
      <w:r>
        <w:t>Mjere na izvoru i mjere na prijemniku imaju različitu logiku primjene, trošk</w:t>
      </w:r>
      <w:r>
        <w:t>ove i dugoročne efekte. Njihovo poređenje pomaže da se izbjegne predlaganje skupih ili teško izvodljivih rješenja tamo gdje jednostavnije mjere mogu dati dovoljan efekat.</w:t>
      </w:r>
    </w:p>
    <w:p w:rsidR="004E4A3C" w:rsidRDefault="00FD7157">
      <w:pPr>
        <w:jc w:val="both"/>
      </w:pPr>
      <w:r>
        <w:t>Mjere na izvoru smanjuju buku za sve objekte u zoni uticaja i imaju širi društveni ef</w:t>
      </w:r>
      <w:r>
        <w:t>ekat. Mjere na prijemniku ne smanjuju buku na otvorenom prostoru, ali mogu biti racionalne za pojedinačne rezidualne objekte. Zato se u ovom AP mjere na prijemniku ne predlažu kao prva mjera, već kao dopunska mjera nakon provjere preostalih problema.</w:t>
      </w:r>
    </w:p>
    <w:p w:rsidR="004E4A3C" w:rsidRDefault="00FD7157">
      <w:pPr>
        <w:pStyle w:val="Heading2"/>
        <w:jc w:val="both"/>
      </w:pPr>
      <w:bookmarkStart w:id="147" w:name="__RefHeading___Toc9261_4023479253"/>
      <w:bookmarkStart w:id="148" w:name="_Toc231671847"/>
      <w:bookmarkEnd w:id="147"/>
      <w:r>
        <w:rPr>
          <w:rFonts w:ascii="Arial" w:eastAsia="Arial" w:hAnsi="Arial"/>
          <w:b w:val="0"/>
        </w:rPr>
        <w:t>10.4.</w:t>
      </w:r>
      <w:r>
        <w:rPr>
          <w:rFonts w:ascii="Arial" w:eastAsia="Arial" w:hAnsi="Arial"/>
          <w:b w:val="0"/>
        </w:rPr>
        <w:t xml:space="preserve"> Izvori finansiranja</w:t>
      </w:r>
      <w:bookmarkEnd w:id="148"/>
    </w:p>
    <w:p w:rsidR="004E4A3C" w:rsidRDefault="00FD7157">
      <w:pPr>
        <w:jc w:val="both"/>
      </w:pPr>
      <w:r>
        <w:t xml:space="preserve">Izbor izvora finansiranja zavisi od vrste mjere, nadležnosti i faze sprovođenja. U nastavku su navedeni mogući izvori koje treba kombinovati kako bi se kratkoročne mjere mogle pokrenuti odmah, a veće investicije planirati kroz redovne </w:t>
      </w:r>
      <w:r>
        <w:t>programe rada.</w:t>
      </w:r>
    </w:p>
    <w:p w:rsidR="004E4A3C" w:rsidRDefault="00FD7157">
      <w:pPr>
        <w:pStyle w:val="ListBullet"/>
        <w:jc w:val="both"/>
      </w:pPr>
      <w:r>
        <w:t>državni budžet i programi upravljanja i održavanja državnih/regionalnih puteva;</w:t>
      </w:r>
    </w:p>
    <w:p w:rsidR="004E4A3C" w:rsidRDefault="00FD7157">
      <w:pPr>
        <w:pStyle w:val="ListBullet"/>
        <w:jc w:val="both"/>
      </w:pPr>
      <w:r>
        <w:t>programi investicionog održavanja i rekonstrukcije kolovoza;</w:t>
      </w:r>
    </w:p>
    <w:p w:rsidR="004E4A3C" w:rsidRDefault="00FD7157">
      <w:pPr>
        <w:pStyle w:val="ListBullet"/>
        <w:jc w:val="both"/>
      </w:pPr>
      <w:r>
        <w:t>mogući EU i međunarodni izvori za mjere koje imaju jasnu zdravstvenu i ekološku korist;</w:t>
      </w:r>
    </w:p>
    <w:p w:rsidR="004E4A3C" w:rsidRDefault="00FD7157">
      <w:pPr>
        <w:pStyle w:val="ListBullet"/>
        <w:jc w:val="both"/>
      </w:pPr>
      <w:r>
        <w:t xml:space="preserve">lokalni </w:t>
      </w:r>
      <w:r>
        <w:t>doprinosi kroz planiranje, evidenciju pritužbi i koordinaciju sa javnošću.</w:t>
      </w:r>
    </w:p>
    <w:p w:rsidR="004E4A3C" w:rsidRDefault="00FD7157">
      <w:pPr>
        <w:pStyle w:val="Heading2"/>
        <w:jc w:val="both"/>
      </w:pPr>
      <w:bookmarkStart w:id="149" w:name="__RefHeading___Toc9263_4023479253"/>
      <w:bookmarkStart w:id="150" w:name="_Toc231671848"/>
      <w:bookmarkEnd w:id="149"/>
      <w:r>
        <w:rPr>
          <w:rFonts w:ascii="Arial" w:eastAsia="Arial" w:hAnsi="Arial"/>
          <w:b w:val="0"/>
        </w:rPr>
        <w:t>10.5. Okvirna zdravstveno-ekonomska i društvena procjena mjera</w:t>
      </w:r>
      <w:bookmarkEnd w:id="150"/>
    </w:p>
    <w:p w:rsidR="004E4A3C" w:rsidRDefault="00FD7157">
      <w:pPr>
        <w:spacing w:after="120"/>
        <w:jc w:val="both"/>
      </w:pPr>
      <w:r>
        <w:t xml:space="preserve">Ovo poglavlje dopunjava troškovni okvir prikazom društvene štete ako se mjere ne preduzimaju, metodologije procjene i </w:t>
      </w:r>
      <w:r>
        <w:t>indikativnog društvenog povrata ulaganja. Procjena je planska i služi za javnu raspravu: ne predstavlja medicinsku dijagnozu, dokaz pojedinačne štete niti osnov za naknadu, već pokazuje red veličine eksternih troškova buke i koristi od smanjenja izloženost</w:t>
      </w:r>
      <w:r>
        <w:t>i.</w:t>
      </w:r>
    </w:p>
    <w:p w:rsidR="004E4A3C" w:rsidRDefault="00FD7157">
      <w:pPr>
        <w:pStyle w:val="Heading3"/>
        <w:spacing w:after="120"/>
        <w:jc w:val="both"/>
      </w:pPr>
      <w:bookmarkStart w:id="151" w:name="__RefHeading___Toc9265_4023479253"/>
      <w:bookmarkStart w:id="152" w:name="_Toc231671849"/>
      <w:bookmarkEnd w:id="151"/>
      <w:r>
        <w:rPr>
          <w:rFonts w:ascii="Arial" w:eastAsia="Arial" w:hAnsi="Arial"/>
          <w:b w:val="0"/>
        </w:rPr>
        <w:t>10.5.1. Metodološki okvir i izvori za zdravstveno-ekonomsku procjenu</w:t>
      </w:r>
      <w:bookmarkEnd w:id="152"/>
    </w:p>
    <w:p w:rsidR="004E4A3C" w:rsidRDefault="00FD7157">
      <w:pPr>
        <w:spacing w:after="120"/>
        <w:jc w:val="both"/>
      </w:pPr>
      <w:r>
        <w:t>Buka drumskog saobraćaja posmatra se kao javnozdravstveni i društveno-ekonomski faktor rizika. Procjena se zasniva na S0 kao nultom stanju iz strateške karte buke, finalnim CadnaA / Bu</w:t>
      </w:r>
      <w:r>
        <w:t>ilding Evaluation scenarijima S1, S3 i S4 i evropskim metodološkim izvorima koji se koriste u akcionim planovima buke. Posebno se razdvajaju dva pogleda: konzervativna monetizacija eksternih troškova po Lden opsezima i indikativna zdravstveno-društvena pro</w:t>
      </w:r>
      <w:r>
        <w:t>cjena troška nepostupanja po broju izloženih stanovnika.</w:t>
      </w:r>
    </w:p>
    <w:p w:rsidR="004E4A3C" w:rsidRDefault="00FD7157">
      <w:pPr>
        <w:spacing w:after="120"/>
        <w:jc w:val="both"/>
      </w:pPr>
      <w:r>
        <w:t>Prvi pristup koristi jedinične vrijednosti eksternih troškova buke po dB, stanovniku i godini. Drugi pristup koristi planski raspon 0,005-0,015 izgubljenih zdravih godina života (DALY) po izloženom s</w:t>
      </w:r>
      <w:r>
        <w:t>tanovniku godišnje i vrijednost 50.000-100.000 EUR po jednoj izgubljenoj zdravoj godini života. Iz toga proizilazi indikativni raspon od 250 do 1.500 EUR po izloženom stanovniku godišnje. Rezultati se ne sabiraju između Lden i Lnight indikatora, jer isti s</w:t>
      </w:r>
      <w:r>
        <w:t>tanovnici mogu biti obuhvaćeni u više indikatora.</w:t>
      </w:r>
    </w:p>
    <w:p w:rsidR="004E4A3C" w:rsidRDefault="00FD7157">
      <w:pPr>
        <w:keepNext/>
        <w:keepLines/>
        <w:spacing w:after="40"/>
        <w:rPr>
          <w:b/>
          <w:bCs/>
        </w:rPr>
      </w:pPr>
      <w:r>
        <w:rPr>
          <w:b/>
          <w:bCs/>
        </w:rPr>
        <w:lastRenderedPageBreak/>
        <w:t>Tabela 26. Evropski normativi i metodološki izvori za zdravstveno-ekonomsku procjenu</w:t>
      </w:r>
    </w:p>
    <w:tbl>
      <w:tblPr>
        <w:tblStyle w:val="TableGrid"/>
        <w:tblW w:w="9865" w:type="dxa"/>
        <w:jc w:val="center"/>
        <w:tblLayout w:type="fixed"/>
        <w:tblCellMar>
          <w:top w:w="50" w:type="dxa"/>
          <w:left w:w="45" w:type="dxa"/>
          <w:bottom w:w="50" w:type="dxa"/>
          <w:right w:w="45" w:type="dxa"/>
        </w:tblCellMar>
        <w:tblLook w:val="04A0" w:firstRow="1" w:lastRow="0" w:firstColumn="1" w:lastColumn="0" w:noHBand="0" w:noVBand="1"/>
      </w:tblPr>
      <w:tblGrid>
        <w:gridCol w:w="1937"/>
        <w:gridCol w:w="3733"/>
        <w:gridCol w:w="4195"/>
      </w:tblGrid>
      <w:tr w:rsidR="004E4A3C">
        <w:trPr>
          <w:cantSplit/>
          <w:tblHeader/>
          <w:jc w:val="center"/>
        </w:trPr>
        <w:tc>
          <w:tcPr>
            <w:tcW w:w="1937" w:type="dxa"/>
            <w:shd w:val="clear" w:color="auto" w:fill="D9EAF7"/>
          </w:tcPr>
          <w:p w:rsidR="004E4A3C" w:rsidRDefault="00FD7157">
            <w:pPr>
              <w:spacing w:after="0" w:line="240" w:lineRule="auto"/>
              <w:jc w:val="center"/>
            </w:pPr>
            <w:r>
              <w:rPr>
                <w:rFonts w:cs="Arial"/>
                <w:b/>
                <w:sz w:val="18"/>
                <w:szCs w:val="18"/>
              </w:rPr>
              <w:t>Izvor / praksa</w:t>
            </w:r>
          </w:p>
        </w:tc>
        <w:tc>
          <w:tcPr>
            <w:tcW w:w="3733" w:type="dxa"/>
            <w:shd w:val="clear" w:color="auto" w:fill="D9EAF7"/>
          </w:tcPr>
          <w:p w:rsidR="004E4A3C" w:rsidRDefault="00FD7157">
            <w:pPr>
              <w:spacing w:after="0" w:line="240" w:lineRule="auto"/>
              <w:jc w:val="center"/>
            </w:pPr>
            <w:r>
              <w:rPr>
                <w:rFonts w:cs="Arial"/>
                <w:b/>
                <w:sz w:val="18"/>
                <w:szCs w:val="18"/>
              </w:rPr>
              <w:t>Relevantno za Akcioni plan</w:t>
            </w:r>
          </w:p>
        </w:tc>
        <w:tc>
          <w:tcPr>
            <w:tcW w:w="4195" w:type="dxa"/>
            <w:shd w:val="clear" w:color="auto" w:fill="D9EAF7"/>
          </w:tcPr>
          <w:p w:rsidR="004E4A3C" w:rsidRDefault="00FD7157">
            <w:pPr>
              <w:spacing w:after="0" w:line="240" w:lineRule="auto"/>
              <w:jc w:val="center"/>
            </w:pPr>
            <w:r>
              <w:rPr>
                <w:rFonts w:cs="Arial"/>
                <w:b/>
                <w:sz w:val="18"/>
                <w:szCs w:val="18"/>
              </w:rPr>
              <w:t>Primjena u ovom dokumentu</w:t>
            </w:r>
          </w:p>
        </w:tc>
      </w:tr>
      <w:tr w:rsidR="004E4A3C">
        <w:trPr>
          <w:cantSplit/>
          <w:jc w:val="center"/>
        </w:trPr>
        <w:tc>
          <w:tcPr>
            <w:tcW w:w="1937" w:type="dxa"/>
          </w:tcPr>
          <w:p w:rsidR="004E4A3C" w:rsidRDefault="00FD7157">
            <w:pPr>
              <w:spacing w:after="0" w:line="240" w:lineRule="auto"/>
            </w:pPr>
            <w:r>
              <w:rPr>
                <w:rFonts w:cs="Arial"/>
                <w:sz w:val="18"/>
                <w:szCs w:val="18"/>
              </w:rPr>
              <w:t>Direktiva 2002/49/EZ, Aneks V</w:t>
            </w:r>
          </w:p>
        </w:tc>
        <w:tc>
          <w:tcPr>
            <w:tcW w:w="3733" w:type="dxa"/>
          </w:tcPr>
          <w:p w:rsidR="004E4A3C" w:rsidRDefault="00FD7157">
            <w:pPr>
              <w:spacing w:after="0" w:line="240" w:lineRule="auto"/>
            </w:pPr>
            <w:r>
              <w:rPr>
                <w:rFonts w:cs="Arial"/>
                <w:sz w:val="18"/>
                <w:szCs w:val="18"/>
              </w:rPr>
              <w:t xml:space="preserve">Akcioni planovi, ako </w:t>
            </w:r>
            <w:r>
              <w:rPr>
                <w:rFonts w:cs="Arial"/>
                <w:sz w:val="18"/>
                <w:szCs w:val="18"/>
              </w:rPr>
              <w:t>su informacije dostupne, mogu sadržati budžete, procjenu troškovne efikasnosti i cost-benefit procjenu.</w:t>
            </w:r>
          </w:p>
        </w:tc>
        <w:tc>
          <w:tcPr>
            <w:tcW w:w="4195" w:type="dxa"/>
          </w:tcPr>
          <w:p w:rsidR="004E4A3C" w:rsidRDefault="00FD7157">
            <w:pPr>
              <w:spacing w:after="0" w:line="240" w:lineRule="auto"/>
            </w:pPr>
            <w:r>
              <w:rPr>
                <w:rFonts w:cs="Arial"/>
                <w:sz w:val="18"/>
                <w:szCs w:val="18"/>
              </w:rPr>
              <w:t>Opravdava uključivanje troškova, koristi, faznosti i javne rasprave u AP.</w:t>
            </w:r>
          </w:p>
        </w:tc>
      </w:tr>
      <w:tr w:rsidR="004E4A3C">
        <w:trPr>
          <w:cantSplit/>
          <w:jc w:val="center"/>
        </w:trPr>
        <w:tc>
          <w:tcPr>
            <w:tcW w:w="1937" w:type="dxa"/>
          </w:tcPr>
          <w:p w:rsidR="004E4A3C" w:rsidRDefault="00FD7157">
            <w:pPr>
              <w:spacing w:after="0" w:line="240" w:lineRule="auto"/>
            </w:pPr>
            <w:r>
              <w:rPr>
                <w:rFonts w:cs="Arial"/>
                <w:sz w:val="18"/>
                <w:szCs w:val="18"/>
              </w:rPr>
              <w:t>WHO smjernice za buku u životnoj sredini</w:t>
            </w:r>
          </w:p>
        </w:tc>
        <w:tc>
          <w:tcPr>
            <w:tcW w:w="3733" w:type="dxa"/>
          </w:tcPr>
          <w:p w:rsidR="004E4A3C" w:rsidRDefault="00FD7157">
            <w:pPr>
              <w:spacing w:after="0" w:line="240" w:lineRule="auto"/>
            </w:pPr>
            <w:r>
              <w:rPr>
                <w:rFonts w:cs="Arial"/>
                <w:sz w:val="18"/>
                <w:szCs w:val="18"/>
              </w:rPr>
              <w:t xml:space="preserve">Za drumski saobraćaj zdravstveno su </w:t>
            </w:r>
            <w:r>
              <w:rPr>
                <w:rFonts w:cs="Arial"/>
                <w:sz w:val="18"/>
                <w:szCs w:val="18"/>
              </w:rPr>
              <w:t>relevantni indikatori Lden i Lnight, posebno noćna buka i uticaj na san.</w:t>
            </w:r>
          </w:p>
        </w:tc>
        <w:tc>
          <w:tcPr>
            <w:tcW w:w="4195" w:type="dxa"/>
          </w:tcPr>
          <w:p w:rsidR="004E4A3C" w:rsidRDefault="00FD7157">
            <w:pPr>
              <w:spacing w:after="0" w:line="240" w:lineRule="auto"/>
            </w:pPr>
            <w:r>
              <w:rPr>
                <w:rFonts w:cs="Arial"/>
                <w:sz w:val="18"/>
                <w:szCs w:val="18"/>
              </w:rPr>
              <w:t>Naglašava značaj mjera koje smanjuju noćnu izloženost i izloženost najbližih objekata.</w:t>
            </w:r>
          </w:p>
        </w:tc>
      </w:tr>
      <w:tr w:rsidR="004E4A3C">
        <w:trPr>
          <w:cantSplit/>
          <w:jc w:val="center"/>
        </w:trPr>
        <w:tc>
          <w:tcPr>
            <w:tcW w:w="1937" w:type="dxa"/>
          </w:tcPr>
          <w:p w:rsidR="004E4A3C" w:rsidRDefault="00FD7157">
            <w:pPr>
              <w:spacing w:after="0" w:line="240" w:lineRule="auto"/>
            </w:pPr>
            <w:r>
              <w:rPr>
                <w:rFonts w:cs="Arial"/>
                <w:sz w:val="18"/>
                <w:szCs w:val="18"/>
              </w:rPr>
              <w:t>European Commission / DG MOVE - Handbook on external costs of transport</w:t>
            </w:r>
          </w:p>
        </w:tc>
        <w:tc>
          <w:tcPr>
            <w:tcW w:w="3733" w:type="dxa"/>
          </w:tcPr>
          <w:p w:rsidR="004E4A3C" w:rsidRDefault="00FD7157">
            <w:pPr>
              <w:spacing w:after="0" w:line="240" w:lineRule="auto"/>
            </w:pPr>
            <w:r>
              <w:rPr>
                <w:rFonts w:cs="Arial"/>
                <w:sz w:val="18"/>
                <w:szCs w:val="18"/>
              </w:rPr>
              <w:t>Daje metodologiju i jed</w:t>
            </w:r>
            <w:r>
              <w:rPr>
                <w:rFonts w:cs="Arial"/>
                <w:sz w:val="18"/>
                <w:szCs w:val="18"/>
              </w:rPr>
              <w:t>inične vrijednosti eksternih troškova buke po dB, stanovniku i godini.</w:t>
            </w:r>
          </w:p>
        </w:tc>
        <w:tc>
          <w:tcPr>
            <w:tcW w:w="4195" w:type="dxa"/>
          </w:tcPr>
          <w:p w:rsidR="004E4A3C" w:rsidRDefault="00FD7157">
            <w:pPr>
              <w:spacing w:after="0" w:line="240" w:lineRule="auto"/>
            </w:pPr>
            <w:r>
              <w:rPr>
                <w:rFonts w:cs="Arial"/>
                <w:sz w:val="18"/>
                <w:szCs w:val="18"/>
              </w:rPr>
              <w:t>Koristi se za indikativnu monetizaciju godišnjeg eksternog troška buke po Lden opsezima.</w:t>
            </w:r>
          </w:p>
        </w:tc>
      </w:tr>
      <w:tr w:rsidR="004E4A3C">
        <w:trPr>
          <w:cantSplit/>
          <w:jc w:val="center"/>
        </w:trPr>
        <w:tc>
          <w:tcPr>
            <w:tcW w:w="1937" w:type="dxa"/>
          </w:tcPr>
          <w:p w:rsidR="004E4A3C" w:rsidRDefault="00FD7157">
            <w:pPr>
              <w:spacing w:after="0" w:line="240" w:lineRule="auto"/>
            </w:pPr>
            <w:r>
              <w:rPr>
                <w:rFonts w:cs="Arial"/>
                <w:sz w:val="18"/>
                <w:szCs w:val="18"/>
              </w:rPr>
              <w:t>Eionet / EEA i ETC metodološki izvještaji</w:t>
            </w:r>
          </w:p>
        </w:tc>
        <w:tc>
          <w:tcPr>
            <w:tcW w:w="3733" w:type="dxa"/>
          </w:tcPr>
          <w:p w:rsidR="004E4A3C" w:rsidRDefault="00FD7157">
            <w:pPr>
              <w:spacing w:after="0" w:line="240" w:lineRule="auto"/>
            </w:pPr>
            <w:r>
              <w:rPr>
                <w:rFonts w:cs="Arial"/>
                <w:sz w:val="18"/>
                <w:szCs w:val="18"/>
              </w:rPr>
              <w:t>Buku tretiraju kao zdravstveni rizik i koriste DALY p</w:t>
            </w:r>
            <w:r>
              <w:rPr>
                <w:rFonts w:cs="Arial"/>
                <w:sz w:val="18"/>
                <w:szCs w:val="18"/>
              </w:rPr>
              <w:t>ristup za procjenu opterećenja zdravlja.</w:t>
            </w:r>
          </w:p>
        </w:tc>
        <w:tc>
          <w:tcPr>
            <w:tcW w:w="4195" w:type="dxa"/>
          </w:tcPr>
          <w:p w:rsidR="004E4A3C" w:rsidRDefault="00FD7157">
            <w:pPr>
              <w:spacing w:after="0" w:line="240" w:lineRule="auto"/>
            </w:pPr>
            <w:r>
              <w:rPr>
                <w:rFonts w:cs="Arial"/>
                <w:sz w:val="18"/>
                <w:szCs w:val="18"/>
              </w:rPr>
              <w:t>Koristi se za planski raspon troška nepreduzimanja mjera i procjenu društvenog povrata.</w:t>
            </w:r>
          </w:p>
        </w:tc>
      </w:tr>
      <w:tr w:rsidR="004E4A3C">
        <w:trPr>
          <w:cantSplit/>
          <w:jc w:val="center"/>
        </w:trPr>
        <w:tc>
          <w:tcPr>
            <w:tcW w:w="1937" w:type="dxa"/>
          </w:tcPr>
          <w:p w:rsidR="004E4A3C" w:rsidRDefault="00FD7157">
            <w:pPr>
              <w:spacing w:after="0" w:line="240" w:lineRule="auto"/>
            </w:pPr>
            <w:r>
              <w:rPr>
                <w:sz w:val="18"/>
              </w:rPr>
              <w:t>Dobra praksa akcionih planova zaštite od buke</w:t>
            </w:r>
          </w:p>
        </w:tc>
        <w:tc>
          <w:tcPr>
            <w:tcW w:w="3733" w:type="dxa"/>
          </w:tcPr>
          <w:p w:rsidR="004E4A3C" w:rsidRDefault="00FD7157">
            <w:pPr>
              <w:spacing w:after="0" w:line="240" w:lineRule="auto"/>
            </w:pPr>
            <w:r>
              <w:rPr>
                <w:sz w:val="18"/>
              </w:rPr>
              <w:t xml:space="preserve">Uporedivi planski dokumenti pokazuju značaj javno razumljivog prikaza troškova, </w:t>
            </w:r>
            <w:r>
              <w:rPr>
                <w:sz w:val="18"/>
              </w:rPr>
              <w:t>koristi, faznosti i praćenja efekata.</w:t>
            </w:r>
          </w:p>
        </w:tc>
        <w:tc>
          <w:tcPr>
            <w:tcW w:w="4195" w:type="dxa"/>
          </w:tcPr>
          <w:p w:rsidR="004E4A3C" w:rsidRDefault="00FD7157">
            <w:pPr>
              <w:spacing w:after="0" w:line="240" w:lineRule="auto"/>
            </w:pPr>
            <w:r>
              <w:rPr>
                <w:sz w:val="18"/>
              </w:rPr>
              <w:t>U ovom AP primjenjuje se isti opšti princip: mjere su prikazane kroz S0/S1/S3/S4, troškovni okvir, monitoring i javnu raspravu.</w:t>
            </w:r>
          </w:p>
        </w:tc>
      </w:tr>
    </w:tbl>
    <w:p w:rsidR="004E4A3C" w:rsidRDefault="004E4A3C">
      <w:pPr>
        <w:spacing w:after="120"/>
      </w:pPr>
    </w:p>
    <w:p w:rsidR="004E4A3C" w:rsidRDefault="00FD7157">
      <w:pPr>
        <w:spacing w:after="120"/>
        <w:jc w:val="both"/>
      </w:pPr>
      <w:r>
        <w:t xml:space="preserve">Za formalnu investicionu odluku potrebno je naknadno uraditi osjetljivost proračuna u </w:t>
      </w:r>
      <w:r>
        <w:t>odnosu na lokalne socioekonomske parametre, konačni predmjer radova, stvarni dodatni trošak tišeg kolovoza u odnosu na standardni asfalt i rezultate kontrolnih mjerenja nakon sprovođenja mjera.</w:t>
      </w:r>
    </w:p>
    <w:p w:rsidR="004E4A3C" w:rsidRDefault="00FD7157">
      <w:pPr>
        <w:pStyle w:val="Heading3"/>
        <w:spacing w:after="120"/>
        <w:jc w:val="both"/>
      </w:pPr>
      <w:bookmarkStart w:id="153" w:name="__RefHeading___Toc9267_4023479253"/>
      <w:bookmarkStart w:id="154" w:name="_Toc231671850"/>
      <w:bookmarkEnd w:id="153"/>
      <w:r>
        <w:rPr>
          <w:rFonts w:ascii="Arial" w:eastAsia="Arial" w:hAnsi="Arial"/>
          <w:b w:val="0"/>
        </w:rPr>
        <w:t>10.5.2. Indikativni eksterni troškovi buke i koristi smanjenja</w:t>
      </w:r>
      <w:r>
        <w:rPr>
          <w:rFonts w:ascii="Arial" w:eastAsia="Arial" w:hAnsi="Arial"/>
          <w:b w:val="0"/>
        </w:rPr>
        <w:t xml:space="preserve"> izloženosti</w:t>
      </w:r>
      <w:bookmarkEnd w:id="154"/>
    </w:p>
    <w:p w:rsidR="004E4A3C" w:rsidRDefault="00FD7157">
      <w:pPr>
        <w:spacing w:after="120"/>
        <w:jc w:val="both"/>
      </w:pPr>
      <w:r>
        <w:t xml:space="preserve">Konzervativni proračun eksternih troškova urađen je za Lden opsege iznad 55 dB(A), jer su to opsezi koji se mogu porediti između referentnog stanja i scenarija. Formula je: godišnji eksterni trošak = zbir po opsezima (broj stanovnika u opsegu </w:t>
      </w:r>
      <w:r>
        <w:t>x 5 dB x jedinična vrijednost EUR/dB/stanovnik/godina). Procjena ne monetizuje izloženost ispod 55 dB(A), pa se tumači kao donja planska granica štete.</w:t>
      </w:r>
    </w:p>
    <w:p w:rsidR="004E4A3C" w:rsidRDefault="00FD7157">
      <w:pPr>
        <w:keepNext/>
        <w:keepLines/>
        <w:spacing w:after="40"/>
        <w:rPr>
          <w:b/>
          <w:bCs/>
        </w:rPr>
      </w:pPr>
      <w:r>
        <w:rPr>
          <w:b/>
          <w:bCs/>
        </w:rPr>
        <w:t>Tabela 27. Jedinične vrijednosti eksternih troškova buke drumskog saobraćaja prema EU Handbook pristupu</w:t>
      </w:r>
    </w:p>
    <w:tbl>
      <w:tblPr>
        <w:tblStyle w:val="TableGrid"/>
        <w:tblW w:w="9865" w:type="dxa"/>
        <w:jc w:val="center"/>
        <w:tblLayout w:type="fixed"/>
        <w:tblCellMar>
          <w:top w:w="50" w:type="dxa"/>
          <w:left w:w="45" w:type="dxa"/>
          <w:bottom w:w="50" w:type="dxa"/>
          <w:right w:w="45" w:type="dxa"/>
        </w:tblCellMar>
        <w:tblLook w:val="04A0" w:firstRow="1" w:lastRow="0" w:firstColumn="1" w:lastColumn="0" w:noHBand="0" w:noVBand="1"/>
      </w:tblPr>
      <w:tblGrid>
        <w:gridCol w:w="1308"/>
        <w:gridCol w:w="2069"/>
        <w:gridCol w:w="2521"/>
        <w:gridCol w:w="3967"/>
      </w:tblGrid>
      <w:tr w:rsidR="004E4A3C">
        <w:trPr>
          <w:cantSplit/>
          <w:tblHeader/>
          <w:jc w:val="center"/>
        </w:trPr>
        <w:tc>
          <w:tcPr>
            <w:tcW w:w="1307" w:type="dxa"/>
            <w:shd w:val="clear" w:color="auto" w:fill="D9EAF7"/>
          </w:tcPr>
          <w:p w:rsidR="004E4A3C" w:rsidRDefault="00FD7157">
            <w:pPr>
              <w:spacing w:after="0" w:line="240" w:lineRule="auto"/>
              <w:jc w:val="center"/>
            </w:pPr>
            <w:r>
              <w:rPr>
                <w:rFonts w:cs="Arial"/>
                <w:b/>
                <w:sz w:val="18"/>
                <w:szCs w:val="18"/>
              </w:rPr>
              <w:t>Opseg Lden</w:t>
            </w:r>
          </w:p>
        </w:tc>
        <w:tc>
          <w:tcPr>
            <w:tcW w:w="2069" w:type="dxa"/>
            <w:shd w:val="clear" w:color="auto" w:fill="D9EAF7"/>
          </w:tcPr>
          <w:p w:rsidR="004E4A3C" w:rsidRDefault="00FD7157">
            <w:pPr>
              <w:spacing w:after="0" w:line="240" w:lineRule="auto"/>
              <w:jc w:val="center"/>
            </w:pPr>
            <w:r>
              <w:rPr>
                <w:rFonts w:cs="Arial"/>
                <w:b/>
                <w:sz w:val="18"/>
                <w:szCs w:val="18"/>
              </w:rPr>
              <w:t>Uznemirenost</w:t>
            </w:r>
          </w:p>
        </w:tc>
        <w:tc>
          <w:tcPr>
            <w:tcW w:w="2521" w:type="dxa"/>
            <w:shd w:val="clear" w:color="auto" w:fill="D9EAF7"/>
          </w:tcPr>
          <w:p w:rsidR="004E4A3C" w:rsidRDefault="00FD7157">
            <w:pPr>
              <w:spacing w:after="0" w:line="240" w:lineRule="auto"/>
              <w:jc w:val="center"/>
            </w:pPr>
            <w:r>
              <w:rPr>
                <w:rFonts w:cs="Arial"/>
                <w:b/>
                <w:sz w:val="18"/>
                <w:szCs w:val="18"/>
              </w:rPr>
              <w:t>Zdravstvena komponenta</w:t>
            </w:r>
          </w:p>
        </w:tc>
        <w:tc>
          <w:tcPr>
            <w:tcW w:w="3967" w:type="dxa"/>
            <w:shd w:val="clear" w:color="auto" w:fill="D9EAF7"/>
          </w:tcPr>
          <w:p w:rsidR="004E4A3C" w:rsidRDefault="00FD7157">
            <w:pPr>
              <w:spacing w:after="0" w:line="240" w:lineRule="auto"/>
              <w:jc w:val="center"/>
            </w:pPr>
            <w:r>
              <w:rPr>
                <w:rFonts w:cs="Arial"/>
                <w:b/>
                <w:sz w:val="18"/>
                <w:szCs w:val="18"/>
              </w:rPr>
              <w:t>Ukupno i način korišćenja</w:t>
            </w:r>
          </w:p>
        </w:tc>
      </w:tr>
      <w:tr w:rsidR="004E4A3C">
        <w:trPr>
          <w:cantSplit/>
          <w:jc w:val="center"/>
        </w:trPr>
        <w:tc>
          <w:tcPr>
            <w:tcW w:w="1307" w:type="dxa"/>
          </w:tcPr>
          <w:p w:rsidR="004E4A3C" w:rsidRDefault="00FD7157">
            <w:pPr>
              <w:spacing w:after="0" w:line="240" w:lineRule="auto"/>
            </w:pPr>
            <w:r>
              <w:rPr>
                <w:rFonts w:cs="Arial"/>
                <w:sz w:val="18"/>
                <w:szCs w:val="18"/>
              </w:rPr>
              <w:t>55-59 dB</w:t>
            </w:r>
          </w:p>
        </w:tc>
        <w:tc>
          <w:tcPr>
            <w:tcW w:w="2069" w:type="dxa"/>
          </w:tcPr>
          <w:p w:rsidR="004E4A3C" w:rsidRDefault="00FD7157">
            <w:pPr>
              <w:spacing w:after="0" w:line="240" w:lineRule="auto"/>
            </w:pPr>
            <w:r>
              <w:rPr>
                <w:rFonts w:cs="Arial"/>
                <w:sz w:val="18"/>
                <w:szCs w:val="18"/>
              </w:rPr>
              <w:t>28 EUR/dB/</w:t>
            </w:r>
            <w:proofErr w:type="gramStart"/>
            <w:r>
              <w:rPr>
                <w:rFonts w:cs="Arial"/>
                <w:sz w:val="18"/>
                <w:szCs w:val="18"/>
              </w:rPr>
              <w:t>stan./</w:t>
            </w:r>
            <w:proofErr w:type="gramEnd"/>
            <w:r>
              <w:rPr>
                <w:rFonts w:cs="Arial"/>
                <w:sz w:val="18"/>
                <w:szCs w:val="18"/>
              </w:rPr>
              <w:t>god.</w:t>
            </w:r>
          </w:p>
        </w:tc>
        <w:tc>
          <w:tcPr>
            <w:tcW w:w="2521" w:type="dxa"/>
          </w:tcPr>
          <w:p w:rsidR="004E4A3C" w:rsidRDefault="00FD7157">
            <w:pPr>
              <w:spacing w:after="0" w:line="240" w:lineRule="auto"/>
            </w:pPr>
            <w:r>
              <w:rPr>
                <w:rFonts w:cs="Arial"/>
                <w:sz w:val="18"/>
                <w:szCs w:val="18"/>
              </w:rPr>
              <w:t>3 EUR/dB/</w:t>
            </w:r>
            <w:proofErr w:type="gramStart"/>
            <w:r>
              <w:rPr>
                <w:rFonts w:cs="Arial"/>
                <w:sz w:val="18"/>
                <w:szCs w:val="18"/>
              </w:rPr>
              <w:t>stan./</w:t>
            </w:r>
            <w:proofErr w:type="gramEnd"/>
            <w:r>
              <w:rPr>
                <w:rFonts w:cs="Arial"/>
                <w:sz w:val="18"/>
                <w:szCs w:val="18"/>
              </w:rPr>
              <w:t>god.</w:t>
            </w:r>
          </w:p>
        </w:tc>
        <w:tc>
          <w:tcPr>
            <w:tcW w:w="3967" w:type="dxa"/>
          </w:tcPr>
          <w:p w:rsidR="004E4A3C" w:rsidRDefault="00FD7157">
            <w:pPr>
              <w:spacing w:after="0" w:line="240" w:lineRule="auto"/>
            </w:pPr>
            <w:r>
              <w:rPr>
                <w:rFonts w:cs="Arial"/>
                <w:sz w:val="18"/>
                <w:szCs w:val="18"/>
              </w:rPr>
              <w:t>31 EUR/dB/</w:t>
            </w:r>
            <w:proofErr w:type="gramStart"/>
            <w:r>
              <w:rPr>
                <w:rFonts w:cs="Arial"/>
                <w:sz w:val="18"/>
                <w:szCs w:val="18"/>
              </w:rPr>
              <w:t>stan./</w:t>
            </w:r>
            <w:proofErr w:type="gramEnd"/>
            <w:r>
              <w:rPr>
                <w:rFonts w:cs="Arial"/>
                <w:sz w:val="18"/>
                <w:szCs w:val="18"/>
              </w:rPr>
              <w:t>god.; N x 5 dB x 31 EUR</w:t>
            </w:r>
          </w:p>
        </w:tc>
      </w:tr>
      <w:tr w:rsidR="004E4A3C">
        <w:trPr>
          <w:cantSplit/>
          <w:jc w:val="center"/>
        </w:trPr>
        <w:tc>
          <w:tcPr>
            <w:tcW w:w="1307" w:type="dxa"/>
          </w:tcPr>
          <w:p w:rsidR="004E4A3C" w:rsidRDefault="00FD7157">
            <w:pPr>
              <w:spacing w:after="0" w:line="240" w:lineRule="auto"/>
            </w:pPr>
            <w:r>
              <w:rPr>
                <w:rFonts w:cs="Arial"/>
                <w:sz w:val="18"/>
                <w:szCs w:val="18"/>
              </w:rPr>
              <w:t>60-64 dB</w:t>
            </w:r>
          </w:p>
        </w:tc>
        <w:tc>
          <w:tcPr>
            <w:tcW w:w="2069" w:type="dxa"/>
          </w:tcPr>
          <w:p w:rsidR="004E4A3C" w:rsidRDefault="00FD7157">
            <w:pPr>
              <w:spacing w:after="0" w:line="240" w:lineRule="auto"/>
            </w:pPr>
            <w:r>
              <w:rPr>
                <w:rFonts w:cs="Arial"/>
                <w:sz w:val="18"/>
                <w:szCs w:val="18"/>
              </w:rPr>
              <w:t>28 EUR/dB/</w:t>
            </w:r>
            <w:proofErr w:type="gramStart"/>
            <w:r>
              <w:rPr>
                <w:rFonts w:cs="Arial"/>
                <w:sz w:val="18"/>
                <w:szCs w:val="18"/>
              </w:rPr>
              <w:t>stan./</w:t>
            </w:r>
            <w:proofErr w:type="gramEnd"/>
            <w:r>
              <w:rPr>
                <w:rFonts w:cs="Arial"/>
                <w:sz w:val="18"/>
                <w:szCs w:val="18"/>
              </w:rPr>
              <w:t>god.</w:t>
            </w:r>
          </w:p>
        </w:tc>
        <w:tc>
          <w:tcPr>
            <w:tcW w:w="2521" w:type="dxa"/>
          </w:tcPr>
          <w:p w:rsidR="004E4A3C" w:rsidRDefault="00FD7157">
            <w:pPr>
              <w:spacing w:after="0" w:line="240" w:lineRule="auto"/>
            </w:pPr>
            <w:r>
              <w:rPr>
                <w:rFonts w:cs="Arial"/>
                <w:sz w:val="18"/>
                <w:szCs w:val="18"/>
              </w:rPr>
              <w:t>6 EUR/dB/</w:t>
            </w:r>
            <w:proofErr w:type="gramStart"/>
            <w:r>
              <w:rPr>
                <w:rFonts w:cs="Arial"/>
                <w:sz w:val="18"/>
                <w:szCs w:val="18"/>
              </w:rPr>
              <w:t>stan./</w:t>
            </w:r>
            <w:proofErr w:type="gramEnd"/>
            <w:r>
              <w:rPr>
                <w:rFonts w:cs="Arial"/>
                <w:sz w:val="18"/>
                <w:szCs w:val="18"/>
              </w:rPr>
              <w:t>god.</w:t>
            </w:r>
          </w:p>
        </w:tc>
        <w:tc>
          <w:tcPr>
            <w:tcW w:w="3967" w:type="dxa"/>
          </w:tcPr>
          <w:p w:rsidR="004E4A3C" w:rsidRDefault="00FD7157">
            <w:pPr>
              <w:spacing w:after="0" w:line="240" w:lineRule="auto"/>
            </w:pPr>
            <w:r>
              <w:rPr>
                <w:rFonts w:cs="Arial"/>
                <w:sz w:val="18"/>
                <w:szCs w:val="18"/>
              </w:rPr>
              <w:t>34 EUR/dB/</w:t>
            </w:r>
            <w:proofErr w:type="gramStart"/>
            <w:r>
              <w:rPr>
                <w:rFonts w:cs="Arial"/>
                <w:sz w:val="18"/>
                <w:szCs w:val="18"/>
              </w:rPr>
              <w:t>stan./</w:t>
            </w:r>
            <w:proofErr w:type="gramEnd"/>
            <w:r>
              <w:rPr>
                <w:rFonts w:cs="Arial"/>
                <w:sz w:val="18"/>
                <w:szCs w:val="18"/>
              </w:rPr>
              <w:t>god.; N x 5 dB x 34 EUR</w:t>
            </w:r>
          </w:p>
        </w:tc>
      </w:tr>
      <w:tr w:rsidR="004E4A3C">
        <w:trPr>
          <w:cantSplit/>
          <w:jc w:val="center"/>
        </w:trPr>
        <w:tc>
          <w:tcPr>
            <w:tcW w:w="1307" w:type="dxa"/>
          </w:tcPr>
          <w:p w:rsidR="004E4A3C" w:rsidRDefault="00FD7157">
            <w:pPr>
              <w:spacing w:after="0" w:line="240" w:lineRule="auto"/>
            </w:pPr>
            <w:r>
              <w:rPr>
                <w:rFonts w:cs="Arial"/>
                <w:sz w:val="18"/>
                <w:szCs w:val="18"/>
              </w:rPr>
              <w:t>65-69 dB</w:t>
            </w:r>
          </w:p>
        </w:tc>
        <w:tc>
          <w:tcPr>
            <w:tcW w:w="2069" w:type="dxa"/>
          </w:tcPr>
          <w:p w:rsidR="004E4A3C" w:rsidRDefault="00FD7157">
            <w:pPr>
              <w:spacing w:after="0" w:line="240" w:lineRule="auto"/>
            </w:pPr>
            <w:r>
              <w:rPr>
                <w:rFonts w:cs="Arial"/>
                <w:sz w:val="18"/>
                <w:szCs w:val="18"/>
              </w:rPr>
              <w:t>54 EUR/dB/</w:t>
            </w:r>
            <w:proofErr w:type="gramStart"/>
            <w:r>
              <w:rPr>
                <w:rFonts w:cs="Arial"/>
                <w:sz w:val="18"/>
                <w:szCs w:val="18"/>
              </w:rPr>
              <w:t>stan./</w:t>
            </w:r>
            <w:proofErr w:type="gramEnd"/>
            <w:r>
              <w:rPr>
                <w:rFonts w:cs="Arial"/>
                <w:sz w:val="18"/>
                <w:szCs w:val="18"/>
              </w:rPr>
              <w:t>god.</w:t>
            </w:r>
          </w:p>
        </w:tc>
        <w:tc>
          <w:tcPr>
            <w:tcW w:w="2521" w:type="dxa"/>
          </w:tcPr>
          <w:p w:rsidR="004E4A3C" w:rsidRDefault="00FD7157">
            <w:pPr>
              <w:spacing w:after="0" w:line="240" w:lineRule="auto"/>
            </w:pPr>
            <w:r>
              <w:rPr>
                <w:rFonts w:cs="Arial"/>
                <w:sz w:val="18"/>
                <w:szCs w:val="18"/>
              </w:rPr>
              <w:t>9 EUR/dB/</w:t>
            </w:r>
            <w:proofErr w:type="gramStart"/>
            <w:r>
              <w:rPr>
                <w:rFonts w:cs="Arial"/>
                <w:sz w:val="18"/>
                <w:szCs w:val="18"/>
              </w:rPr>
              <w:t>stan./</w:t>
            </w:r>
            <w:proofErr w:type="gramEnd"/>
            <w:r>
              <w:rPr>
                <w:rFonts w:cs="Arial"/>
                <w:sz w:val="18"/>
                <w:szCs w:val="18"/>
              </w:rPr>
              <w:t>god.</w:t>
            </w:r>
          </w:p>
        </w:tc>
        <w:tc>
          <w:tcPr>
            <w:tcW w:w="3967" w:type="dxa"/>
          </w:tcPr>
          <w:p w:rsidR="004E4A3C" w:rsidRDefault="00FD7157">
            <w:pPr>
              <w:spacing w:after="0" w:line="240" w:lineRule="auto"/>
            </w:pPr>
            <w:r>
              <w:rPr>
                <w:rFonts w:cs="Arial"/>
                <w:sz w:val="18"/>
                <w:szCs w:val="18"/>
              </w:rPr>
              <w:t>63 EUR/dB/</w:t>
            </w:r>
            <w:proofErr w:type="gramStart"/>
            <w:r>
              <w:rPr>
                <w:rFonts w:cs="Arial"/>
                <w:sz w:val="18"/>
                <w:szCs w:val="18"/>
              </w:rPr>
              <w:t>stan./</w:t>
            </w:r>
            <w:proofErr w:type="gramEnd"/>
            <w:r>
              <w:rPr>
                <w:rFonts w:cs="Arial"/>
                <w:sz w:val="18"/>
                <w:szCs w:val="18"/>
              </w:rPr>
              <w:t>god.; N x 5 dB x 63 EUR</w:t>
            </w:r>
          </w:p>
        </w:tc>
      </w:tr>
      <w:tr w:rsidR="004E4A3C">
        <w:trPr>
          <w:cantSplit/>
          <w:jc w:val="center"/>
        </w:trPr>
        <w:tc>
          <w:tcPr>
            <w:tcW w:w="1307" w:type="dxa"/>
          </w:tcPr>
          <w:p w:rsidR="004E4A3C" w:rsidRDefault="00FD7157">
            <w:pPr>
              <w:spacing w:after="0" w:line="240" w:lineRule="auto"/>
            </w:pPr>
            <w:r>
              <w:rPr>
                <w:rFonts w:cs="Arial"/>
                <w:sz w:val="18"/>
                <w:szCs w:val="18"/>
              </w:rPr>
              <w:t>70-74 dB</w:t>
            </w:r>
          </w:p>
        </w:tc>
        <w:tc>
          <w:tcPr>
            <w:tcW w:w="2069" w:type="dxa"/>
          </w:tcPr>
          <w:p w:rsidR="004E4A3C" w:rsidRDefault="00FD7157">
            <w:pPr>
              <w:spacing w:after="0" w:line="240" w:lineRule="auto"/>
            </w:pPr>
            <w:r>
              <w:rPr>
                <w:rFonts w:cs="Arial"/>
                <w:sz w:val="18"/>
                <w:szCs w:val="18"/>
              </w:rPr>
              <w:t>54 EUR/dB/</w:t>
            </w:r>
            <w:proofErr w:type="gramStart"/>
            <w:r>
              <w:rPr>
                <w:rFonts w:cs="Arial"/>
                <w:sz w:val="18"/>
                <w:szCs w:val="18"/>
              </w:rPr>
              <w:t>stan./</w:t>
            </w:r>
            <w:proofErr w:type="gramEnd"/>
            <w:r>
              <w:rPr>
                <w:rFonts w:cs="Arial"/>
                <w:sz w:val="18"/>
                <w:szCs w:val="18"/>
              </w:rPr>
              <w:t>god.</w:t>
            </w:r>
          </w:p>
        </w:tc>
        <w:tc>
          <w:tcPr>
            <w:tcW w:w="2521" w:type="dxa"/>
          </w:tcPr>
          <w:p w:rsidR="004E4A3C" w:rsidRDefault="00FD7157">
            <w:pPr>
              <w:spacing w:after="0" w:line="240" w:lineRule="auto"/>
            </w:pPr>
            <w:r>
              <w:rPr>
                <w:rFonts w:cs="Arial"/>
                <w:sz w:val="18"/>
                <w:szCs w:val="18"/>
              </w:rPr>
              <w:t>13 EUR/dB/</w:t>
            </w:r>
            <w:proofErr w:type="gramStart"/>
            <w:r>
              <w:rPr>
                <w:rFonts w:cs="Arial"/>
                <w:sz w:val="18"/>
                <w:szCs w:val="18"/>
              </w:rPr>
              <w:t>stan./</w:t>
            </w:r>
            <w:proofErr w:type="gramEnd"/>
            <w:r>
              <w:rPr>
                <w:rFonts w:cs="Arial"/>
                <w:sz w:val="18"/>
                <w:szCs w:val="18"/>
              </w:rPr>
              <w:t>god.</w:t>
            </w:r>
          </w:p>
        </w:tc>
        <w:tc>
          <w:tcPr>
            <w:tcW w:w="3967" w:type="dxa"/>
          </w:tcPr>
          <w:p w:rsidR="004E4A3C" w:rsidRDefault="00FD7157">
            <w:pPr>
              <w:spacing w:after="0" w:line="240" w:lineRule="auto"/>
            </w:pPr>
            <w:r>
              <w:rPr>
                <w:rFonts w:cs="Arial"/>
                <w:sz w:val="18"/>
                <w:szCs w:val="18"/>
              </w:rPr>
              <w:t>67 EUR/dB/</w:t>
            </w:r>
            <w:proofErr w:type="gramStart"/>
            <w:r>
              <w:rPr>
                <w:rFonts w:cs="Arial"/>
                <w:sz w:val="18"/>
                <w:szCs w:val="18"/>
              </w:rPr>
              <w:t>stan./</w:t>
            </w:r>
            <w:proofErr w:type="gramEnd"/>
            <w:r>
              <w:rPr>
                <w:rFonts w:cs="Arial"/>
                <w:sz w:val="18"/>
                <w:szCs w:val="18"/>
              </w:rPr>
              <w:t>god.; N x 5 dB x 67 EUR</w:t>
            </w:r>
          </w:p>
        </w:tc>
      </w:tr>
      <w:tr w:rsidR="004E4A3C">
        <w:trPr>
          <w:cantSplit/>
          <w:jc w:val="center"/>
        </w:trPr>
        <w:tc>
          <w:tcPr>
            <w:tcW w:w="1307" w:type="dxa"/>
          </w:tcPr>
          <w:p w:rsidR="004E4A3C" w:rsidRDefault="00FD7157">
            <w:pPr>
              <w:spacing w:after="0" w:line="240" w:lineRule="auto"/>
            </w:pPr>
            <w:r>
              <w:rPr>
                <w:rFonts w:cs="Arial"/>
                <w:sz w:val="18"/>
                <w:szCs w:val="18"/>
              </w:rPr>
              <w:t>&gt;=75 dB</w:t>
            </w:r>
          </w:p>
        </w:tc>
        <w:tc>
          <w:tcPr>
            <w:tcW w:w="2069" w:type="dxa"/>
          </w:tcPr>
          <w:p w:rsidR="004E4A3C" w:rsidRDefault="00FD7157">
            <w:pPr>
              <w:spacing w:after="0" w:line="240" w:lineRule="auto"/>
            </w:pPr>
            <w:r>
              <w:rPr>
                <w:rFonts w:cs="Arial"/>
                <w:sz w:val="18"/>
                <w:szCs w:val="18"/>
              </w:rPr>
              <w:t>54 EUR/dB/</w:t>
            </w:r>
            <w:proofErr w:type="gramStart"/>
            <w:r>
              <w:rPr>
                <w:rFonts w:cs="Arial"/>
                <w:sz w:val="18"/>
                <w:szCs w:val="18"/>
              </w:rPr>
              <w:t>stan./</w:t>
            </w:r>
            <w:proofErr w:type="gramEnd"/>
            <w:r>
              <w:rPr>
                <w:rFonts w:cs="Arial"/>
                <w:sz w:val="18"/>
                <w:szCs w:val="18"/>
              </w:rPr>
              <w:t>god.</w:t>
            </w:r>
          </w:p>
        </w:tc>
        <w:tc>
          <w:tcPr>
            <w:tcW w:w="2521" w:type="dxa"/>
          </w:tcPr>
          <w:p w:rsidR="004E4A3C" w:rsidRDefault="00FD7157">
            <w:pPr>
              <w:spacing w:after="0" w:line="240" w:lineRule="auto"/>
            </w:pPr>
            <w:r>
              <w:rPr>
                <w:rFonts w:cs="Arial"/>
                <w:sz w:val="18"/>
                <w:szCs w:val="18"/>
              </w:rPr>
              <w:t>18 EUR/dB/</w:t>
            </w:r>
            <w:proofErr w:type="gramStart"/>
            <w:r>
              <w:rPr>
                <w:rFonts w:cs="Arial"/>
                <w:sz w:val="18"/>
                <w:szCs w:val="18"/>
              </w:rPr>
              <w:t>stan./</w:t>
            </w:r>
            <w:proofErr w:type="gramEnd"/>
            <w:r>
              <w:rPr>
                <w:rFonts w:cs="Arial"/>
                <w:sz w:val="18"/>
                <w:szCs w:val="18"/>
              </w:rPr>
              <w:t>god.</w:t>
            </w:r>
          </w:p>
        </w:tc>
        <w:tc>
          <w:tcPr>
            <w:tcW w:w="3967" w:type="dxa"/>
          </w:tcPr>
          <w:p w:rsidR="004E4A3C" w:rsidRDefault="00FD7157">
            <w:pPr>
              <w:spacing w:after="0" w:line="240" w:lineRule="auto"/>
            </w:pPr>
            <w:r>
              <w:rPr>
                <w:rFonts w:cs="Arial"/>
                <w:sz w:val="18"/>
                <w:szCs w:val="18"/>
              </w:rPr>
              <w:t>72 EUR/dB/</w:t>
            </w:r>
            <w:proofErr w:type="gramStart"/>
            <w:r>
              <w:rPr>
                <w:rFonts w:cs="Arial"/>
                <w:sz w:val="18"/>
                <w:szCs w:val="18"/>
              </w:rPr>
              <w:t>stan./</w:t>
            </w:r>
            <w:proofErr w:type="gramEnd"/>
            <w:r>
              <w:rPr>
                <w:rFonts w:cs="Arial"/>
                <w:sz w:val="18"/>
                <w:szCs w:val="18"/>
              </w:rPr>
              <w:t>god.; N</w:t>
            </w:r>
            <w:r>
              <w:rPr>
                <w:rFonts w:cs="Arial"/>
                <w:sz w:val="18"/>
                <w:szCs w:val="18"/>
              </w:rPr>
              <w:t xml:space="preserve"> x 5 dB x 72 EUR</w:t>
            </w:r>
          </w:p>
        </w:tc>
      </w:tr>
    </w:tbl>
    <w:p w:rsidR="004E4A3C" w:rsidRDefault="004E4A3C">
      <w:pPr>
        <w:spacing w:after="120"/>
        <w:jc w:val="both"/>
      </w:pPr>
    </w:p>
    <w:p w:rsidR="004E4A3C" w:rsidRDefault="00FD7157">
      <w:pPr>
        <w:spacing w:after="120"/>
        <w:jc w:val="both"/>
      </w:pPr>
      <w:r>
        <w:t>Vrijednosti su evropski orijentir i ne predstavljaju nacionalni crnogorski normativ. Zbog toga se rezultati koriste za poređenje scenarija i javno odlučivanje, a ne kao direktna budžetska ušteda upravljača puta.</w:t>
      </w:r>
    </w:p>
    <w:p w:rsidR="004E4A3C" w:rsidRDefault="00FD7157">
      <w:pPr>
        <w:keepNext/>
        <w:keepLines/>
        <w:spacing w:after="40"/>
        <w:rPr>
          <w:b/>
          <w:bCs/>
        </w:rPr>
      </w:pPr>
      <w:r>
        <w:rPr>
          <w:b/>
          <w:bCs/>
        </w:rPr>
        <w:t>Tabela 28. Indikativni go</w:t>
      </w:r>
      <w:r>
        <w:rPr>
          <w:b/>
          <w:bCs/>
        </w:rPr>
        <w:t>dišnji eksterni troškovi buke i koristi scenarija</w:t>
      </w:r>
    </w:p>
    <w:tbl>
      <w:tblPr>
        <w:tblStyle w:val="TableGrid"/>
        <w:tblW w:w="10035" w:type="dxa"/>
        <w:jc w:val="center"/>
        <w:tblLayout w:type="fixed"/>
        <w:tblCellMar>
          <w:top w:w="50" w:type="dxa"/>
          <w:left w:w="45" w:type="dxa"/>
          <w:bottom w:w="50" w:type="dxa"/>
          <w:right w:w="45" w:type="dxa"/>
        </w:tblCellMar>
        <w:tblLook w:val="04A0" w:firstRow="1" w:lastRow="0" w:firstColumn="1" w:lastColumn="0" w:noHBand="0" w:noVBand="1"/>
      </w:tblPr>
      <w:tblGrid>
        <w:gridCol w:w="851"/>
        <w:gridCol w:w="3150"/>
        <w:gridCol w:w="2431"/>
        <w:gridCol w:w="1980"/>
        <w:gridCol w:w="1623"/>
      </w:tblGrid>
      <w:tr w:rsidR="004E4A3C">
        <w:trPr>
          <w:cantSplit/>
          <w:tblHeader/>
          <w:jc w:val="center"/>
        </w:trPr>
        <w:tc>
          <w:tcPr>
            <w:tcW w:w="851" w:type="dxa"/>
            <w:shd w:val="clear" w:color="auto" w:fill="D9EAF7"/>
          </w:tcPr>
          <w:p w:rsidR="004E4A3C" w:rsidRDefault="00FD7157">
            <w:pPr>
              <w:spacing w:after="0" w:line="240" w:lineRule="auto"/>
              <w:jc w:val="center"/>
            </w:pPr>
            <w:r>
              <w:rPr>
                <w:rFonts w:cs="Arial"/>
                <w:b/>
                <w:sz w:val="18"/>
                <w:szCs w:val="18"/>
              </w:rPr>
              <w:t>Scenario</w:t>
            </w:r>
          </w:p>
        </w:tc>
        <w:tc>
          <w:tcPr>
            <w:tcW w:w="3150" w:type="dxa"/>
            <w:shd w:val="clear" w:color="auto" w:fill="D9EAF7"/>
          </w:tcPr>
          <w:p w:rsidR="004E4A3C" w:rsidRDefault="00FD7157">
            <w:pPr>
              <w:spacing w:after="0" w:line="240" w:lineRule="auto"/>
              <w:jc w:val="center"/>
            </w:pPr>
            <w:r>
              <w:rPr>
                <w:rFonts w:cs="Arial"/>
                <w:b/>
                <w:sz w:val="18"/>
                <w:szCs w:val="18"/>
              </w:rPr>
              <w:t>Lden opsezi &gt;55 dB(A)</w:t>
            </w:r>
          </w:p>
        </w:tc>
        <w:tc>
          <w:tcPr>
            <w:tcW w:w="2431" w:type="dxa"/>
            <w:shd w:val="clear" w:color="auto" w:fill="D9EAF7"/>
          </w:tcPr>
          <w:p w:rsidR="004E4A3C" w:rsidRDefault="00FD7157">
            <w:pPr>
              <w:spacing w:after="0" w:line="240" w:lineRule="auto"/>
              <w:jc w:val="center"/>
            </w:pPr>
            <w:r>
              <w:rPr>
                <w:rFonts w:cs="Arial"/>
                <w:b/>
                <w:sz w:val="18"/>
                <w:szCs w:val="18"/>
              </w:rPr>
              <w:t>Eksterni trošak/god.</w:t>
            </w:r>
          </w:p>
        </w:tc>
        <w:tc>
          <w:tcPr>
            <w:tcW w:w="1980" w:type="dxa"/>
            <w:shd w:val="clear" w:color="auto" w:fill="D9EAF7"/>
          </w:tcPr>
          <w:p w:rsidR="004E4A3C" w:rsidRDefault="00FD7157">
            <w:pPr>
              <w:spacing w:after="0" w:line="240" w:lineRule="auto"/>
              <w:jc w:val="center"/>
            </w:pPr>
            <w:r>
              <w:rPr>
                <w:rFonts w:cs="Arial"/>
                <w:b/>
                <w:sz w:val="18"/>
                <w:szCs w:val="18"/>
              </w:rPr>
              <w:t>Korist/god. prema S0</w:t>
            </w:r>
          </w:p>
        </w:tc>
        <w:tc>
          <w:tcPr>
            <w:tcW w:w="1623" w:type="dxa"/>
            <w:shd w:val="clear" w:color="auto" w:fill="D9EAF7"/>
          </w:tcPr>
          <w:p w:rsidR="004E4A3C" w:rsidRDefault="00FD7157">
            <w:pPr>
              <w:spacing w:after="0" w:line="240" w:lineRule="auto"/>
              <w:jc w:val="center"/>
            </w:pPr>
            <w:r>
              <w:rPr>
                <w:rFonts w:cs="Arial"/>
                <w:b/>
                <w:sz w:val="18"/>
                <w:szCs w:val="18"/>
              </w:rPr>
              <w:t>Korist 20 god.</w:t>
            </w:r>
          </w:p>
        </w:tc>
      </w:tr>
      <w:tr w:rsidR="004E4A3C">
        <w:trPr>
          <w:cantSplit/>
          <w:jc w:val="center"/>
        </w:trPr>
        <w:tc>
          <w:tcPr>
            <w:tcW w:w="851" w:type="dxa"/>
          </w:tcPr>
          <w:p w:rsidR="004E4A3C" w:rsidRDefault="00FD7157">
            <w:pPr>
              <w:spacing w:after="0" w:line="240" w:lineRule="auto"/>
              <w:jc w:val="center"/>
            </w:pPr>
            <w:r>
              <w:rPr>
                <w:rFonts w:cs="Arial"/>
                <w:sz w:val="18"/>
              </w:rPr>
              <w:t>S0</w:t>
            </w:r>
          </w:p>
        </w:tc>
        <w:tc>
          <w:tcPr>
            <w:tcW w:w="3150" w:type="dxa"/>
          </w:tcPr>
          <w:p w:rsidR="004E4A3C" w:rsidRDefault="00FD7157">
            <w:pPr>
              <w:spacing w:after="0" w:line="240" w:lineRule="auto"/>
            </w:pPr>
            <w:r>
              <w:rPr>
                <w:rFonts w:cs="Arial"/>
                <w:sz w:val="18"/>
                <w:szCs w:val="18"/>
              </w:rPr>
              <w:t>55-59: 268,0;</w:t>
            </w:r>
            <w:r>
              <w:rPr>
                <w:rFonts w:cs="Arial"/>
                <w:sz w:val="18"/>
                <w:szCs w:val="18"/>
              </w:rPr>
              <w:br/>
              <w:t>60-64: 245,0;</w:t>
            </w:r>
            <w:r>
              <w:rPr>
                <w:rFonts w:cs="Arial"/>
                <w:sz w:val="18"/>
                <w:szCs w:val="18"/>
              </w:rPr>
              <w:br/>
              <w:t>65-69: 61,0;</w:t>
            </w:r>
            <w:r>
              <w:rPr>
                <w:rFonts w:cs="Arial"/>
                <w:sz w:val="18"/>
                <w:szCs w:val="18"/>
              </w:rPr>
              <w:br/>
              <w:t>70-74: 2,0</w:t>
            </w:r>
          </w:p>
        </w:tc>
        <w:tc>
          <w:tcPr>
            <w:tcW w:w="2431" w:type="dxa"/>
          </w:tcPr>
          <w:p w:rsidR="004E4A3C" w:rsidRDefault="00FD7157">
            <w:pPr>
              <w:spacing w:after="0" w:line="240" w:lineRule="auto"/>
            </w:pPr>
            <w:r>
              <w:rPr>
                <w:rFonts w:cs="Arial"/>
                <w:sz w:val="18"/>
                <w:szCs w:val="18"/>
              </w:rPr>
              <w:t>oko 103.000 EUR/god.</w:t>
            </w:r>
          </w:p>
        </w:tc>
        <w:tc>
          <w:tcPr>
            <w:tcW w:w="1980" w:type="dxa"/>
          </w:tcPr>
          <w:p w:rsidR="004E4A3C" w:rsidRDefault="00FD7157">
            <w:pPr>
              <w:spacing w:after="0" w:line="240" w:lineRule="auto"/>
            </w:pPr>
            <w:r>
              <w:rPr>
                <w:rFonts w:cs="Arial"/>
                <w:sz w:val="18"/>
                <w:szCs w:val="18"/>
              </w:rPr>
              <w:t>-</w:t>
            </w:r>
          </w:p>
        </w:tc>
        <w:tc>
          <w:tcPr>
            <w:tcW w:w="1623" w:type="dxa"/>
          </w:tcPr>
          <w:p w:rsidR="004E4A3C" w:rsidRDefault="00FD7157">
            <w:pPr>
              <w:spacing w:after="0" w:line="240" w:lineRule="auto"/>
            </w:pPr>
            <w:r>
              <w:rPr>
                <w:rFonts w:cs="Arial"/>
                <w:sz w:val="18"/>
                <w:szCs w:val="18"/>
              </w:rPr>
              <w:t>-</w:t>
            </w:r>
          </w:p>
        </w:tc>
      </w:tr>
      <w:tr w:rsidR="004E4A3C">
        <w:trPr>
          <w:cantSplit/>
          <w:jc w:val="center"/>
        </w:trPr>
        <w:tc>
          <w:tcPr>
            <w:tcW w:w="851" w:type="dxa"/>
          </w:tcPr>
          <w:p w:rsidR="004E4A3C" w:rsidRDefault="00FD7157">
            <w:pPr>
              <w:spacing w:after="0" w:line="240" w:lineRule="auto"/>
              <w:jc w:val="center"/>
            </w:pPr>
            <w:r>
              <w:rPr>
                <w:rFonts w:cs="Arial"/>
                <w:sz w:val="18"/>
                <w:szCs w:val="18"/>
              </w:rPr>
              <w:t>S1</w:t>
            </w:r>
          </w:p>
        </w:tc>
        <w:tc>
          <w:tcPr>
            <w:tcW w:w="3150" w:type="dxa"/>
          </w:tcPr>
          <w:p w:rsidR="004E4A3C" w:rsidRDefault="00FD7157">
            <w:pPr>
              <w:spacing w:after="0" w:line="240" w:lineRule="auto"/>
            </w:pPr>
            <w:r>
              <w:rPr>
                <w:rFonts w:cs="Arial"/>
                <w:sz w:val="18"/>
                <w:szCs w:val="18"/>
              </w:rPr>
              <w:t>55-59: 286,4;</w:t>
            </w:r>
            <w:r>
              <w:rPr>
                <w:rFonts w:cs="Arial"/>
                <w:sz w:val="18"/>
                <w:szCs w:val="18"/>
              </w:rPr>
              <w:br/>
              <w:t>60-64: 228,9;</w:t>
            </w:r>
            <w:r>
              <w:rPr>
                <w:rFonts w:cs="Arial"/>
                <w:sz w:val="18"/>
                <w:szCs w:val="18"/>
              </w:rPr>
              <w:br/>
            </w:r>
            <w:r>
              <w:rPr>
                <w:rFonts w:cs="Arial"/>
                <w:sz w:val="18"/>
                <w:szCs w:val="18"/>
              </w:rPr>
              <w:t>65-69: 35,0;</w:t>
            </w:r>
            <w:r>
              <w:rPr>
                <w:rFonts w:cs="Arial"/>
                <w:sz w:val="18"/>
                <w:szCs w:val="18"/>
              </w:rPr>
              <w:br/>
              <w:t>70-74: 0,0</w:t>
            </w:r>
          </w:p>
        </w:tc>
        <w:tc>
          <w:tcPr>
            <w:tcW w:w="2431" w:type="dxa"/>
          </w:tcPr>
          <w:p w:rsidR="004E4A3C" w:rsidRDefault="00FD7157">
            <w:pPr>
              <w:spacing w:after="0" w:line="240" w:lineRule="auto"/>
            </w:pPr>
            <w:r>
              <w:rPr>
                <w:rFonts w:cs="Arial"/>
                <w:sz w:val="18"/>
                <w:szCs w:val="18"/>
              </w:rPr>
              <w:t>oko 94.000 EUR/god.</w:t>
            </w:r>
          </w:p>
        </w:tc>
        <w:tc>
          <w:tcPr>
            <w:tcW w:w="1980" w:type="dxa"/>
          </w:tcPr>
          <w:p w:rsidR="004E4A3C" w:rsidRDefault="00FD7157">
            <w:pPr>
              <w:spacing w:after="0" w:line="240" w:lineRule="auto"/>
            </w:pPr>
            <w:r>
              <w:rPr>
                <w:rFonts w:cs="Arial"/>
                <w:sz w:val="18"/>
                <w:szCs w:val="18"/>
              </w:rPr>
              <w:t>oko 8.700 EUR/god.</w:t>
            </w:r>
          </w:p>
        </w:tc>
        <w:tc>
          <w:tcPr>
            <w:tcW w:w="1623" w:type="dxa"/>
          </w:tcPr>
          <w:p w:rsidR="004E4A3C" w:rsidRDefault="00FD7157">
            <w:pPr>
              <w:spacing w:after="0" w:line="240" w:lineRule="auto"/>
            </w:pPr>
            <w:r>
              <w:rPr>
                <w:rFonts w:cs="Arial"/>
                <w:sz w:val="18"/>
                <w:szCs w:val="18"/>
              </w:rPr>
              <w:t>oko 175.000 EUR</w:t>
            </w:r>
          </w:p>
        </w:tc>
      </w:tr>
      <w:tr w:rsidR="004E4A3C">
        <w:trPr>
          <w:cantSplit/>
          <w:jc w:val="center"/>
        </w:trPr>
        <w:tc>
          <w:tcPr>
            <w:tcW w:w="851" w:type="dxa"/>
          </w:tcPr>
          <w:p w:rsidR="004E4A3C" w:rsidRDefault="00FD7157">
            <w:pPr>
              <w:spacing w:after="0" w:line="240" w:lineRule="auto"/>
              <w:jc w:val="center"/>
            </w:pPr>
            <w:r>
              <w:rPr>
                <w:rFonts w:cs="Arial"/>
                <w:sz w:val="18"/>
                <w:szCs w:val="18"/>
              </w:rPr>
              <w:lastRenderedPageBreak/>
              <w:t>S3</w:t>
            </w:r>
          </w:p>
        </w:tc>
        <w:tc>
          <w:tcPr>
            <w:tcW w:w="3150" w:type="dxa"/>
          </w:tcPr>
          <w:p w:rsidR="004E4A3C" w:rsidRDefault="00FD7157">
            <w:pPr>
              <w:spacing w:after="0" w:line="240" w:lineRule="auto"/>
            </w:pPr>
            <w:r>
              <w:rPr>
                <w:rFonts w:cs="Arial"/>
                <w:sz w:val="18"/>
                <w:szCs w:val="18"/>
              </w:rPr>
              <w:t>55-59: 297,3;</w:t>
            </w:r>
            <w:r>
              <w:rPr>
                <w:rFonts w:cs="Arial"/>
                <w:sz w:val="18"/>
                <w:szCs w:val="18"/>
              </w:rPr>
              <w:br/>
              <w:t>60-64: 127,1;</w:t>
            </w:r>
            <w:r>
              <w:rPr>
                <w:rFonts w:cs="Arial"/>
                <w:sz w:val="18"/>
                <w:szCs w:val="18"/>
              </w:rPr>
              <w:br/>
              <w:t>65-69: 7,3;</w:t>
            </w:r>
            <w:r>
              <w:rPr>
                <w:rFonts w:cs="Arial"/>
                <w:sz w:val="18"/>
                <w:szCs w:val="18"/>
              </w:rPr>
              <w:br/>
              <w:t>70-74: 0,0</w:t>
            </w:r>
          </w:p>
        </w:tc>
        <w:tc>
          <w:tcPr>
            <w:tcW w:w="2431" w:type="dxa"/>
          </w:tcPr>
          <w:p w:rsidR="004E4A3C" w:rsidRDefault="00FD7157">
            <w:pPr>
              <w:spacing w:after="0" w:line="240" w:lineRule="auto"/>
            </w:pPr>
            <w:r>
              <w:rPr>
                <w:rFonts w:cs="Arial"/>
                <w:sz w:val="18"/>
                <w:szCs w:val="18"/>
              </w:rPr>
              <w:t>oko 70.000 EUR/god.</w:t>
            </w:r>
          </w:p>
        </w:tc>
        <w:tc>
          <w:tcPr>
            <w:tcW w:w="1980" w:type="dxa"/>
          </w:tcPr>
          <w:p w:rsidR="004E4A3C" w:rsidRDefault="00FD7157">
            <w:pPr>
              <w:spacing w:after="0" w:line="240" w:lineRule="auto"/>
            </w:pPr>
            <w:r>
              <w:rPr>
                <w:rFonts w:cs="Arial"/>
                <w:sz w:val="18"/>
                <w:szCs w:val="18"/>
              </w:rPr>
              <w:t>oko 33.000 EUR/god.</w:t>
            </w:r>
          </w:p>
        </w:tc>
        <w:tc>
          <w:tcPr>
            <w:tcW w:w="1623" w:type="dxa"/>
          </w:tcPr>
          <w:p w:rsidR="004E4A3C" w:rsidRDefault="00FD7157">
            <w:pPr>
              <w:spacing w:after="0" w:line="240" w:lineRule="auto"/>
            </w:pPr>
            <w:r>
              <w:rPr>
                <w:rFonts w:cs="Arial"/>
                <w:sz w:val="18"/>
                <w:szCs w:val="18"/>
              </w:rPr>
              <w:t>oko 662.000 EUR</w:t>
            </w:r>
          </w:p>
        </w:tc>
      </w:tr>
      <w:tr w:rsidR="004E4A3C">
        <w:trPr>
          <w:cantSplit/>
          <w:jc w:val="center"/>
        </w:trPr>
        <w:tc>
          <w:tcPr>
            <w:tcW w:w="851" w:type="dxa"/>
          </w:tcPr>
          <w:p w:rsidR="004E4A3C" w:rsidRDefault="00FD7157">
            <w:pPr>
              <w:spacing w:after="0" w:line="240" w:lineRule="auto"/>
              <w:jc w:val="center"/>
            </w:pPr>
            <w:r>
              <w:rPr>
                <w:rFonts w:cs="Arial"/>
                <w:sz w:val="18"/>
                <w:szCs w:val="18"/>
              </w:rPr>
              <w:t>S4</w:t>
            </w:r>
          </w:p>
        </w:tc>
        <w:tc>
          <w:tcPr>
            <w:tcW w:w="3150" w:type="dxa"/>
          </w:tcPr>
          <w:p w:rsidR="004E4A3C" w:rsidRDefault="00FD7157">
            <w:pPr>
              <w:spacing w:after="0" w:line="240" w:lineRule="auto"/>
            </w:pPr>
            <w:r>
              <w:rPr>
                <w:rFonts w:cs="Arial"/>
                <w:sz w:val="18"/>
                <w:szCs w:val="18"/>
              </w:rPr>
              <w:t>55-59: 303,7;</w:t>
            </w:r>
            <w:r>
              <w:rPr>
                <w:rFonts w:cs="Arial"/>
                <w:sz w:val="18"/>
                <w:szCs w:val="18"/>
              </w:rPr>
              <w:br/>
              <w:t>60-64: 72,9;</w:t>
            </w:r>
            <w:r>
              <w:rPr>
                <w:rFonts w:cs="Arial"/>
                <w:sz w:val="18"/>
                <w:szCs w:val="18"/>
              </w:rPr>
              <w:br/>
              <w:t>65-69: 2,4;</w:t>
            </w:r>
            <w:r>
              <w:rPr>
                <w:rFonts w:cs="Arial"/>
                <w:sz w:val="18"/>
                <w:szCs w:val="18"/>
              </w:rPr>
              <w:br/>
              <w:t>70-74: 0,0</w:t>
            </w:r>
          </w:p>
        </w:tc>
        <w:tc>
          <w:tcPr>
            <w:tcW w:w="2431" w:type="dxa"/>
          </w:tcPr>
          <w:p w:rsidR="004E4A3C" w:rsidRDefault="00FD7157">
            <w:pPr>
              <w:spacing w:after="0" w:line="240" w:lineRule="auto"/>
            </w:pPr>
            <w:r>
              <w:rPr>
                <w:rFonts w:cs="Arial"/>
                <w:sz w:val="18"/>
                <w:szCs w:val="18"/>
              </w:rPr>
              <w:t>oko 60.000 E</w:t>
            </w:r>
            <w:r>
              <w:rPr>
                <w:rFonts w:cs="Arial"/>
                <w:sz w:val="18"/>
                <w:szCs w:val="18"/>
              </w:rPr>
              <w:t>UR/god.</w:t>
            </w:r>
          </w:p>
        </w:tc>
        <w:tc>
          <w:tcPr>
            <w:tcW w:w="1980" w:type="dxa"/>
          </w:tcPr>
          <w:p w:rsidR="004E4A3C" w:rsidRDefault="00FD7157">
            <w:pPr>
              <w:spacing w:after="0" w:line="240" w:lineRule="auto"/>
            </w:pPr>
            <w:r>
              <w:rPr>
                <w:rFonts w:cs="Arial"/>
                <w:sz w:val="18"/>
                <w:szCs w:val="18"/>
              </w:rPr>
              <w:t>oko 42.900 EUR/god.</w:t>
            </w:r>
          </w:p>
        </w:tc>
        <w:tc>
          <w:tcPr>
            <w:tcW w:w="1623" w:type="dxa"/>
          </w:tcPr>
          <w:p w:rsidR="004E4A3C" w:rsidRDefault="00FD7157">
            <w:pPr>
              <w:spacing w:after="0" w:line="240" w:lineRule="auto"/>
            </w:pPr>
            <w:r>
              <w:rPr>
                <w:rFonts w:cs="Arial"/>
                <w:sz w:val="18"/>
                <w:szCs w:val="18"/>
              </w:rPr>
              <w:t>oko 857.000 EUR</w:t>
            </w:r>
          </w:p>
        </w:tc>
      </w:tr>
    </w:tbl>
    <w:p w:rsidR="004E4A3C" w:rsidRDefault="004E4A3C">
      <w:pPr>
        <w:spacing w:after="120"/>
      </w:pPr>
    </w:p>
    <w:p w:rsidR="004E4A3C" w:rsidRDefault="00FD7157">
      <w:pPr>
        <w:spacing w:after="120"/>
        <w:jc w:val="both"/>
      </w:pPr>
      <w:r>
        <w:t xml:space="preserve">Prema ovom konzervativnom pristupu, zadržavanje baznog stanja proizvodi eksterni trošak buke reda veličine oko 103.000 EUR godišnje. Scenario S4 bi taj indikator smanjio na oko 60.000 EUR godišnje, odnosno za </w:t>
      </w:r>
      <w:r>
        <w:t>oko 42.900 EUR godišnje. Ovaj iznos je društvena korist kroz smanjenu izloženost, a ne novčani prihod ili ušteda u budžetu.</w:t>
      </w:r>
    </w:p>
    <w:p w:rsidR="004E4A3C" w:rsidRDefault="00FD7157">
      <w:pPr>
        <w:pStyle w:val="Heading3"/>
        <w:spacing w:after="120"/>
        <w:jc w:val="both"/>
      </w:pPr>
      <w:bookmarkStart w:id="155" w:name="__RefHeading___Toc9269_4023479253"/>
      <w:bookmarkStart w:id="156" w:name="_Toc231671851"/>
      <w:bookmarkEnd w:id="155"/>
      <w:r>
        <w:rPr>
          <w:rFonts w:ascii="Arial" w:eastAsia="Arial" w:hAnsi="Arial"/>
          <w:b w:val="0"/>
        </w:rPr>
        <w:t>10.5.3. Indikativni trošak nepreduzimanja mjera za zdravlje i kvalitet života</w:t>
      </w:r>
      <w:bookmarkEnd w:id="156"/>
    </w:p>
    <w:p w:rsidR="004E4A3C" w:rsidRDefault="00FD7157">
      <w:pPr>
        <w:spacing w:after="120"/>
        <w:jc w:val="both"/>
      </w:pPr>
      <w:r>
        <w:t>Scenario S0 ne znači da trošak ne postoji; on znači da</w:t>
      </w:r>
      <w:r>
        <w:t xml:space="preserve"> se trošak povišene buke prenosi na stanovništvo, kvalitet života, san i dugoročne javnozdravstvene rizike. Za prikaz cijene nepostupanja koristi se planski DALY raspon od 250 do 1.500 EUR po izloženom stanovniku godišnje. Primarni pokazatelj je Lden &gt;=55 </w:t>
      </w:r>
      <w:r>
        <w:t>dB(A), dok se Lnight &gt;=50 dB(A) i Lnight &gt;=55 dB(A) koriste kao kontrolni noćni pokazatelji. Pokazatelji se ne sabiraju, kako se isto stanovništvo ne bi računalo više puta.</w:t>
      </w:r>
    </w:p>
    <w:p w:rsidR="004E4A3C" w:rsidRDefault="00FD7157">
      <w:pPr>
        <w:keepNext/>
        <w:keepLines/>
        <w:spacing w:after="40"/>
        <w:rPr>
          <w:b/>
          <w:bCs/>
        </w:rPr>
      </w:pPr>
      <w:r>
        <w:rPr>
          <w:b/>
          <w:bCs/>
        </w:rPr>
        <w:t>Tabela 29. Indikativni trošak zadržavanja baznog scenarija S0</w:t>
      </w:r>
    </w:p>
    <w:tbl>
      <w:tblPr>
        <w:tblStyle w:val="TableGrid"/>
        <w:tblW w:w="9865" w:type="dxa"/>
        <w:jc w:val="center"/>
        <w:tblLayout w:type="fixed"/>
        <w:tblCellMar>
          <w:top w:w="50" w:type="dxa"/>
          <w:left w:w="45" w:type="dxa"/>
          <w:bottom w:w="50" w:type="dxa"/>
          <w:right w:w="45" w:type="dxa"/>
        </w:tblCellMar>
        <w:tblLook w:val="04A0" w:firstRow="1" w:lastRow="0" w:firstColumn="1" w:lastColumn="0" w:noHBand="0" w:noVBand="1"/>
      </w:tblPr>
      <w:tblGrid>
        <w:gridCol w:w="2269"/>
        <w:gridCol w:w="1739"/>
        <w:gridCol w:w="3249"/>
        <w:gridCol w:w="2608"/>
      </w:tblGrid>
      <w:tr w:rsidR="004E4A3C">
        <w:trPr>
          <w:cantSplit/>
          <w:tblHeader/>
          <w:jc w:val="center"/>
        </w:trPr>
        <w:tc>
          <w:tcPr>
            <w:tcW w:w="2268" w:type="dxa"/>
            <w:shd w:val="clear" w:color="auto" w:fill="D9EAF7"/>
          </w:tcPr>
          <w:p w:rsidR="004E4A3C" w:rsidRDefault="00FD7157">
            <w:pPr>
              <w:spacing w:after="0" w:line="240" w:lineRule="auto"/>
              <w:jc w:val="center"/>
            </w:pPr>
            <w:r>
              <w:rPr>
                <w:rFonts w:cs="Arial"/>
                <w:b/>
                <w:sz w:val="18"/>
                <w:szCs w:val="18"/>
              </w:rPr>
              <w:t>Pokazatelj S0</w:t>
            </w:r>
          </w:p>
        </w:tc>
        <w:tc>
          <w:tcPr>
            <w:tcW w:w="1739" w:type="dxa"/>
            <w:shd w:val="clear" w:color="auto" w:fill="D9EAF7"/>
          </w:tcPr>
          <w:p w:rsidR="004E4A3C" w:rsidRDefault="00FD7157">
            <w:pPr>
              <w:spacing w:after="0" w:line="240" w:lineRule="auto"/>
              <w:jc w:val="center"/>
            </w:pPr>
            <w:r>
              <w:rPr>
                <w:rFonts w:cs="Arial"/>
                <w:b/>
                <w:sz w:val="18"/>
                <w:szCs w:val="18"/>
              </w:rPr>
              <w:t>Broj st</w:t>
            </w:r>
            <w:r>
              <w:rPr>
                <w:rFonts w:cs="Arial"/>
                <w:b/>
                <w:sz w:val="18"/>
                <w:szCs w:val="18"/>
              </w:rPr>
              <w:t>anovnika</w:t>
            </w:r>
          </w:p>
        </w:tc>
        <w:tc>
          <w:tcPr>
            <w:tcW w:w="3249" w:type="dxa"/>
            <w:shd w:val="clear" w:color="auto" w:fill="D9EAF7"/>
          </w:tcPr>
          <w:p w:rsidR="004E4A3C" w:rsidRDefault="00FD7157">
            <w:pPr>
              <w:spacing w:after="0" w:line="240" w:lineRule="auto"/>
              <w:jc w:val="center"/>
            </w:pPr>
            <w:r>
              <w:rPr>
                <w:rFonts w:cs="Arial"/>
                <w:b/>
                <w:sz w:val="18"/>
                <w:szCs w:val="18"/>
              </w:rPr>
              <w:t>Godišnji društveno-zdravstveni trošak</w:t>
            </w:r>
          </w:p>
        </w:tc>
        <w:tc>
          <w:tcPr>
            <w:tcW w:w="2608" w:type="dxa"/>
            <w:shd w:val="clear" w:color="auto" w:fill="D9EAF7"/>
          </w:tcPr>
          <w:p w:rsidR="004E4A3C" w:rsidRDefault="00FD7157">
            <w:pPr>
              <w:spacing w:after="0" w:line="240" w:lineRule="auto"/>
              <w:jc w:val="center"/>
            </w:pPr>
            <w:r>
              <w:rPr>
                <w:rFonts w:cs="Arial"/>
                <w:b/>
                <w:sz w:val="18"/>
                <w:szCs w:val="18"/>
              </w:rPr>
              <w:t>Trošak za 5 godina</w:t>
            </w:r>
          </w:p>
        </w:tc>
      </w:tr>
      <w:tr w:rsidR="004E4A3C">
        <w:trPr>
          <w:cantSplit/>
          <w:jc w:val="center"/>
        </w:trPr>
        <w:tc>
          <w:tcPr>
            <w:tcW w:w="2268" w:type="dxa"/>
          </w:tcPr>
          <w:p w:rsidR="004E4A3C" w:rsidRDefault="00FD7157">
            <w:pPr>
              <w:spacing w:after="0" w:line="240" w:lineRule="auto"/>
            </w:pPr>
            <w:r>
              <w:rPr>
                <w:rFonts w:cs="Arial"/>
                <w:sz w:val="18"/>
                <w:szCs w:val="18"/>
              </w:rPr>
              <w:t>Lden &gt;=55 dB(A)</w:t>
            </w:r>
          </w:p>
        </w:tc>
        <w:tc>
          <w:tcPr>
            <w:tcW w:w="1739" w:type="dxa"/>
          </w:tcPr>
          <w:p w:rsidR="004E4A3C" w:rsidRDefault="00FD7157">
            <w:pPr>
              <w:spacing w:after="0" w:line="240" w:lineRule="auto"/>
            </w:pPr>
            <w:r>
              <w:rPr>
                <w:rFonts w:cs="Arial"/>
                <w:sz w:val="18"/>
                <w:szCs w:val="18"/>
              </w:rPr>
              <w:t>581,8</w:t>
            </w:r>
          </w:p>
        </w:tc>
        <w:tc>
          <w:tcPr>
            <w:tcW w:w="3249" w:type="dxa"/>
          </w:tcPr>
          <w:p w:rsidR="004E4A3C" w:rsidRDefault="00FD7157">
            <w:pPr>
              <w:spacing w:after="0" w:line="240" w:lineRule="auto"/>
            </w:pPr>
            <w:r>
              <w:rPr>
                <w:rFonts w:cs="Arial"/>
                <w:sz w:val="18"/>
                <w:szCs w:val="18"/>
              </w:rPr>
              <w:t>oko 145.000-873.000 EUR/god.</w:t>
            </w:r>
          </w:p>
        </w:tc>
        <w:tc>
          <w:tcPr>
            <w:tcW w:w="2608" w:type="dxa"/>
          </w:tcPr>
          <w:p w:rsidR="004E4A3C" w:rsidRDefault="00FD7157">
            <w:pPr>
              <w:spacing w:after="0" w:line="240" w:lineRule="auto"/>
            </w:pPr>
            <w:r>
              <w:rPr>
                <w:rFonts w:cs="Arial"/>
                <w:sz w:val="18"/>
                <w:szCs w:val="18"/>
              </w:rPr>
              <w:t>oko 727.000-4.363.000 EUR</w:t>
            </w:r>
          </w:p>
        </w:tc>
      </w:tr>
      <w:tr w:rsidR="004E4A3C">
        <w:trPr>
          <w:cantSplit/>
          <w:jc w:val="center"/>
        </w:trPr>
        <w:tc>
          <w:tcPr>
            <w:tcW w:w="2268" w:type="dxa"/>
          </w:tcPr>
          <w:p w:rsidR="004E4A3C" w:rsidRDefault="00FD7157">
            <w:pPr>
              <w:spacing w:after="0" w:line="240" w:lineRule="auto"/>
            </w:pPr>
            <w:r>
              <w:rPr>
                <w:rFonts w:cs="Arial"/>
                <w:sz w:val="18"/>
                <w:szCs w:val="18"/>
              </w:rPr>
              <w:t>Lnight &gt;=50 dB(A)</w:t>
            </w:r>
          </w:p>
        </w:tc>
        <w:tc>
          <w:tcPr>
            <w:tcW w:w="1739" w:type="dxa"/>
          </w:tcPr>
          <w:p w:rsidR="004E4A3C" w:rsidRDefault="00FD7157">
            <w:pPr>
              <w:spacing w:after="0" w:line="240" w:lineRule="auto"/>
            </w:pPr>
            <w:r>
              <w:rPr>
                <w:rFonts w:cs="Arial"/>
                <w:sz w:val="18"/>
                <w:szCs w:val="18"/>
              </w:rPr>
              <w:t>379,6</w:t>
            </w:r>
          </w:p>
        </w:tc>
        <w:tc>
          <w:tcPr>
            <w:tcW w:w="3249" w:type="dxa"/>
          </w:tcPr>
          <w:p w:rsidR="004E4A3C" w:rsidRDefault="00FD7157">
            <w:pPr>
              <w:spacing w:after="0" w:line="240" w:lineRule="auto"/>
            </w:pPr>
            <w:r>
              <w:rPr>
                <w:rFonts w:cs="Arial"/>
                <w:sz w:val="18"/>
                <w:szCs w:val="18"/>
              </w:rPr>
              <w:t>oko 95.000-569.000 EUR/god.</w:t>
            </w:r>
          </w:p>
        </w:tc>
        <w:tc>
          <w:tcPr>
            <w:tcW w:w="2608" w:type="dxa"/>
          </w:tcPr>
          <w:p w:rsidR="004E4A3C" w:rsidRDefault="00FD7157">
            <w:pPr>
              <w:spacing w:after="0" w:line="240" w:lineRule="auto"/>
            </w:pPr>
            <w:r>
              <w:rPr>
                <w:rFonts w:cs="Arial"/>
                <w:sz w:val="18"/>
                <w:szCs w:val="18"/>
              </w:rPr>
              <w:t>oko 475.000-2.847.000 EUR</w:t>
            </w:r>
          </w:p>
        </w:tc>
      </w:tr>
      <w:tr w:rsidR="004E4A3C">
        <w:trPr>
          <w:cantSplit/>
          <w:jc w:val="center"/>
        </w:trPr>
        <w:tc>
          <w:tcPr>
            <w:tcW w:w="2268" w:type="dxa"/>
          </w:tcPr>
          <w:p w:rsidR="004E4A3C" w:rsidRDefault="00FD7157">
            <w:pPr>
              <w:spacing w:after="0" w:line="240" w:lineRule="auto"/>
            </w:pPr>
            <w:r>
              <w:rPr>
                <w:rFonts w:cs="Arial"/>
                <w:sz w:val="18"/>
                <w:szCs w:val="18"/>
              </w:rPr>
              <w:t>Lnight &gt;=55 dB(A)</w:t>
            </w:r>
          </w:p>
        </w:tc>
        <w:tc>
          <w:tcPr>
            <w:tcW w:w="1739" w:type="dxa"/>
          </w:tcPr>
          <w:p w:rsidR="004E4A3C" w:rsidRDefault="00FD7157">
            <w:pPr>
              <w:spacing w:after="0" w:line="240" w:lineRule="auto"/>
            </w:pPr>
            <w:r>
              <w:rPr>
                <w:rFonts w:cs="Arial"/>
                <w:sz w:val="18"/>
                <w:szCs w:val="18"/>
              </w:rPr>
              <w:t>103,9</w:t>
            </w:r>
          </w:p>
        </w:tc>
        <w:tc>
          <w:tcPr>
            <w:tcW w:w="3249" w:type="dxa"/>
          </w:tcPr>
          <w:p w:rsidR="004E4A3C" w:rsidRDefault="00FD7157">
            <w:pPr>
              <w:spacing w:after="0" w:line="240" w:lineRule="auto"/>
            </w:pPr>
            <w:r>
              <w:rPr>
                <w:rFonts w:cs="Arial"/>
                <w:sz w:val="18"/>
                <w:szCs w:val="18"/>
              </w:rPr>
              <w:t xml:space="preserve">oko </w:t>
            </w:r>
            <w:r>
              <w:rPr>
                <w:rFonts w:cs="Arial"/>
                <w:sz w:val="18"/>
                <w:szCs w:val="18"/>
              </w:rPr>
              <w:t>26.000-156.000 EUR/god.</w:t>
            </w:r>
          </w:p>
        </w:tc>
        <w:tc>
          <w:tcPr>
            <w:tcW w:w="2608" w:type="dxa"/>
          </w:tcPr>
          <w:p w:rsidR="004E4A3C" w:rsidRDefault="00FD7157">
            <w:pPr>
              <w:spacing w:after="0" w:line="240" w:lineRule="auto"/>
            </w:pPr>
            <w:r>
              <w:rPr>
                <w:rFonts w:cs="Arial"/>
                <w:sz w:val="18"/>
                <w:szCs w:val="18"/>
              </w:rPr>
              <w:t>oko 130.000-779.000 EUR</w:t>
            </w:r>
          </w:p>
        </w:tc>
      </w:tr>
    </w:tbl>
    <w:p w:rsidR="004E4A3C" w:rsidRDefault="004E4A3C">
      <w:pPr>
        <w:spacing w:after="120"/>
        <w:jc w:val="both"/>
      </w:pPr>
    </w:p>
    <w:p w:rsidR="004E4A3C" w:rsidRDefault="00FD7157">
      <w:pPr>
        <w:spacing w:after="120"/>
        <w:jc w:val="both"/>
      </w:pPr>
      <w:r>
        <w:t>Prema primarnom pokazatelju Lden &gt;=55 dB(A), nepreduzimanje mjera može se orijentaciono povezati sa društveno-zdravstvenim troškom od oko 145.000-873.000 EUR godišnje, odnosno oko 0,73-4,36 miliona EUR toko</w:t>
      </w:r>
      <w:r>
        <w:t>m petogodišnjeg perioda važenja Akcionog plana. Vrijednosti su planski raspon i ne znače da se ovaj iznos direktno isplaćuje ili naplaćuje, već služe za poređenje sa investicionim troškovima mjera.</w:t>
      </w:r>
    </w:p>
    <w:p w:rsidR="004E4A3C" w:rsidRDefault="00FD7157">
      <w:pPr>
        <w:keepNext/>
        <w:keepLines/>
        <w:spacing w:after="40"/>
        <w:rPr>
          <w:b/>
          <w:bCs/>
        </w:rPr>
      </w:pPr>
      <w:r>
        <w:rPr>
          <w:b/>
          <w:bCs/>
        </w:rPr>
        <w:t>Tabela 30. Indikativni društveni i zdravstveni efekat real</w:t>
      </w:r>
      <w:r>
        <w:rPr>
          <w:b/>
          <w:bCs/>
        </w:rPr>
        <w:t>izacije scenarija S4</w:t>
      </w:r>
    </w:p>
    <w:tbl>
      <w:tblPr>
        <w:tblStyle w:val="TableGrid"/>
        <w:tblW w:w="9865" w:type="dxa"/>
        <w:jc w:val="center"/>
        <w:tblLayout w:type="fixed"/>
        <w:tblCellMar>
          <w:top w:w="50" w:type="dxa"/>
          <w:left w:w="45" w:type="dxa"/>
          <w:bottom w:w="50" w:type="dxa"/>
          <w:right w:w="45" w:type="dxa"/>
        </w:tblCellMar>
        <w:tblLook w:val="04A0" w:firstRow="1" w:lastRow="0" w:firstColumn="1" w:lastColumn="0" w:noHBand="0" w:noVBand="1"/>
      </w:tblPr>
      <w:tblGrid>
        <w:gridCol w:w="2838"/>
        <w:gridCol w:w="2429"/>
        <w:gridCol w:w="2251"/>
        <w:gridCol w:w="2347"/>
      </w:tblGrid>
      <w:tr w:rsidR="004E4A3C">
        <w:trPr>
          <w:cantSplit/>
          <w:tblHeader/>
          <w:jc w:val="center"/>
        </w:trPr>
        <w:tc>
          <w:tcPr>
            <w:tcW w:w="2837" w:type="dxa"/>
            <w:shd w:val="clear" w:color="auto" w:fill="D9EAF7"/>
          </w:tcPr>
          <w:p w:rsidR="004E4A3C" w:rsidRDefault="00FD7157">
            <w:pPr>
              <w:spacing w:after="0" w:line="240" w:lineRule="auto"/>
              <w:jc w:val="center"/>
            </w:pPr>
            <w:r>
              <w:rPr>
                <w:rFonts w:cs="Arial"/>
                <w:b/>
                <w:sz w:val="18"/>
                <w:szCs w:val="18"/>
              </w:rPr>
              <w:t>Pokazatelj</w:t>
            </w:r>
          </w:p>
        </w:tc>
        <w:tc>
          <w:tcPr>
            <w:tcW w:w="2429" w:type="dxa"/>
            <w:shd w:val="clear" w:color="auto" w:fill="D9EAF7"/>
          </w:tcPr>
          <w:p w:rsidR="004E4A3C" w:rsidRDefault="00FD7157">
            <w:pPr>
              <w:spacing w:after="0" w:line="240" w:lineRule="auto"/>
              <w:jc w:val="center"/>
            </w:pPr>
            <w:r>
              <w:rPr>
                <w:rFonts w:cs="Arial"/>
                <w:b/>
                <w:sz w:val="18"/>
                <w:szCs w:val="18"/>
              </w:rPr>
              <w:t>S0 - bazno stanje</w:t>
            </w:r>
          </w:p>
        </w:tc>
        <w:tc>
          <w:tcPr>
            <w:tcW w:w="2251" w:type="dxa"/>
            <w:shd w:val="clear" w:color="auto" w:fill="D9EAF7"/>
          </w:tcPr>
          <w:p w:rsidR="004E4A3C" w:rsidRDefault="00FD7157">
            <w:pPr>
              <w:spacing w:after="0" w:line="240" w:lineRule="auto"/>
              <w:jc w:val="center"/>
            </w:pPr>
            <w:r>
              <w:rPr>
                <w:rFonts w:cs="Arial"/>
                <w:b/>
                <w:sz w:val="18"/>
                <w:szCs w:val="18"/>
              </w:rPr>
              <w:t>S4 - nakon osnovnog paketa mjera</w:t>
            </w:r>
          </w:p>
        </w:tc>
        <w:tc>
          <w:tcPr>
            <w:tcW w:w="2347" w:type="dxa"/>
            <w:shd w:val="clear" w:color="auto" w:fill="D9EAF7"/>
          </w:tcPr>
          <w:p w:rsidR="004E4A3C" w:rsidRDefault="00FD7157">
            <w:pPr>
              <w:spacing w:after="0" w:line="240" w:lineRule="auto"/>
              <w:jc w:val="center"/>
            </w:pPr>
            <w:r>
              <w:rPr>
                <w:rFonts w:cs="Arial"/>
                <w:b/>
                <w:sz w:val="18"/>
                <w:szCs w:val="18"/>
              </w:rPr>
              <w:t>Smanjenje / izbjegnuti trošak</w:t>
            </w:r>
          </w:p>
        </w:tc>
      </w:tr>
      <w:tr w:rsidR="004E4A3C">
        <w:trPr>
          <w:cantSplit/>
          <w:jc w:val="center"/>
        </w:trPr>
        <w:tc>
          <w:tcPr>
            <w:tcW w:w="2837" w:type="dxa"/>
          </w:tcPr>
          <w:p w:rsidR="004E4A3C" w:rsidRDefault="00FD7157">
            <w:pPr>
              <w:spacing w:after="0" w:line="240" w:lineRule="auto"/>
            </w:pPr>
            <w:r>
              <w:rPr>
                <w:rFonts w:cs="Arial"/>
                <w:sz w:val="18"/>
                <w:szCs w:val="18"/>
              </w:rPr>
              <w:t>Stanovnici izloženi Lden &gt;=55 dB(A)</w:t>
            </w:r>
          </w:p>
        </w:tc>
        <w:tc>
          <w:tcPr>
            <w:tcW w:w="2429" w:type="dxa"/>
          </w:tcPr>
          <w:p w:rsidR="004E4A3C" w:rsidRDefault="00FD7157">
            <w:pPr>
              <w:spacing w:after="0" w:line="240" w:lineRule="auto"/>
            </w:pPr>
            <w:r>
              <w:rPr>
                <w:rFonts w:cs="Arial"/>
                <w:sz w:val="18"/>
                <w:szCs w:val="18"/>
              </w:rPr>
              <w:t>581,8</w:t>
            </w:r>
          </w:p>
        </w:tc>
        <w:tc>
          <w:tcPr>
            <w:tcW w:w="2251" w:type="dxa"/>
          </w:tcPr>
          <w:p w:rsidR="004E4A3C" w:rsidRDefault="00FD7157">
            <w:pPr>
              <w:spacing w:after="0" w:line="240" w:lineRule="auto"/>
            </w:pPr>
            <w:r>
              <w:rPr>
                <w:rFonts w:cs="Arial"/>
                <w:sz w:val="18"/>
                <w:szCs w:val="18"/>
              </w:rPr>
              <w:t>379,1</w:t>
            </w:r>
          </w:p>
        </w:tc>
        <w:tc>
          <w:tcPr>
            <w:tcW w:w="2347" w:type="dxa"/>
          </w:tcPr>
          <w:p w:rsidR="004E4A3C" w:rsidRDefault="00FD7157">
            <w:pPr>
              <w:spacing w:after="0" w:line="240" w:lineRule="auto"/>
            </w:pPr>
            <w:r>
              <w:rPr>
                <w:rFonts w:cs="Arial"/>
                <w:sz w:val="18"/>
                <w:szCs w:val="18"/>
              </w:rPr>
              <w:t>-202,7 stanovnika</w:t>
            </w:r>
          </w:p>
        </w:tc>
      </w:tr>
      <w:tr w:rsidR="004E4A3C">
        <w:trPr>
          <w:cantSplit/>
          <w:jc w:val="center"/>
        </w:trPr>
        <w:tc>
          <w:tcPr>
            <w:tcW w:w="2837" w:type="dxa"/>
          </w:tcPr>
          <w:p w:rsidR="004E4A3C" w:rsidRDefault="00FD7157">
            <w:pPr>
              <w:spacing w:after="0" w:line="240" w:lineRule="auto"/>
            </w:pPr>
            <w:r>
              <w:rPr>
                <w:rFonts w:cs="Arial"/>
                <w:sz w:val="18"/>
                <w:szCs w:val="18"/>
              </w:rPr>
              <w:t>Indikativni godišnji društveno-zdravstveni trošak</w:t>
            </w:r>
          </w:p>
        </w:tc>
        <w:tc>
          <w:tcPr>
            <w:tcW w:w="2429" w:type="dxa"/>
          </w:tcPr>
          <w:p w:rsidR="004E4A3C" w:rsidRDefault="00FD7157">
            <w:pPr>
              <w:spacing w:after="0" w:line="240" w:lineRule="auto"/>
            </w:pPr>
            <w:r>
              <w:rPr>
                <w:rFonts w:cs="Arial"/>
                <w:sz w:val="18"/>
                <w:szCs w:val="18"/>
              </w:rPr>
              <w:t>145.000-873.000 EUR/god.</w:t>
            </w:r>
          </w:p>
        </w:tc>
        <w:tc>
          <w:tcPr>
            <w:tcW w:w="2251" w:type="dxa"/>
          </w:tcPr>
          <w:p w:rsidR="004E4A3C" w:rsidRDefault="00FD7157">
            <w:pPr>
              <w:spacing w:after="0" w:line="240" w:lineRule="auto"/>
            </w:pPr>
            <w:r>
              <w:rPr>
                <w:rFonts w:cs="Arial"/>
                <w:sz w:val="18"/>
                <w:szCs w:val="18"/>
              </w:rPr>
              <w:t>95.000-569.000 EUR/god.</w:t>
            </w:r>
          </w:p>
        </w:tc>
        <w:tc>
          <w:tcPr>
            <w:tcW w:w="2347" w:type="dxa"/>
          </w:tcPr>
          <w:p w:rsidR="004E4A3C" w:rsidRDefault="00FD7157">
            <w:pPr>
              <w:spacing w:after="0" w:line="240" w:lineRule="auto"/>
            </w:pPr>
            <w:r>
              <w:rPr>
                <w:rFonts w:cs="Arial"/>
                <w:sz w:val="18"/>
                <w:szCs w:val="18"/>
              </w:rPr>
              <w:t>51.000-304.000 EUR/god.</w:t>
            </w:r>
          </w:p>
        </w:tc>
      </w:tr>
      <w:tr w:rsidR="004E4A3C">
        <w:trPr>
          <w:cantSplit/>
          <w:jc w:val="center"/>
        </w:trPr>
        <w:tc>
          <w:tcPr>
            <w:tcW w:w="2837" w:type="dxa"/>
          </w:tcPr>
          <w:p w:rsidR="004E4A3C" w:rsidRDefault="00FD7157">
            <w:pPr>
              <w:spacing w:after="0" w:line="240" w:lineRule="auto"/>
            </w:pPr>
            <w:r>
              <w:rPr>
                <w:rFonts w:cs="Arial"/>
                <w:sz w:val="18"/>
                <w:szCs w:val="18"/>
              </w:rPr>
              <w:t>Indikativni društveno-zdravstveni trošak za 5 godina</w:t>
            </w:r>
          </w:p>
        </w:tc>
        <w:tc>
          <w:tcPr>
            <w:tcW w:w="2429" w:type="dxa"/>
          </w:tcPr>
          <w:p w:rsidR="004E4A3C" w:rsidRDefault="00FD7157">
            <w:pPr>
              <w:spacing w:after="0" w:line="240" w:lineRule="auto"/>
            </w:pPr>
            <w:r>
              <w:rPr>
                <w:rFonts w:cs="Arial"/>
                <w:sz w:val="18"/>
                <w:szCs w:val="18"/>
              </w:rPr>
              <w:t>727.000-4.363.000 EUR</w:t>
            </w:r>
          </w:p>
        </w:tc>
        <w:tc>
          <w:tcPr>
            <w:tcW w:w="2251" w:type="dxa"/>
          </w:tcPr>
          <w:p w:rsidR="004E4A3C" w:rsidRDefault="00FD7157">
            <w:pPr>
              <w:spacing w:after="0" w:line="240" w:lineRule="auto"/>
            </w:pPr>
            <w:r>
              <w:rPr>
                <w:rFonts w:cs="Arial"/>
                <w:sz w:val="18"/>
                <w:szCs w:val="18"/>
              </w:rPr>
              <w:t>474.000-2.843.000 EUR</w:t>
            </w:r>
          </w:p>
        </w:tc>
        <w:tc>
          <w:tcPr>
            <w:tcW w:w="2347" w:type="dxa"/>
          </w:tcPr>
          <w:p w:rsidR="004E4A3C" w:rsidRDefault="00FD7157">
            <w:pPr>
              <w:spacing w:after="0" w:line="240" w:lineRule="auto"/>
            </w:pPr>
            <w:r>
              <w:rPr>
                <w:rFonts w:cs="Arial"/>
                <w:sz w:val="18"/>
                <w:szCs w:val="18"/>
              </w:rPr>
              <w:t>253.000-1.520.000 EUR</w:t>
            </w:r>
          </w:p>
        </w:tc>
      </w:tr>
      <w:tr w:rsidR="004E4A3C">
        <w:trPr>
          <w:cantSplit/>
          <w:jc w:val="center"/>
        </w:trPr>
        <w:tc>
          <w:tcPr>
            <w:tcW w:w="2837" w:type="dxa"/>
          </w:tcPr>
          <w:p w:rsidR="004E4A3C" w:rsidRDefault="00FD7157">
            <w:pPr>
              <w:spacing w:after="0" w:line="240" w:lineRule="auto"/>
            </w:pPr>
            <w:r>
              <w:rPr>
                <w:rFonts w:cs="Arial"/>
                <w:sz w:val="18"/>
                <w:szCs w:val="18"/>
              </w:rPr>
              <w:t>Noćni kontrolni pokazatelj Lnight &gt;=50 dB(A)</w:t>
            </w:r>
          </w:p>
        </w:tc>
        <w:tc>
          <w:tcPr>
            <w:tcW w:w="2429" w:type="dxa"/>
          </w:tcPr>
          <w:p w:rsidR="004E4A3C" w:rsidRDefault="00FD7157">
            <w:pPr>
              <w:spacing w:after="0" w:line="240" w:lineRule="auto"/>
            </w:pPr>
            <w:r>
              <w:rPr>
                <w:rFonts w:cs="Arial"/>
                <w:sz w:val="18"/>
                <w:szCs w:val="18"/>
              </w:rPr>
              <w:t>379,6 stanovnika</w:t>
            </w:r>
          </w:p>
        </w:tc>
        <w:tc>
          <w:tcPr>
            <w:tcW w:w="2251" w:type="dxa"/>
          </w:tcPr>
          <w:p w:rsidR="004E4A3C" w:rsidRDefault="00FD7157">
            <w:pPr>
              <w:spacing w:after="0" w:line="240" w:lineRule="auto"/>
            </w:pPr>
            <w:r>
              <w:rPr>
                <w:rFonts w:cs="Arial"/>
                <w:sz w:val="18"/>
                <w:szCs w:val="18"/>
              </w:rPr>
              <w:t>127,4 stanovnika</w:t>
            </w:r>
          </w:p>
        </w:tc>
        <w:tc>
          <w:tcPr>
            <w:tcW w:w="2347" w:type="dxa"/>
          </w:tcPr>
          <w:p w:rsidR="004E4A3C" w:rsidRDefault="00FD7157">
            <w:pPr>
              <w:spacing w:after="0" w:line="240" w:lineRule="auto"/>
            </w:pPr>
            <w:r>
              <w:rPr>
                <w:rFonts w:cs="Arial"/>
                <w:sz w:val="18"/>
                <w:szCs w:val="18"/>
              </w:rPr>
              <w:t xml:space="preserve">-252,2 </w:t>
            </w:r>
            <w:r>
              <w:rPr>
                <w:rFonts w:cs="Arial"/>
                <w:sz w:val="18"/>
                <w:szCs w:val="18"/>
              </w:rPr>
              <w:t>stanovnika</w:t>
            </w:r>
          </w:p>
        </w:tc>
      </w:tr>
      <w:tr w:rsidR="004E4A3C">
        <w:trPr>
          <w:cantSplit/>
          <w:jc w:val="center"/>
        </w:trPr>
        <w:tc>
          <w:tcPr>
            <w:tcW w:w="2837" w:type="dxa"/>
          </w:tcPr>
          <w:p w:rsidR="004E4A3C" w:rsidRDefault="00FD7157">
            <w:pPr>
              <w:spacing w:after="0" w:line="240" w:lineRule="auto"/>
            </w:pPr>
            <w:r>
              <w:rPr>
                <w:rFonts w:cs="Arial"/>
                <w:sz w:val="18"/>
                <w:szCs w:val="18"/>
              </w:rPr>
              <w:t>Noćni kontrolni pokazatelj Lnight &gt;=55 dB(A)</w:t>
            </w:r>
          </w:p>
        </w:tc>
        <w:tc>
          <w:tcPr>
            <w:tcW w:w="2429" w:type="dxa"/>
          </w:tcPr>
          <w:p w:rsidR="004E4A3C" w:rsidRDefault="00FD7157">
            <w:pPr>
              <w:spacing w:after="0" w:line="240" w:lineRule="auto"/>
            </w:pPr>
            <w:r>
              <w:rPr>
                <w:rFonts w:cs="Arial"/>
                <w:sz w:val="18"/>
                <w:szCs w:val="18"/>
              </w:rPr>
              <w:t>103,9 stanovnika</w:t>
            </w:r>
          </w:p>
        </w:tc>
        <w:tc>
          <w:tcPr>
            <w:tcW w:w="2251" w:type="dxa"/>
          </w:tcPr>
          <w:p w:rsidR="004E4A3C" w:rsidRDefault="00FD7157">
            <w:pPr>
              <w:spacing w:after="0" w:line="240" w:lineRule="auto"/>
            </w:pPr>
            <w:r>
              <w:rPr>
                <w:rFonts w:cs="Arial"/>
                <w:sz w:val="18"/>
                <w:szCs w:val="18"/>
              </w:rPr>
              <w:t>7,3 stanovnika</w:t>
            </w:r>
          </w:p>
        </w:tc>
        <w:tc>
          <w:tcPr>
            <w:tcW w:w="2347" w:type="dxa"/>
          </w:tcPr>
          <w:p w:rsidR="004E4A3C" w:rsidRDefault="00FD7157">
            <w:pPr>
              <w:spacing w:after="0" w:line="240" w:lineRule="auto"/>
            </w:pPr>
            <w:r>
              <w:rPr>
                <w:rFonts w:cs="Arial"/>
                <w:sz w:val="18"/>
                <w:szCs w:val="18"/>
              </w:rPr>
              <w:t>-96,6 stanovnika</w:t>
            </w:r>
          </w:p>
        </w:tc>
      </w:tr>
    </w:tbl>
    <w:p w:rsidR="004E4A3C" w:rsidRDefault="004E4A3C">
      <w:pPr>
        <w:spacing w:after="120"/>
      </w:pPr>
    </w:p>
    <w:p w:rsidR="004E4A3C" w:rsidRDefault="00FD7157">
      <w:pPr>
        <w:spacing w:after="120"/>
        <w:jc w:val="both"/>
      </w:pPr>
      <w:r>
        <w:t>Scenario S4 ne uklanja svu izloženost, ali značajno smanjuje najvažnije pokazatelje. Prema primarnom Lden pokazatelju, izbjegnuti društveno-zdravstv</w:t>
      </w:r>
      <w:r>
        <w:t>eni trošak može biti reda veličine 51.000-304.000 EUR godišnje. Prema noćnim pokazateljima, efekat je posebno važan jer se broj stanovnika u višim noćnim pragovima znatno smanjuje.</w:t>
      </w:r>
    </w:p>
    <w:p w:rsidR="004E4A3C" w:rsidRDefault="00FD7157">
      <w:pPr>
        <w:pStyle w:val="Heading3"/>
        <w:spacing w:after="120"/>
        <w:jc w:val="both"/>
      </w:pPr>
      <w:bookmarkStart w:id="157" w:name="__RefHeading___Toc9271_4023479253"/>
      <w:bookmarkStart w:id="158" w:name="_Toc231671852"/>
      <w:bookmarkEnd w:id="157"/>
      <w:r>
        <w:rPr>
          <w:rFonts w:ascii="Arial" w:eastAsia="Arial" w:hAnsi="Arial"/>
          <w:b w:val="0"/>
        </w:rPr>
        <w:lastRenderedPageBreak/>
        <w:t>10.5.4. Procjena društvenog povrata investicije i zaključak za odlučivanje</w:t>
      </w:r>
      <w:bookmarkEnd w:id="158"/>
    </w:p>
    <w:p w:rsidR="004E4A3C" w:rsidRDefault="00FD7157">
      <w:pPr>
        <w:spacing w:after="120"/>
        <w:jc w:val="both"/>
      </w:pPr>
      <w:r>
        <w:t xml:space="preserve">Društveni rok povrata nije isto što i finansijski povrat investitoru. Računa se kao odnos investicionog troška mjere i monetizovanog izbjegnutog društveno-zdravstvenog troška. Zato kraći rok povrata znači da društvena korist od smanjenja buke brže dostiže </w:t>
      </w:r>
      <w:r>
        <w:t>red veličine uloženih sredstava. Proračun je indikativan i zavisi od konačnih troškova, obuhvata mjere, poštovanja režima brzine i stvarne razlike između standardnog i tišeg kolovoza.</w:t>
      </w:r>
    </w:p>
    <w:p w:rsidR="004E4A3C" w:rsidRDefault="00FD7157">
      <w:pPr>
        <w:keepNext/>
        <w:keepLines/>
        <w:spacing w:after="40"/>
        <w:rPr>
          <w:b/>
          <w:bCs/>
        </w:rPr>
      </w:pPr>
      <w:r>
        <w:rPr>
          <w:b/>
          <w:bCs/>
        </w:rPr>
        <w:t>Tabela 31. Indikativni društveni rok povrata ulaganja</w:t>
      </w:r>
    </w:p>
    <w:tbl>
      <w:tblPr>
        <w:tblStyle w:val="TableGrid"/>
        <w:tblW w:w="9751" w:type="dxa"/>
        <w:jc w:val="center"/>
        <w:tblLayout w:type="fixed"/>
        <w:tblCellMar>
          <w:top w:w="50" w:type="dxa"/>
          <w:left w:w="45" w:type="dxa"/>
          <w:bottom w:w="50" w:type="dxa"/>
          <w:right w:w="45" w:type="dxa"/>
        </w:tblCellMar>
        <w:tblLook w:val="04A0" w:firstRow="1" w:lastRow="0" w:firstColumn="1" w:lastColumn="0" w:noHBand="0" w:noVBand="1"/>
      </w:tblPr>
      <w:tblGrid>
        <w:gridCol w:w="979"/>
        <w:gridCol w:w="2250"/>
        <w:gridCol w:w="1980"/>
        <w:gridCol w:w="1441"/>
        <w:gridCol w:w="3101"/>
      </w:tblGrid>
      <w:tr w:rsidR="004E4A3C">
        <w:trPr>
          <w:cantSplit/>
          <w:tblHeader/>
          <w:jc w:val="center"/>
        </w:trPr>
        <w:tc>
          <w:tcPr>
            <w:tcW w:w="979" w:type="dxa"/>
            <w:shd w:val="clear" w:color="auto" w:fill="D9EAF7"/>
          </w:tcPr>
          <w:p w:rsidR="004E4A3C" w:rsidRDefault="00FD7157">
            <w:pPr>
              <w:spacing w:after="0" w:line="240" w:lineRule="auto"/>
              <w:jc w:val="center"/>
            </w:pPr>
            <w:r>
              <w:rPr>
                <w:rFonts w:cs="Arial"/>
                <w:b/>
                <w:sz w:val="18"/>
                <w:szCs w:val="18"/>
              </w:rPr>
              <w:t>Scenario / mjera</w:t>
            </w:r>
          </w:p>
        </w:tc>
        <w:tc>
          <w:tcPr>
            <w:tcW w:w="2250" w:type="dxa"/>
            <w:shd w:val="clear" w:color="auto" w:fill="D9EAF7"/>
          </w:tcPr>
          <w:p w:rsidR="004E4A3C" w:rsidRDefault="00FD7157">
            <w:pPr>
              <w:spacing w:after="0" w:line="240" w:lineRule="auto"/>
              <w:jc w:val="center"/>
            </w:pPr>
            <w:r>
              <w:rPr>
                <w:rFonts w:cs="Arial"/>
                <w:b/>
                <w:sz w:val="18"/>
                <w:szCs w:val="18"/>
              </w:rPr>
              <w:t>I</w:t>
            </w:r>
            <w:r>
              <w:rPr>
                <w:rFonts w:cs="Arial"/>
                <w:b/>
                <w:sz w:val="18"/>
                <w:szCs w:val="18"/>
              </w:rPr>
              <w:t>nvesticija</w:t>
            </w:r>
          </w:p>
        </w:tc>
        <w:tc>
          <w:tcPr>
            <w:tcW w:w="1980" w:type="dxa"/>
            <w:shd w:val="clear" w:color="auto" w:fill="D9EAF7"/>
          </w:tcPr>
          <w:p w:rsidR="004E4A3C" w:rsidRDefault="00FD7157">
            <w:pPr>
              <w:spacing w:after="0" w:line="240" w:lineRule="auto"/>
              <w:jc w:val="center"/>
            </w:pPr>
            <w:r>
              <w:rPr>
                <w:rFonts w:cs="Arial"/>
                <w:b/>
                <w:sz w:val="18"/>
                <w:szCs w:val="18"/>
              </w:rPr>
              <w:t>Izbjegnuti trošak/god.</w:t>
            </w:r>
          </w:p>
        </w:tc>
        <w:tc>
          <w:tcPr>
            <w:tcW w:w="1441" w:type="dxa"/>
            <w:shd w:val="clear" w:color="auto" w:fill="D9EAF7"/>
          </w:tcPr>
          <w:p w:rsidR="004E4A3C" w:rsidRDefault="00FD7157">
            <w:pPr>
              <w:spacing w:after="0" w:line="240" w:lineRule="auto"/>
              <w:jc w:val="center"/>
            </w:pPr>
            <w:r>
              <w:rPr>
                <w:rFonts w:cs="Arial"/>
                <w:b/>
                <w:sz w:val="18"/>
                <w:szCs w:val="18"/>
              </w:rPr>
              <w:t>Rok povrata</w:t>
            </w:r>
          </w:p>
        </w:tc>
        <w:tc>
          <w:tcPr>
            <w:tcW w:w="3101" w:type="dxa"/>
            <w:shd w:val="clear" w:color="auto" w:fill="D9EAF7"/>
          </w:tcPr>
          <w:p w:rsidR="004E4A3C" w:rsidRDefault="00FD7157">
            <w:pPr>
              <w:spacing w:after="0" w:line="240" w:lineRule="auto"/>
              <w:jc w:val="center"/>
            </w:pPr>
            <w:r>
              <w:rPr>
                <w:rFonts w:cs="Arial"/>
                <w:b/>
                <w:sz w:val="18"/>
                <w:szCs w:val="18"/>
              </w:rPr>
              <w:t>Tumačenje za odluku</w:t>
            </w:r>
          </w:p>
        </w:tc>
      </w:tr>
      <w:tr w:rsidR="004E4A3C">
        <w:trPr>
          <w:cantSplit/>
          <w:jc w:val="center"/>
        </w:trPr>
        <w:tc>
          <w:tcPr>
            <w:tcW w:w="979" w:type="dxa"/>
          </w:tcPr>
          <w:p w:rsidR="004E4A3C" w:rsidRDefault="00FD7157">
            <w:pPr>
              <w:spacing w:after="0" w:line="240" w:lineRule="auto"/>
              <w:jc w:val="center"/>
            </w:pPr>
            <w:r>
              <w:rPr>
                <w:rFonts w:cs="Arial"/>
                <w:sz w:val="18"/>
                <w:szCs w:val="18"/>
              </w:rPr>
              <w:t>S1</w:t>
            </w:r>
          </w:p>
        </w:tc>
        <w:tc>
          <w:tcPr>
            <w:tcW w:w="2250" w:type="dxa"/>
          </w:tcPr>
          <w:p w:rsidR="004E4A3C" w:rsidRDefault="00FD7157">
            <w:pPr>
              <w:spacing w:after="0" w:line="240" w:lineRule="auto"/>
            </w:pPr>
            <w:r>
              <w:rPr>
                <w:rFonts w:cs="Arial"/>
                <w:sz w:val="18"/>
                <w:szCs w:val="18"/>
              </w:rPr>
              <w:t>30.000-90.000 EUR</w:t>
            </w:r>
          </w:p>
        </w:tc>
        <w:tc>
          <w:tcPr>
            <w:tcW w:w="1980" w:type="dxa"/>
          </w:tcPr>
          <w:p w:rsidR="004E4A3C" w:rsidRDefault="00FD7157">
            <w:pPr>
              <w:spacing w:after="0" w:line="240" w:lineRule="auto"/>
            </w:pPr>
            <w:r>
              <w:rPr>
                <w:rFonts w:cs="Arial"/>
                <w:sz w:val="18"/>
                <w:szCs w:val="18"/>
              </w:rPr>
              <w:t>oko 7.900-47.300 EUR/god.</w:t>
            </w:r>
          </w:p>
        </w:tc>
        <w:tc>
          <w:tcPr>
            <w:tcW w:w="1441" w:type="dxa"/>
          </w:tcPr>
          <w:p w:rsidR="004E4A3C" w:rsidRDefault="00FD7157">
            <w:pPr>
              <w:spacing w:after="0" w:line="240" w:lineRule="auto"/>
            </w:pPr>
            <w:r>
              <w:rPr>
                <w:rFonts w:cs="Arial"/>
                <w:sz w:val="18"/>
                <w:szCs w:val="18"/>
              </w:rPr>
              <w:t>oko 0,6-11,4 godina</w:t>
            </w:r>
          </w:p>
        </w:tc>
        <w:tc>
          <w:tcPr>
            <w:tcW w:w="3101" w:type="dxa"/>
          </w:tcPr>
          <w:p w:rsidR="004E4A3C" w:rsidRDefault="00FD7157">
            <w:pPr>
              <w:spacing w:after="0" w:line="240" w:lineRule="auto"/>
            </w:pPr>
            <w:r>
              <w:rPr>
                <w:rFonts w:cs="Arial"/>
                <w:sz w:val="18"/>
                <w:szCs w:val="18"/>
              </w:rPr>
              <w:t>Najpovoljnija kratkoročna mjera; efekat zavisi od realne kontrole i poštovanja brzine.</w:t>
            </w:r>
          </w:p>
        </w:tc>
      </w:tr>
      <w:tr w:rsidR="004E4A3C">
        <w:trPr>
          <w:cantSplit/>
          <w:jc w:val="center"/>
        </w:trPr>
        <w:tc>
          <w:tcPr>
            <w:tcW w:w="979" w:type="dxa"/>
          </w:tcPr>
          <w:p w:rsidR="004E4A3C" w:rsidRDefault="00FD7157">
            <w:pPr>
              <w:spacing w:after="0" w:line="240" w:lineRule="auto"/>
              <w:jc w:val="center"/>
            </w:pPr>
            <w:r>
              <w:rPr>
                <w:rFonts w:cs="Arial"/>
                <w:sz w:val="18"/>
                <w:szCs w:val="18"/>
              </w:rPr>
              <w:t>S3</w:t>
            </w:r>
          </w:p>
        </w:tc>
        <w:tc>
          <w:tcPr>
            <w:tcW w:w="2250" w:type="dxa"/>
          </w:tcPr>
          <w:p w:rsidR="004E4A3C" w:rsidRDefault="00FD7157">
            <w:pPr>
              <w:spacing w:after="0" w:line="240" w:lineRule="auto"/>
            </w:pPr>
            <w:r>
              <w:rPr>
                <w:rFonts w:cs="Arial"/>
                <w:sz w:val="18"/>
                <w:szCs w:val="18"/>
              </w:rPr>
              <w:t>1.000.000-2.000.000 EUR</w:t>
            </w:r>
          </w:p>
        </w:tc>
        <w:tc>
          <w:tcPr>
            <w:tcW w:w="1980" w:type="dxa"/>
          </w:tcPr>
          <w:p w:rsidR="004E4A3C" w:rsidRDefault="00FD7157">
            <w:pPr>
              <w:spacing w:after="0" w:line="240" w:lineRule="auto"/>
            </w:pPr>
            <w:r>
              <w:rPr>
                <w:rFonts w:cs="Arial"/>
                <w:sz w:val="18"/>
                <w:szCs w:val="18"/>
              </w:rPr>
              <w:t xml:space="preserve">oko </w:t>
            </w:r>
            <w:r>
              <w:rPr>
                <w:rFonts w:cs="Arial"/>
                <w:sz w:val="18"/>
                <w:szCs w:val="18"/>
              </w:rPr>
              <w:t>37.500-225.200 EUR/god.</w:t>
            </w:r>
          </w:p>
        </w:tc>
        <w:tc>
          <w:tcPr>
            <w:tcW w:w="1441" w:type="dxa"/>
          </w:tcPr>
          <w:p w:rsidR="004E4A3C" w:rsidRDefault="00FD7157">
            <w:pPr>
              <w:spacing w:after="0" w:line="240" w:lineRule="auto"/>
            </w:pPr>
            <w:r>
              <w:rPr>
                <w:rFonts w:cs="Arial"/>
                <w:sz w:val="18"/>
                <w:szCs w:val="18"/>
              </w:rPr>
              <w:t>oko 4,4-53,3 godina</w:t>
            </w:r>
          </w:p>
        </w:tc>
        <w:tc>
          <w:tcPr>
            <w:tcW w:w="3101" w:type="dxa"/>
          </w:tcPr>
          <w:p w:rsidR="004E4A3C" w:rsidRDefault="00FD7157">
            <w:pPr>
              <w:spacing w:after="0" w:line="240" w:lineRule="auto"/>
            </w:pPr>
            <w:r>
              <w:rPr>
                <w:rFonts w:cs="Arial"/>
                <w:sz w:val="18"/>
                <w:szCs w:val="18"/>
              </w:rPr>
              <w:t>Kao samostalna mjera je skupa; znatno povoljnija kada se veže za planiranu obnovu kolovoza.</w:t>
            </w:r>
          </w:p>
        </w:tc>
      </w:tr>
      <w:tr w:rsidR="004E4A3C">
        <w:trPr>
          <w:cantSplit/>
          <w:jc w:val="center"/>
        </w:trPr>
        <w:tc>
          <w:tcPr>
            <w:tcW w:w="979" w:type="dxa"/>
          </w:tcPr>
          <w:p w:rsidR="004E4A3C" w:rsidRDefault="00FD7157">
            <w:pPr>
              <w:spacing w:after="0" w:line="240" w:lineRule="auto"/>
              <w:jc w:val="center"/>
            </w:pPr>
            <w:r>
              <w:rPr>
                <w:rFonts w:cs="Arial"/>
                <w:sz w:val="18"/>
                <w:szCs w:val="18"/>
              </w:rPr>
              <w:t>S4</w:t>
            </w:r>
          </w:p>
        </w:tc>
        <w:tc>
          <w:tcPr>
            <w:tcW w:w="2250" w:type="dxa"/>
          </w:tcPr>
          <w:p w:rsidR="004E4A3C" w:rsidRDefault="00FD7157">
            <w:pPr>
              <w:spacing w:after="0" w:line="240" w:lineRule="auto"/>
            </w:pPr>
            <w:r>
              <w:rPr>
                <w:rFonts w:cs="Arial"/>
                <w:sz w:val="18"/>
                <w:szCs w:val="18"/>
              </w:rPr>
              <w:t>1.050.000-2.100.000 EUR</w:t>
            </w:r>
          </w:p>
        </w:tc>
        <w:tc>
          <w:tcPr>
            <w:tcW w:w="1980" w:type="dxa"/>
          </w:tcPr>
          <w:p w:rsidR="004E4A3C" w:rsidRDefault="00FD7157">
            <w:pPr>
              <w:spacing w:after="0" w:line="240" w:lineRule="auto"/>
            </w:pPr>
            <w:r>
              <w:rPr>
                <w:rFonts w:cs="Arial"/>
                <w:sz w:val="18"/>
                <w:szCs w:val="18"/>
              </w:rPr>
              <w:t>oko 50.700-304.100 EUR/god.</w:t>
            </w:r>
          </w:p>
        </w:tc>
        <w:tc>
          <w:tcPr>
            <w:tcW w:w="1441" w:type="dxa"/>
          </w:tcPr>
          <w:p w:rsidR="004E4A3C" w:rsidRDefault="00FD7157">
            <w:pPr>
              <w:spacing w:after="0" w:line="240" w:lineRule="auto"/>
            </w:pPr>
            <w:r>
              <w:rPr>
                <w:rFonts w:cs="Arial"/>
                <w:sz w:val="18"/>
                <w:szCs w:val="18"/>
              </w:rPr>
              <w:t>oko 3,5-41,4 godina; srednja orijentacija oko 9 godina</w:t>
            </w:r>
          </w:p>
        </w:tc>
        <w:tc>
          <w:tcPr>
            <w:tcW w:w="3101" w:type="dxa"/>
          </w:tcPr>
          <w:p w:rsidR="004E4A3C" w:rsidRDefault="00FD7157">
            <w:pPr>
              <w:spacing w:after="0" w:line="240" w:lineRule="auto"/>
            </w:pPr>
            <w:r>
              <w:rPr>
                <w:rFonts w:cs="Arial"/>
                <w:sz w:val="18"/>
                <w:szCs w:val="18"/>
              </w:rPr>
              <w:t xml:space="preserve">Najbolji </w:t>
            </w:r>
            <w:r>
              <w:rPr>
                <w:rFonts w:cs="Arial"/>
                <w:sz w:val="18"/>
                <w:szCs w:val="18"/>
              </w:rPr>
              <w:t>ukupni akustički efekat; investicioni dio sprovoditi fazno i vezati za održavanje.</w:t>
            </w:r>
          </w:p>
        </w:tc>
      </w:tr>
      <w:tr w:rsidR="004E4A3C">
        <w:trPr>
          <w:cantSplit/>
          <w:jc w:val="center"/>
        </w:trPr>
        <w:tc>
          <w:tcPr>
            <w:tcW w:w="979" w:type="dxa"/>
          </w:tcPr>
          <w:p w:rsidR="004E4A3C" w:rsidRDefault="00FD7157">
            <w:pPr>
              <w:spacing w:after="0" w:line="240" w:lineRule="auto"/>
              <w:jc w:val="center"/>
            </w:pPr>
            <w:r>
              <w:rPr>
                <w:rFonts w:cs="Arial"/>
                <w:sz w:val="18"/>
              </w:rPr>
              <w:t>dopunske mjere</w:t>
            </w:r>
          </w:p>
        </w:tc>
        <w:tc>
          <w:tcPr>
            <w:tcW w:w="2250" w:type="dxa"/>
          </w:tcPr>
          <w:p w:rsidR="004E4A3C" w:rsidRDefault="00FD7157">
            <w:pPr>
              <w:spacing w:after="0" w:line="240" w:lineRule="auto"/>
            </w:pPr>
            <w:r>
              <w:rPr>
                <w:rFonts w:cs="Arial"/>
                <w:sz w:val="18"/>
                <w:szCs w:val="18"/>
              </w:rPr>
              <w:t>80.000-400.000 EUR, zavisno od broja i tipa objekata</w:t>
            </w:r>
          </w:p>
        </w:tc>
        <w:tc>
          <w:tcPr>
            <w:tcW w:w="1980" w:type="dxa"/>
          </w:tcPr>
          <w:p w:rsidR="004E4A3C" w:rsidRDefault="00FD7157">
            <w:pPr>
              <w:spacing w:after="0" w:line="240" w:lineRule="auto"/>
            </w:pPr>
            <w:r>
              <w:rPr>
                <w:rFonts w:cs="Arial"/>
                <w:sz w:val="18"/>
                <w:szCs w:val="18"/>
              </w:rPr>
              <w:t>računa se po rezidualnim objektima</w:t>
            </w:r>
          </w:p>
        </w:tc>
        <w:tc>
          <w:tcPr>
            <w:tcW w:w="1441" w:type="dxa"/>
          </w:tcPr>
          <w:p w:rsidR="004E4A3C" w:rsidRDefault="00FD7157">
            <w:pPr>
              <w:spacing w:after="0" w:line="240" w:lineRule="auto"/>
            </w:pPr>
            <w:r>
              <w:rPr>
                <w:rFonts w:cs="Arial"/>
                <w:sz w:val="18"/>
                <w:szCs w:val="18"/>
              </w:rPr>
              <w:t>odrediti nakon lokalnog projekta</w:t>
            </w:r>
          </w:p>
        </w:tc>
        <w:tc>
          <w:tcPr>
            <w:tcW w:w="3101" w:type="dxa"/>
          </w:tcPr>
          <w:p w:rsidR="004E4A3C" w:rsidRDefault="00FD7157">
            <w:pPr>
              <w:spacing w:after="0" w:line="240" w:lineRule="auto"/>
            </w:pPr>
            <w:r>
              <w:rPr>
                <w:rFonts w:cs="Arial"/>
                <w:sz w:val="18"/>
                <w:szCs w:val="18"/>
              </w:rPr>
              <w:t xml:space="preserve">Primijeniti samo za preostale </w:t>
            </w:r>
            <w:r>
              <w:rPr>
                <w:rFonts w:cs="Arial"/>
                <w:sz w:val="18"/>
                <w:szCs w:val="18"/>
              </w:rPr>
              <w:t>hot-spot objekte nakon S4 ili kada su mjere na prijemniku racionalnije.</w:t>
            </w:r>
          </w:p>
        </w:tc>
      </w:tr>
    </w:tbl>
    <w:p w:rsidR="004E4A3C" w:rsidRDefault="004E4A3C">
      <w:pPr>
        <w:keepNext/>
        <w:keepLines/>
      </w:pPr>
    </w:p>
    <w:p w:rsidR="004E4A3C" w:rsidRDefault="00FD7157">
      <w:pPr>
        <w:keepNext/>
        <w:keepLines/>
        <w:spacing w:after="40"/>
        <w:rPr>
          <w:b/>
          <w:bCs/>
        </w:rPr>
      </w:pPr>
      <w:r>
        <w:rPr>
          <w:b/>
          <w:bCs/>
        </w:rPr>
        <w:t>Tabela 32. Osjetljivost procjene društvenog povrata ulaganja</w:t>
      </w:r>
    </w:p>
    <w:tbl>
      <w:tblPr>
        <w:tblStyle w:val="TableGrid"/>
        <w:tblW w:w="9941" w:type="dxa"/>
        <w:jc w:val="center"/>
        <w:tblLayout w:type="fixed"/>
        <w:tblCellMar>
          <w:top w:w="40" w:type="dxa"/>
          <w:left w:w="40" w:type="dxa"/>
          <w:bottom w:w="40" w:type="dxa"/>
          <w:right w:w="40" w:type="dxa"/>
        </w:tblCellMar>
        <w:tblLook w:val="04A0" w:firstRow="1" w:lastRow="0" w:firstColumn="1" w:lastColumn="0" w:noHBand="0" w:noVBand="1"/>
      </w:tblPr>
      <w:tblGrid>
        <w:gridCol w:w="1170"/>
        <w:gridCol w:w="2591"/>
        <w:gridCol w:w="1909"/>
        <w:gridCol w:w="2514"/>
        <w:gridCol w:w="1757"/>
      </w:tblGrid>
      <w:tr w:rsidR="004E4A3C">
        <w:trPr>
          <w:cantSplit/>
          <w:tblHeader/>
          <w:jc w:val="center"/>
        </w:trPr>
        <w:tc>
          <w:tcPr>
            <w:tcW w:w="1170" w:type="dxa"/>
            <w:shd w:val="clear" w:color="auto" w:fill="D9EAF7"/>
          </w:tcPr>
          <w:p w:rsidR="004E4A3C" w:rsidRDefault="00FD7157">
            <w:pPr>
              <w:spacing w:after="0" w:line="240" w:lineRule="auto"/>
              <w:jc w:val="center"/>
            </w:pPr>
            <w:r>
              <w:rPr>
                <w:rFonts w:cs="Arial"/>
                <w:b/>
                <w:sz w:val="18"/>
              </w:rPr>
              <w:t>Scenario</w:t>
            </w:r>
          </w:p>
        </w:tc>
        <w:tc>
          <w:tcPr>
            <w:tcW w:w="2591" w:type="dxa"/>
            <w:shd w:val="clear" w:color="auto" w:fill="D9EAF7"/>
          </w:tcPr>
          <w:p w:rsidR="004E4A3C" w:rsidRDefault="00FD7157">
            <w:pPr>
              <w:spacing w:after="0" w:line="240" w:lineRule="auto"/>
              <w:jc w:val="center"/>
            </w:pPr>
            <w:r>
              <w:rPr>
                <w:rFonts w:cs="Arial"/>
                <w:b/>
                <w:sz w:val="18"/>
              </w:rPr>
              <w:t>Niži trošak / veća korist</w:t>
            </w:r>
          </w:p>
        </w:tc>
        <w:tc>
          <w:tcPr>
            <w:tcW w:w="1909" w:type="dxa"/>
            <w:shd w:val="clear" w:color="auto" w:fill="D9EAF7"/>
          </w:tcPr>
          <w:p w:rsidR="004E4A3C" w:rsidRDefault="00FD7157">
            <w:pPr>
              <w:spacing w:after="0" w:line="240" w:lineRule="auto"/>
              <w:jc w:val="center"/>
            </w:pPr>
            <w:r>
              <w:rPr>
                <w:rFonts w:cs="Arial"/>
                <w:b/>
                <w:sz w:val="18"/>
              </w:rPr>
              <w:t>Centralna planska pretpostavka</w:t>
            </w:r>
          </w:p>
        </w:tc>
        <w:tc>
          <w:tcPr>
            <w:tcW w:w="2514" w:type="dxa"/>
            <w:shd w:val="clear" w:color="auto" w:fill="D9EAF7"/>
          </w:tcPr>
          <w:p w:rsidR="004E4A3C" w:rsidRDefault="00FD7157">
            <w:pPr>
              <w:spacing w:after="0" w:line="240" w:lineRule="auto"/>
              <w:jc w:val="center"/>
            </w:pPr>
            <w:r>
              <w:rPr>
                <w:rFonts w:cs="Arial"/>
                <w:b/>
                <w:sz w:val="18"/>
              </w:rPr>
              <w:t>Viši trošak / niža korist</w:t>
            </w:r>
          </w:p>
        </w:tc>
        <w:tc>
          <w:tcPr>
            <w:tcW w:w="1757" w:type="dxa"/>
            <w:shd w:val="clear" w:color="auto" w:fill="D9EAF7"/>
          </w:tcPr>
          <w:p w:rsidR="004E4A3C" w:rsidRDefault="00FD7157">
            <w:pPr>
              <w:spacing w:after="0" w:line="240" w:lineRule="auto"/>
              <w:jc w:val="center"/>
            </w:pPr>
            <w:r>
              <w:rPr>
                <w:rFonts w:cs="Arial"/>
                <w:b/>
                <w:sz w:val="18"/>
              </w:rPr>
              <w:t>Tumačenje</w:t>
            </w:r>
          </w:p>
        </w:tc>
      </w:tr>
      <w:tr w:rsidR="004E4A3C">
        <w:trPr>
          <w:cantSplit/>
          <w:jc w:val="center"/>
        </w:trPr>
        <w:tc>
          <w:tcPr>
            <w:tcW w:w="1170" w:type="dxa"/>
          </w:tcPr>
          <w:p w:rsidR="004E4A3C" w:rsidRDefault="00FD7157">
            <w:pPr>
              <w:spacing w:after="0" w:line="240" w:lineRule="auto"/>
              <w:jc w:val="center"/>
            </w:pPr>
            <w:r>
              <w:rPr>
                <w:rFonts w:cs="Arial"/>
                <w:sz w:val="18"/>
              </w:rPr>
              <w:t>S1</w:t>
            </w:r>
          </w:p>
        </w:tc>
        <w:tc>
          <w:tcPr>
            <w:tcW w:w="2591" w:type="dxa"/>
          </w:tcPr>
          <w:p w:rsidR="004E4A3C" w:rsidRDefault="00FD7157">
            <w:pPr>
              <w:spacing w:after="0" w:line="240" w:lineRule="auto"/>
            </w:pPr>
            <w:r>
              <w:rPr>
                <w:rFonts w:cs="Arial"/>
                <w:sz w:val="18"/>
              </w:rPr>
              <w:t xml:space="preserve">povrat do 1-3 </w:t>
            </w:r>
            <w:r>
              <w:rPr>
                <w:rFonts w:cs="Arial"/>
                <w:sz w:val="18"/>
              </w:rPr>
              <w:t>godine</w:t>
            </w:r>
          </w:p>
        </w:tc>
        <w:tc>
          <w:tcPr>
            <w:tcW w:w="1909" w:type="dxa"/>
          </w:tcPr>
          <w:p w:rsidR="004E4A3C" w:rsidRDefault="00FD7157">
            <w:pPr>
              <w:spacing w:after="0" w:line="240" w:lineRule="auto"/>
            </w:pPr>
            <w:r>
              <w:rPr>
                <w:rFonts w:cs="Arial"/>
                <w:sz w:val="18"/>
              </w:rPr>
              <w:t>povrat oko 3-7 godina</w:t>
            </w:r>
          </w:p>
        </w:tc>
        <w:tc>
          <w:tcPr>
            <w:tcW w:w="2514" w:type="dxa"/>
          </w:tcPr>
          <w:p w:rsidR="004E4A3C" w:rsidRDefault="00FD7157">
            <w:pPr>
              <w:spacing w:after="0" w:line="240" w:lineRule="auto"/>
            </w:pPr>
            <w:r>
              <w:rPr>
                <w:rFonts w:cs="Arial"/>
                <w:sz w:val="18"/>
              </w:rPr>
              <w:t>povrat do oko 10-12 godina</w:t>
            </w:r>
          </w:p>
        </w:tc>
        <w:tc>
          <w:tcPr>
            <w:tcW w:w="1757" w:type="dxa"/>
          </w:tcPr>
          <w:p w:rsidR="004E4A3C" w:rsidRDefault="00FD7157">
            <w:pPr>
              <w:spacing w:after="0" w:line="240" w:lineRule="auto"/>
            </w:pPr>
            <w:r>
              <w:rPr>
                <w:rFonts w:cs="Arial"/>
                <w:sz w:val="18"/>
              </w:rPr>
              <w:t>zadržava status prve mjere jer je ulaganje ograničeno</w:t>
            </w:r>
          </w:p>
        </w:tc>
      </w:tr>
      <w:tr w:rsidR="004E4A3C">
        <w:trPr>
          <w:cantSplit/>
          <w:jc w:val="center"/>
        </w:trPr>
        <w:tc>
          <w:tcPr>
            <w:tcW w:w="1170" w:type="dxa"/>
          </w:tcPr>
          <w:p w:rsidR="004E4A3C" w:rsidRDefault="00FD7157">
            <w:pPr>
              <w:spacing w:after="0" w:line="240" w:lineRule="auto"/>
              <w:jc w:val="center"/>
            </w:pPr>
            <w:r>
              <w:rPr>
                <w:rFonts w:cs="Arial"/>
                <w:sz w:val="18"/>
              </w:rPr>
              <w:t>S3</w:t>
            </w:r>
          </w:p>
        </w:tc>
        <w:tc>
          <w:tcPr>
            <w:tcW w:w="2591" w:type="dxa"/>
          </w:tcPr>
          <w:p w:rsidR="004E4A3C" w:rsidRDefault="00FD7157">
            <w:pPr>
              <w:spacing w:after="0" w:line="240" w:lineRule="auto"/>
            </w:pPr>
            <w:r>
              <w:rPr>
                <w:rFonts w:cs="Arial"/>
                <w:sz w:val="18"/>
              </w:rPr>
              <w:t>povoljan ako je dio obnove kolovoza</w:t>
            </w:r>
          </w:p>
        </w:tc>
        <w:tc>
          <w:tcPr>
            <w:tcW w:w="1909" w:type="dxa"/>
          </w:tcPr>
          <w:p w:rsidR="004E4A3C" w:rsidRDefault="00FD7157">
            <w:pPr>
              <w:spacing w:after="0" w:line="240" w:lineRule="auto"/>
            </w:pPr>
            <w:r>
              <w:rPr>
                <w:rFonts w:cs="Arial"/>
                <w:sz w:val="18"/>
              </w:rPr>
              <w:t>povrat srednji, zavisi od dodatnog troška CNS_15</w:t>
            </w:r>
          </w:p>
        </w:tc>
        <w:tc>
          <w:tcPr>
            <w:tcW w:w="2514" w:type="dxa"/>
          </w:tcPr>
          <w:p w:rsidR="004E4A3C" w:rsidRDefault="00FD7157">
            <w:pPr>
              <w:spacing w:after="0" w:line="240" w:lineRule="auto"/>
            </w:pPr>
            <w:r>
              <w:rPr>
                <w:rFonts w:cs="Arial"/>
                <w:sz w:val="18"/>
              </w:rPr>
              <w:t>nepovoljan ako se puni trošak kolovoza pripiše samo buci</w:t>
            </w:r>
          </w:p>
        </w:tc>
        <w:tc>
          <w:tcPr>
            <w:tcW w:w="1757" w:type="dxa"/>
          </w:tcPr>
          <w:p w:rsidR="004E4A3C" w:rsidRDefault="00FD7157">
            <w:pPr>
              <w:spacing w:after="0" w:line="240" w:lineRule="auto"/>
            </w:pPr>
            <w:r>
              <w:rPr>
                <w:rFonts w:cs="Arial"/>
                <w:sz w:val="18"/>
              </w:rPr>
              <w:t>planirati kroz investiciono održavanje</w:t>
            </w:r>
          </w:p>
        </w:tc>
      </w:tr>
      <w:tr w:rsidR="004E4A3C">
        <w:trPr>
          <w:cantSplit/>
          <w:jc w:val="center"/>
        </w:trPr>
        <w:tc>
          <w:tcPr>
            <w:tcW w:w="1170" w:type="dxa"/>
          </w:tcPr>
          <w:p w:rsidR="004E4A3C" w:rsidRDefault="00FD7157">
            <w:pPr>
              <w:spacing w:after="0" w:line="240" w:lineRule="auto"/>
              <w:jc w:val="center"/>
            </w:pPr>
            <w:r>
              <w:rPr>
                <w:rFonts w:cs="Arial"/>
                <w:sz w:val="18"/>
              </w:rPr>
              <w:t>S4</w:t>
            </w:r>
          </w:p>
        </w:tc>
        <w:tc>
          <w:tcPr>
            <w:tcW w:w="2591" w:type="dxa"/>
          </w:tcPr>
          <w:p w:rsidR="004E4A3C" w:rsidRDefault="00FD7157">
            <w:pPr>
              <w:spacing w:after="0" w:line="240" w:lineRule="auto"/>
            </w:pPr>
            <w:r>
              <w:rPr>
                <w:rFonts w:cs="Arial"/>
                <w:sz w:val="18"/>
              </w:rPr>
              <w:t>najbolji društveni efekat ako se kombinuje sa obnovom kolovoza</w:t>
            </w:r>
          </w:p>
        </w:tc>
        <w:tc>
          <w:tcPr>
            <w:tcW w:w="1909" w:type="dxa"/>
          </w:tcPr>
          <w:p w:rsidR="004E4A3C" w:rsidRDefault="00FD7157">
            <w:pPr>
              <w:spacing w:after="0" w:line="240" w:lineRule="auto"/>
            </w:pPr>
            <w:r>
              <w:rPr>
                <w:rFonts w:cs="Arial"/>
                <w:sz w:val="18"/>
              </w:rPr>
              <w:t>povrat prihvatljiv u faznom pristupu</w:t>
            </w:r>
          </w:p>
        </w:tc>
        <w:tc>
          <w:tcPr>
            <w:tcW w:w="2514" w:type="dxa"/>
          </w:tcPr>
          <w:p w:rsidR="004E4A3C" w:rsidRDefault="00FD7157">
            <w:pPr>
              <w:spacing w:after="0" w:line="240" w:lineRule="auto"/>
            </w:pPr>
            <w:r>
              <w:rPr>
                <w:rFonts w:cs="Arial"/>
                <w:sz w:val="18"/>
              </w:rPr>
              <w:t>povrat dug ako se radi kao izdvojeni projekat samo zbog buke</w:t>
            </w:r>
          </w:p>
        </w:tc>
        <w:tc>
          <w:tcPr>
            <w:tcW w:w="1757" w:type="dxa"/>
          </w:tcPr>
          <w:p w:rsidR="004E4A3C" w:rsidRDefault="00FD7157">
            <w:pPr>
              <w:spacing w:after="0" w:line="240" w:lineRule="auto"/>
            </w:pPr>
            <w:r>
              <w:rPr>
                <w:rFonts w:cs="Arial"/>
                <w:sz w:val="18"/>
              </w:rPr>
              <w:t>ciljni paket, ne nužno prvi budžetski korak</w:t>
            </w:r>
          </w:p>
        </w:tc>
      </w:tr>
      <w:tr w:rsidR="004E4A3C">
        <w:trPr>
          <w:cantSplit/>
          <w:jc w:val="center"/>
        </w:trPr>
        <w:tc>
          <w:tcPr>
            <w:tcW w:w="1170" w:type="dxa"/>
          </w:tcPr>
          <w:p w:rsidR="004E4A3C" w:rsidRDefault="00FD7157">
            <w:pPr>
              <w:spacing w:after="0" w:line="240" w:lineRule="auto"/>
              <w:jc w:val="center"/>
            </w:pPr>
            <w:r>
              <w:rPr>
                <w:rFonts w:cs="Arial"/>
                <w:sz w:val="18"/>
              </w:rPr>
              <w:t>dopunsk</w:t>
            </w:r>
            <w:r>
              <w:rPr>
                <w:rFonts w:cs="Arial"/>
                <w:sz w:val="18"/>
              </w:rPr>
              <w:t>e mjere</w:t>
            </w:r>
          </w:p>
        </w:tc>
        <w:tc>
          <w:tcPr>
            <w:tcW w:w="2591" w:type="dxa"/>
          </w:tcPr>
          <w:p w:rsidR="004E4A3C" w:rsidRDefault="00FD7157">
            <w:pPr>
              <w:spacing w:after="0" w:line="240" w:lineRule="auto"/>
            </w:pPr>
            <w:r>
              <w:rPr>
                <w:rFonts w:cs="Arial"/>
                <w:sz w:val="18"/>
              </w:rPr>
              <w:t>može biti opravdan za grupu rezidualnih objekata</w:t>
            </w:r>
          </w:p>
        </w:tc>
        <w:tc>
          <w:tcPr>
            <w:tcW w:w="1909" w:type="dxa"/>
          </w:tcPr>
          <w:p w:rsidR="004E4A3C" w:rsidRDefault="00FD7157">
            <w:pPr>
              <w:spacing w:after="0" w:line="240" w:lineRule="auto"/>
            </w:pPr>
            <w:r>
              <w:rPr>
                <w:rFonts w:cs="Arial"/>
                <w:sz w:val="18"/>
              </w:rPr>
              <w:t>provjerava se pojedinačno</w:t>
            </w:r>
          </w:p>
        </w:tc>
        <w:tc>
          <w:tcPr>
            <w:tcW w:w="2514" w:type="dxa"/>
          </w:tcPr>
          <w:p w:rsidR="004E4A3C" w:rsidRDefault="00FD7157">
            <w:pPr>
              <w:spacing w:after="0" w:line="240" w:lineRule="auto"/>
            </w:pPr>
            <w:r>
              <w:rPr>
                <w:rFonts w:cs="Arial"/>
                <w:sz w:val="18"/>
              </w:rPr>
              <w:t>nepovoljan za pojedinačne rasute objekte</w:t>
            </w:r>
          </w:p>
        </w:tc>
        <w:tc>
          <w:tcPr>
            <w:tcW w:w="1757" w:type="dxa"/>
          </w:tcPr>
          <w:p w:rsidR="004E4A3C" w:rsidRDefault="00FD7157">
            <w:pPr>
              <w:spacing w:after="0" w:line="240" w:lineRule="auto"/>
            </w:pPr>
            <w:r>
              <w:rPr>
                <w:rFonts w:cs="Arial"/>
                <w:sz w:val="18"/>
              </w:rPr>
              <w:t>nije linijska mjera za cijelu dionicu</w:t>
            </w:r>
          </w:p>
        </w:tc>
      </w:tr>
    </w:tbl>
    <w:p w:rsidR="004E4A3C" w:rsidRDefault="004E4A3C">
      <w:pPr>
        <w:spacing w:after="0"/>
      </w:pPr>
    </w:p>
    <w:p w:rsidR="004E4A3C" w:rsidRDefault="00FD7157">
      <w:pPr>
        <w:jc w:val="both"/>
      </w:pPr>
      <w:r>
        <w:t xml:space="preserve">Osjetljivost pokazuje da se redosljed odluka ne mijenja: S1 ostaje prva kratkoročna mjera, </w:t>
      </w:r>
      <w:r>
        <w:t>S3/S4 se racionalno vežu za obnovu kolovoza, a dopunske lokalne mjere se koriste samo za rezidualne lokacije nakon provjere. Ovakav prikaz sprječava da se odluka svede na najniži početni trošak ili na najskuplji scenario, već povezuje društvenu korist, faz</w:t>
      </w:r>
      <w:r>
        <w:t>nost i realnu izvodljivost.</w:t>
      </w:r>
    </w:p>
    <w:p w:rsidR="004E4A3C" w:rsidRDefault="00FD7157">
      <w:pPr>
        <w:spacing w:after="120"/>
        <w:jc w:val="both"/>
      </w:pPr>
      <w:r>
        <w:t xml:space="preserve">Zaključno, S0 nije neutralna opcija: izbjegava neposredni budžetski rashod, ali zadržava eksterni trošak buke za stanovništvo i društvo. S1 treba sprovesti kao prvu niskotroškovnu mjeru i provjeriti njen efekat monitoringom. S3 </w:t>
      </w:r>
      <w:r>
        <w:t>i S4 treba planirati kao prioritet pri budućem investicionom održavanju ili obnovi kolovoza, jer se tada za odluku ne posmatra puna vrijednost kolovoznih radova, već dodatni trošak izbora tišeg rješenja. Za mali broj preostalih objekata nakon S4 treba pose</w:t>
      </w:r>
      <w:r>
        <w:t>bno uporediti lokalne barijere sa mjerama na prijemniku - fasade, prozori, vrata i akustička ventilacija.</w:t>
      </w:r>
    </w:p>
    <w:p w:rsidR="004E4A3C" w:rsidRDefault="00FD7157">
      <w:pPr>
        <w:spacing w:after="120"/>
        <w:jc w:val="both"/>
      </w:pPr>
      <w:r>
        <w:rPr>
          <w:i/>
        </w:rPr>
        <w:t>Izvori korišćeni u ovom podpoglavlju: Directive 2002/49/EC on the assessment and management of environmental noise; WHO Environmental Noise Guidelines</w:t>
      </w:r>
      <w:r>
        <w:rPr>
          <w:i/>
        </w:rPr>
        <w:t xml:space="preserve"> for the European Region; European Commission / DG MOVE, </w:t>
      </w:r>
      <w:r>
        <w:rPr>
          <w:i/>
        </w:rPr>
        <w:lastRenderedPageBreak/>
        <w:t>Handbook on the external costs of transport, Version 2019; Eionet/EEA metodološki izvještaji za zdravstveni rizik od buke.</w:t>
      </w:r>
    </w:p>
    <w:p w:rsidR="004E4A3C" w:rsidRDefault="00FD7157">
      <w:pPr>
        <w:pStyle w:val="Heading1"/>
        <w:spacing w:before="240"/>
      </w:pPr>
      <w:bookmarkStart w:id="159" w:name="__RefHeading___Toc9273_4023479253"/>
      <w:bookmarkStart w:id="160" w:name="_Toc231671853"/>
      <w:bookmarkEnd w:id="159"/>
      <w:r>
        <w:rPr>
          <w:rFonts w:ascii="Arial" w:eastAsia="Arial" w:hAnsi="Arial"/>
          <w:b w:val="0"/>
        </w:rPr>
        <w:t>11. Javna rasprava</w:t>
      </w:r>
      <w:bookmarkEnd w:id="160"/>
    </w:p>
    <w:p w:rsidR="004E4A3C" w:rsidRDefault="004E4A3C">
      <w:pPr>
        <w:spacing w:after="0"/>
        <w:jc w:val="both"/>
      </w:pPr>
    </w:p>
    <w:p w:rsidR="004E4A3C" w:rsidRDefault="00FD7157">
      <w:pPr>
        <w:jc w:val="both"/>
      </w:pPr>
      <w:r>
        <w:t xml:space="preserve">Javna rasprava treba da omogući da se stručni rezultati </w:t>
      </w:r>
      <w:r>
        <w:t>i predložene mjere provjere sa stanovnicima, lokalnim zajednicama, upravljačem puta i nadležnim institucijama. Posebno je važno prikupiti komentare o prioritetnim lokacijama, prihvatljivosti mjera i mogućim lokalnim ograničenjima.</w:t>
      </w:r>
    </w:p>
    <w:p w:rsidR="004E4A3C" w:rsidRDefault="00FD7157">
      <w:pPr>
        <w:pStyle w:val="Heading2"/>
        <w:jc w:val="both"/>
      </w:pPr>
      <w:bookmarkStart w:id="161" w:name="__RefHeading___Toc9275_4023479253"/>
      <w:bookmarkStart w:id="162" w:name="_Toc231671854"/>
      <w:bookmarkEnd w:id="161"/>
      <w:r>
        <w:rPr>
          <w:rFonts w:ascii="Arial" w:eastAsia="Arial" w:hAnsi="Arial"/>
          <w:b w:val="0"/>
        </w:rPr>
        <w:t>11.1. Predmet javne raspr</w:t>
      </w:r>
      <w:r>
        <w:rPr>
          <w:rFonts w:ascii="Arial" w:eastAsia="Arial" w:hAnsi="Arial"/>
          <w:b w:val="0"/>
        </w:rPr>
        <w:t>ave</w:t>
      </w:r>
      <w:bookmarkEnd w:id="162"/>
    </w:p>
    <w:p w:rsidR="004E4A3C" w:rsidRDefault="00FD7157">
      <w:pPr>
        <w:jc w:val="both"/>
      </w:pPr>
      <w:r>
        <w:t>Predmet javne rasprave treba jasno predstaviti tako da građani i institucije znaju o kojim pitanjima daju komentare. Posebno su važni komentari o prioritetnim lokacijama, realnosti mjera i mogućim praktičnim ograničenjima.</w:t>
      </w:r>
    </w:p>
    <w:p w:rsidR="004E4A3C" w:rsidRDefault="00FD7157">
      <w:pPr>
        <w:jc w:val="both"/>
      </w:pPr>
      <w:r>
        <w:t xml:space="preserve">Predmet javne rasprave treba </w:t>
      </w:r>
      <w:r>
        <w:t>da budu: razumijevanje karata buke, prioritetne lokacije, izvodljivost S1, planiranje S3/S4 kroz održavanje kolovoza, kao i kriterijumi za eventualne lokalne dopunske mjere. Javnost ne treba opterećivati samo tehničkim detaljima modela, već jasno prikazati</w:t>
      </w:r>
      <w:r>
        <w:t xml:space="preserve"> šta se može uraditi odmah, šta se planira fazno i šta zahtijeva dodatnu projektnu provjeru.</w:t>
      </w:r>
    </w:p>
    <w:p w:rsidR="004E4A3C" w:rsidRDefault="00FD7157">
      <w:pPr>
        <w:pStyle w:val="Heading2"/>
        <w:jc w:val="both"/>
      </w:pPr>
      <w:bookmarkStart w:id="163" w:name="__RefHeading___Toc9277_4023479253"/>
      <w:bookmarkStart w:id="164" w:name="_Toc231671855"/>
      <w:bookmarkEnd w:id="163"/>
      <w:r>
        <w:rPr>
          <w:rFonts w:ascii="Arial" w:eastAsia="Arial" w:hAnsi="Arial"/>
          <w:b w:val="0"/>
        </w:rPr>
        <w:t>11.2. Razmatranje primjedbi i sugestija</w:t>
      </w:r>
      <w:bookmarkEnd w:id="164"/>
    </w:p>
    <w:p w:rsidR="004E4A3C" w:rsidRDefault="00FD7157">
      <w:pPr>
        <w:jc w:val="both"/>
      </w:pPr>
      <w:r>
        <w:t>Primjedbe i sugestije treba evidentirati, razmotriti i, gdje je opravdano, ugraditi u finalnu verziju Akcionog plana. Takav</w:t>
      </w:r>
      <w:r>
        <w:t xml:space="preserve"> postupak povećava transparentnost i omogućava da se lokalno znanje uključi u izbor mjera.</w:t>
      </w:r>
    </w:p>
    <w:p w:rsidR="004E4A3C" w:rsidRDefault="00FD7157">
      <w:pPr>
        <w:jc w:val="both"/>
      </w:pPr>
      <w:r>
        <w:t>Primjedbe se evidentiraju po lokaciji, vrsti problema, vremenu pojave buke i predloženoj mjeri. Nakon javne rasprave obrađivač i nadležni organ treba da grupišu prim</w:t>
      </w:r>
      <w:r>
        <w:t>jedbe i označe da li su već obuhvaćene predloženim mjerama, da li zahtijevaju dodatnu provjeru ili nijesu predmet ovog AP jer se odnose na druge izvore buke.</w:t>
      </w:r>
    </w:p>
    <w:p w:rsidR="004E4A3C" w:rsidRDefault="00FD7157">
      <w:pPr>
        <w:pStyle w:val="Heading2"/>
        <w:rPr>
          <w:rFonts w:ascii="Arial" w:eastAsia="Arial" w:hAnsi="Arial"/>
          <w:b w:val="0"/>
        </w:rPr>
      </w:pPr>
      <w:bookmarkStart w:id="165" w:name="__RefHeading___Toc9279_4023479253"/>
      <w:bookmarkStart w:id="166" w:name="_Toc231671856"/>
      <w:bookmarkEnd w:id="165"/>
      <w:r>
        <w:rPr>
          <w:rFonts w:ascii="Arial" w:eastAsia="Arial" w:hAnsi="Arial"/>
          <w:b w:val="0"/>
        </w:rPr>
        <w:t>11.3. Organizacija javnog uvida i način dostave komentara</w:t>
      </w:r>
      <w:bookmarkEnd w:id="166"/>
    </w:p>
    <w:p w:rsidR="004E4A3C" w:rsidRDefault="00FD7157">
      <w:pPr>
        <w:jc w:val="both"/>
      </w:pPr>
      <w:r>
        <w:t xml:space="preserve">Javni uvid organizuje nadležni organ </w:t>
      </w:r>
      <w:r>
        <w:t>koji objavljuje nacrt Akcionog plana, sažetak za građane, karte Lden i Lnight, tabelu predloženih mjera i obrazac za komentare. Operativni elementi javnog uvida - organ koji objavljuje, rok, način dostave komentara, javna prezentacija i izvještaj nakon ras</w:t>
      </w:r>
      <w:r>
        <w:t>prave - dati su u Tabeli 33 i popunjavaju se u javnom pozivu nadležnog organa.</w:t>
      </w:r>
    </w:p>
    <w:p w:rsidR="004E4A3C" w:rsidRDefault="00FD7157">
      <w:pPr>
        <w:keepNext/>
        <w:keepLines/>
        <w:spacing w:after="40"/>
        <w:rPr>
          <w:b/>
          <w:bCs/>
        </w:rPr>
      </w:pPr>
      <w:r>
        <w:rPr>
          <w:b/>
          <w:bCs/>
        </w:rPr>
        <w:t>Tabela 33. Operativni paket javnog uvida i javne rasprave</w:t>
      </w:r>
    </w:p>
    <w:tbl>
      <w:tblPr>
        <w:tblStyle w:val="TableGrid"/>
        <w:tblW w:w="9530" w:type="dxa"/>
        <w:jc w:val="center"/>
        <w:tblLayout w:type="fixed"/>
        <w:tblLook w:val="04A0" w:firstRow="1" w:lastRow="0" w:firstColumn="1" w:lastColumn="0" w:noHBand="0" w:noVBand="1"/>
      </w:tblPr>
      <w:tblGrid>
        <w:gridCol w:w="2690"/>
        <w:gridCol w:w="6840"/>
      </w:tblGrid>
      <w:tr w:rsidR="004E4A3C">
        <w:trPr>
          <w:tblHeader/>
          <w:jc w:val="center"/>
        </w:trPr>
        <w:tc>
          <w:tcPr>
            <w:tcW w:w="2690" w:type="dxa"/>
          </w:tcPr>
          <w:p w:rsidR="004E4A3C" w:rsidRDefault="00FD7157">
            <w:pPr>
              <w:spacing w:after="0" w:line="240" w:lineRule="auto"/>
            </w:pPr>
            <w:r>
              <w:rPr>
                <w:rFonts w:cs="Arial"/>
                <w:b/>
                <w:sz w:val="18"/>
              </w:rPr>
              <w:t>Element</w:t>
            </w:r>
          </w:p>
        </w:tc>
        <w:tc>
          <w:tcPr>
            <w:tcW w:w="6839" w:type="dxa"/>
          </w:tcPr>
          <w:p w:rsidR="004E4A3C" w:rsidRDefault="00FD7157">
            <w:pPr>
              <w:spacing w:after="0" w:line="240" w:lineRule="auto"/>
            </w:pPr>
            <w:r>
              <w:rPr>
                <w:rFonts w:cs="Arial"/>
                <w:b/>
                <w:sz w:val="18"/>
              </w:rPr>
              <w:t>Minimalni sadržaj za objavu / sprovođenje</w:t>
            </w:r>
          </w:p>
        </w:tc>
      </w:tr>
      <w:tr w:rsidR="004E4A3C">
        <w:trPr>
          <w:jc w:val="center"/>
        </w:trPr>
        <w:tc>
          <w:tcPr>
            <w:tcW w:w="2690" w:type="dxa"/>
          </w:tcPr>
          <w:p w:rsidR="004E4A3C" w:rsidRDefault="00FD7157">
            <w:pPr>
              <w:spacing w:after="0" w:line="240" w:lineRule="auto"/>
            </w:pPr>
            <w:r>
              <w:rPr>
                <w:rFonts w:cs="Arial"/>
                <w:sz w:val="18"/>
              </w:rPr>
              <w:t>Nadležni organ / objavljivač</w:t>
            </w:r>
          </w:p>
        </w:tc>
        <w:tc>
          <w:tcPr>
            <w:tcW w:w="6839" w:type="dxa"/>
          </w:tcPr>
          <w:p w:rsidR="004E4A3C" w:rsidRDefault="00FD7157">
            <w:pPr>
              <w:spacing w:after="0" w:line="240" w:lineRule="auto"/>
            </w:pPr>
            <w:r>
              <w:rPr>
                <w:rFonts w:cs="Arial"/>
                <w:sz w:val="18"/>
              </w:rPr>
              <w:t xml:space="preserve">Ministarstvo javnih radova Crne Gore, </w:t>
            </w:r>
            <w:r>
              <w:rPr>
                <w:rFonts w:cs="Arial"/>
                <w:sz w:val="18"/>
              </w:rPr>
              <w:t>uz saradnju Glavnog grada Podgorica i Opštine Danilovgrad; u obavještenju upisati tačan naziv službe i kontakt osobu.</w:t>
            </w:r>
          </w:p>
        </w:tc>
      </w:tr>
      <w:tr w:rsidR="004E4A3C">
        <w:trPr>
          <w:jc w:val="center"/>
        </w:trPr>
        <w:tc>
          <w:tcPr>
            <w:tcW w:w="2690" w:type="dxa"/>
          </w:tcPr>
          <w:p w:rsidR="004E4A3C" w:rsidRDefault="00FD7157">
            <w:pPr>
              <w:spacing w:after="0" w:line="240" w:lineRule="auto"/>
            </w:pPr>
            <w:r>
              <w:rPr>
                <w:rFonts w:cs="Arial"/>
                <w:sz w:val="18"/>
              </w:rPr>
              <w:t>Period javnog uvida</w:t>
            </w:r>
          </w:p>
        </w:tc>
        <w:tc>
          <w:tcPr>
            <w:tcW w:w="6839" w:type="dxa"/>
          </w:tcPr>
          <w:p w:rsidR="004E4A3C" w:rsidRDefault="00FD7157">
            <w:pPr>
              <w:spacing w:after="0" w:line="240" w:lineRule="auto"/>
            </w:pPr>
            <w:r>
              <w:rPr>
                <w:rFonts w:cs="Arial"/>
                <w:sz w:val="18"/>
              </w:rPr>
              <w:t>Najmanje 30 dana od dana objave nacrta; u pozivu jasno navesti početni i završni datum, kao i krajnji rok za komentar</w:t>
            </w:r>
            <w:r>
              <w:rPr>
                <w:rFonts w:cs="Arial"/>
                <w:sz w:val="18"/>
              </w:rPr>
              <w:t>e.</w:t>
            </w:r>
          </w:p>
        </w:tc>
      </w:tr>
      <w:tr w:rsidR="004E4A3C">
        <w:trPr>
          <w:jc w:val="center"/>
        </w:trPr>
        <w:tc>
          <w:tcPr>
            <w:tcW w:w="2690" w:type="dxa"/>
          </w:tcPr>
          <w:p w:rsidR="004E4A3C" w:rsidRDefault="00FD7157">
            <w:pPr>
              <w:spacing w:after="0" w:line="240" w:lineRule="auto"/>
            </w:pPr>
            <w:r>
              <w:rPr>
                <w:rFonts w:cs="Arial"/>
                <w:sz w:val="18"/>
              </w:rPr>
              <w:t>Mjesto i način uvida</w:t>
            </w:r>
          </w:p>
        </w:tc>
        <w:tc>
          <w:tcPr>
            <w:tcW w:w="6839" w:type="dxa"/>
          </w:tcPr>
          <w:p w:rsidR="004E4A3C" w:rsidRDefault="00FD7157">
            <w:pPr>
              <w:spacing w:after="0" w:line="240" w:lineRule="auto"/>
            </w:pPr>
            <w:r>
              <w:rPr>
                <w:rFonts w:cs="Arial"/>
                <w:sz w:val="18"/>
              </w:rPr>
              <w:t>Prostorije nadležnog organa i/ili lokalnih samouprava, elektronski uvid na portalu i dostupni prilozi: nacrt AP, sažetak, karte S0/S1/S3/S4 i obrazac za komentare.</w:t>
            </w:r>
          </w:p>
        </w:tc>
      </w:tr>
      <w:tr w:rsidR="004E4A3C">
        <w:trPr>
          <w:jc w:val="center"/>
        </w:trPr>
        <w:tc>
          <w:tcPr>
            <w:tcW w:w="2690" w:type="dxa"/>
          </w:tcPr>
          <w:p w:rsidR="004E4A3C" w:rsidRDefault="00FD7157">
            <w:pPr>
              <w:spacing w:after="0" w:line="240" w:lineRule="auto"/>
            </w:pPr>
            <w:r>
              <w:rPr>
                <w:rFonts w:cs="Arial"/>
                <w:sz w:val="18"/>
              </w:rPr>
              <w:t>Dostava komentara</w:t>
            </w:r>
          </w:p>
        </w:tc>
        <w:tc>
          <w:tcPr>
            <w:tcW w:w="6839" w:type="dxa"/>
          </w:tcPr>
          <w:p w:rsidR="004E4A3C" w:rsidRDefault="00FD7157">
            <w:pPr>
              <w:spacing w:after="0" w:line="240" w:lineRule="auto"/>
            </w:pPr>
            <w:r>
              <w:rPr>
                <w:rFonts w:cs="Arial"/>
                <w:sz w:val="18"/>
              </w:rPr>
              <w:t>Pisano, elektronski i na javnoj prezentaciji; ko</w:t>
            </w:r>
            <w:r>
              <w:rPr>
                <w:rFonts w:cs="Arial"/>
                <w:sz w:val="18"/>
              </w:rPr>
              <w:t>mentar treba, kada je moguće, da sadrži lokaciju, opis problema, period pojave buke i predlog ili primjedbu.</w:t>
            </w:r>
          </w:p>
        </w:tc>
      </w:tr>
      <w:tr w:rsidR="004E4A3C">
        <w:trPr>
          <w:jc w:val="center"/>
        </w:trPr>
        <w:tc>
          <w:tcPr>
            <w:tcW w:w="2690" w:type="dxa"/>
          </w:tcPr>
          <w:p w:rsidR="004E4A3C" w:rsidRDefault="00FD7157">
            <w:pPr>
              <w:spacing w:after="0" w:line="240" w:lineRule="auto"/>
            </w:pPr>
            <w:r>
              <w:rPr>
                <w:rFonts w:cs="Arial"/>
                <w:sz w:val="18"/>
              </w:rPr>
              <w:t>Javna prezentacija</w:t>
            </w:r>
          </w:p>
        </w:tc>
        <w:tc>
          <w:tcPr>
            <w:tcW w:w="6839" w:type="dxa"/>
          </w:tcPr>
          <w:p w:rsidR="004E4A3C" w:rsidRDefault="00FD7157">
            <w:pPr>
              <w:spacing w:after="0" w:line="240" w:lineRule="auto"/>
            </w:pPr>
            <w:r>
              <w:rPr>
                <w:rFonts w:cs="Arial"/>
                <w:sz w:val="18"/>
              </w:rPr>
              <w:t>Navesti termin i mjesto prezentacije / okruglog stola; organizovati u zoni obuhvata ili najbližem administrativnom centru.</w:t>
            </w:r>
          </w:p>
        </w:tc>
      </w:tr>
      <w:tr w:rsidR="004E4A3C">
        <w:trPr>
          <w:jc w:val="center"/>
        </w:trPr>
        <w:tc>
          <w:tcPr>
            <w:tcW w:w="2690" w:type="dxa"/>
          </w:tcPr>
          <w:p w:rsidR="004E4A3C" w:rsidRDefault="00FD7157">
            <w:pPr>
              <w:spacing w:after="0" w:line="240" w:lineRule="auto"/>
            </w:pPr>
            <w:r>
              <w:rPr>
                <w:rFonts w:cs="Arial"/>
                <w:sz w:val="18"/>
              </w:rPr>
              <w:t>Izvještaj nakon rasprave</w:t>
            </w:r>
          </w:p>
        </w:tc>
        <w:tc>
          <w:tcPr>
            <w:tcW w:w="6839" w:type="dxa"/>
          </w:tcPr>
          <w:p w:rsidR="004E4A3C" w:rsidRDefault="00FD7157">
            <w:pPr>
              <w:spacing w:after="0" w:line="240" w:lineRule="auto"/>
            </w:pPr>
            <w:r>
              <w:rPr>
                <w:rFonts w:cs="Arial"/>
                <w:sz w:val="18"/>
              </w:rPr>
              <w:t>Pripremiti pregled prihvaćenih, djelimično prihvaćenih i neprihvaćenih primjedbi, sa obrazloženjem i tragom izmjena dokumenta.</w:t>
            </w:r>
          </w:p>
        </w:tc>
      </w:tr>
    </w:tbl>
    <w:p w:rsidR="004E4A3C" w:rsidRDefault="00FD7157">
      <w:pPr>
        <w:pStyle w:val="Heading2"/>
        <w:rPr>
          <w:rFonts w:ascii="Arial" w:eastAsia="Arial" w:hAnsi="Arial"/>
          <w:b w:val="0"/>
        </w:rPr>
      </w:pPr>
      <w:bookmarkStart w:id="167" w:name="__RefHeading___Toc9281_4023479253"/>
      <w:bookmarkStart w:id="168" w:name="_Toc231671857"/>
      <w:bookmarkEnd w:id="167"/>
      <w:r>
        <w:rPr>
          <w:rFonts w:ascii="Arial" w:eastAsia="Arial" w:hAnsi="Arial"/>
          <w:b w:val="0"/>
        </w:rPr>
        <w:t>11.4. Izvještaj o javnoj raspravi i trag odlučivanja</w:t>
      </w:r>
      <w:bookmarkEnd w:id="168"/>
    </w:p>
    <w:p w:rsidR="004E4A3C" w:rsidRDefault="00FD7157">
      <w:pPr>
        <w:spacing w:after="0"/>
        <w:jc w:val="both"/>
      </w:pPr>
      <w:r>
        <w:t>Nakon javne rasprave priprema se izvještaj sa preg</w:t>
      </w:r>
      <w:r>
        <w:t>ledom prihvaćenih, djelimično prihvaćenih i neprihvaćenih primjedbi. Za svaku bitnu primjedbu treba navesti da li utiče na izbor mjere, stacionažu, prioritet, rok ili potrebu dodatne provjere. Time se obezbjeđuje da finalni Akcioni plan ima jasan trag odlu</w:t>
      </w:r>
      <w:r>
        <w:t>čivanja i da se lokalne informacije ne izgube između javne rasprave i sprovođenja mjera.</w:t>
      </w:r>
    </w:p>
    <w:p w:rsidR="004E4A3C" w:rsidRDefault="004E4A3C">
      <w:pPr>
        <w:spacing w:line="240" w:lineRule="auto"/>
      </w:pPr>
    </w:p>
    <w:p w:rsidR="004E4A3C" w:rsidRDefault="00FD7157">
      <w:pPr>
        <w:pStyle w:val="Heading1"/>
        <w:spacing w:before="0"/>
        <w:jc w:val="both"/>
        <w:rPr>
          <w:rFonts w:ascii="Arial" w:eastAsia="Arial" w:hAnsi="Arial"/>
          <w:b w:val="0"/>
        </w:rPr>
      </w:pPr>
      <w:bookmarkStart w:id="169" w:name="__RefHeading___Toc9283_4023479253"/>
      <w:bookmarkStart w:id="170" w:name="_Toc231671858"/>
      <w:bookmarkEnd w:id="169"/>
      <w:r>
        <w:rPr>
          <w:rFonts w:ascii="Arial" w:eastAsia="Arial" w:hAnsi="Arial"/>
          <w:b w:val="0"/>
        </w:rPr>
        <w:lastRenderedPageBreak/>
        <w:t>12. Monitoring, vrednovanje i revizija Akcionog plana</w:t>
      </w:r>
      <w:bookmarkEnd w:id="170"/>
    </w:p>
    <w:p w:rsidR="004E4A3C" w:rsidRDefault="004E4A3C">
      <w:pPr>
        <w:spacing w:after="0"/>
        <w:jc w:val="both"/>
      </w:pPr>
    </w:p>
    <w:p w:rsidR="004E4A3C" w:rsidRDefault="00FD7157">
      <w:pPr>
        <w:jc w:val="both"/>
      </w:pPr>
      <w:r>
        <w:t>Monitoring je potreban kako bi se provjerilo da li mjere daju očekivani efekat i da li ih treba prilagoditi tok</w:t>
      </w:r>
      <w:r>
        <w:t>om sprovođenja. Pokazatelji u nastavku povezuju administrativno praćenje realizacije sa stručnom provjerom buke i izloženosti stanovništva.</w:t>
      </w:r>
    </w:p>
    <w:p w:rsidR="004E4A3C" w:rsidRDefault="00FD7157">
      <w:pPr>
        <w:keepNext/>
        <w:keepLines/>
        <w:spacing w:after="40"/>
        <w:rPr>
          <w:b/>
          <w:bCs/>
        </w:rPr>
      </w:pPr>
      <w:r>
        <w:rPr>
          <w:b/>
          <w:bCs/>
        </w:rPr>
        <w:t>Tabela 34. Pokazatelji praćenja realizacije Akcionog plana</w:t>
      </w:r>
    </w:p>
    <w:tbl>
      <w:tblPr>
        <w:tblStyle w:val="TableGrid"/>
        <w:tblW w:w="10093" w:type="dxa"/>
        <w:jc w:val="center"/>
        <w:tblLayout w:type="fixed"/>
        <w:tblCellMar>
          <w:top w:w="60" w:type="dxa"/>
          <w:left w:w="60" w:type="dxa"/>
          <w:bottom w:w="60" w:type="dxa"/>
          <w:right w:w="60" w:type="dxa"/>
        </w:tblCellMar>
        <w:tblLook w:val="04A0" w:firstRow="1" w:lastRow="0" w:firstColumn="1" w:lastColumn="0" w:noHBand="0" w:noVBand="1"/>
      </w:tblPr>
      <w:tblGrid>
        <w:gridCol w:w="791"/>
        <w:gridCol w:w="2160"/>
        <w:gridCol w:w="3438"/>
        <w:gridCol w:w="1891"/>
        <w:gridCol w:w="1813"/>
      </w:tblGrid>
      <w:tr w:rsidR="004E4A3C">
        <w:trPr>
          <w:cantSplit/>
          <w:tblHeader/>
          <w:jc w:val="center"/>
        </w:trPr>
        <w:tc>
          <w:tcPr>
            <w:tcW w:w="791" w:type="dxa"/>
            <w:shd w:val="clear" w:color="auto" w:fill="D9EAF7"/>
          </w:tcPr>
          <w:p w:rsidR="004E4A3C" w:rsidRDefault="00FD7157">
            <w:pPr>
              <w:spacing w:after="0" w:line="240" w:lineRule="auto"/>
              <w:jc w:val="center"/>
            </w:pPr>
            <w:r>
              <w:rPr>
                <w:rFonts w:cs="Arial"/>
                <w:b/>
                <w:color w:val="000000"/>
                <w:sz w:val="18"/>
                <w:szCs w:val="18"/>
              </w:rPr>
              <w:t>Oznaka</w:t>
            </w:r>
          </w:p>
        </w:tc>
        <w:tc>
          <w:tcPr>
            <w:tcW w:w="2160" w:type="dxa"/>
            <w:shd w:val="clear" w:color="auto" w:fill="D9EAF7"/>
          </w:tcPr>
          <w:p w:rsidR="004E4A3C" w:rsidRDefault="00FD7157">
            <w:pPr>
              <w:spacing w:after="0" w:line="240" w:lineRule="auto"/>
              <w:jc w:val="center"/>
            </w:pPr>
            <w:r>
              <w:rPr>
                <w:rFonts w:cs="Arial"/>
                <w:b/>
                <w:color w:val="000000"/>
                <w:sz w:val="18"/>
                <w:szCs w:val="18"/>
              </w:rPr>
              <w:t>Šta se prati</w:t>
            </w:r>
          </w:p>
        </w:tc>
        <w:tc>
          <w:tcPr>
            <w:tcW w:w="3438" w:type="dxa"/>
            <w:shd w:val="clear" w:color="auto" w:fill="D9EAF7"/>
          </w:tcPr>
          <w:p w:rsidR="004E4A3C" w:rsidRDefault="00FD7157">
            <w:pPr>
              <w:spacing w:after="0" w:line="240" w:lineRule="auto"/>
              <w:jc w:val="center"/>
            </w:pPr>
            <w:r>
              <w:rPr>
                <w:rFonts w:cs="Arial"/>
                <w:b/>
                <w:color w:val="000000"/>
                <w:sz w:val="18"/>
                <w:szCs w:val="18"/>
              </w:rPr>
              <w:t>Pokazatelj</w:t>
            </w:r>
          </w:p>
        </w:tc>
        <w:tc>
          <w:tcPr>
            <w:tcW w:w="1891" w:type="dxa"/>
            <w:shd w:val="clear" w:color="auto" w:fill="D9EAF7"/>
          </w:tcPr>
          <w:p w:rsidR="004E4A3C" w:rsidRDefault="00FD7157">
            <w:pPr>
              <w:spacing w:after="0" w:line="240" w:lineRule="auto"/>
              <w:jc w:val="center"/>
            </w:pPr>
            <w:r>
              <w:rPr>
                <w:rFonts w:cs="Arial"/>
                <w:b/>
                <w:color w:val="000000"/>
                <w:sz w:val="18"/>
                <w:szCs w:val="18"/>
              </w:rPr>
              <w:t>Nosilac</w:t>
            </w:r>
          </w:p>
        </w:tc>
        <w:tc>
          <w:tcPr>
            <w:tcW w:w="1813" w:type="dxa"/>
            <w:shd w:val="clear" w:color="auto" w:fill="D9EAF7"/>
          </w:tcPr>
          <w:p w:rsidR="004E4A3C" w:rsidRDefault="00FD7157">
            <w:pPr>
              <w:spacing w:after="0" w:line="240" w:lineRule="auto"/>
              <w:jc w:val="center"/>
            </w:pPr>
            <w:r>
              <w:rPr>
                <w:rFonts w:cs="Arial"/>
                <w:b/>
                <w:color w:val="000000"/>
                <w:sz w:val="18"/>
                <w:szCs w:val="18"/>
              </w:rPr>
              <w:t>Učestalost</w:t>
            </w:r>
          </w:p>
        </w:tc>
      </w:tr>
      <w:tr w:rsidR="004E4A3C">
        <w:trPr>
          <w:cantSplit/>
          <w:jc w:val="center"/>
        </w:trPr>
        <w:tc>
          <w:tcPr>
            <w:tcW w:w="791" w:type="dxa"/>
          </w:tcPr>
          <w:p w:rsidR="004E4A3C" w:rsidRDefault="00FD7157">
            <w:pPr>
              <w:spacing w:after="0" w:line="240" w:lineRule="auto"/>
              <w:jc w:val="center"/>
            </w:pPr>
            <w:r>
              <w:rPr>
                <w:rFonts w:cs="Arial"/>
                <w:sz w:val="18"/>
                <w:szCs w:val="18"/>
              </w:rPr>
              <w:t>M1</w:t>
            </w:r>
          </w:p>
        </w:tc>
        <w:tc>
          <w:tcPr>
            <w:tcW w:w="2160" w:type="dxa"/>
          </w:tcPr>
          <w:p w:rsidR="004E4A3C" w:rsidRDefault="00FD7157">
            <w:pPr>
              <w:spacing w:after="0" w:line="240" w:lineRule="auto"/>
            </w:pPr>
            <w:r>
              <w:rPr>
                <w:rFonts w:cs="Arial"/>
                <w:sz w:val="18"/>
                <w:szCs w:val="18"/>
              </w:rPr>
              <w:t>Usvojene izmjene režima brzine i signalizacije</w:t>
            </w:r>
          </w:p>
        </w:tc>
        <w:tc>
          <w:tcPr>
            <w:tcW w:w="3438" w:type="dxa"/>
          </w:tcPr>
          <w:p w:rsidR="004E4A3C" w:rsidRDefault="00FD7157">
            <w:pPr>
              <w:spacing w:after="0" w:line="240" w:lineRule="auto"/>
            </w:pPr>
            <w:r>
              <w:rPr>
                <w:rFonts w:cs="Arial"/>
                <w:sz w:val="18"/>
                <w:szCs w:val="18"/>
              </w:rPr>
              <w:t>broj i dužina segmenata sa primijenjenim režimom</w:t>
            </w:r>
          </w:p>
        </w:tc>
        <w:tc>
          <w:tcPr>
            <w:tcW w:w="1891" w:type="dxa"/>
          </w:tcPr>
          <w:p w:rsidR="004E4A3C" w:rsidRDefault="00FD7157">
            <w:pPr>
              <w:spacing w:after="0" w:line="240" w:lineRule="auto"/>
            </w:pPr>
            <w:r>
              <w:rPr>
                <w:rFonts w:cs="Arial"/>
                <w:sz w:val="18"/>
                <w:szCs w:val="18"/>
              </w:rPr>
              <w:t>Uprava za saobraćaj / lokalne službe</w:t>
            </w:r>
          </w:p>
        </w:tc>
        <w:tc>
          <w:tcPr>
            <w:tcW w:w="1813" w:type="dxa"/>
          </w:tcPr>
          <w:p w:rsidR="004E4A3C" w:rsidRDefault="00FD7157">
            <w:pPr>
              <w:spacing w:after="0" w:line="240" w:lineRule="auto"/>
            </w:pPr>
            <w:r>
              <w:rPr>
                <w:rFonts w:cs="Arial"/>
                <w:sz w:val="18"/>
                <w:szCs w:val="18"/>
              </w:rPr>
              <w:t>godišnje</w:t>
            </w:r>
          </w:p>
        </w:tc>
      </w:tr>
      <w:tr w:rsidR="004E4A3C">
        <w:trPr>
          <w:cantSplit/>
          <w:jc w:val="center"/>
        </w:trPr>
        <w:tc>
          <w:tcPr>
            <w:tcW w:w="791" w:type="dxa"/>
          </w:tcPr>
          <w:p w:rsidR="004E4A3C" w:rsidRDefault="00FD7157">
            <w:pPr>
              <w:spacing w:after="0" w:line="240" w:lineRule="auto"/>
              <w:jc w:val="center"/>
            </w:pPr>
            <w:r>
              <w:rPr>
                <w:rFonts w:cs="Arial"/>
                <w:sz w:val="18"/>
                <w:szCs w:val="18"/>
              </w:rPr>
              <w:t>M2</w:t>
            </w:r>
          </w:p>
        </w:tc>
        <w:tc>
          <w:tcPr>
            <w:tcW w:w="2160" w:type="dxa"/>
          </w:tcPr>
          <w:p w:rsidR="004E4A3C" w:rsidRDefault="00FD7157">
            <w:pPr>
              <w:spacing w:after="0" w:line="240" w:lineRule="auto"/>
            </w:pPr>
            <w:r>
              <w:rPr>
                <w:rFonts w:cs="Arial"/>
                <w:sz w:val="18"/>
                <w:szCs w:val="18"/>
              </w:rPr>
              <w:t>Efekat na brzine</w:t>
            </w:r>
          </w:p>
        </w:tc>
        <w:tc>
          <w:tcPr>
            <w:tcW w:w="3438" w:type="dxa"/>
          </w:tcPr>
          <w:p w:rsidR="004E4A3C" w:rsidRDefault="00FD7157">
            <w:pPr>
              <w:spacing w:after="0" w:line="240" w:lineRule="auto"/>
            </w:pPr>
            <w:r>
              <w:rPr>
                <w:rFonts w:cs="Arial"/>
                <w:sz w:val="18"/>
                <w:szCs w:val="18"/>
              </w:rPr>
              <w:t>periodična kontrola prosječnih i 85-percentilnih brzina</w:t>
            </w:r>
          </w:p>
        </w:tc>
        <w:tc>
          <w:tcPr>
            <w:tcW w:w="1891" w:type="dxa"/>
          </w:tcPr>
          <w:p w:rsidR="004E4A3C" w:rsidRDefault="00FD7157">
            <w:pPr>
              <w:spacing w:after="0" w:line="240" w:lineRule="auto"/>
            </w:pPr>
            <w:r>
              <w:rPr>
                <w:rFonts w:cs="Arial"/>
                <w:sz w:val="18"/>
                <w:szCs w:val="18"/>
              </w:rPr>
              <w:t>Uprava policije / upravljač puta</w:t>
            </w:r>
          </w:p>
        </w:tc>
        <w:tc>
          <w:tcPr>
            <w:tcW w:w="1813" w:type="dxa"/>
          </w:tcPr>
          <w:p w:rsidR="004E4A3C" w:rsidRDefault="00FD7157">
            <w:pPr>
              <w:spacing w:after="0" w:line="240" w:lineRule="auto"/>
            </w:pPr>
            <w:r>
              <w:rPr>
                <w:rFonts w:cs="Arial"/>
                <w:sz w:val="18"/>
                <w:szCs w:val="18"/>
              </w:rPr>
              <w:t>godišnje</w:t>
            </w:r>
          </w:p>
        </w:tc>
      </w:tr>
      <w:tr w:rsidR="004E4A3C">
        <w:trPr>
          <w:cantSplit/>
          <w:jc w:val="center"/>
        </w:trPr>
        <w:tc>
          <w:tcPr>
            <w:tcW w:w="791" w:type="dxa"/>
          </w:tcPr>
          <w:p w:rsidR="004E4A3C" w:rsidRDefault="00FD7157">
            <w:pPr>
              <w:spacing w:after="0" w:line="240" w:lineRule="auto"/>
              <w:jc w:val="center"/>
            </w:pPr>
            <w:r>
              <w:rPr>
                <w:rFonts w:cs="Arial"/>
                <w:sz w:val="18"/>
                <w:szCs w:val="18"/>
              </w:rPr>
              <w:t>M3</w:t>
            </w:r>
          </w:p>
        </w:tc>
        <w:tc>
          <w:tcPr>
            <w:tcW w:w="2160" w:type="dxa"/>
          </w:tcPr>
          <w:p w:rsidR="004E4A3C" w:rsidRDefault="00FD7157">
            <w:pPr>
              <w:spacing w:after="0" w:line="240" w:lineRule="auto"/>
            </w:pPr>
            <w:r>
              <w:rPr>
                <w:rFonts w:cs="Arial"/>
                <w:sz w:val="18"/>
                <w:szCs w:val="18"/>
              </w:rPr>
              <w:t>Stanje kolovoza</w:t>
            </w:r>
          </w:p>
        </w:tc>
        <w:tc>
          <w:tcPr>
            <w:tcW w:w="3438" w:type="dxa"/>
          </w:tcPr>
          <w:p w:rsidR="004E4A3C" w:rsidRDefault="00FD7157">
            <w:pPr>
              <w:spacing w:after="0" w:line="240" w:lineRule="auto"/>
            </w:pPr>
            <w:r>
              <w:rPr>
                <w:rFonts w:cs="Arial"/>
                <w:sz w:val="18"/>
                <w:szCs w:val="18"/>
              </w:rPr>
              <w:t>evidencija sanacija, ravnosti i oštećenja</w:t>
            </w:r>
          </w:p>
        </w:tc>
        <w:tc>
          <w:tcPr>
            <w:tcW w:w="1891" w:type="dxa"/>
          </w:tcPr>
          <w:p w:rsidR="004E4A3C" w:rsidRDefault="00FD7157">
            <w:pPr>
              <w:spacing w:after="0" w:line="240" w:lineRule="auto"/>
            </w:pPr>
            <w:r>
              <w:rPr>
                <w:rFonts w:cs="Arial"/>
                <w:sz w:val="18"/>
                <w:szCs w:val="18"/>
              </w:rPr>
              <w:t>Upravljač puta</w:t>
            </w:r>
          </w:p>
        </w:tc>
        <w:tc>
          <w:tcPr>
            <w:tcW w:w="1813" w:type="dxa"/>
          </w:tcPr>
          <w:p w:rsidR="004E4A3C" w:rsidRDefault="00FD7157">
            <w:pPr>
              <w:spacing w:after="0" w:line="240" w:lineRule="auto"/>
            </w:pPr>
            <w:r>
              <w:rPr>
                <w:rFonts w:cs="Arial"/>
                <w:sz w:val="18"/>
                <w:szCs w:val="18"/>
              </w:rPr>
              <w:t>kontinuirano</w:t>
            </w:r>
          </w:p>
        </w:tc>
      </w:tr>
      <w:tr w:rsidR="004E4A3C">
        <w:trPr>
          <w:cantSplit/>
          <w:jc w:val="center"/>
        </w:trPr>
        <w:tc>
          <w:tcPr>
            <w:tcW w:w="791" w:type="dxa"/>
          </w:tcPr>
          <w:p w:rsidR="004E4A3C" w:rsidRDefault="00FD7157">
            <w:pPr>
              <w:spacing w:after="0" w:line="240" w:lineRule="auto"/>
              <w:jc w:val="center"/>
            </w:pPr>
            <w:r>
              <w:rPr>
                <w:rFonts w:cs="Arial"/>
                <w:sz w:val="18"/>
                <w:szCs w:val="18"/>
              </w:rPr>
              <w:t>M4</w:t>
            </w:r>
          </w:p>
        </w:tc>
        <w:tc>
          <w:tcPr>
            <w:tcW w:w="2160" w:type="dxa"/>
          </w:tcPr>
          <w:p w:rsidR="004E4A3C" w:rsidRDefault="00FD7157">
            <w:pPr>
              <w:spacing w:after="0" w:line="240" w:lineRule="auto"/>
            </w:pPr>
            <w:r>
              <w:rPr>
                <w:rFonts w:cs="Arial"/>
                <w:sz w:val="18"/>
                <w:szCs w:val="18"/>
              </w:rPr>
              <w:t>Akustička provjera</w:t>
            </w:r>
          </w:p>
        </w:tc>
        <w:tc>
          <w:tcPr>
            <w:tcW w:w="3438" w:type="dxa"/>
          </w:tcPr>
          <w:p w:rsidR="004E4A3C" w:rsidRDefault="00FD7157">
            <w:pPr>
              <w:spacing w:after="0" w:line="240" w:lineRule="auto"/>
            </w:pPr>
            <w:r>
              <w:rPr>
                <w:rFonts w:cs="Arial"/>
                <w:sz w:val="18"/>
                <w:szCs w:val="18"/>
              </w:rPr>
              <w:t>kontrolna mjerenja ili ažurirani proračun na prioritetnim tačkama</w:t>
            </w:r>
          </w:p>
        </w:tc>
        <w:tc>
          <w:tcPr>
            <w:tcW w:w="1891" w:type="dxa"/>
          </w:tcPr>
          <w:p w:rsidR="004E4A3C" w:rsidRDefault="00FD7157">
            <w:pPr>
              <w:spacing w:after="0" w:line="240" w:lineRule="auto"/>
            </w:pPr>
            <w:r>
              <w:rPr>
                <w:rFonts w:cs="Arial"/>
                <w:sz w:val="18"/>
                <w:szCs w:val="18"/>
              </w:rPr>
              <w:t>obrađivač / nadležni organ</w:t>
            </w:r>
          </w:p>
        </w:tc>
        <w:tc>
          <w:tcPr>
            <w:tcW w:w="1813" w:type="dxa"/>
          </w:tcPr>
          <w:p w:rsidR="004E4A3C" w:rsidRDefault="00FD7157">
            <w:pPr>
              <w:spacing w:after="0" w:line="240" w:lineRule="auto"/>
            </w:pPr>
            <w:r>
              <w:rPr>
                <w:rFonts w:cs="Arial"/>
                <w:sz w:val="18"/>
                <w:szCs w:val="18"/>
              </w:rPr>
              <w:t>po potrebi, najmanje prije revizije</w:t>
            </w:r>
          </w:p>
        </w:tc>
      </w:tr>
      <w:tr w:rsidR="004E4A3C">
        <w:trPr>
          <w:cantSplit/>
          <w:jc w:val="center"/>
        </w:trPr>
        <w:tc>
          <w:tcPr>
            <w:tcW w:w="791" w:type="dxa"/>
          </w:tcPr>
          <w:p w:rsidR="004E4A3C" w:rsidRDefault="00FD7157">
            <w:pPr>
              <w:spacing w:after="0" w:line="240" w:lineRule="auto"/>
              <w:jc w:val="center"/>
            </w:pPr>
            <w:r>
              <w:rPr>
                <w:rFonts w:cs="Arial"/>
                <w:sz w:val="18"/>
                <w:szCs w:val="18"/>
              </w:rPr>
              <w:t>M5</w:t>
            </w:r>
          </w:p>
        </w:tc>
        <w:tc>
          <w:tcPr>
            <w:tcW w:w="2160" w:type="dxa"/>
          </w:tcPr>
          <w:p w:rsidR="004E4A3C" w:rsidRDefault="00FD7157">
            <w:pPr>
              <w:spacing w:after="0" w:line="240" w:lineRule="auto"/>
            </w:pPr>
            <w:r>
              <w:rPr>
                <w:rFonts w:cs="Arial"/>
                <w:sz w:val="18"/>
                <w:szCs w:val="18"/>
              </w:rPr>
              <w:t>Učešće javnosti</w:t>
            </w:r>
          </w:p>
        </w:tc>
        <w:tc>
          <w:tcPr>
            <w:tcW w:w="3438" w:type="dxa"/>
          </w:tcPr>
          <w:p w:rsidR="004E4A3C" w:rsidRDefault="00FD7157">
            <w:pPr>
              <w:spacing w:after="0" w:line="240" w:lineRule="auto"/>
            </w:pPr>
            <w:r>
              <w:rPr>
                <w:rFonts w:cs="Arial"/>
                <w:sz w:val="18"/>
                <w:szCs w:val="18"/>
              </w:rPr>
              <w:t>broj primjedbi, lokacije i status postupanja</w:t>
            </w:r>
          </w:p>
        </w:tc>
        <w:tc>
          <w:tcPr>
            <w:tcW w:w="1891" w:type="dxa"/>
          </w:tcPr>
          <w:p w:rsidR="004E4A3C" w:rsidRDefault="00FD7157">
            <w:pPr>
              <w:spacing w:after="0" w:line="240" w:lineRule="auto"/>
            </w:pPr>
            <w:r>
              <w:rPr>
                <w:rFonts w:cs="Arial"/>
                <w:sz w:val="18"/>
                <w:szCs w:val="18"/>
              </w:rPr>
              <w:t>nadležno ministarstvo / opštine</w:t>
            </w:r>
          </w:p>
        </w:tc>
        <w:tc>
          <w:tcPr>
            <w:tcW w:w="1813" w:type="dxa"/>
          </w:tcPr>
          <w:p w:rsidR="004E4A3C" w:rsidRDefault="00FD7157">
            <w:pPr>
              <w:spacing w:after="0" w:line="240" w:lineRule="auto"/>
            </w:pPr>
            <w:r>
              <w:rPr>
                <w:rFonts w:cs="Arial"/>
                <w:sz w:val="18"/>
                <w:szCs w:val="18"/>
              </w:rPr>
              <w:t>u javnoj raspravi i kod revizije</w:t>
            </w:r>
          </w:p>
        </w:tc>
      </w:tr>
      <w:tr w:rsidR="004E4A3C">
        <w:trPr>
          <w:jc w:val="center"/>
        </w:trPr>
        <w:tc>
          <w:tcPr>
            <w:tcW w:w="791" w:type="dxa"/>
            <w:tcMar>
              <w:top w:w="40" w:type="dxa"/>
              <w:left w:w="40" w:type="dxa"/>
              <w:bottom w:w="40" w:type="dxa"/>
              <w:right w:w="40" w:type="dxa"/>
            </w:tcMar>
          </w:tcPr>
          <w:p w:rsidR="004E4A3C" w:rsidRDefault="00FD7157">
            <w:pPr>
              <w:spacing w:after="0" w:line="240" w:lineRule="auto"/>
              <w:jc w:val="center"/>
            </w:pPr>
            <w:r>
              <w:rPr>
                <w:rFonts w:cs="Arial"/>
                <w:sz w:val="18"/>
              </w:rPr>
              <w:t>M6</w:t>
            </w:r>
          </w:p>
        </w:tc>
        <w:tc>
          <w:tcPr>
            <w:tcW w:w="2160" w:type="dxa"/>
            <w:tcMar>
              <w:top w:w="40" w:type="dxa"/>
              <w:left w:w="40" w:type="dxa"/>
              <w:bottom w:w="40" w:type="dxa"/>
              <w:right w:w="40" w:type="dxa"/>
            </w:tcMar>
          </w:tcPr>
          <w:p w:rsidR="004E4A3C" w:rsidRDefault="00FD7157">
            <w:pPr>
              <w:spacing w:after="0" w:line="240" w:lineRule="auto"/>
            </w:pPr>
            <w:r>
              <w:rPr>
                <w:rFonts w:cs="Arial"/>
                <w:sz w:val="18"/>
              </w:rPr>
              <w:t>Akustičko zoniranje i planski uslovi</w:t>
            </w:r>
          </w:p>
        </w:tc>
        <w:tc>
          <w:tcPr>
            <w:tcW w:w="3438" w:type="dxa"/>
            <w:tcMar>
              <w:top w:w="40" w:type="dxa"/>
              <w:left w:w="40" w:type="dxa"/>
              <w:bottom w:w="40" w:type="dxa"/>
              <w:right w:w="40" w:type="dxa"/>
            </w:tcMar>
          </w:tcPr>
          <w:p w:rsidR="004E4A3C" w:rsidRDefault="00FD7157">
            <w:pPr>
              <w:spacing w:after="0" w:line="240" w:lineRule="auto"/>
            </w:pPr>
            <w:r>
              <w:rPr>
                <w:rFonts w:cs="Arial"/>
                <w:sz w:val="18"/>
              </w:rPr>
              <w:t>status objekata van akustičnih zona i usklađenost UT uslova za nove objekte uz koridor</w:t>
            </w:r>
          </w:p>
        </w:tc>
        <w:tc>
          <w:tcPr>
            <w:tcW w:w="1891" w:type="dxa"/>
            <w:tcMar>
              <w:top w:w="40" w:type="dxa"/>
              <w:left w:w="40" w:type="dxa"/>
              <w:bottom w:w="40" w:type="dxa"/>
              <w:right w:w="40" w:type="dxa"/>
            </w:tcMar>
          </w:tcPr>
          <w:p w:rsidR="004E4A3C" w:rsidRDefault="00FD7157">
            <w:pPr>
              <w:spacing w:after="0" w:line="240" w:lineRule="auto"/>
            </w:pPr>
            <w:r>
              <w:rPr>
                <w:rFonts w:cs="Arial"/>
                <w:sz w:val="18"/>
              </w:rPr>
              <w:t>lo</w:t>
            </w:r>
            <w:r>
              <w:rPr>
                <w:rFonts w:cs="Arial"/>
                <w:sz w:val="18"/>
              </w:rPr>
              <w:t>kalne samouprave / nadležni sekretarijati</w:t>
            </w:r>
          </w:p>
        </w:tc>
        <w:tc>
          <w:tcPr>
            <w:tcW w:w="1813" w:type="dxa"/>
            <w:tcMar>
              <w:top w:w="40" w:type="dxa"/>
              <w:left w:w="40" w:type="dxa"/>
              <w:bottom w:w="40" w:type="dxa"/>
              <w:right w:w="40" w:type="dxa"/>
            </w:tcMar>
          </w:tcPr>
          <w:p w:rsidR="004E4A3C" w:rsidRDefault="00FD7157">
            <w:pPr>
              <w:spacing w:after="0" w:line="240" w:lineRule="auto"/>
            </w:pPr>
            <w:r>
              <w:rPr>
                <w:rFonts w:cs="Arial"/>
                <w:sz w:val="18"/>
              </w:rPr>
              <w:t>godišnje do rješavanja statusa</w:t>
            </w:r>
          </w:p>
        </w:tc>
      </w:tr>
    </w:tbl>
    <w:p w:rsidR="004E4A3C" w:rsidRDefault="004E4A3C"/>
    <w:p w:rsidR="004E4A3C" w:rsidRDefault="00FD7157">
      <w:pPr>
        <w:jc w:val="both"/>
      </w:pPr>
      <w:r>
        <w:t xml:space="preserve">Vrednovanje sprovođenja treba zasnivati na provjeri realizovanih mjera, promjenama brzine i stanja kolovoza, eventualnim kontrolnim mjerenjima i ažuriranim proračunima za </w:t>
      </w:r>
      <w:r>
        <w:t>prioritetne lokacije. Revizija se radi najkasnije nakon pet godina ili ranije ako se bitno promijene uslovi u koridoru puta.</w:t>
      </w:r>
    </w:p>
    <w:p w:rsidR="004E4A3C" w:rsidRDefault="00FD7157">
      <w:pPr>
        <w:pStyle w:val="Heading1"/>
        <w:spacing w:before="120"/>
        <w:jc w:val="both"/>
      </w:pPr>
      <w:bookmarkStart w:id="171" w:name="__RefHeading___Toc9285_4023479253"/>
      <w:bookmarkStart w:id="172" w:name="_Toc231671859"/>
      <w:bookmarkEnd w:id="171"/>
      <w:r>
        <w:rPr>
          <w:rFonts w:ascii="Arial" w:eastAsia="Arial" w:hAnsi="Arial"/>
          <w:b w:val="0"/>
        </w:rPr>
        <w:t>13. Zaključak</w:t>
      </w:r>
      <w:bookmarkEnd w:id="172"/>
    </w:p>
    <w:p w:rsidR="004E4A3C" w:rsidRDefault="004E4A3C">
      <w:pPr>
        <w:spacing w:after="0"/>
        <w:jc w:val="both"/>
      </w:pPr>
    </w:p>
    <w:p w:rsidR="004E4A3C" w:rsidRDefault="00FD7157">
      <w:pPr>
        <w:jc w:val="both"/>
      </w:pPr>
      <w:r>
        <w:t>Zaključak sažima osnovne nalaze, predloženi pravac djelovanja i aktivnosti potrebne za sprovođenje Akcionog plana na</w:t>
      </w:r>
      <w:r>
        <w:t>kon javne rasprave. Naglasak je na faznom pristupu, sljedivim scenarijskim rezultatima i mjerama koje mogu smanjiti izloženost stanovništva.</w:t>
      </w:r>
    </w:p>
    <w:p w:rsidR="004E4A3C" w:rsidRDefault="00FD7157">
      <w:pPr>
        <w:jc w:val="both"/>
      </w:pPr>
      <w:r>
        <w:t>Akcioni plan za regionalni put R-23, dionica Spuž–Vranjske Njive, treba da bude realističan, fazan i usmjeren na mj</w:t>
      </w:r>
      <w:r>
        <w:t>ere koje daju najbrži efekat uz razuman trošak. Bazna strateška karta pokazuje da postoje prekoračenja graničnih vrijednosti, naročito u stambenoj zoni i zoni jakog uticaja buke saobraćaja. Noćni indikator je posebno važan za prioritizaciju mjera.</w:t>
      </w:r>
    </w:p>
    <w:p w:rsidR="004E4A3C" w:rsidRDefault="00FD7157">
      <w:pPr>
        <w:jc w:val="both"/>
      </w:pPr>
      <w:r>
        <w:t>Preporuč</w:t>
      </w:r>
      <w:r>
        <w:t xml:space="preserve">uje se da se za javnu raspravu predloži S1 kao kratkoročni prioritet, da se S3 planira uz obnovu kolovoza, da se S4 definiše kao ciljni kombinovani paket, a da se dopunske lokalne mjere koriste za lokalne rezidualne lokacije nakon dodatne provjere. Ovakav </w:t>
      </w:r>
      <w:r>
        <w:t>pristup je u skladu sa dobrom praksom za glavne puteve sličnog saobraćajnog opterećenja.</w:t>
      </w:r>
    </w:p>
    <w:p w:rsidR="004E4A3C" w:rsidRDefault="00FD7157">
      <w:pPr>
        <w:pStyle w:val="Heading1"/>
        <w:spacing w:before="120"/>
        <w:jc w:val="both"/>
        <w:rPr>
          <w:rFonts w:ascii="Arial" w:eastAsia="Arial" w:hAnsi="Arial"/>
          <w:b w:val="0"/>
        </w:rPr>
      </w:pPr>
      <w:bookmarkStart w:id="173" w:name="__RefHeading___Toc9287_4023479253"/>
      <w:bookmarkStart w:id="174" w:name="_Toc231671860"/>
      <w:bookmarkEnd w:id="173"/>
      <w:r>
        <w:rPr>
          <w:rFonts w:ascii="Arial" w:eastAsia="Arial" w:hAnsi="Arial"/>
          <w:b w:val="0"/>
        </w:rPr>
        <w:t>14. Prilozi i dokumentaciona osnova</w:t>
      </w:r>
      <w:bookmarkEnd w:id="174"/>
    </w:p>
    <w:p w:rsidR="004E4A3C" w:rsidRDefault="004E4A3C">
      <w:pPr>
        <w:spacing w:after="0"/>
        <w:jc w:val="both"/>
      </w:pPr>
    </w:p>
    <w:p w:rsidR="004E4A3C" w:rsidRDefault="00FD7157">
      <w:pPr>
        <w:jc w:val="both"/>
      </w:pPr>
      <w:r>
        <w:t>Prilozi objedinjuju stručne podloge, kartografske prikaze i pomoćne tabele koje podržavaju zaključke Akcionog plana. Njihova svrha</w:t>
      </w:r>
      <w:r>
        <w:t xml:space="preserve"> je da omoguće provjerljivost rezultata i da olakšaju javni uvid, komentare i naknadno usvajanje finalne verzije.</w:t>
      </w:r>
    </w:p>
    <w:p w:rsidR="004E4A3C" w:rsidRDefault="00FD7157">
      <w:pPr>
        <w:pStyle w:val="Heading2"/>
        <w:jc w:val="both"/>
      </w:pPr>
      <w:bookmarkStart w:id="175" w:name="__RefHeading___Toc9289_4023479253"/>
      <w:bookmarkStart w:id="176" w:name="_Toc231671861"/>
      <w:bookmarkEnd w:id="175"/>
      <w:r>
        <w:rPr>
          <w:rFonts w:ascii="Arial" w:eastAsia="Arial" w:hAnsi="Arial"/>
          <w:b w:val="0"/>
        </w:rPr>
        <w:lastRenderedPageBreak/>
        <w:t>14.1. Dokumentaciona osnova</w:t>
      </w:r>
      <w:bookmarkEnd w:id="176"/>
    </w:p>
    <w:p w:rsidR="004E4A3C" w:rsidRDefault="00FD7157">
      <w:pPr>
        <w:jc w:val="both"/>
      </w:pPr>
      <w:r>
        <w:t xml:space="preserve">Dokumentaciona osnova pokazuje na kojim podacima, izvještajima i modelima je zasnovan Akcioni plan. U nastavku se </w:t>
      </w:r>
      <w:r>
        <w:t>razdvajaju zvanične bazne podloge, odnosno S0 - nulto stanje iz Strateške karte buke, od finalnih scenarijskih materijala S1, S3 i S4 koji služe za izbor i provjeru mjera.</w:t>
      </w:r>
    </w:p>
    <w:p w:rsidR="004E4A3C" w:rsidRDefault="00FD7157">
      <w:pPr>
        <w:keepNext/>
        <w:keepLines/>
        <w:spacing w:after="40"/>
        <w:rPr>
          <w:b/>
          <w:bCs/>
        </w:rPr>
      </w:pPr>
      <w:r>
        <w:rPr>
          <w:b/>
          <w:bCs/>
        </w:rPr>
        <w:t>Tabela 35. Dokumentaciona osnova</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407"/>
        <w:gridCol w:w="9458"/>
      </w:tblGrid>
      <w:tr w:rsidR="004E4A3C">
        <w:trPr>
          <w:cantSplit/>
          <w:tblHeader/>
          <w:jc w:val="center"/>
        </w:trPr>
        <w:tc>
          <w:tcPr>
            <w:tcW w:w="407" w:type="dxa"/>
            <w:shd w:val="clear" w:color="auto" w:fill="D9EAF7"/>
          </w:tcPr>
          <w:p w:rsidR="004E4A3C" w:rsidRDefault="00FD7157">
            <w:pPr>
              <w:spacing w:after="0" w:line="240" w:lineRule="auto"/>
              <w:jc w:val="center"/>
            </w:pPr>
            <w:r>
              <w:rPr>
                <w:rFonts w:cs="Arial"/>
                <w:b/>
                <w:color w:val="000000"/>
                <w:sz w:val="18"/>
                <w:szCs w:val="18"/>
              </w:rPr>
              <w:t>Br.</w:t>
            </w:r>
          </w:p>
        </w:tc>
        <w:tc>
          <w:tcPr>
            <w:tcW w:w="9457" w:type="dxa"/>
            <w:shd w:val="clear" w:color="auto" w:fill="D9EAF7"/>
          </w:tcPr>
          <w:p w:rsidR="004E4A3C" w:rsidRDefault="00FD7157">
            <w:pPr>
              <w:spacing w:after="0" w:line="240" w:lineRule="auto"/>
              <w:jc w:val="center"/>
            </w:pPr>
            <w:r>
              <w:rPr>
                <w:rFonts w:cs="Arial"/>
                <w:b/>
                <w:color w:val="000000"/>
                <w:sz w:val="18"/>
                <w:szCs w:val="18"/>
              </w:rPr>
              <w:t>Dokument / podloga</w:t>
            </w:r>
          </w:p>
        </w:tc>
      </w:tr>
      <w:tr w:rsidR="004E4A3C">
        <w:trPr>
          <w:cantSplit/>
          <w:jc w:val="center"/>
        </w:trPr>
        <w:tc>
          <w:tcPr>
            <w:tcW w:w="407" w:type="dxa"/>
          </w:tcPr>
          <w:p w:rsidR="004E4A3C" w:rsidRDefault="00FD7157">
            <w:pPr>
              <w:spacing w:after="0" w:line="240" w:lineRule="auto"/>
            </w:pPr>
            <w:r>
              <w:rPr>
                <w:rFonts w:cs="Arial"/>
                <w:sz w:val="18"/>
                <w:szCs w:val="18"/>
              </w:rPr>
              <w:t>1</w:t>
            </w:r>
          </w:p>
        </w:tc>
        <w:tc>
          <w:tcPr>
            <w:tcW w:w="9457" w:type="dxa"/>
          </w:tcPr>
          <w:p w:rsidR="004E4A3C" w:rsidRDefault="00FD7157">
            <w:pPr>
              <w:spacing w:after="0" w:line="240" w:lineRule="auto"/>
            </w:pPr>
            <w:r>
              <w:rPr>
                <w:rFonts w:cs="Arial"/>
                <w:sz w:val="18"/>
                <w:szCs w:val="18"/>
              </w:rPr>
              <w:t xml:space="preserve">Strateška karta buke za </w:t>
            </w:r>
            <w:r>
              <w:rPr>
                <w:rFonts w:cs="Arial"/>
                <w:sz w:val="18"/>
                <w:szCs w:val="18"/>
              </w:rPr>
              <w:t>regionalni put R-23, dionica Spuž–Vranjske Njive, WINsoft d.o.o., jun 2026.</w:t>
            </w:r>
          </w:p>
        </w:tc>
      </w:tr>
      <w:tr w:rsidR="004E4A3C">
        <w:trPr>
          <w:cantSplit/>
          <w:jc w:val="center"/>
        </w:trPr>
        <w:tc>
          <w:tcPr>
            <w:tcW w:w="407" w:type="dxa"/>
          </w:tcPr>
          <w:p w:rsidR="004E4A3C" w:rsidRDefault="00FD7157">
            <w:pPr>
              <w:spacing w:after="0" w:line="240" w:lineRule="auto"/>
            </w:pPr>
            <w:r>
              <w:rPr>
                <w:rFonts w:cs="Arial"/>
                <w:sz w:val="18"/>
                <w:szCs w:val="18"/>
              </w:rPr>
              <w:t>2</w:t>
            </w:r>
          </w:p>
        </w:tc>
        <w:tc>
          <w:tcPr>
            <w:tcW w:w="9457" w:type="dxa"/>
          </w:tcPr>
          <w:p w:rsidR="004E4A3C" w:rsidRDefault="00FD7157">
            <w:pPr>
              <w:spacing w:after="0" w:line="240" w:lineRule="auto"/>
            </w:pPr>
            <w:r>
              <w:rPr>
                <w:rFonts w:cs="Arial"/>
                <w:sz w:val="18"/>
              </w:rPr>
              <w:t>Kartografski prilozi Lden i Lnight za S0 - nulto stanje i scenarije S1, S3 i S4, prema dostupnosti u predatim folderima.</w:t>
            </w:r>
          </w:p>
        </w:tc>
      </w:tr>
      <w:tr w:rsidR="004E4A3C">
        <w:trPr>
          <w:cantSplit/>
          <w:jc w:val="center"/>
        </w:trPr>
        <w:tc>
          <w:tcPr>
            <w:tcW w:w="407" w:type="dxa"/>
          </w:tcPr>
          <w:p w:rsidR="004E4A3C" w:rsidRDefault="00FD7157">
            <w:pPr>
              <w:spacing w:after="0" w:line="240" w:lineRule="auto"/>
            </w:pPr>
            <w:r>
              <w:rPr>
                <w:rFonts w:cs="Arial"/>
                <w:sz w:val="18"/>
                <w:szCs w:val="18"/>
              </w:rPr>
              <w:t>3</w:t>
            </w:r>
          </w:p>
        </w:tc>
        <w:tc>
          <w:tcPr>
            <w:tcW w:w="9457" w:type="dxa"/>
          </w:tcPr>
          <w:p w:rsidR="004E4A3C" w:rsidRDefault="00FD7157">
            <w:pPr>
              <w:spacing w:after="0" w:line="240" w:lineRule="auto"/>
            </w:pPr>
            <w:r>
              <w:rPr>
                <w:rFonts w:cs="Arial"/>
                <w:sz w:val="18"/>
              </w:rPr>
              <w:t>Finalni CadnaA / Building Evaluation scenarijski mode</w:t>
            </w:r>
            <w:r>
              <w:rPr>
                <w:rFonts w:cs="Arial"/>
                <w:sz w:val="18"/>
              </w:rPr>
              <w:t>li i prateći GIS/PDF prilozi: R-23/S0, S1, S3 i S4.</w:t>
            </w:r>
          </w:p>
        </w:tc>
      </w:tr>
      <w:tr w:rsidR="004E4A3C">
        <w:trPr>
          <w:cantSplit/>
          <w:jc w:val="center"/>
        </w:trPr>
        <w:tc>
          <w:tcPr>
            <w:tcW w:w="407" w:type="dxa"/>
          </w:tcPr>
          <w:p w:rsidR="004E4A3C" w:rsidRDefault="00FD7157">
            <w:pPr>
              <w:spacing w:after="0" w:line="240" w:lineRule="auto"/>
            </w:pPr>
            <w:r>
              <w:rPr>
                <w:rFonts w:cs="Arial"/>
                <w:sz w:val="18"/>
                <w:szCs w:val="18"/>
              </w:rPr>
              <w:t>4</w:t>
            </w:r>
          </w:p>
        </w:tc>
        <w:tc>
          <w:tcPr>
            <w:tcW w:w="9457" w:type="dxa"/>
          </w:tcPr>
          <w:p w:rsidR="004E4A3C" w:rsidRDefault="00FD7157">
            <w:pPr>
              <w:spacing w:after="0" w:line="240" w:lineRule="auto"/>
            </w:pPr>
            <w:r>
              <w:rPr>
                <w:sz w:val="18"/>
              </w:rPr>
              <w:t>Uporedna evropska praksa i javno dostupne smjernice za akcione planove zaštite od buke, korišćene kao opšta metodološka orijentacija.</w:t>
            </w:r>
          </w:p>
        </w:tc>
      </w:tr>
      <w:tr w:rsidR="004E4A3C">
        <w:trPr>
          <w:cantSplit/>
          <w:jc w:val="center"/>
        </w:trPr>
        <w:tc>
          <w:tcPr>
            <w:tcW w:w="407" w:type="dxa"/>
          </w:tcPr>
          <w:p w:rsidR="004E4A3C" w:rsidRDefault="00FD7157">
            <w:pPr>
              <w:spacing w:after="0" w:line="240" w:lineRule="auto"/>
            </w:pPr>
            <w:r>
              <w:rPr>
                <w:rFonts w:cs="Arial"/>
                <w:sz w:val="18"/>
                <w:szCs w:val="18"/>
              </w:rPr>
              <w:t>5</w:t>
            </w:r>
          </w:p>
        </w:tc>
        <w:tc>
          <w:tcPr>
            <w:tcW w:w="9457" w:type="dxa"/>
          </w:tcPr>
          <w:p w:rsidR="004E4A3C" w:rsidRDefault="00FD7157">
            <w:pPr>
              <w:spacing w:after="0" w:line="240" w:lineRule="auto"/>
            </w:pPr>
            <w:r>
              <w:rPr>
                <w:rFonts w:cs="Arial"/>
                <w:sz w:val="18"/>
                <w:szCs w:val="18"/>
              </w:rPr>
              <w:t xml:space="preserve">Propisi Crne Gore iz oblasti zaštite od buke i lokalne odluke o </w:t>
            </w:r>
            <w:r>
              <w:rPr>
                <w:rFonts w:cs="Arial"/>
                <w:sz w:val="18"/>
                <w:szCs w:val="18"/>
              </w:rPr>
              <w:t>akustičnim zonama Podgorice i Danilovgrada.</w:t>
            </w:r>
          </w:p>
        </w:tc>
      </w:tr>
    </w:tbl>
    <w:p w:rsidR="004E4A3C" w:rsidRDefault="00FD7157">
      <w:pPr>
        <w:pStyle w:val="Heading2"/>
      </w:pPr>
      <w:bookmarkStart w:id="177" w:name="__RefHeading___Toc9291_4023479253"/>
      <w:bookmarkStart w:id="178" w:name="_Toc231671862"/>
      <w:bookmarkEnd w:id="177"/>
      <w:r>
        <w:rPr>
          <w:rFonts w:ascii="Arial" w:eastAsia="Arial" w:hAnsi="Arial"/>
          <w:b w:val="0"/>
        </w:rPr>
        <w:t>14.2. Prilozi za javnu raspravu</w:t>
      </w:r>
      <w:bookmarkEnd w:id="178"/>
    </w:p>
    <w:p w:rsidR="004E4A3C" w:rsidRDefault="00FD7157">
      <w:pPr>
        <w:jc w:val="both"/>
      </w:pPr>
      <w:r>
        <w:t>Prilozi za javnu raspravu treba da budu jasni, pregledni i dostupni učesnicima rasprave. U nastavku je dat pregled priloga koji se mogu koristiti za objašnjenje baznog stanja, sce</w:t>
      </w:r>
      <w:r>
        <w:t>narija i predloženog programa mjera.</w:t>
      </w:r>
    </w:p>
    <w:p w:rsidR="004E4A3C" w:rsidRDefault="00FD7157">
      <w:pPr>
        <w:keepNext/>
        <w:keepLines/>
        <w:spacing w:after="40"/>
        <w:rPr>
          <w:b/>
          <w:bCs/>
        </w:rPr>
      </w:pPr>
      <w:r>
        <w:rPr>
          <w:b/>
          <w:bCs/>
        </w:rPr>
        <w:t>Tabela 36. Prilozi za javnu raspravu</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1036"/>
        <w:gridCol w:w="4634"/>
        <w:gridCol w:w="4195"/>
      </w:tblGrid>
      <w:tr w:rsidR="004E4A3C">
        <w:trPr>
          <w:cantSplit/>
          <w:tblHeader/>
          <w:jc w:val="center"/>
        </w:trPr>
        <w:tc>
          <w:tcPr>
            <w:tcW w:w="1036" w:type="dxa"/>
            <w:shd w:val="clear" w:color="auto" w:fill="D9EAF7"/>
          </w:tcPr>
          <w:p w:rsidR="004E4A3C" w:rsidRDefault="00FD7157">
            <w:pPr>
              <w:spacing w:after="0" w:line="240" w:lineRule="auto"/>
              <w:jc w:val="center"/>
            </w:pPr>
            <w:r>
              <w:rPr>
                <w:rFonts w:cs="Arial"/>
                <w:b/>
                <w:color w:val="000000"/>
                <w:sz w:val="18"/>
                <w:szCs w:val="18"/>
              </w:rPr>
              <w:t>Prilog</w:t>
            </w:r>
          </w:p>
        </w:tc>
        <w:tc>
          <w:tcPr>
            <w:tcW w:w="4634" w:type="dxa"/>
            <w:shd w:val="clear" w:color="auto" w:fill="D9EAF7"/>
          </w:tcPr>
          <w:p w:rsidR="004E4A3C" w:rsidRDefault="00FD7157">
            <w:pPr>
              <w:spacing w:after="0" w:line="240" w:lineRule="auto"/>
              <w:jc w:val="center"/>
            </w:pPr>
            <w:r>
              <w:rPr>
                <w:rFonts w:cs="Arial"/>
                <w:b/>
                <w:color w:val="000000"/>
                <w:sz w:val="18"/>
                <w:szCs w:val="18"/>
              </w:rPr>
              <w:t>Naziv</w:t>
            </w:r>
          </w:p>
        </w:tc>
        <w:tc>
          <w:tcPr>
            <w:tcW w:w="4195" w:type="dxa"/>
            <w:shd w:val="clear" w:color="auto" w:fill="D9EAF7"/>
          </w:tcPr>
          <w:p w:rsidR="004E4A3C" w:rsidRDefault="00FD7157">
            <w:pPr>
              <w:spacing w:after="0" w:line="240" w:lineRule="auto"/>
              <w:jc w:val="center"/>
            </w:pPr>
            <w:r>
              <w:rPr>
                <w:rFonts w:cs="Arial"/>
                <w:b/>
                <w:color w:val="000000"/>
                <w:sz w:val="18"/>
                <w:szCs w:val="18"/>
              </w:rPr>
              <w:t>Namjena</w:t>
            </w:r>
          </w:p>
        </w:tc>
      </w:tr>
      <w:tr w:rsidR="004E4A3C">
        <w:trPr>
          <w:cantSplit/>
          <w:jc w:val="center"/>
        </w:trPr>
        <w:tc>
          <w:tcPr>
            <w:tcW w:w="1036" w:type="dxa"/>
          </w:tcPr>
          <w:p w:rsidR="004E4A3C" w:rsidRDefault="00FD7157">
            <w:pPr>
              <w:spacing w:after="0" w:line="240" w:lineRule="auto"/>
            </w:pPr>
            <w:r>
              <w:rPr>
                <w:rFonts w:cs="Arial"/>
                <w:sz w:val="18"/>
                <w:szCs w:val="18"/>
              </w:rPr>
              <w:t>Prilog 1</w:t>
            </w:r>
          </w:p>
        </w:tc>
        <w:tc>
          <w:tcPr>
            <w:tcW w:w="4634" w:type="dxa"/>
          </w:tcPr>
          <w:p w:rsidR="004E4A3C" w:rsidRDefault="00FD7157">
            <w:pPr>
              <w:spacing w:after="0" w:line="240" w:lineRule="auto"/>
            </w:pPr>
            <w:r>
              <w:rPr>
                <w:rFonts w:cs="Arial"/>
                <w:sz w:val="18"/>
                <w:szCs w:val="18"/>
              </w:rPr>
              <w:t>Projektni zadaci za modelovanje varijanti u CadnaA</w:t>
            </w:r>
          </w:p>
        </w:tc>
        <w:tc>
          <w:tcPr>
            <w:tcW w:w="4195" w:type="dxa"/>
          </w:tcPr>
          <w:p w:rsidR="004E4A3C" w:rsidRDefault="00FD7157">
            <w:pPr>
              <w:spacing w:after="0" w:line="240" w:lineRule="auto"/>
            </w:pPr>
            <w:r>
              <w:rPr>
                <w:rFonts w:cs="Arial"/>
                <w:sz w:val="18"/>
              </w:rPr>
              <w:t>tehnička osnova za provjeru scenarija</w:t>
            </w:r>
          </w:p>
        </w:tc>
      </w:tr>
      <w:tr w:rsidR="004E4A3C">
        <w:trPr>
          <w:cantSplit/>
          <w:jc w:val="center"/>
        </w:trPr>
        <w:tc>
          <w:tcPr>
            <w:tcW w:w="1036" w:type="dxa"/>
          </w:tcPr>
          <w:p w:rsidR="004E4A3C" w:rsidRDefault="00FD7157">
            <w:pPr>
              <w:spacing w:after="0" w:line="240" w:lineRule="auto"/>
            </w:pPr>
            <w:r>
              <w:rPr>
                <w:rFonts w:cs="Arial"/>
                <w:sz w:val="18"/>
                <w:szCs w:val="18"/>
              </w:rPr>
              <w:t>Prilog 2</w:t>
            </w:r>
          </w:p>
        </w:tc>
        <w:tc>
          <w:tcPr>
            <w:tcW w:w="4634" w:type="dxa"/>
          </w:tcPr>
          <w:p w:rsidR="004E4A3C" w:rsidRDefault="00FD7157">
            <w:pPr>
              <w:spacing w:after="0" w:line="240" w:lineRule="auto"/>
            </w:pPr>
            <w:r>
              <w:rPr>
                <w:rFonts w:cs="Arial"/>
                <w:sz w:val="18"/>
                <w:szCs w:val="18"/>
              </w:rPr>
              <w:t>Uporedna praksa EU i prenos pouka</w:t>
            </w:r>
          </w:p>
        </w:tc>
        <w:tc>
          <w:tcPr>
            <w:tcW w:w="4195" w:type="dxa"/>
          </w:tcPr>
          <w:p w:rsidR="004E4A3C" w:rsidRDefault="00FD7157">
            <w:pPr>
              <w:spacing w:after="0" w:line="240" w:lineRule="auto"/>
            </w:pPr>
            <w:r>
              <w:rPr>
                <w:rFonts w:cs="Arial"/>
                <w:sz w:val="18"/>
                <w:szCs w:val="18"/>
              </w:rPr>
              <w:t xml:space="preserve">obrazloženje za </w:t>
            </w:r>
            <w:r>
              <w:rPr>
                <w:rFonts w:cs="Arial"/>
                <w:sz w:val="18"/>
                <w:szCs w:val="18"/>
              </w:rPr>
              <w:t>fazni pristup i prioritet mjera na izvoru</w:t>
            </w:r>
          </w:p>
        </w:tc>
      </w:tr>
      <w:tr w:rsidR="004E4A3C">
        <w:trPr>
          <w:cantSplit/>
          <w:jc w:val="center"/>
        </w:trPr>
        <w:tc>
          <w:tcPr>
            <w:tcW w:w="1036" w:type="dxa"/>
          </w:tcPr>
          <w:p w:rsidR="004E4A3C" w:rsidRDefault="00FD7157">
            <w:pPr>
              <w:spacing w:after="0" w:line="240" w:lineRule="auto"/>
            </w:pPr>
            <w:r>
              <w:rPr>
                <w:rFonts w:cs="Arial"/>
                <w:sz w:val="18"/>
                <w:szCs w:val="18"/>
              </w:rPr>
              <w:t>Prilog 3</w:t>
            </w:r>
          </w:p>
        </w:tc>
        <w:tc>
          <w:tcPr>
            <w:tcW w:w="4634" w:type="dxa"/>
          </w:tcPr>
          <w:p w:rsidR="004E4A3C" w:rsidRDefault="00FD7157">
            <w:pPr>
              <w:spacing w:after="0" w:line="240" w:lineRule="auto"/>
            </w:pPr>
            <w:r>
              <w:rPr>
                <w:rFonts w:cs="Arial"/>
                <w:sz w:val="18"/>
              </w:rPr>
              <w:t>Kartografski prilozi S0, S1, S3 i S4</w:t>
            </w:r>
          </w:p>
        </w:tc>
        <w:tc>
          <w:tcPr>
            <w:tcW w:w="4195" w:type="dxa"/>
          </w:tcPr>
          <w:p w:rsidR="004E4A3C" w:rsidRDefault="00FD7157">
            <w:pPr>
              <w:spacing w:after="0" w:line="240" w:lineRule="auto"/>
            </w:pPr>
            <w:r>
              <w:rPr>
                <w:rFonts w:cs="Arial"/>
                <w:sz w:val="18"/>
                <w:szCs w:val="18"/>
              </w:rPr>
              <w:t>vizuelna podloga za javnu raspravu</w:t>
            </w:r>
          </w:p>
        </w:tc>
      </w:tr>
    </w:tbl>
    <w:p w:rsidR="004E4A3C" w:rsidRDefault="004E4A3C">
      <w:pPr>
        <w:pStyle w:val="Heading1"/>
        <w:rPr>
          <w:rFonts w:ascii="Arial" w:eastAsia="Arial" w:hAnsi="Arial"/>
          <w:b w:val="0"/>
        </w:rPr>
      </w:pPr>
    </w:p>
    <w:p w:rsidR="004E4A3C" w:rsidRDefault="00FD7157">
      <w:pPr>
        <w:rPr>
          <w:rFonts w:cstheme="majorBidi"/>
          <w:bCs/>
          <w:color w:val="1F4E79"/>
          <w:sz w:val="32"/>
          <w:szCs w:val="28"/>
        </w:rPr>
      </w:pPr>
      <w:r>
        <w:br w:type="page"/>
      </w:r>
    </w:p>
    <w:p w:rsidR="004E4A3C" w:rsidRDefault="00FD7157">
      <w:pPr>
        <w:pStyle w:val="Heading1"/>
        <w:spacing w:before="0"/>
      </w:pPr>
      <w:bookmarkStart w:id="179" w:name="__RefHeading___Toc9293_4023479253"/>
      <w:bookmarkStart w:id="180" w:name="_Toc231671863"/>
      <w:bookmarkEnd w:id="179"/>
      <w:r>
        <w:rPr>
          <w:rFonts w:ascii="Arial" w:eastAsia="Arial" w:hAnsi="Arial"/>
          <w:b w:val="0"/>
        </w:rPr>
        <w:lastRenderedPageBreak/>
        <w:t>Prilog 1. Projektni zadaci za modelovanje varijanti u CadnaA</w:t>
      </w:r>
      <w:bookmarkEnd w:id="180"/>
    </w:p>
    <w:p w:rsidR="004E4A3C" w:rsidRDefault="004E4A3C">
      <w:pPr>
        <w:spacing w:after="0"/>
        <w:jc w:val="both"/>
      </w:pPr>
    </w:p>
    <w:p w:rsidR="004E4A3C" w:rsidRDefault="00FD7157">
      <w:r>
        <w:t xml:space="preserve">Ovaj prilog definiše kako treba pripremiti i provjeriti scenarije </w:t>
      </w:r>
      <w:r>
        <w:t>u akustičkom modelu. Njegova svrha je da se obezbijedi dosljednost ulaznih parametara i izlaznih tabela radi kontrole sljedivosti finalnih brojčanih rezultata Akcionog plana.</w:t>
      </w:r>
    </w:p>
    <w:p w:rsidR="004E4A3C" w:rsidRDefault="00FD7157">
      <w:pPr>
        <w:pStyle w:val="Heading2"/>
      </w:pPr>
      <w:bookmarkStart w:id="181" w:name="__RefHeading___Toc9295_4023479253"/>
      <w:bookmarkStart w:id="182" w:name="_Toc231671864"/>
      <w:bookmarkEnd w:id="181"/>
      <w:r>
        <w:rPr>
          <w:rFonts w:ascii="Arial" w:eastAsia="Arial" w:hAnsi="Arial"/>
          <w:b w:val="0"/>
        </w:rPr>
        <w:t>P1.1. Svrha i status priloga</w:t>
      </w:r>
      <w:bookmarkEnd w:id="182"/>
    </w:p>
    <w:p w:rsidR="004E4A3C" w:rsidRDefault="00FD7157">
      <w:r>
        <w:t xml:space="preserve">Svrha ovog priloga je da se scenarijsko modelovanje </w:t>
      </w:r>
      <w:r>
        <w:t>prikaže kao tehnički zadatak koji može biti provjeren i ponovljen. Prihvaćeno je da je S0 nulto stanje izvedeno iz Strateške karte buke, dok su folderi S1, S3 i S4 dostavljeni kao finalni CadnaA / Building Evaluation izlazi. Prilog se koristi za kontrolu p</w:t>
      </w:r>
      <w:r>
        <w:t>otpunosti i sljedivosti scenarija tokom javne rasprave, sprovođenja i kasnije revizije.</w:t>
      </w:r>
    </w:p>
    <w:p w:rsidR="004E4A3C" w:rsidRDefault="00FD7157">
      <w:r>
        <w:t>Ovaj prilog definiše minimalne projektne zadatke za provjeru sljedivosti scenarija tokom javne rasprave i kasnijeg sprovođenja. S0 se tretira kao nulto stanje iz Strate</w:t>
      </w:r>
      <w:r>
        <w:t>ške karte buke, a scenariji S1, S3 i S4 kao finalni izlazi iz dostavljenih CadnaA / Building Evaluation foldera, uz obavezu da se u službenoj predaji čuva evidencija naziva fajlova i datuma izvoza.</w:t>
      </w:r>
    </w:p>
    <w:p w:rsidR="004E4A3C" w:rsidRDefault="00FD7157">
      <w:pPr>
        <w:pStyle w:val="Heading2"/>
      </w:pPr>
      <w:bookmarkStart w:id="183" w:name="__RefHeading___Toc9297_4023479253"/>
      <w:bookmarkStart w:id="184" w:name="_Toc231671865"/>
      <w:bookmarkEnd w:id="183"/>
      <w:r>
        <w:rPr>
          <w:rFonts w:ascii="Arial" w:eastAsia="Arial" w:hAnsi="Arial"/>
          <w:b w:val="0"/>
        </w:rPr>
        <w:t>P1.2. Opšti ulazni podaci za sve scenarije</w:t>
      </w:r>
      <w:bookmarkEnd w:id="184"/>
    </w:p>
    <w:p w:rsidR="004E4A3C" w:rsidRDefault="00FD7157">
      <w:r>
        <w:t>Svi scenariji t</w:t>
      </w:r>
      <w:r>
        <w:t>reba da koriste istu referentnu geometriju, isti obuhvat, iste osnovne podatke o saobraćaju i istu metodologiju proračuna. Samo na taj način razlike između scenarija mogu se tumačiti kao posljedica mjera, a ne kao posljedica različitih ulaznih pretpostavki</w:t>
      </w:r>
      <w:r>
        <w:t>.</w:t>
      </w:r>
    </w:p>
    <w:p w:rsidR="004E4A3C" w:rsidRDefault="00FD7157">
      <w:pPr>
        <w:keepNext/>
        <w:keepLines/>
        <w:spacing w:after="40"/>
        <w:rPr>
          <w:b/>
          <w:bCs/>
        </w:rPr>
      </w:pPr>
      <w:r>
        <w:rPr>
          <w:b/>
          <w:bCs/>
        </w:rPr>
        <w:t>Tabela P1-1. Opšti ulazni podaci za CadnaA scenarije</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3287"/>
        <w:gridCol w:w="6578"/>
      </w:tblGrid>
      <w:tr w:rsidR="004E4A3C">
        <w:trPr>
          <w:cantSplit/>
          <w:tblHeader/>
          <w:jc w:val="center"/>
        </w:trPr>
        <w:tc>
          <w:tcPr>
            <w:tcW w:w="3287" w:type="dxa"/>
            <w:shd w:val="clear" w:color="auto" w:fill="D9EAF7"/>
          </w:tcPr>
          <w:p w:rsidR="004E4A3C" w:rsidRDefault="00FD7157">
            <w:pPr>
              <w:spacing w:after="0" w:line="240" w:lineRule="auto"/>
              <w:jc w:val="center"/>
            </w:pPr>
            <w:r>
              <w:rPr>
                <w:rFonts w:cs="Arial"/>
                <w:b/>
                <w:color w:val="000000"/>
                <w:sz w:val="18"/>
                <w:szCs w:val="18"/>
              </w:rPr>
              <w:t>Element</w:t>
            </w:r>
          </w:p>
        </w:tc>
        <w:tc>
          <w:tcPr>
            <w:tcW w:w="6577" w:type="dxa"/>
            <w:shd w:val="clear" w:color="auto" w:fill="D9EAF7"/>
          </w:tcPr>
          <w:p w:rsidR="004E4A3C" w:rsidRDefault="00FD7157">
            <w:pPr>
              <w:spacing w:after="0" w:line="240" w:lineRule="auto"/>
              <w:jc w:val="center"/>
            </w:pPr>
            <w:r>
              <w:rPr>
                <w:rFonts w:cs="Arial"/>
                <w:b/>
                <w:color w:val="000000"/>
                <w:sz w:val="18"/>
                <w:szCs w:val="18"/>
              </w:rPr>
              <w:t>Vrijednost</w:t>
            </w:r>
          </w:p>
        </w:tc>
      </w:tr>
      <w:tr w:rsidR="004E4A3C">
        <w:trPr>
          <w:cantSplit/>
          <w:jc w:val="center"/>
        </w:trPr>
        <w:tc>
          <w:tcPr>
            <w:tcW w:w="3287" w:type="dxa"/>
          </w:tcPr>
          <w:p w:rsidR="004E4A3C" w:rsidRDefault="00FD7157">
            <w:pPr>
              <w:spacing w:after="0" w:line="240" w:lineRule="auto"/>
            </w:pPr>
            <w:r>
              <w:rPr>
                <w:rFonts w:cs="Arial"/>
                <w:sz w:val="18"/>
                <w:szCs w:val="18"/>
              </w:rPr>
              <w:t>Dionica</w:t>
            </w:r>
          </w:p>
        </w:tc>
        <w:tc>
          <w:tcPr>
            <w:tcW w:w="6577" w:type="dxa"/>
          </w:tcPr>
          <w:p w:rsidR="004E4A3C" w:rsidRDefault="00FD7157">
            <w:pPr>
              <w:spacing w:after="0" w:line="240" w:lineRule="auto"/>
            </w:pPr>
            <w:r>
              <w:rPr>
                <w:rFonts w:cs="Arial"/>
                <w:sz w:val="18"/>
                <w:szCs w:val="18"/>
              </w:rPr>
              <w:t>Regionalni put R-23 Spuž–Vranjske Njive</w:t>
            </w:r>
          </w:p>
        </w:tc>
      </w:tr>
      <w:tr w:rsidR="004E4A3C">
        <w:trPr>
          <w:cantSplit/>
          <w:jc w:val="center"/>
        </w:trPr>
        <w:tc>
          <w:tcPr>
            <w:tcW w:w="3287" w:type="dxa"/>
          </w:tcPr>
          <w:p w:rsidR="004E4A3C" w:rsidRDefault="00FD7157">
            <w:pPr>
              <w:spacing w:after="0" w:line="240" w:lineRule="auto"/>
            </w:pPr>
            <w:r>
              <w:rPr>
                <w:rFonts w:cs="Arial"/>
                <w:sz w:val="18"/>
                <w:szCs w:val="18"/>
              </w:rPr>
              <w:t>Dužina modela</w:t>
            </w:r>
          </w:p>
        </w:tc>
        <w:tc>
          <w:tcPr>
            <w:tcW w:w="6577" w:type="dxa"/>
          </w:tcPr>
          <w:p w:rsidR="004E4A3C" w:rsidRDefault="00FD7157">
            <w:pPr>
              <w:spacing w:after="0" w:line="240" w:lineRule="auto"/>
            </w:pPr>
            <w:r>
              <w:rPr>
                <w:rFonts w:cs="Arial"/>
                <w:sz w:val="18"/>
                <w:szCs w:val="18"/>
              </w:rPr>
              <w:t>6,98 km</w:t>
            </w:r>
          </w:p>
        </w:tc>
      </w:tr>
      <w:tr w:rsidR="004E4A3C">
        <w:trPr>
          <w:cantSplit/>
          <w:jc w:val="center"/>
        </w:trPr>
        <w:tc>
          <w:tcPr>
            <w:tcW w:w="3287" w:type="dxa"/>
          </w:tcPr>
          <w:p w:rsidR="004E4A3C" w:rsidRDefault="00FD7157">
            <w:pPr>
              <w:spacing w:after="0" w:line="240" w:lineRule="auto"/>
            </w:pPr>
            <w:r>
              <w:rPr>
                <w:rFonts w:cs="Arial"/>
                <w:sz w:val="18"/>
                <w:szCs w:val="18"/>
              </w:rPr>
              <w:t>Metoda</w:t>
            </w:r>
          </w:p>
        </w:tc>
        <w:tc>
          <w:tcPr>
            <w:tcW w:w="6577" w:type="dxa"/>
          </w:tcPr>
          <w:p w:rsidR="004E4A3C" w:rsidRDefault="00FD7157">
            <w:pPr>
              <w:spacing w:after="0" w:line="240" w:lineRule="auto"/>
            </w:pPr>
            <w:r>
              <w:rPr>
                <w:rFonts w:cs="Arial"/>
                <w:sz w:val="18"/>
                <w:szCs w:val="18"/>
              </w:rPr>
              <w:t>CNOSSOS-EU 2015/996</w:t>
            </w:r>
          </w:p>
        </w:tc>
      </w:tr>
      <w:tr w:rsidR="004E4A3C">
        <w:trPr>
          <w:cantSplit/>
          <w:jc w:val="center"/>
        </w:trPr>
        <w:tc>
          <w:tcPr>
            <w:tcW w:w="3287" w:type="dxa"/>
          </w:tcPr>
          <w:p w:rsidR="004E4A3C" w:rsidRDefault="00FD7157">
            <w:pPr>
              <w:spacing w:after="0" w:line="240" w:lineRule="auto"/>
            </w:pPr>
            <w:r>
              <w:rPr>
                <w:rFonts w:cs="Arial"/>
                <w:sz w:val="18"/>
                <w:szCs w:val="18"/>
              </w:rPr>
              <w:t>Softver</w:t>
            </w:r>
          </w:p>
        </w:tc>
        <w:tc>
          <w:tcPr>
            <w:tcW w:w="6577" w:type="dxa"/>
          </w:tcPr>
          <w:p w:rsidR="004E4A3C" w:rsidRDefault="00FD7157">
            <w:pPr>
              <w:spacing w:after="0" w:line="240" w:lineRule="auto"/>
            </w:pPr>
            <w:r>
              <w:rPr>
                <w:rFonts w:cs="Arial"/>
                <w:sz w:val="18"/>
                <w:szCs w:val="18"/>
              </w:rPr>
              <w:t>CadnaA Version 2026 MR</w:t>
            </w:r>
          </w:p>
        </w:tc>
      </w:tr>
      <w:tr w:rsidR="004E4A3C">
        <w:trPr>
          <w:cantSplit/>
          <w:jc w:val="center"/>
        </w:trPr>
        <w:tc>
          <w:tcPr>
            <w:tcW w:w="3287" w:type="dxa"/>
          </w:tcPr>
          <w:p w:rsidR="004E4A3C" w:rsidRDefault="00FD7157">
            <w:pPr>
              <w:spacing w:after="0" w:line="240" w:lineRule="auto"/>
            </w:pPr>
            <w:r>
              <w:rPr>
                <w:rFonts w:cs="Arial"/>
                <w:sz w:val="18"/>
                <w:szCs w:val="18"/>
              </w:rPr>
              <w:t>Indikatori</w:t>
            </w:r>
          </w:p>
        </w:tc>
        <w:tc>
          <w:tcPr>
            <w:tcW w:w="6577" w:type="dxa"/>
          </w:tcPr>
          <w:p w:rsidR="004E4A3C" w:rsidRDefault="00FD7157">
            <w:pPr>
              <w:spacing w:after="0" w:line="240" w:lineRule="auto"/>
            </w:pPr>
            <w:r>
              <w:rPr>
                <w:rFonts w:cs="Arial"/>
                <w:sz w:val="18"/>
                <w:szCs w:val="18"/>
              </w:rPr>
              <w:t>Lday, Levening, Lnight, Lden</w:t>
            </w:r>
          </w:p>
        </w:tc>
      </w:tr>
      <w:tr w:rsidR="004E4A3C">
        <w:trPr>
          <w:cantSplit/>
          <w:jc w:val="center"/>
        </w:trPr>
        <w:tc>
          <w:tcPr>
            <w:tcW w:w="3287" w:type="dxa"/>
          </w:tcPr>
          <w:p w:rsidR="004E4A3C" w:rsidRDefault="00FD7157">
            <w:pPr>
              <w:spacing w:after="0" w:line="240" w:lineRule="auto"/>
            </w:pPr>
            <w:r>
              <w:rPr>
                <w:rFonts w:cs="Arial"/>
                <w:sz w:val="18"/>
                <w:szCs w:val="18"/>
              </w:rPr>
              <w:t xml:space="preserve">Mreža / </w:t>
            </w:r>
            <w:r>
              <w:rPr>
                <w:rFonts w:cs="Arial"/>
                <w:sz w:val="18"/>
                <w:szCs w:val="18"/>
              </w:rPr>
              <w:t>fasade</w:t>
            </w:r>
          </w:p>
        </w:tc>
        <w:tc>
          <w:tcPr>
            <w:tcW w:w="6577" w:type="dxa"/>
          </w:tcPr>
          <w:p w:rsidR="004E4A3C" w:rsidRDefault="00FD7157">
            <w:pPr>
              <w:spacing w:after="0" w:line="240" w:lineRule="auto"/>
            </w:pPr>
            <w:r>
              <w:rPr>
                <w:rFonts w:cs="Arial"/>
                <w:sz w:val="18"/>
                <w:szCs w:val="18"/>
              </w:rPr>
              <w:t>10 × 10 m i fasadni proračun na visini 4 m</w:t>
            </w:r>
          </w:p>
        </w:tc>
      </w:tr>
      <w:tr w:rsidR="004E4A3C">
        <w:trPr>
          <w:cantSplit/>
          <w:jc w:val="center"/>
        </w:trPr>
        <w:tc>
          <w:tcPr>
            <w:tcW w:w="3287" w:type="dxa"/>
          </w:tcPr>
          <w:p w:rsidR="004E4A3C" w:rsidRDefault="00FD7157">
            <w:pPr>
              <w:spacing w:after="0" w:line="240" w:lineRule="auto"/>
            </w:pPr>
            <w:r>
              <w:rPr>
                <w:rFonts w:cs="Arial"/>
                <w:sz w:val="18"/>
                <w:szCs w:val="18"/>
              </w:rPr>
              <w:t>Saobraćaj</w:t>
            </w:r>
          </w:p>
        </w:tc>
        <w:tc>
          <w:tcPr>
            <w:tcW w:w="6577" w:type="dxa"/>
          </w:tcPr>
          <w:p w:rsidR="004E4A3C" w:rsidRDefault="00FD7157">
            <w:pPr>
              <w:spacing w:after="0" w:line="240" w:lineRule="auto"/>
            </w:pPr>
            <w:r>
              <w:rPr>
                <w:rFonts w:cs="Arial"/>
                <w:sz w:val="18"/>
                <w:szCs w:val="18"/>
              </w:rPr>
              <w:t>PGDS 9.818 vozila/dan; relevantna godina 2025</w:t>
            </w:r>
          </w:p>
        </w:tc>
      </w:tr>
    </w:tbl>
    <w:p w:rsidR="004E4A3C" w:rsidRDefault="00FD7157">
      <w:pPr>
        <w:pStyle w:val="Heading2"/>
      </w:pPr>
      <w:bookmarkStart w:id="185" w:name="__RefHeading___Toc9299_4023479253"/>
      <w:bookmarkStart w:id="186" w:name="_Toc231671866"/>
      <w:bookmarkEnd w:id="185"/>
      <w:r>
        <w:rPr>
          <w:rFonts w:ascii="Arial" w:eastAsia="Arial" w:hAnsi="Arial"/>
          <w:b w:val="0"/>
        </w:rPr>
        <w:t>P1.3. Prioritetni stacionažni segmenti za scenario provjere</w:t>
      </w:r>
      <w:bookmarkEnd w:id="186"/>
    </w:p>
    <w:p w:rsidR="004E4A3C" w:rsidRDefault="004E4A3C">
      <w:pPr>
        <w:spacing w:after="0"/>
      </w:pPr>
    </w:p>
    <w:p w:rsidR="004E4A3C" w:rsidRDefault="00FD7157">
      <w:r>
        <w:t xml:space="preserve">Prioritetni stacionažni segmenti predstavljaju osnovu za provjeru mjera na </w:t>
      </w:r>
      <w:r>
        <w:t>najosjetljivijim djelovima trase. Njih je potrebno administrativno usaglasiti sa upravljačem puta, lokalnim podacima i finalnim dostavljenim CadnaA / Building Evaluation folderima.</w:t>
      </w:r>
    </w:p>
    <w:p w:rsidR="004E4A3C" w:rsidRDefault="00FD7157">
      <w:r>
        <w:t>Prioritetni segmenti prikazani su kao stacionažni obuhvati izvedeni i provj</w:t>
      </w:r>
      <w:r>
        <w:t>ereni kroz finalne scenarijske pakete. Pri pripremi tehničke dokumentacije koristi se službena stacionaža upravljača puta i oznake iz tehničke dokumentacije, dok ovaj AP daje osnov za javno odlučivanje i faznu prioritizaciju.</w:t>
      </w:r>
    </w:p>
    <w:p w:rsidR="004E4A3C" w:rsidRDefault="00FD7157">
      <w:pPr>
        <w:pStyle w:val="Heading2"/>
      </w:pPr>
      <w:bookmarkStart w:id="187" w:name="__RefHeading___Toc9301_4023479253"/>
      <w:bookmarkStart w:id="188" w:name="_Toc231671867"/>
      <w:bookmarkEnd w:id="187"/>
      <w:r>
        <w:rPr>
          <w:rFonts w:ascii="Arial" w:eastAsia="Arial" w:hAnsi="Arial"/>
          <w:b w:val="0"/>
        </w:rPr>
        <w:t>P1.4. Pojedinačni projektni za</w:t>
      </w:r>
      <w:r>
        <w:rPr>
          <w:rFonts w:ascii="Arial" w:eastAsia="Arial" w:hAnsi="Arial"/>
          <w:b w:val="0"/>
        </w:rPr>
        <w:t>daci</w:t>
      </w:r>
      <w:bookmarkEnd w:id="188"/>
    </w:p>
    <w:p w:rsidR="004E4A3C" w:rsidRDefault="004E4A3C">
      <w:pPr>
        <w:spacing w:after="0"/>
      </w:pPr>
    </w:p>
    <w:p w:rsidR="004E4A3C" w:rsidRDefault="00FD7157">
      <w:r>
        <w:t>Pojedinačni projektni zadaci razrađuju šta treba provjeriti za svaki scenario i koje izlaze treba pripremiti. Ovaj pregled pomaže da se modelovanje organizuje kao ponovljiv postupak, sa jasnim očekivanim rezultatima za poređenje varijanti.</w:t>
      </w:r>
    </w:p>
    <w:p w:rsidR="004E4A3C" w:rsidRDefault="004E4A3C"/>
    <w:p w:rsidR="004E4A3C" w:rsidRDefault="00FD7157">
      <w:pPr>
        <w:keepNext/>
        <w:keepLines/>
        <w:spacing w:after="40"/>
        <w:rPr>
          <w:b/>
          <w:bCs/>
        </w:rPr>
      </w:pPr>
      <w:r>
        <w:rPr>
          <w:b/>
          <w:bCs/>
        </w:rPr>
        <w:lastRenderedPageBreak/>
        <w:t>Tabela P1</w:t>
      </w:r>
      <w:r>
        <w:rPr>
          <w:b/>
          <w:bCs/>
        </w:rPr>
        <w:t>-2. Pregled pojedinačnih projektnih zadataka za CadnaA</w:t>
      </w:r>
    </w:p>
    <w:tbl>
      <w:tblPr>
        <w:tblStyle w:val="TableGrid"/>
        <w:tblW w:w="9751" w:type="dxa"/>
        <w:jc w:val="center"/>
        <w:tblLayout w:type="fixed"/>
        <w:tblCellMar>
          <w:top w:w="60" w:type="dxa"/>
          <w:left w:w="60" w:type="dxa"/>
          <w:bottom w:w="60" w:type="dxa"/>
          <w:right w:w="60" w:type="dxa"/>
        </w:tblCellMar>
        <w:tblLook w:val="04A0" w:firstRow="1" w:lastRow="0" w:firstColumn="1" w:lastColumn="0" w:noHBand="0" w:noVBand="1"/>
      </w:tblPr>
      <w:tblGrid>
        <w:gridCol w:w="1303"/>
        <w:gridCol w:w="2949"/>
        <w:gridCol w:w="5499"/>
      </w:tblGrid>
      <w:tr w:rsidR="004E4A3C">
        <w:trPr>
          <w:cantSplit/>
          <w:tblHeader/>
          <w:jc w:val="center"/>
        </w:trPr>
        <w:tc>
          <w:tcPr>
            <w:tcW w:w="1303" w:type="dxa"/>
            <w:shd w:val="clear" w:color="auto" w:fill="D9EAF7"/>
          </w:tcPr>
          <w:p w:rsidR="004E4A3C" w:rsidRDefault="00FD7157">
            <w:pPr>
              <w:spacing w:after="0" w:line="240" w:lineRule="auto"/>
            </w:pPr>
            <w:r>
              <w:rPr>
                <w:rFonts w:cs="Arial"/>
                <w:b/>
                <w:sz w:val="18"/>
              </w:rPr>
              <w:t>Oznaka</w:t>
            </w:r>
          </w:p>
        </w:tc>
        <w:tc>
          <w:tcPr>
            <w:tcW w:w="2949" w:type="dxa"/>
            <w:shd w:val="clear" w:color="auto" w:fill="D9EAF7"/>
          </w:tcPr>
          <w:p w:rsidR="004E4A3C" w:rsidRDefault="00FD7157">
            <w:pPr>
              <w:spacing w:after="0" w:line="240" w:lineRule="auto"/>
            </w:pPr>
            <w:r>
              <w:rPr>
                <w:rFonts w:cs="Arial"/>
                <w:b/>
                <w:sz w:val="18"/>
              </w:rPr>
              <w:t>Zadatak</w:t>
            </w:r>
          </w:p>
        </w:tc>
        <w:tc>
          <w:tcPr>
            <w:tcW w:w="5499" w:type="dxa"/>
            <w:shd w:val="clear" w:color="auto" w:fill="D9EAF7"/>
          </w:tcPr>
          <w:p w:rsidR="004E4A3C" w:rsidRDefault="00FD7157">
            <w:pPr>
              <w:spacing w:after="0" w:line="240" w:lineRule="auto"/>
            </w:pPr>
            <w:r>
              <w:rPr>
                <w:rFonts w:cs="Arial"/>
                <w:b/>
                <w:sz w:val="18"/>
              </w:rPr>
              <w:t>Obavezni izlaz</w:t>
            </w:r>
          </w:p>
        </w:tc>
      </w:tr>
      <w:tr w:rsidR="004E4A3C">
        <w:trPr>
          <w:cantSplit/>
          <w:jc w:val="center"/>
        </w:trPr>
        <w:tc>
          <w:tcPr>
            <w:tcW w:w="1303" w:type="dxa"/>
          </w:tcPr>
          <w:p w:rsidR="004E4A3C" w:rsidRDefault="00FD7157">
            <w:pPr>
              <w:spacing w:after="0" w:line="240" w:lineRule="auto"/>
            </w:pPr>
            <w:r>
              <w:rPr>
                <w:rFonts w:cs="Arial"/>
                <w:sz w:val="18"/>
              </w:rPr>
              <w:t>PZ-CAD-01</w:t>
            </w:r>
          </w:p>
        </w:tc>
        <w:tc>
          <w:tcPr>
            <w:tcW w:w="2949" w:type="dxa"/>
          </w:tcPr>
          <w:p w:rsidR="004E4A3C" w:rsidRDefault="00FD7157">
            <w:pPr>
              <w:spacing w:after="0" w:line="240" w:lineRule="auto"/>
            </w:pPr>
            <w:r>
              <w:rPr>
                <w:rFonts w:cs="Arial"/>
                <w:sz w:val="18"/>
              </w:rPr>
              <w:t>Verifikacija S0 modela</w:t>
            </w:r>
          </w:p>
        </w:tc>
        <w:tc>
          <w:tcPr>
            <w:tcW w:w="5499" w:type="dxa"/>
          </w:tcPr>
          <w:p w:rsidR="004E4A3C" w:rsidRDefault="00FD7157">
            <w:pPr>
              <w:spacing w:after="0" w:line="240" w:lineRule="auto"/>
            </w:pPr>
            <w:r>
              <w:rPr>
                <w:rFonts w:cs="Arial"/>
                <w:sz w:val="18"/>
              </w:rPr>
              <w:t>provjera da su S0/SKB tabele identične Strateškoj karti buke</w:t>
            </w:r>
          </w:p>
        </w:tc>
      </w:tr>
      <w:tr w:rsidR="004E4A3C">
        <w:trPr>
          <w:cantSplit/>
          <w:jc w:val="center"/>
        </w:trPr>
        <w:tc>
          <w:tcPr>
            <w:tcW w:w="1303" w:type="dxa"/>
          </w:tcPr>
          <w:p w:rsidR="004E4A3C" w:rsidRDefault="00FD7157">
            <w:pPr>
              <w:spacing w:after="0" w:line="240" w:lineRule="auto"/>
            </w:pPr>
            <w:r>
              <w:rPr>
                <w:rFonts w:cs="Arial"/>
                <w:sz w:val="18"/>
              </w:rPr>
              <w:t>PZ-CAD-02</w:t>
            </w:r>
          </w:p>
        </w:tc>
        <w:tc>
          <w:tcPr>
            <w:tcW w:w="2949" w:type="dxa"/>
          </w:tcPr>
          <w:p w:rsidR="004E4A3C" w:rsidRDefault="00FD7157">
            <w:pPr>
              <w:spacing w:after="0" w:line="240" w:lineRule="auto"/>
            </w:pPr>
            <w:r>
              <w:rPr>
                <w:rFonts w:cs="Arial"/>
                <w:sz w:val="18"/>
              </w:rPr>
              <w:t>Scenario S1</w:t>
            </w:r>
          </w:p>
        </w:tc>
        <w:tc>
          <w:tcPr>
            <w:tcW w:w="5499" w:type="dxa"/>
          </w:tcPr>
          <w:p w:rsidR="004E4A3C" w:rsidRDefault="00FD7157">
            <w:pPr>
              <w:spacing w:after="0" w:line="240" w:lineRule="auto"/>
            </w:pPr>
            <w:r>
              <w:rPr>
                <w:rFonts w:cs="Arial"/>
                <w:sz w:val="18"/>
              </w:rPr>
              <w:t xml:space="preserve">finalni izvoz rezultata za smanjenje brzina po istim </w:t>
            </w:r>
            <w:r>
              <w:rPr>
                <w:rFonts w:cs="Arial"/>
                <w:sz w:val="18"/>
              </w:rPr>
              <w:t>indikatorima kao S0</w:t>
            </w:r>
          </w:p>
        </w:tc>
      </w:tr>
      <w:tr w:rsidR="004E4A3C">
        <w:trPr>
          <w:cantSplit/>
          <w:jc w:val="center"/>
        </w:trPr>
        <w:tc>
          <w:tcPr>
            <w:tcW w:w="1303" w:type="dxa"/>
          </w:tcPr>
          <w:p w:rsidR="004E4A3C" w:rsidRDefault="00FD7157">
            <w:pPr>
              <w:spacing w:after="0" w:line="240" w:lineRule="auto"/>
            </w:pPr>
            <w:r>
              <w:rPr>
                <w:rFonts w:cs="Arial"/>
                <w:sz w:val="18"/>
              </w:rPr>
              <w:t>PZ-CAD-03</w:t>
            </w:r>
          </w:p>
        </w:tc>
        <w:tc>
          <w:tcPr>
            <w:tcW w:w="2949" w:type="dxa"/>
          </w:tcPr>
          <w:p w:rsidR="004E4A3C" w:rsidRDefault="00FD7157">
            <w:pPr>
              <w:spacing w:after="0" w:line="240" w:lineRule="auto"/>
            </w:pPr>
            <w:r>
              <w:rPr>
                <w:rFonts w:cs="Arial"/>
                <w:sz w:val="18"/>
              </w:rPr>
              <w:t>Scenario S3</w:t>
            </w:r>
          </w:p>
        </w:tc>
        <w:tc>
          <w:tcPr>
            <w:tcW w:w="5499" w:type="dxa"/>
          </w:tcPr>
          <w:p w:rsidR="004E4A3C" w:rsidRDefault="00FD7157">
            <w:pPr>
              <w:spacing w:after="0" w:line="240" w:lineRule="auto"/>
            </w:pPr>
            <w:r>
              <w:rPr>
                <w:rFonts w:cs="Arial"/>
                <w:sz w:val="18"/>
              </w:rPr>
              <w:t>finalni izvoz rezultata za tiši kolovozni zastor CNS_15</w:t>
            </w:r>
          </w:p>
        </w:tc>
      </w:tr>
      <w:tr w:rsidR="004E4A3C">
        <w:trPr>
          <w:cantSplit/>
          <w:jc w:val="center"/>
        </w:trPr>
        <w:tc>
          <w:tcPr>
            <w:tcW w:w="1303" w:type="dxa"/>
          </w:tcPr>
          <w:p w:rsidR="004E4A3C" w:rsidRDefault="00FD7157">
            <w:pPr>
              <w:spacing w:after="0" w:line="240" w:lineRule="auto"/>
            </w:pPr>
            <w:r>
              <w:rPr>
                <w:rFonts w:cs="Arial"/>
                <w:sz w:val="18"/>
              </w:rPr>
              <w:t>PZ-CAD-04</w:t>
            </w:r>
          </w:p>
        </w:tc>
        <w:tc>
          <w:tcPr>
            <w:tcW w:w="2949" w:type="dxa"/>
          </w:tcPr>
          <w:p w:rsidR="004E4A3C" w:rsidRDefault="00FD7157">
            <w:pPr>
              <w:spacing w:after="0" w:line="240" w:lineRule="auto"/>
            </w:pPr>
            <w:r>
              <w:rPr>
                <w:rFonts w:cs="Arial"/>
                <w:sz w:val="18"/>
              </w:rPr>
              <w:t>Scenario S4</w:t>
            </w:r>
          </w:p>
        </w:tc>
        <w:tc>
          <w:tcPr>
            <w:tcW w:w="5499" w:type="dxa"/>
          </w:tcPr>
          <w:p w:rsidR="004E4A3C" w:rsidRDefault="00FD7157">
            <w:pPr>
              <w:spacing w:after="0" w:line="240" w:lineRule="auto"/>
            </w:pPr>
            <w:r>
              <w:rPr>
                <w:rFonts w:cs="Arial"/>
                <w:sz w:val="18"/>
              </w:rPr>
              <w:t>finalni izvoz rezultata za kombinovani paket S1 + S3</w:t>
            </w:r>
          </w:p>
        </w:tc>
      </w:tr>
      <w:tr w:rsidR="004E4A3C">
        <w:trPr>
          <w:cantSplit/>
          <w:jc w:val="center"/>
        </w:trPr>
        <w:tc>
          <w:tcPr>
            <w:tcW w:w="1303" w:type="dxa"/>
          </w:tcPr>
          <w:p w:rsidR="004E4A3C" w:rsidRDefault="00FD7157">
            <w:pPr>
              <w:spacing w:after="0" w:line="240" w:lineRule="auto"/>
            </w:pPr>
            <w:r>
              <w:rPr>
                <w:rFonts w:cs="Arial"/>
                <w:sz w:val="18"/>
              </w:rPr>
              <w:t>PZ-CAD-05</w:t>
            </w:r>
          </w:p>
        </w:tc>
        <w:tc>
          <w:tcPr>
            <w:tcW w:w="2949" w:type="dxa"/>
          </w:tcPr>
          <w:p w:rsidR="004E4A3C" w:rsidRDefault="00FD7157">
            <w:pPr>
              <w:spacing w:after="0" w:line="240" w:lineRule="auto"/>
            </w:pPr>
            <w:r>
              <w:rPr>
                <w:rFonts w:cs="Arial"/>
                <w:sz w:val="18"/>
              </w:rPr>
              <w:t>Dopunske lokalne mjere nakon S4</w:t>
            </w:r>
          </w:p>
        </w:tc>
        <w:tc>
          <w:tcPr>
            <w:tcW w:w="5499" w:type="dxa"/>
          </w:tcPr>
          <w:p w:rsidR="004E4A3C" w:rsidRDefault="00FD7157">
            <w:pPr>
              <w:spacing w:after="0" w:line="240" w:lineRule="auto"/>
            </w:pPr>
            <w:r>
              <w:rPr>
                <w:rFonts w:cs="Arial"/>
                <w:sz w:val="18"/>
              </w:rPr>
              <w:t>lista rezidualnih objekata i lokalna t</w:t>
            </w:r>
            <w:r>
              <w:rPr>
                <w:rFonts w:cs="Arial"/>
                <w:sz w:val="18"/>
              </w:rPr>
              <w:t>ehnička provjera nakon S4</w:t>
            </w:r>
          </w:p>
        </w:tc>
      </w:tr>
      <w:tr w:rsidR="004E4A3C">
        <w:trPr>
          <w:cantSplit/>
          <w:jc w:val="center"/>
        </w:trPr>
        <w:tc>
          <w:tcPr>
            <w:tcW w:w="1303" w:type="dxa"/>
            <w:tcMar>
              <w:top w:w="40" w:type="dxa"/>
              <w:left w:w="40" w:type="dxa"/>
              <w:bottom w:w="40" w:type="dxa"/>
              <w:right w:w="40" w:type="dxa"/>
            </w:tcMar>
          </w:tcPr>
          <w:p w:rsidR="004E4A3C" w:rsidRDefault="00FD7157">
            <w:pPr>
              <w:spacing w:after="0" w:line="240" w:lineRule="auto"/>
            </w:pPr>
            <w:r>
              <w:rPr>
                <w:rFonts w:cs="Arial"/>
                <w:sz w:val="18"/>
              </w:rPr>
              <w:t>PZ-CAD-06</w:t>
            </w:r>
          </w:p>
        </w:tc>
        <w:tc>
          <w:tcPr>
            <w:tcW w:w="2949" w:type="dxa"/>
            <w:tcMar>
              <w:top w:w="40" w:type="dxa"/>
              <w:left w:w="40" w:type="dxa"/>
              <w:bottom w:w="40" w:type="dxa"/>
              <w:right w:w="40" w:type="dxa"/>
            </w:tcMar>
          </w:tcPr>
          <w:p w:rsidR="004E4A3C" w:rsidRDefault="00FD7157">
            <w:pPr>
              <w:spacing w:after="0" w:line="240" w:lineRule="auto"/>
            </w:pPr>
            <w:r>
              <w:rPr>
                <w:rFonts w:cs="Arial"/>
                <w:sz w:val="18"/>
              </w:rPr>
              <w:t>Tabela poređenja scenarija</w:t>
            </w:r>
          </w:p>
        </w:tc>
        <w:tc>
          <w:tcPr>
            <w:tcW w:w="5499" w:type="dxa"/>
            <w:tcMar>
              <w:top w:w="40" w:type="dxa"/>
              <w:left w:w="40" w:type="dxa"/>
              <w:bottom w:w="40" w:type="dxa"/>
              <w:right w:w="40" w:type="dxa"/>
            </w:tcMar>
          </w:tcPr>
          <w:p w:rsidR="004E4A3C" w:rsidRDefault="00FD7157">
            <w:pPr>
              <w:spacing w:after="0" w:line="240" w:lineRule="auto"/>
            </w:pPr>
            <w:r>
              <w:rPr>
                <w:rFonts w:cs="Arial"/>
                <w:sz w:val="18"/>
              </w:rPr>
              <w:t>S0/S1/S3/S4 - osnovni indikatori i mape</w:t>
            </w:r>
          </w:p>
        </w:tc>
      </w:tr>
    </w:tbl>
    <w:p w:rsidR="004E4A3C" w:rsidRDefault="00FD7157">
      <w:pPr>
        <w:pStyle w:val="Heading2"/>
      </w:pPr>
      <w:bookmarkStart w:id="189" w:name="__RefHeading___Toc9303_4023479253"/>
      <w:bookmarkStart w:id="190" w:name="_Toc231671868"/>
      <w:bookmarkEnd w:id="189"/>
      <w:r>
        <w:rPr>
          <w:rFonts w:ascii="Arial" w:eastAsia="Arial" w:hAnsi="Arial"/>
          <w:b w:val="0"/>
        </w:rPr>
        <w:t>P1.5. Standardni izlazni rezultati scenarija</w:t>
      </w:r>
      <w:bookmarkEnd w:id="190"/>
    </w:p>
    <w:p w:rsidR="004E4A3C" w:rsidRDefault="00FD7157">
      <w:r>
        <w:t xml:space="preserve">Da bi se scenariji mogli međusobno porediti, svaki proračun treba da isporuči isti set tabela, karti i </w:t>
      </w:r>
      <w:r>
        <w:t>kontrolnih pokazatelja. U nastavku su navedeni minimalni izlazi koji čine dokumentacionu osnovu javnog nacrta i kasnijeg sprovođenja Akcionog plana.</w:t>
      </w:r>
    </w:p>
    <w:p w:rsidR="004E4A3C" w:rsidRDefault="00FD7157">
      <w:pPr>
        <w:keepNext/>
        <w:keepLines/>
        <w:spacing w:after="40"/>
        <w:rPr>
          <w:b/>
          <w:bCs/>
        </w:rPr>
      </w:pPr>
      <w:r>
        <w:rPr>
          <w:b/>
          <w:bCs/>
        </w:rPr>
        <w:t>Tabela P1-3. Standardni izlazni rezultati scenarija</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4194"/>
        <w:gridCol w:w="5671"/>
      </w:tblGrid>
      <w:tr w:rsidR="004E4A3C">
        <w:trPr>
          <w:cantSplit/>
          <w:tblHeader/>
          <w:jc w:val="center"/>
        </w:trPr>
        <w:tc>
          <w:tcPr>
            <w:tcW w:w="4194" w:type="dxa"/>
            <w:shd w:val="clear" w:color="auto" w:fill="D9EAF7"/>
          </w:tcPr>
          <w:p w:rsidR="004E4A3C" w:rsidRDefault="00FD7157">
            <w:pPr>
              <w:spacing w:after="0" w:line="240" w:lineRule="auto"/>
              <w:jc w:val="center"/>
            </w:pPr>
            <w:r>
              <w:rPr>
                <w:rFonts w:cs="Arial"/>
                <w:b/>
                <w:color w:val="000000"/>
                <w:sz w:val="18"/>
                <w:szCs w:val="18"/>
              </w:rPr>
              <w:t>Izlaz</w:t>
            </w:r>
          </w:p>
        </w:tc>
        <w:tc>
          <w:tcPr>
            <w:tcW w:w="5670" w:type="dxa"/>
            <w:shd w:val="clear" w:color="auto" w:fill="D9EAF7"/>
          </w:tcPr>
          <w:p w:rsidR="004E4A3C" w:rsidRDefault="00FD7157">
            <w:pPr>
              <w:spacing w:after="0" w:line="240" w:lineRule="auto"/>
              <w:jc w:val="center"/>
            </w:pPr>
            <w:r>
              <w:rPr>
                <w:rFonts w:cs="Arial"/>
                <w:b/>
                <w:color w:val="000000"/>
                <w:sz w:val="18"/>
                <w:szCs w:val="18"/>
              </w:rPr>
              <w:t>Opis</w:t>
            </w:r>
          </w:p>
        </w:tc>
      </w:tr>
      <w:tr w:rsidR="004E4A3C">
        <w:trPr>
          <w:cantSplit/>
          <w:jc w:val="center"/>
        </w:trPr>
        <w:tc>
          <w:tcPr>
            <w:tcW w:w="4194" w:type="dxa"/>
          </w:tcPr>
          <w:p w:rsidR="004E4A3C" w:rsidRDefault="00FD7157">
            <w:pPr>
              <w:spacing w:after="0" w:line="240" w:lineRule="auto"/>
            </w:pPr>
            <w:r>
              <w:rPr>
                <w:rFonts w:cs="Arial"/>
                <w:sz w:val="18"/>
                <w:szCs w:val="18"/>
              </w:rPr>
              <w:t>Tabela izloženosti Lden</w:t>
            </w:r>
          </w:p>
        </w:tc>
        <w:tc>
          <w:tcPr>
            <w:tcW w:w="5670" w:type="dxa"/>
          </w:tcPr>
          <w:p w:rsidR="004E4A3C" w:rsidRDefault="00FD7157">
            <w:pPr>
              <w:spacing w:after="0" w:line="240" w:lineRule="auto"/>
            </w:pPr>
            <w:r>
              <w:rPr>
                <w:rFonts w:cs="Arial"/>
                <w:sz w:val="18"/>
                <w:szCs w:val="18"/>
              </w:rPr>
              <w:t>stanovnici po klasa</w:t>
            </w:r>
            <w:r>
              <w:rPr>
                <w:rFonts w:cs="Arial"/>
                <w:sz w:val="18"/>
                <w:szCs w:val="18"/>
              </w:rPr>
              <w:t>ma &lt;55, 55-59, 60-64, 65-69, 70-74, &gt;75</w:t>
            </w:r>
          </w:p>
        </w:tc>
      </w:tr>
      <w:tr w:rsidR="004E4A3C">
        <w:trPr>
          <w:cantSplit/>
          <w:jc w:val="center"/>
        </w:trPr>
        <w:tc>
          <w:tcPr>
            <w:tcW w:w="4194" w:type="dxa"/>
          </w:tcPr>
          <w:p w:rsidR="004E4A3C" w:rsidRDefault="00FD7157">
            <w:pPr>
              <w:spacing w:after="0" w:line="240" w:lineRule="auto"/>
            </w:pPr>
            <w:r>
              <w:rPr>
                <w:rFonts w:cs="Arial"/>
                <w:sz w:val="18"/>
                <w:szCs w:val="18"/>
              </w:rPr>
              <w:t>Tabela izloženosti Lnight</w:t>
            </w:r>
          </w:p>
        </w:tc>
        <w:tc>
          <w:tcPr>
            <w:tcW w:w="5670" w:type="dxa"/>
          </w:tcPr>
          <w:p w:rsidR="004E4A3C" w:rsidRDefault="00FD7157">
            <w:pPr>
              <w:spacing w:after="0" w:line="240" w:lineRule="auto"/>
            </w:pPr>
            <w:r>
              <w:rPr>
                <w:rFonts w:cs="Arial"/>
                <w:sz w:val="18"/>
                <w:szCs w:val="18"/>
              </w:rPr>
              <w:t>stanovnici po klasama &lt;45, 45-49, 50-54, 55-59, 60-64, 65-69, &gt;70</w:t>
            </w:r>
          </w:p>
        </w:tc>
      </w:tr>
      <w:tr w:rsidR="004E4A3C">
        <w:trPr>
          <w:cantSplit/>
          <w:jc w:val="center"/>
        </w:trPr>
        <w:tc>
          <w:tcPr>
            <w:tcW w:w="4194" w:type="dxa"/>
          </w:tcPr>
          <w:p w:rsidR="004E4A3C" w:rsidRDefault="00FD7157">
            <w:pPr>
              <w:spacing w:after="0" w:line="240" w:lineRule="auto"/>
            </w:pPr>
            <w:r>
              <w:rPr>
                <w:rFonts w:cs="Arial"/>
                <w:sz w:val="18"/>
                <w:szCs w:val="18"/>
              </w:rPr>
              <w:t>Tabela prekoračenja</w:t>
            </w:r>
          </w:p>
        </w:tc>
        <w:tc>
          <w:tcPr>
            <w:tcW w:w="5670" w:type="dxa"/>
          </w:tcPr>
          <w:p w:rsidR="004E4A3C" w:rsidRDefault="00FD7157">
            <w:pPr>
              <w:spacing w:after="0" w:line="240" w:lineRule="auto"/>
            </w:pPr>
            <w:r>
              <w:rPr>
                <w:rFonts w:cs="Arial"/>
                <w:sz w:val="18"/>
                <w:szCs w:val="18"/>
              </w:rPr>
              <w:t>objekti i stanovnici sa prekoračenjem po akustičnim zonama</w:t>
            </w:r>
          </w:p>
        </w:tc>
      </w:tr>
      <w:tr w:rsidR="004E4A3C">
        <w:trPr>
          <w:cantSplit/>
          <w:jc w:val="center"/>
        </w:trPr>
        <w:tc>
          <w:tcPr>
            <w:tcW w:w="4194" w:type="dxa"/>
          </w:tcPr>
          <w:p w:rsidR="004E4A3C" w:rsidRDefault="00FD7157">
            <w:pPr>
              <w:spacing w:after="0" w:line="240" w:lineRule="auto"/>
            </w:pPr>
            <w:r>
              <w:rPr>
                <w:rFonts w:cs="Arial"/>
                <w:sz w:val="18"/>
                <w:szCs w:val="18"/>
              </w:rPr>
              <w:t>Kartografski prilozi</w:t>
            </w:r>
          </w:p>
        </w:tc>
        <w:tc>
          <w:tcPr>
            <w:tcW w:w="5670" w:type="dxa"/>
          </w:tcPr>
          <w:p w:rsidR="004E4A3C" w:rsidRDefault="00FD7157">
            <w:pPr>
              <w:spacing w:after="0" w:line="240" w:lineRule="auto"/>
            </w:pPr>
            <w:r>
              <w:rPr>
                <w:rFonts w:cs="Arial"/>
                <w:sz w:val="18"/>
                <w:szCs w:val="18"/>
              </w:rPr>
              <w:t xml:space="preserve">Lden i Lnight u </w:t>
            </w:r>
            <w:r>
              <w:rPr>
                <w:rFonts w:cs="Arial"/>
                <w:sz w:val="18"/>
                <w:szCs w:val="18"/>
              </w:rPr>
              <w:t>opsezima od 5 dB(A)</w:t>
            </w:r>
          </w:p>
        </w:tc>
      </w:tr>
      <w:tr w:rsidR="004E4A3C">
        <w:trPr>
          <w:cantSplit/>
          <w:jc w:val="center"/>
        </w:trPr>
        <w:tc>
          <w:tcPr>
            <w:tcW w:w="4194" w:type="dxa"/>
          </w:tcPr>
          <w:p w:rsidR="004E4A3C" w:rsidRDefault="00FD7157">
            <w:pPr>
              <w:spacing w:after="0" w:line="240" w:lineRule="auto"/>
            </w:pPr>
            <w:r>
              <w:rPr>
                <w:rFonts w:cs="Arial"/>
                <w:sz w:val="18"/>
                <w:szCs w:val="18"/>
              </w:rPr>
              <w:t>Rezidualni objekti</w:t>
            </w:r>
          </w:p>
        </w:tc>
        <w:tc>
          <w:tcPr>
            <w:tcW w:w="5670" w:type="dxa"/>
          </w:tcPr>
          <w:p w:rsidR="004E4A3C" w:rsidRDefault="00FD7157">
            <w:pPr>
              <w:spacing w:after="0" w:line="240" w:lineRule="auto"/>
            </w:pPr>
            <w:r>
              <w:rPr>
                <w:rFonts w:cs="Arial"/>
                <w:sz w:val="18"/>
                <w:szCs w:val="18"/>
              </w:rPr>
              <w:t>lista objekata koji ostaju u prekoračenju nakon S4</w:t>
            </w:r>
          </w:p>
        </w:tc>
      </w:tr>
    </w:tbl>
    <w:p w:rsidR="004E4A3C" w:rsidRDefault="00FD7157">
      <w:pPr>
        <w:pStyle w:val="Heading2"/>
        <w:rPr>
          <w:rFonts w:ascii="Arial" w:eastAsia="Arial" w:hAnsi="Arial"/>
          <w:b w:val="0"/>
        </w:rPr>
      </w:pPr>
      <w:bookmarkStart w:id="191" w:name="__RefHeading___Toc9305_4023479253"/>
      <w:bookmarkStart w:id="192" w:name="_Toc231671869"/>
      <w:bookmarkEnd w:id="191"/>
      <w:r>
        <w:rPr>
          <w:rFonts w:ascii="Arial" w:eastAsia="Arial" w:hAnsi="Arial"/>
          <w:b w:val="0"/>
        </w:rPr>
        <w:t>P1.6. Kontrolna lista provjere finalnih scenarijskih tabela</w:t>
      </w:r>
      <w:bookmarkEnd w:id="192"/>
    </w:p>
    <w:p w:rsidR="004E4A3C" w:rsidRDefault="00FD7157">
      <w:r>
        <w:t xml:space="preserve">Za potrebe javne rasprave svaki scenario S1, S3 i S4 prikazuje se istim skupom izlaza kao S0 - nulto </w:t>
      </w:r>
      <w:r>
        <w:t>stanje: tabele izloženosti, Building Evaluation tabele po objektima, karte Lden/Lnight i opis mjere. Ova kontrolna lista predstavlja trag sljedivosti i olakšava provjeru podataka tokom javnog uvida i finalizacije nakon rasprave.</w:t>
      </w:r>
    </w:p>
    <w:p w:rsidR="004E4A3C" w:rsidRDefault="00FD7157">
      <w:pPr>
        <w:keepNext/>
        <w:keepLines/>
        <w:spacing w:after="40"/>
        <w:rPr>
          <w:b/>
          <w:bCs/>
        </w:rPr>
      </w:pPr>
      <w:r>
        <w:rPr>
          <w:b/>
          <w:bCs/>
        </w:rPr>
        <w:t>Tabela P1-4. Kontrolna list</w:t>
      </w:r>
      <w:r>
        <w:rPr>
          <w:b/>
          <w:bCs/>
        </w:rPr>
        <w:t>a finalnih CadnaA / Building Evaluation izlaza</w:t>
      </w:r>
    </w:p>
    <w:tbl>
      <w:tblPr>
        <w:tblStyle w:val="TableGrid"/>
        <w:tblW w:w="9751" w:type="dxa"/>
        <w:jc w:val="center"/>
        <w:tblLayout w:type="fixed"/>
        <w:tblCellMar>
          <w:top w:w="40" w:type="dxa"/>
          <w:left w:w="40" w:type="dxa"/>
          <w:bottom w:w="40" w:type="dxa"/>
          <w:right w:w="40" w:type="dxa"/>
        </w:tblCellMar>
        <w:tblLook w:val="04A0" w:firstRow="1" w:lastRow="0" w:firstColumn="1" w:lastColumn="0" w:noHBand="0" w:noVBand="1"/>
      </w:tblPr>
      <w:tblGrid>
        <w:gridCol w:w="3051"/>
        <w:gridCol w:w="1530"/>
        <w:gridCol w:w="989"/>
        <w:gridCol w:w="900"/>
        <w:gridCol w:w="990"/>
        <w:gridCol w:w="2291"/>
      </w:tblGrid>
      <w:tr w:rsidR="004E4A3C">
        <w:trPr>
          <w:cantSplit/>
          <w:tblHeader/>
          <w:jc w:val="center"/>
        </w:trPr>
        <w:tc>
          <w:tcPr>
            <w:tcW w:w="3050" w:type="dxa"/>
            <w:shd w:val="clear" w:color="auto" w:fill="D9EAF7"/>
          </w:tcPr>
          <w:p w:rsidR="004E4A3C" w:rsidRDefault="00FD7157">
            <w:pPr>
              <w:spacing w:after="0" w:line="240" w:lineRule="auto"/>
            </w:pPr>
            <w:r>
              <w:rPr>
                <w:rFonts w:cs="Arial"/>
                <w:b/>
                <w:sz w:val="18"/>
              </w:rPr>
              <w:t>Provjera</w:t>
            </w:r>
          </w:p>
        </w:tc>
        <w:tc>
          <w:tcPr>
            <w:tcW w:w="1530" w:type="dxa"/>
            <w:shd w:val="clear" w:color="auto" w:fill="D9EAF7"/>
          </w:tcPr>
          <w:p w:rsidR="004E4A3C" w:rsidRDefault="00FD7157">
            <w:pPr>
              <w:spacing w:after="0" w:line="240" w:lineRule="auto"/>
            </w:pPr>
            <w:r>
              <w:rPr>
                <w:rFonts w:cs="Arial"/>
                <w:b/>
                <w:sz w:val="18"/>
              </w:rPr>
              <w:t>S0</w:t>
            </w:r>
          </w:p>
        </w:tc>
        <w:tc>
          <w:tcPr>
            <w:tcW w:w="989" w:type="dxa"/>
            <w:shd w:val="clear" w:color="auto" w:fill="D9EAF7"/>
          </w:tcPr>
          <w:p w:rsidR="004E4A3C" w:rsidRDefault="00FD7157">
            <w:pPr>
              <w:spacing w:after="0" w:line="240" w:lineRule="auto"/>
            </w:pPr>
            <w:r>
              <w:rPr>
                <w:rFonts w:cs="Arial"/>
                <w:b/>
                <w:sz w:val="18"/>
              </w:rPr>
              <w:t>S1</w:t>
            </w:r>
          </w:p>
        </w:tc>
        <w:tc>
          <w:tcPr>
            <w:tcW w:w="900" w:type="dxa"/>
            <w:shd w:val="clear" w:color="auto" w:fill="D9EAF7"/>
          </w:tcPr>
          <w:p w:rsidR="004E4A3C" w:rsidRDefault="00FD7157">
            <w:pPr>
              <w:spacing w:after="0" w:line="240" w:lineRule="auto"/>
            </w:pPr>
            <w:r>
              <w:rPr>
                <w:rFonts w:cs="Arial"/>
                <w:b/>
                <w:sz w:val="18"/>
              </w:rPr>
              <w:t>S3</w:t>
            </w:r>
          </w:p>
        </w:tc>
        <w:tc>
          <w:tcPr>
            <w:tcW w:w="990" w:type="dxa"/>
            <w:shd w:val="clear" w:color="auto" w:fill="D9EAF7"/>
          </w:tcPr>
          <w:p w:rsidR="004E4A3C" w:rsidRDefault="00FD7157">
            <w:pPr>
              <w:spacing w:after="0" w:line="240" w:lineRule="auto"/>
            </w:pPr>
            <w:r>
              <w:rPr>
                <w:rFonts w:cs="Arial"/>
                <w:b/>
                <w:sz w:val="18"/>
              </w:rPr>
              <w:t>S4</w:t>
            </w:r>
          </w:p>
        </w:tc>
        <w:tc>
          <w:tcPr>
            <w:tcW w:w="2291" w:type="dxa"/>
            <w:shd w:val="clear" w:color="auto" w:fill="D9EAF7"/>
          </w:tcPr>
          <w:p w:rsidR="004E4A3C" w:rsidRDefault="00FD7157">
            <w:pPr>
              <w:spacing w:after="0" w:line="240" w:lineRule="auto"/>
            </w:pPr>
            <w:r>
              <w:rPr>
                <w:rFonts w:cs="Arial"/>
                <w:b/>
                <w:sz w:val="18"/>
              </w:rPr>
              <w:t>Napomena</w:t>
            </w:r>
          </w:p>
        </w:tc>
      </w:tr>
      <w:tr w:rsidR="004E4A3C">
        <w:trPr>
          <w:cantSplit/>
          <w:jc w:val="center"/>
        </w:trPr>
        <w:tc>
          <w:tcPr>
            <w:tcW w:w="3050" w:type="dxa"/>
          </w:tcPr>
          <w:p w:rsidR="004E4A3C" w:rsidRDefault="00FD7157">
            <w:pPr>
              <w:spacing w:after="0" w:line="240" w:lineRule="auto"/>
            </w:pPr>
            <w:r>
              <w:rPr>
                <w:rFonts w:cs="Arial"/>
                <w:sz w:val="18"/>
              </w:rPr>
              <w:t>Karta Lden i Lnight</w:t>
            </w:r>
          </w:p>
        </w:tc>
        <w:tc>
          <w:tcPr>
            <w:tcW w:w="1530" w:type="dxa"/>
          </w:tcPr>
          <w:p w:rsidR="004E4A3C" w:rsidRDefault="00FD7157">
            <w:pPr>
              <w:spacing w:after="0" w:line="240" w:lineRule="auto"/>
            </w:pPr>
            <w:r>
              <w:rPr>
                <w:rFonts w:cs="Arial"/>
                <w:sz w:val="18"/>
              </w:rPr>
              <w:t>da</w:t>
            </w:r>
          </w:p>
        </w:tc>
        <w:tc>
          <w:tcPr>
            <w:tcW w:w="989" w:type="dxa"/>
          </w:tcPr>
          <w:p w:rsidR="004E4A3C" w:rsidRDefault="00FD7157">
            <w:pPr>
              <w:spacing w:after="0" w:line="240" w:lineRule="auto"/>
            </w:pPr>
            <w:r>
              <w:rPr>
                <w:rFonts w:cs="Arial"/>
                <w:sz w:val="18"/>
              </w:rPr>
              <w:t>da</w:t>
            </w:r>
          </w:p>
        </w:tc>
        <w:tc>
          <w:tcPr>
            <w:tcW w:w="900" w:type="dxa"/>
          </w:tcPr>
          <w:p w:rsidR="004E4A3C" w:rsidRDefault="00FD7157">
            <w:pPr>
              <w:spacing w:after="0" w:line="240" w:lineRule="auto"/>
            </w:pPr>
            <w:r>
              <w:rPr>
                <w:rFonts w:cs="Arial"/>
                <w:sz w:val="18"/>
              </w:rPr>
              <w:t>da</w:t>
            </w:r>
          </w:p>
        </w:tc>
        <w:tc>
          <w:tcPr>
            <w:tcW w:w="990" w:type="dxa"/>
          </w:tcPr>
          <w:p w:rsidR="004E4A3C" w:rsidRDefault="00FD7157">
            <w:pPr>
              <w:spacing w:after="0" w:line="240" w:lineRule="auto"/>
            </w:pPr>
            <w:r>
              <w:rPr>
                <w:rFonts w:cs="Arial"/>
                <w:sz w:val="18"/>
              </w:rPr>
              <w:t>da</w:t>
            </w:r>
          </w:p>
        </w:tc>
        <w:tc>
          <w:tcPr>
            <w:tcW w:w="2291" w:type="dxa"/>
          </w:tcPr>
          <w:p w:rsidR="004E4A3C" w:rsidRDefault="00FD7157">
            <w:pPr>
              <w:spacing w:after="0" w:line="240" w:lineRule="auto"/>
            </w:pPr>
            <w:r>
              <w:rPr>
                <w:rFonts w:cs="Arial"/>
                <w:sz w:val="18"/>
              </w:rPr>
              <w:t>prilozi i karte prema predatim folderima</w:t>
            </w:r>
          </w:p>
        </w:tc>
      </w:tr>
      <w:tr w:rsidR="004E4A3C">
        <w:trPr>
          <w:cantSplit/>
          <w:jc w:val="center"/>
        </w:trPr>
        <w:tc>
          <w:tcPr>
            <w:tcW w:w="3050" w:type="dxa"/>
          </w:tcPr>
          <w:p w:rsidR="004E4A3C" w:rsidRDefault="00FD7157">
            <w:pPr>
              <w:spacing w:after="0" w:line="240" w:lineRule="auto"/>
            </w:pPr>
            <w:r>
              <w:rPr>
                <w:rFonts w:cs="Arial"/>
                <w:sz w:val="18"/>
              </w:rPr>
              <w:t>Tabela stanovništva po klasama Lden</w:t>
            </w:r>
          </w:p>
        </w:tc>
        <w:tc>
          <w:tcPr>
            <w:tcW w:w="1530" w:type="dxa"/>
          </w:tcPr>
          <w:p w:rsidR="004E4A3C" w:rsidRDefault="00FD7157">
            <w:pPr>
              <w:spacing w:after="0" w:line="240" w:lineRule="auto"/>
            </w:pPr>
            <w:r>
              <w:rPr>
                <w:rFonts w:cs="Arial"/>
                <w:sz w:val="18"/>
              </w:rPr>
              <w:t>da</w:t>
            </w:r>
          </w:p>
        </w:tc>
        <w:tc>
          <w:tcPr>
            <w:tcW w:w="989" w:type="dxa"/>
          </w:tcPr>
          <w:p w:rsidR="004E4A3C" w:rsidRDefault="00FD7157">
            <w:pPr>
              <w:spacing w:after="0" w:line="240" w:lineRule="auto"/>
            </w:pPr>
            <w:r>
              <w:rPr>
                <w:rFonts w:cs="Arial"/>
                <w:sz w:val="18"/>
              </w:rPr>
              <w:t>da</w:t>
            </w:r>
          </w:p>
        </w:tc>
        <w:tc>
          <w:tcPr>
            <w:tcW w:w="900" w:type="dxa"/>
          </w:tcPr>
          <w:p w:rsidR="004E4A3C" w:rsidRDefault="00FD7157">
            <w:pPr>
              <w:spacing w:after="0" w:line="240" w:lineRule="auto"/>
            </w:pPr>
            <w:r>
              <w:rPr>
                <w:rFonts w:cs="Arial"/>
                <w:sz w:val="18"/>
              </w:rPr>
              <w:t>da</w:t>
            </w:r>
          </w:p>
        </w:tc>
        <w:tc>
          <w:tcPr>
            <w:tcW w:w="990" w:type="dxa"/>
          </w:tcPr>
          <w:p w:rsidR="004E4A3C" w:rsidRDefault="00FD7157">
            <w:pPr>
              <w:spacing w:after="0" w:line="240" w:lineRule="auto"/>
            </w:pPr>
            <w:r>
              <w:rPr>
                <w:rFonts w:cs="Arial"/>
                <w:sz w:val="18"/>
              </w:rPr>
              <w:t>da</w:t>
            </w:r>
          </w:p>
        </w:tc>
        <w:tc>
          <w:tcPr>
            <w:tcW w:w="2291" w:type="dxa"/>
          </w:tcPr>
          <w:p w:rsidR="004E4A3C" w:rsidRDefault="00FD7157">
            <w:pPr>
              <w:spacing w:after="0" w:line="240" w:lineRule="auto"/>
            </w:pPr>
            <w:r>
              <w:rPr>
                <w:rFonts w:cs="Arial"/>
                <w:sz w:val="18"/>
              </w:rPr>
              <w:t>isti razredi kao strateška karta</w:t>
            </w:r>
          </w:p>
        </w:tc>
      </w:tr>
      <w:tr w:rsidR="004E4A3C">
        <w:trPr>
          <w:cantSplit/>
          <w:jc w:val="center"/>
        </w:trPr>
        <w:tc>
          <w:tcPr>
            <w:tcW w:w="3050" w:type="dxa"/>
          </w:tcPr>
          <w:p w:rsidR="004E4A3C" w:rsidRDefault="00FD7157">
            <w:pPr>
              <w:spacing w:after="0" w:line="240" w:lineRule="auto"/>
            </w:pPr>
            <w:r>
              <w:rPr>
                <w:rFonts w:cs="Arial"/>
                <w:sz w:val="18"/>
              </w:rPr>
              <w:t>Tabela stanovništva po</w:t>
            </w:r>
            <w:r>
              <w:rPr>
                <w:rFonts w:cs="Arial"/>
                <w:sz w:val="18"/>
              </w:rPr>
              <w:t xml:space="preserve"> klasama Lnight</w:t>
            </w:r>
          </w:p>
        </w:tc>
        <w:tc>
          <w:tcPr>
            <w:tcW w:w="1530" w:type="dxa"/>
          </w:tcPr>
          <w:p w:rsidR="004E4A3C" w:rsidRDefault="00FD7157">
            <w:pPr>
              <w:spacing w:after="0" w:line="240" w:lineRule="auto"/>
            </w:pPr>
            <w:r>
              <w:rPr>
                <w:rFonts w:cs="Arial"/>
                <w:sz w:val="18"/>
              </w:rPr>
              <w:t>da</w:t>
            </w:r>
          </w:p>
        </w:tc>
        <w:tc>
          <w:tcPr>
            <w:tcW w:w="989" w:type="dxa"/>
          </w:tcPr>
          <w:p w:rsidR="004E4A3C" w:rsidRDefault="00FD7157">
            <w:pPr>
              <w:spacing w:after="0" w:line="240" w:lineRule="auto"/>
            </w:pPr>
            <w:r>
              <w:rPr>
                <w:rFonts w:cs="Arial"/>
                <w:sz w:val="18"/>
              </w:rPr>
              <w:t>da</w:t>
            </w:r>
          </w:p>
        </w:tc>
        <w:tc>
          <w:tcPr>
            <w:tcW w:w="900" w:type="dxa"/>
          </w:tcPr>
          <w:p w:rsidR="004E4A3C" w:rsidRDefault="00FD7157">
            <w:pPr>
              <w:spacing w:after="0" w:line="240" w:lineRule="auto"/>
            </w:pPr>
            <w:r>
              <w:rPr>
                <w:rFonts w:cs="Arial"/>
                <w:sz w:val="18"/>
              </w:rPr>
              <w:t>da</w:t>
            </w:r>
          </w:p>
        </w:tc>
        <w:tc>
          <w:tcPr>
            <w:tcW w:w="990" w:type="dxa"/>
          </w:tcPr>
          <w:p w:rsidR="004E4A3C" w:rsidRDefault="00FD7157">
            <w:pPr>
              <w:spacing w:after="0" w:line="240" w:lineRule="auto"/>
            </w:pPr>
            <w:r>
              <w:rPr>
                <w:rFonts w:cs="Arial"/>
                <w:sz w:val="18"/>
              </w:rPr>
              <w:t>da</w:t>
            </w:r>
          </w:p>
        </w:tc>
        <w:tc>
          <w:tcPr>
            <w:tcW w:w="2291" w:type="dxa"/>
          </w:tcPr>
          <w:p w:rsidR="004E4A3C" w:rsidRDefault="00FD7157">
            <w:pPr>
              <w:spacing w:after="0" w:line="240" w:lineRule="auto"/>
            </w:pPr>
            <w:r>
              <w:rPr>
                <w:rFonts w:cs="Arial"/>
                <w:sz w:val="18"/>
              </w:rPr>
              <w:t>isti razredi kao strateška karta</w:t>
            </w:r>
          </w:p>
        </w:tc>
      </w:tr>
      <w:tr w:rsidR="004E4A3C">
        <w:trPr>
          <w:cantSplit/>
          <w:jc w:val="center"/>
        </w:trPr>
        <w:tc>
          <w:tcPr>
            <w:tcW w:w="3050" w:type="dxa"/>
          </w:tcPr>
          <w:p w:rsidR="004E4A3C" w:rsidRDefault="00FD7157">
            <w:pPr>
              <w:spacing w:after="0" w:line="240" w:lineRule="auto"/>
            </w:pPr>
            <w:r>
              <w:rPr>
                <w:rFonts w:cs="Arial"/>
                <w:sz w:val="18"/>
              </w:rPr>
              <w:t>Prekoračenja po akustičnim zonama</w:t>
            </w:r>
          </w:p>
        </w:tc>
        <w:tc>
          <w:tcPr>
            <w:tcW w:w="1530" w:type="dxa"/>
          </w:tcPr>
          <w:p w:rsidR="004E4A3C" w:rsidRDefault="00FD7157">
            <w:pPr>
              <w:spacing w:after="0" w:line="240" w:lineRule="auto"/>
            </w:pPr>
            <w:r>
              <w:rPr>
                <w:rFonts w:cs="Arial"/>
                <w:sz w:val="18"/>
              </w:rPr>
              <w:t>da</w:t>
            </w:r>
          </w:p>
        </w:tc>
        <w:tc>
          <w:tcPr>
            <w:tcW w:w="989" w:type="dxa"/>
          </w:tcPr>
          <w:p w:rsidR="004E4A3C" w:rsidRDefault="00FD7157">
            <w:pPr>
              <w:spacing w:after="0" w:line="240" w:lineRule="auto"/>
            </w:pPr>
            <w:r>
              <w:rPr>
                <w:rFonts w:cs="Arial"/>
                <w:sz w:val="18"/>
              </w:rPr>
              <w:t>da</w:t>
            </w:r>
          </w:p>
        </w:tc>
        <w:tc>
          <w:tcPr>
            <w:tcW w:w="900" w:type="dxa"/>
          </w:tcPr>
          <w:p w:rsidR="004E4A3C" w:rsidRDefault="00FD7157">
            <w:pPr>
              <w:spacing w:after="0" w:line="240" w:lineRule="auto"/>
            </w:pPr>
            <w:r>
              <w:rPr>
                <w:rFonts w:cs="Arial"/>
                <w:sz w:val="18"/>
              </w:rPr>
              <w:t>da</w:t>
            </w:r>
          </w:p>
        </w:tc>
        <w:tc>
          <w:tcPr>
            <w:tcW w:w="990" w:type="dxa"/>
          </w:tcPr>
          <w:p w:rsidR="004E4A3C" w:rsidRDefault="00FD7157">
            <w:pPr>
              <w:spacing w:after="0" w:line="240" w:lineRule="auto"/>
            </w:pPr>
            <w:r>
              <w:rPr>
                <w:rFonts w:cs="Arial"/>
                <w:sz w:val="18"/>
              </w:rPr>
              <w:t>da</w:t>
            </w:r>
          </w:p>
        </w:tc>
        <w:tc>
          <w:tcPr>
            <w:tcW w:w="2291" w:type="dxa"/>
          </w:tcPr>
          <w:p w:rsidR="004E4A3C" w:rsidRDefault="00FD7157">
            <w:pPr>
              <w:spacing w:after="0" w:line="240" w:lineRule="auto"/>
            </w:pPr>
            <w:r>
              <w:rPr>
                <w:rFonts w:cs="Arial"/>
                <w:sz w:val="18"/>
              </w:rPr>
              <w:t>ključ za finalni izbor mjera</w:t>
            </w:r>
          </w:p>
        </w:tc>
      </w:tr>
      <w:tr w:rsidR="004E4A3C">
        <w:trPr>
          <w:cantSplit/>
          <w:jc w:val="center"/>
        </w:trPr>
        <w:tc>
          <w:tcPr>
            <w:tcW w:w="3050" w:type="dxa"/>
          </w:tcPr>
          <w:p w:rsidR="004E4A3C" w:rsidRDefault="00FD7157">
            <w:pPr>
              <w:spacing w:after="0" w:line="240" w:lineRule="auto"/>
            </w:pPr>
            <w:r>
              <w:rPr>
                <w:rFonts w:cs="Arial"/>
                <w:sz w:val="18"/>
              </w:rPr>
              <w:t>Rezidualni objekti nakon S4</w:t>
            </w:r>
          </w:p>
        </w:tc>
        <w:tc>
          <w:tcPr>
            <w:tcW w:w="1530" w:type="dxa"/>
          </w:tcPr>
          <w:p w:rsidR="004E4A3C" w:rsidRDefault="00FD7157">
            <w:pPr>
              <w:spacing w:after="0" w:line="240" w:lineRule="auto"/>
            </w:pPr>
            <w:r>
              <w:rPr>
                <w:rFonts w:cs="Arial"/>
                <w:sz w:val="18"/>
              </w:rPr>
              <w:t>ne primjenjuje se</w:t>
            </w:r>
          </w:p>
        </w:tc>
        <w:tc>
          <w:tcPr>
            <w:tcW w:w="989" w:type="dxa"/>
          </w:tcPr>
          <w:p w:rsidR="004E4A3C" w:rsidRDefault="00FD7157">
            <w:pPr>
              <w:spacing w:after="0" w:line="240" w:lineRule="auto"/>
            </w:pPr>
            <w:r>
              <w:rPr>
                <w:rFonts w:cs="Arial"/>
                <w:sz w:val="18"/>
              </w:rPr>
              <w:t>kontrolno</w:t>
            </w:r>
          </w:p>
        </w:tc>
        <w:tc>
          <w:tcPr>
            <w:tcW w:w="900" w:type="dxa"/>
          </w:tcPr>
          <w:p w:rsidR="004E4A3C" w:rsidRDefault="00FD7157">
            <w:pPr>
              <w:spacing w:after="0" w:line="240" w:lineRule="auto"/>
            </w:pPr>
            <w:r>
              <w:rPr>
                <w:rFonts w:cs="Arial"/>
                <w:sz w:val="18"/>
              </w:rPr>
              <w:t>kontrolno</w:t>
            </w:r>
          </w:p>
        </w:tc>
        <w:tc>
          <w:tcPr>
            <w:tcW w:w="990" w:type="dxa"/>
          </w:tcPr>
          <w:p w:rsidR="004E4A3C" w:rsidRDefault="00FD7157">
            <w:pPr>
              <w:spacing w:after="0" w:line="240" w:lineRule="auto"/>
            </w:pPr>
            <w:r>
              <w:rPr>
                <w:rFonts w:cs="Arial"/>
                <w:sz w:val="18"/>
              </w:rPr>
              <w:t>obavezno</w:t>
            </w:r>
          </w:p>
        </w:tc>
        <w:tc>
          <w:tcPr>
            <w:tcW w:w="2291" w:type="dxa"/>
          </w:tcPr>
          <w:p w:rsidR="004E4A3C" w:rsidRDefault="00FD7157">
            <w:pPr>
              <w:spacing w:after="0" w:line="240" w:lineRule="auto"/>
            </w:pPr>
            <w:r>
              <w:rPr>
                <w:rFonts w:cs="Arial"/>
                <w:sz w:val="18"/>
              </w:rPr>
              <w:t>osnov za lokalne dopunske mjere</w:t>
            </w:r>
          </w:p>
        </w:tc>
      </w:tr>
    </w:tbl>
    <w:p w:rsidR="004E4A3C" w:rsidRDefault="00FD7157">
      <w:pPr>
        <w:pStyle w:val="Heading2"/>
        <w:rPr>
          <w:rFonts w:ascii="Arial" w:eastAsia="Arial" w:hAnsi="Arial"/>
          <w:b w:val="0"/>
        </w:rPr>
      </w:pPr>
      <w:bookmarkStart w:id="193" w:name="__RefHeading___Toc9307_4023479253"/>
      <w:bookmarkStart w:id="194" w:name="_Toc231671870"/>
      <w:bookmarkEnd w:id="193"/>
      <w:r>
        <w:rPr>
          <w:rFonts w:ascii="Arial" w:eastAsia="Arial" w:hAnsi="Arial"/>
          <w:b w:val="0"/>
        </w:rPr>
        <w:t xml:space="preserve">P1.7. </w:t>
      </w:r>
      <w:r>
        <w:rPr>
          <w:rFonts w:ascii="Arial" w:eastAsia="Arial" w:hAnsi="Arial"/>
          <w:b w:val="0"/>
        </w:rPr>
        <w:t>Obrazac minimalne scenarijske tabele za javnu raspravu</w:t>
      </w:r>
      <w:bookmarkEnd w:id="194"/>
    </w:p>
    <w:p w:rsidR="004E4A3C" w:rsidRDefault="004E4A3C">
      <w:pPr>
        <w:spacing w:after="0"/>
      </w:pPr>
    </w:p>
    <w:p w:rsidR="004E4A3C" w:rsidRDefault="00FD7157">
      <w:r>
        <w:t>Finalne scenarijske tabele treba da omoguće brzo poređenje scenarija. Minimalna tabela treba da sadrži broj stanovnika i objekata sa prekoračenjem Lden i Lnight, stanovništvo po standardnim klasama, p</w:t>
      </w:r>
      <w:r>
        <w:t>romjenu u odnosu na S0 i napomenu o trošku ili faznosti mjere.</w:t>
      </w:r>
    </w:p>
    <w:p w:rsidR="004E4A3C" w:rsidRDefault="00FD7157">
      <w:pPr>
        <w:keepNext/>
        <w:keepLines/>
        <w:spacing w:after="40"/>
        <w:rPr>
          <w:b/>
          <w:bCs/>
        </w:rPr>
      </w:pPr>
      <w:r>
        <w:rPr>
          <w:b/>
          <w:bCs/>
        </w:rPr>
        <w:lastRenderedPageBreak/>
        <w:t>Tabela P1-5. Minimalni obrazac za poređenje scenarija u nacrtu za javnu raspravu</w:t>
      </w:r>
    </w:p>
    <w:tbl>
      <w:tblPr>
        <w:tblStyle w:val="TableGrid"/>
        <w:tblW w:w="9751" w:type="dxa"/>
        <w:jc w:val="center"/>
        <w:tblLayout w:type="fixed"/>
        <w:tblCellMar>
          <w:top w:w="40" w:type="dxa"/>
          <w:left w:w="40" w:type="dxa"/>
          <w:bottom w:w="40" w:type="dxa"/>
          <w:right w:w="40" w:type="dxa"/>
        </w:tblCellMar>
        <w:tblLook w:val="04A0" w:firstRow="1" w:lastRow="0" w:firstColumn="1" w:lastColumn="0" w:noHBand="0" w:noVBand="1"/>
      </w:tblPr>
      <w:tblGrid>
        <w:gridCol w:w="891"/>
        <w:gridCol w:w="2057"/>
        <w:gridCol w:w="1633"/>
        <w:gridCol w:w="1372"/>
        <w:gridCol w:w="1700"/>
        <w:gridCol w:w="2098"/>
      </w:tblGrid>
      <w:tr w:rsidR="004E4A3C">
        <w:trPr>
          <w:cantSplit/>
          <w:tblHeader/>
          <w:jc w:val="center"/>
        </w:trPr>
        <w:tc>
          <w:tcPr>
            <w:tcW w:w="890" w:type="dxa"/>
            <w:shd w:val="clear" w:color="auto" w:fill="D9EAF7"/>
          </w:tcPr>
          <w:p w:rsidR="004E4A3C" w:rsidRDefault="00FD7157">
            <w:pPr>
              <w:spacing w:after="0" w:line="240" w:lineRule="auto"/>
            </w:pPr>
            <w:r>
              <w:rPr>
                <w:rFonts w:cs="Arial"/>
                <w:b/>
                <w:sz w:val="18"/>
              </w:rPr>
              <w:t>Scenario</w:t>
            </w:r>
          </w:p>
        </w:tc>
        <w:tc>
          <w:tcPr>
            <w:tcW w:w="2057" w:type="dxa"/>
            <w:shd w:val="clear" w:color="auto" w:fill="D9EAF7"/>
          </w:tcPr>
          <w:p w:rsidR="004E4A3C" w:rsidRDefault="00FD7157">
            <w:pPr>
              <w:spacing w:after="0" w:line="240" w:lineRule="auto"/>
            </w:pPr>
            <w:r>
              <w:rPr>
                <w:rFonts w:cs="Arial"/>
                <w:b/>
                <w:sz w:val="18"/>
              </w:rPr>
              <w:t>Stan. Lden sa prekoračenjem</w:t>
            </w:r>
          </w:p>
        </w:tc>
        <w:tc>
          <w:tcPr>
            <w:tcW w:w="1633" w:type="dxa"/>
            <w:shd w:val="clear" w:color="auto" w:fill="D9EAF7"/>
          </w:tcPr>
          <w:p w:rsidR="004E4A3C" w:rsidRDefault="00FD7157">
            <w:pPr>
              <w:spacing w:after="0" w:line="240" w:lineRule="auto"/>
            </w:pPr>
            <w:r>
              <w:rPr>
                <w:rFonts w:cs="Arial"/>
                <w:b/>
                <w:sz w:val="18"/>
              </w:rPr>
              <w:t>Stan. Lnight sa prekoračenjem</w:t>
            </w:r>
          </w:p>
        </w:tc>
        <w:tc>
          <w:tcPr>
            <w:tcW w:w="1372" w:type="dxa"/>
            <w:shd w:val="clear" w:color="auto" w:fill="D9EAF7"/>
          </w:tcPr>
          <w:p w:rsidR="004E4A3C" w:rsidRDefault="00FD7157">
            <w:pPr>
              <w:spacing w:after="0" w:line="240" w:lineRule="auto"/>
            </w:pPr>
            <w:r>
              <w:rPr>
                <w:rFonts w:cs="Arial"/>
                <w:b/>
                <w:sz w:val="18"/>
              </w:rPr>
              <w:t>Promjena prema S0</w:t>
            </w:r>
          </w:p>
        </w:tc>
        <w:tc>
          <w:tcPr>
            <w:tcW w:w="1700" w:type="dxa"/>
            <w:shd w:val="clear" w:color="auto" w:fill="D9EAF7"/>
          </w:tcPr>
          <w:p w:rsidR="004E4A3C" w:rsidRDefault="00FD7157">
            <w:pPr>
              <w:spacing w:after="0" w:line="240" w:lineRule="auto"/>
            </w:pPr>
            <w:r>
              <w:rPr>
                <w:rFonts w:cs="Arial"/>
                <w:b/>
                <w:sz w:val="18"/>
              </w:rPr>
              <w:t xml:space="preserve">Objekti za rezidualnu </w:t>
            </w:r>
            <w:r>
              <w:rPr>
                <w:rFonts w:cs="Arial"/>
                <w:b/>
                <w:sz w:val="18"/>
              </w:rPr>
              <w:t>provjeru</w:t>
            </w:r>
          </w:p>
        </w:tc>
        <w:tc>
          <w:tcPr>
            <w:tcW w:w="2098" w:type="dxa"/>
            <w:shd w:val="clear" w:color="auto" w:fill="D9EAF7"/>
          </w:tcPr>
          <w:p w:rsidR="004E4A3C" w:rsidRDefault="00FD7157">
            <w:pPr>
              <w:spacing w:after="0" w:line="240" w:lineRule="auto"/>
            </w:pPr>
            <w:r>
              <w:rPr>
                <w:rFonts w:cs="Arial"/>
                <w:b/>
                <w:sz w:val="18"/>
              </w:rPr>
              <w:t>Napomena</w:t>
            </w:r>
          </w:p>
        </w:tc>
      </w:tr>
      <w:tr w:rsidR="004E4A3C">
        <w:trPr>
          <w:cantSplit/>
          <w:jc w:val="center"/>
        </w:trPr>
        <w:tc>
          <w:tcPr>
            <w:tcW w:w="890" w:type="dxa"/>
          </w:tcPr>
          <w:p w:rsidR="004E4A3C" w:rsidRDefault="00FD7157">
            <w:pPr>
              <w:spacing w:after="0" w:line="240" w:lineRule="auto"/>
            </w:pPr>
            <w:r>
              <w:rPr>
                <w:rFonts w:cs="Arial"/>
                <w:sz w:val="18"/>
              </w:rPr>
              <w:t>S0</w:t>
            </w:r>
          </w:p>
        </w:tc>
        <w:tc>
          <w:tcPr>
            <w:tcW w:w="2057" w:type="dxa"/>
          </w:tcPr>
          <w:p w:rsidR="004E4A3C" w:rsidRDefault="00FD7157">
            <w:pPr>
              <w:spacing w:after="0" w:line="240" w:lineRule="auto"/>
            </w:pPr>
            <w:r>
              <w:rPr>
                <w:rFonts w:cs="Arial"/>
                <w:sz w:val="18"/>
              </w:rPr>
              <w:t>iz SKB/CadnaA S0</w:t>
            </w:r>
          </w:p>
        </w:tc>
        <w:tc>
          <w:tcPr>
            <w:tcW w:w="1633" w:type="dxa"/>
          </w:tcPr>
          <w:p w:rsidR="004E4A3C" w:rsidRDefault="00FD7157">
            <w:pPr>
              <w:spacing w:after="0" w:line="240" w:lineRule="auto"/>
            </w:pPr>
            <w:r>
              <w:rPr>
                <w:rFonts w:cs="Arial"/>
                <w:sz w:val="18"/>
              </w:rPr>
              <w:t>iz SKB/CadnaA S0</w:t>
            </w:r>
          </w:p>
        </w:tc>
        <w:tc>
          <w:tcPr>
            <w:tcW w:w="1372" w:type="dxa"/>
          </w:tcPr>
          <w:p w:rsidR="004E4A3C" w:rsidRDefault="00FD7157">
            <w:pPr>
              <w:spacing w:after="0" w:line="240" w:lineRule="auto"/>
            </w:pPr>
            <w:r>
              <w:rPr>
                <w:rFonts w:cs="Arial"/>
                <w:sz w:val="18"/>
              </w:rPr>
              <w:t>-</w:t>
            </w:r>
          </w:p>
        </w:tc>
        <w:tc>
          <w:tcPr>
            <w:tcW w:w="1700" w:type="dxa"/>
          </w:tcPr>
          <w:p w:rsidR="004E4A3C" w:rsidRDefault="00FD7157">
            <w:pPr>
              <w:spacing w:after="0" w:line="240" w:lineRule="auto"/>
            </w:pPr>
            <w:r>
              <w:rPr>
                <w:rFonts w:cs="Arial"/>
                <w:sz w:val="18"/>
              </w:rPr>
              <w:t>-</w:t>
            </w:r>
          </w:p>
        </w:tc>
        <w:tc>
          <w:tcPr>
            <w:tcW w:w="2098" w:type="dxa"/>
          </w:tcPr>
          <w:p w:rsidR="004E4A3C" w:rsidRDefault="00FD7157">
            <w:pPr>
              <w:spacing w:after="0" w:line="240" w:lineRule="auto"/>
            </w:pPr>
            <w:r>
              <w:rPr>
                <w:rFonts w:cs="Arial"/>
                <w:sz w:val="18"/>
              </w:rPr>
              <w:t>polazno stanje</w:t>
            </w:r>
          </w:p>
        </w:tc>
      </w:tr>
      <w:tr w:rsidR="004E4A3C">
        <w:trPr>
          <w:cantSplit/>
          <w:jc w:val="center"/>
        </w:trPr>
        <w:tc>
          <w:tcPr>
            <w:tcW w:w="890" w:type="dxa"/>
          </w:tcPr>
          <w:p w:rsidR="004E4A3C" w:rsidRDefault="00FD7157">
            <w:pPr>
              <w:spacing w:after="0" w:line="240" w:lineRule="auto"/>
            </w:pPr>
            <w:r>
              <w:rPr>
                <w:rFonts w:cs="Arial"/>
                <w:sz w:val="18"/>
              </w:rPr>
              <w:t>S1</w:t>
            </w:r>
          </w:p>
        </w:tc>
        <w:tc>
          <w:tcPr>
            <w:tcW w:w="2057" w:type="dxa"/>
          </w:tcPr>
          <w:p w:rsidR="004E4A3C" w:rsidRDefault="00FD7157">
            <w:pPr>
              <w:spacing w:after="0" w:line="240" w:lineRule="auto"/>
            </w:pPr>
            <w:r>
              <w:rPr>
                <w:rFonts w:cs="Arial"/>
                <w:sz w:val="18"/>
              </w:rPr>
              <w:t>iz finalnog izvoza</w:t>
            </w:r>
          </w:p>
        </w:tc>
        <w:tc>
          <w:tcPr>
            <w:tcW w:w="1633" w:type="dxa"/>
          </w:tcPr>
          <w:p w:rsidR="004E4A3C" w:rsidRDefault="00FD7157">
            <w:pPr>
              <w:spacing w:after="0" w:line="240" w:lineRule="auto"/>
            </w:pPr>
            <w:r>
              <w:rPr>
                <w:rFonts w:cs="Arial"/>
                <w:sz w:val="18"/>
              </w:rPr>
              <w:t>iz finalnog izvoza</w:t>
            </w:r>
          </w:p>
        </w:tc>
        <w:tc>
          <w:tcPr>
            <w:tcW w:w="1372" w:type="dxa"/>
          </w:tcPr>
          <w:p w:rsidR="004E4A3C" w:rsidRDefault="00FD7157">
            <w:pPr>
              <w:spacing w:after="0" w:line="240" w:lineRule="auto"/>
            </w:pPr>
            <w:r>
              <w:rPr>
                <w:rFonts w:cs="Arial"/>
                <w:sz w:val="18"/>
              </w:rPr>
              <w:t>S0 - S1</w:t>
            </w:r>
          </w:p>
        </w:tc>
        <w:tc>
          <w:tcPr>
            <w:tcW w:w="1700" w:type="dxa"/>
          </w:tcPr>
          <w:p w:rsidR="004E4A3C" w:rsidRDefault="00FD7157">
            <w:pPr>
              <w:spacing w:after="0" w:line="240" w:lineRule="auto"/>
            </w:pPr>
            <w:r>
              <w:rPr>
                <w:rFonts w:cs="Arial"/>
                <w:sz w:val="18"/>
              </w:rPr>
              <w:t>preostali objekti</w:t>
            </w:r>
          </w:p>
        </w:tc>
        <w:tc>
          <w:tcPr>
            <w:tcW w:w="2098" w:type="dxa"/>
          </w:tcPr>
          <w:p w:rsidR="004E4A3C" w:rsidRDefault="00FD7157">
            <w:pPr>
              <w:spacing w:after="0" w:line="240" w:lineRule="auto"/>
            </w:pPr>
            <w:r>
              <w:rPr>
                <w:rFonts w:cs="Arial"/>
                <w:sz w:val="18"/>
              </w:rPr>
              <w:t>kratkoročna mjera</w:t>
            </w:r>
          </w:p>
        </w:tc>
      </w:tr>
      <w:tr w:rsidR="004E4A3C">
        <w:trPr>
          <w:cantSplit/>
          <w:jc w:val="center"/>
        </w:trPr>
        <w:tc>
          <w:tcPr>
            <w:tcW w:w="890" w:type="dxa"/>
          </w:tcPr>
          <w:p w:rsidR="004E4A3C" w:rsidRDefault="00FD7157">
            <w:pPr>
              <w:spacing w:after="0" w:line="240" w:lineRule="auto"/>
            </w:pPr>
            <w:r>
              <w:rPr>
                <w:rFonts w:cs="Arial"/>
                <w:sz w:val="18"/>
              </w:rPr>
              <w:t>S3</w:t>
            </w:r>
          </w:p>
        </w:tc>
        <w:tc>
          <w:tcPr>
            <w:tcW w:w="2057" w:type="dxa"/>
          </w:tcPr>
          <w:p w:rsidR="004E4A3C" w:rsidRDefault="00FD7157">
            <w:pPr>
              <w:spacing w:after="0" w:line="240" w:lineRule="auto"/>
            </w:pPr>
            <w:r>
              <w:rPr>
                <w:rFonts w:cs="Arial"/>
                <w:sz w:val="18"/>
              </w:rPr>
              <w:t>iz finalnog izvoza</w:t>
            </w:r>
          </w:p>
        </w:tc>
        <w:tc>
          <w:tcPr>
            <w:tcW w:w="1633" w:type="dxa"/>
          </w:tcPr>
          <w:p w:rsidR="004E4A3C" w:rsidRDefault="00FD7157">
            <w:pPr>
              <w:spacing w:after="0" w:line="240" w:lineRule="auto"/>
            </w:pPr>
            <w:r>
              <w:rPr>
                <w:rFonts w:cs="Arial"/>
                <w:sz w:val="18"/>
              </w:rPr>
              <w:t>iz finalnog izvoza</w:t>
            </w:r>
          </w:p>
        </w:tc>
        <w:tc>
          <w:tcPr>
            <w:tcW w:w="1372" w:type="dxa"/>
          </w:tcPr>
          <w:p w:rsidR="004E4A3C" w:rsidRDefault="00FD7157">
            <w:pPr>
              <w:spacing w:after="0" w:line="240" w:lineRule="auto"/>
            </w:pPr>
            <w:r>
              <w:rPr>
                <w:rFonts w:cs="Arial"/>
                <w:sz w:val="18"/>
              </w:rPr>
              <w:t>S0 - S3</w:t>
            </w:r>
          </w:p>
        </w:tc>
        <w:tc>
          <w:tcPr>
            <w:tcW w:w="1700" w:type="dxa"/>
          </w:tcPr>
          <w:p w:rsidR="004E4A3C" w:rsidRDefault="00FD7157">
            <w:pPr>
              <w:spacing w:after="0" w:line="240" w:lineRule="auto"/>
            </w:pPr>
            <w:r>
              <w:rPr>
                <w:rFonts w:cs="Arial"/>
                <w:sz w:val="18"/>
              </w:rPr>
              <w:t>preostali objekti</w:t>
            </w:r>
          </w:p>
        </w:tc>
        <w:tc>
          <w:tcPr>
            <w:tcW w:w="2098" w:type="dxa"/>
          </w:tcPr>
          <w:p w:rsidR="004E4A3C" w:rsidRDefault="00FD7157">
            <w:pPr>
              <w:spacing w:after="0" w:line="240" w:lineRule="auto"/>
            </w:pPr>
            <w:r>
              <w:rPr>
                <w:rFonts w:cs="Arial"/>
                <w:sz w:val="18"/>
              </w:rPr>
              <w:t>vezati za kolovoz</w:t>
            </w:r>
          </w:p>
        </w:tc>
      </w:tr>
      <w:tr w:rsidR="004E4A3C">
        <w:trPr>
          <w:cantSplit/>
          <w:jc w:val="center"/>
        </w:trPr>
        <w:tc>
          <w:tcPr>
            <w:tcW w:w="890" w:type="dxa"/>
          </w:tcPr>
          <w:p w:rsidR="004E4A3C" w:rsidRDefault="00FD7157">
            <w:pPr>
              <w:spacing w:after="0" w:line="240" w:lineRule="auto"/>
            </w:pPr>
            <w:r>
              <w:rPr>
                <w:rFonts w:cs="Arial"/>
                <w:sz w:val="18"/>
              </w:rPr>
              <w:t>S4</w:t>
            </w:r>
          </w:p>
        </w:tc>
        <w:tc>
          <w:tcPr>
            <w:tcW w:w="2057" w:type="dxa"/>
          </w:tcPr>
          <w:p w:rsidR="004E4A3C" w:rsidRDefault="00FD7157">
            <w:pPr>
              <w:spacing w:after="0" w:line="240" w:lineRule="auto"/>
            </w:pPr>
            <w:r>
              <w:rPr>
                <w:rFonts w:cs="Arial"/>
                <w:sz w:val="18"/>
              </w:rPr>
              <w:t xml:space="preserve">iz </w:t>
            </w:r>
            <w:r>
              <w:rPr>
                <w:rFonts w:cs="Arial"/>
                <w:sz w:val="18"/>
              </w:rPr>
              <w:t>finalnog izvoza</w:t>
            </w:r>
          </w:p>
        </w:tc>
        <w:tc>
          <w:tcPr>
            <w:tcW w:w="1633" w:type="dxa"/>
          </w:tcPr>
          <w:p w:rsidR="004E4A3C" w:rsidRDefault="00FD7157">
            <w:pPr>
              <w:spacing w:after="0" w:line="240" w:lineRule="auto"/>
            </w:pPr>
            <w:r>
              <w:rPr>
                <w:rFonts w:cs="Arial"/>
                <w:sz w:val="18"/>
              </w:rPr>
              <w:t>iz finalnog izvoza</w:t>
            </w:r>
          </w:p>
        </w:tc>
        <w:tc>
          <w:tcPr>
            <w:tcW w:w="1372" w:type="dxa"/>
          </w:tcPr>
          <w:p w:rsidR="004E4A3C" w:rsidRDefault="00FD7157">
            <w:pPr>
              <w:spacing w:after="0" w:line="240" w:lineRule="auto"/>
            </w:pPr>
            <w:r>
              <w:rPr>
                <w:rFonts w:cs="Arial"/>
                <w:sz w:val="18"/>
              </w:rPr>
              <w:t>S0 - S4</w:t>
            </w:r>
          </w:p>
        </w:tc>
        <w:tc>
          <w:tcPr>
            <w:tcW w:w="1700" w:type="dxa"/>
          </w:tcPr>
          <w:p w:rsidR="004E4A3C" w:rsidRDefault="00FD7157">
            <w:pPr>
              <w:spacing w:after="0" w:line="240" w:lineRule="auto"/>
            </w:pPr>
            <w:r>
              <w:rPr>
                <w:rFonts w:cs="Arial"/>
                <w:sz w:val="18"/>
              </w:rPr>
              <w:t>osnov za lokalne dopunske mjere</w:t>
            </w:r>
          </w:p>
        </w:tc>
        <w:tc>
          <w:tcPr>
            <w:tcW w:w="2098" w:type="dxa"/>
          </w:tcPr>
          <w:p w:rsidR="004E4A3C" w:rsidRDefault="00FD7157">
            <w:pPr>
              <w:spacing w:after="0" w:line="240" w:lineRule="auto"/>
            </w:pPr>
            <w:r>
              <w:rPr>
                <w:rFonts w:cs="Arial"/>
                <w:sz w:val="18"/>
              </w:rPr>
              <w:t>ciljni kombinovani paket</w:t>
            </w:r>
          </w:p>
        </w:tc>
      </w:tr>
    </w:tbl>
    <w:p w:rsidR="004E4A3C" w:rsidRDefault="004E4A3C"/>
    <w:p w:rsidR="004E4A3C" w:rsidRDefault="00FD7157">
      <w:pPr>
        <w:rPr>
          <w:rFonts w:cstheme="majorBidi"/>
          <w:bCs/>
          <w:color w:val="1F4E79"/>
          <w:sz w:val="32"/>
          <w:szCs w:val="28"/>
        </w:rPr>
      </w:pPr>
      <w:r>
        <w:br w:type="page"/>
      </w:r>
    </w:p>
    <w:p w:rsidR="004E4A3C" w:rsidRDefault="00FD7157">
      <w:pPr>
        <w:pStyle w:val="Heading1"/>
        <w:spacing w:before="0"/>
      </w:pPr>
      <w:bookmarkStart w:id="195" w:name="__RefHeading___Toc9309_4023479253"/>
      <w:bookmarkStart w:id="196" w:name="_Toc231671871"/>
      <w:bookmarkEnd w:id="195"/>
      <w:r>
        <w:rPr>
          <w:rFonts w:ascii="Arial" w:eastAsia="Arial" w:hAnsi="Arial"/>
          <w:b w:val="0"/>
        </w:rPr>
        <w:lastRenderedPageBreak/>
        <w:t>Prilog 2. Uporedna praksa EU i prenos pouka</w:t>
      </w:r>
      <w:bookmarkEnd w:id="196"/>
    </w:p>
    <w:p w:rsidR="004E4A3C" w:rsidRDefault="004E4A3C">
      <w:pPr>
        <w:spacing w:after="0"/>
        <w:jc w:val="both"/>
      </w:pPr>
    </w:p>
    <w:p w:rsidR="004E4A3C" w:rsidRDefault="00FD7157">
      <w:r>
        <w:t xml:space="preserve">Uporedna praksa koristi se kao pomoć u tumačenju mjera i njihovog odnosa troška i koristi. Cilj nije </w:t>
      </w:r>
      <w:r>
        <w:t>mehaničko preuzimanje tuđih rješenja, već provjera da li su predložene mjere u skladu sa pristupima koji se u Evropi često primjenjuju na sličnim putnim koridorima.</w:t>
      </w:r>
    </w:p>
    <w:p w:rsidR="004E4A3C" w:rsidRDefault="00FD7157">
      <w:pPr>
        <w:pStyle w:val="Heading2"/>
      </w:pPr>
      <w:bookmarkStart w:id="197" w:name="__RefHeading___Toc9311_4023479253"/>
      <w:bookmarkStart w:id="198" w:name="_Toc231671872"/>
      <w:bookmarkEnd w:id="197"/>
      <w:r>
        <w:rPr>
          <w:rFonts w:ascii="Arial" w:eastAsia="Arial" w:hAnsi="Arial"/>
          <w:b w:val="0"/>
        </w:rPr>
        <w:t>P2.1. Kriterijumi za izbor uporedivih primjera</w:t>
      </w:r>
      <w:bookmarkEnd w:id="198"/>
    </w:p>
    <w:p w:rsidR="004E4A3C" w:rsidRDefault="00FD7157">
      <w:r>
        <w:t>Uporedivi primjeri se biraju prema vrsti izv</w:t>
      </w:r>
      <w:r>
        <w:t>ora buke, skali problema, dostupnim mjerama i načinu prikazivanja koristi. Takav izbor omogućava da se evropska praksa koristi kao orijentir, a ne kao gotov projekat za direktno preuzimanje.</w:t>
      </w:r>
    </w:p>
    <w:p w:rsidR="004E4A3C" w:rsidRDefault="00FD7157">
      <w:r>
        <w:t xml:space="preserve">Uporedivi primjeri su akcioni planovi na glavnim ili regionalnim </w:t>
      </w:r>
      <w:r>
        <w:t>putevima sa nekoliko miliona vozila godišnje, sa stambenim objektima uz koridor i sa kombinacijom mjera na izvoru, upravljanja saobraćajem, kolovoza i lokalnih dopunskih mjera. Evropska praksa koristi se kao okvir za opravdanje faznog pristupa i za tumačen</w:t>
      </w:r>
      <w:r>
        <w:t>je odnosa između mjera na izvoru, mjera na putu širenja i organizacionih mjera.</w:t>
      </w:r>
    </w:p>
    <w:p w:rsidR="004E4A3C" w:rsidRDefault="00FD7157">
      <w:pPr>
        <w:pStyle w:val="Heading2"/>
      </w:pPr>
      <w:bookmarkStart w:id="199" w:name="__RefHeading___Toc9313_4023479253"/>
      <w:bookmarkStart w:id="200" w:name="_Toc231671873"/>
      <w:bookmarkEnd w:id="199"/>
      <w:r>
        <w:rPr>
          <w:rFonts w:ascii="Arial" w:eastAsia="Arial" w:hAnsi="Arial"/>
          <w:b w:val="0"/>
        </w:rPr>
        <w:t>P2.2. Tipične mjere i veza sa scenarijima</w:t>
      </w:r>
      <w:bookmarkEnd w:id="200"/>
    </w:p>
    <w:p w:rsidR="004E4A3C" w:rsidRDefault="00FD7157">
      <w:r>
        <w:t>U evropskim akcionim planovima mjere se najčešće kombinuju, pri čemu se brze organizacione mjere dopunjuju mjerama na kolovozu i lokal</w:t>
      </w:r>
      <w:r>
        <w:t>nim intervencijama. U nastavku je prikazano kako se takve tipične mjere povezuju sa scenarijima ovog Akcionog plana.</w:t>
      </w:r>
    </w:p>
    <w:p w:rsidR="004E4A3C" w:rsidRDefault="00FD7157">
      <w:pPr>
        <w:keepNext/>
        <w:keepLines/>
        <w:spacing w:after="40"/>
        <w:rPr>
          <w:b/>
          <w:bCs/>
        </w:rPr>
      </w:pPr>
      <w:r>
        <w:rPr>
          <w:b/>
          <w:bCs/>
        </w:rPr>
        <w:t>Tabela P2-1. Tipične mjere u evropskoj praksi i veza sa scenarijima AP</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2207"/>
        <w:gridCol w:w="2700"/>
        <w:gridCol w:w="3781"/>
        <w:gridCol w:w="1177"/>
      </w:tblGrid>
      <w:tr w:rsidR="004E4A3C">
        <w:trPr>
          <w:cantSplit/>
          <w:tblHeader/>
          <w:jc w:val="center"/>
        </w:trPr>
        <w:tc>
          <w:tcPr>
            <w:tcW w:w="2206" w:type="dxa"/>
            <w:shd w:val="clear" w:color="auto" w:fill="D9EAF7"/>
          </w:tcPr>
          <w:p w:rsidR="004E4A3C" w:rsidRDefault="00FD7157">
            <w:pPr>
              <w:spacing w:after="0" w:line="240" w:lineRule="auto"/>
              <w:jc w:val="center"/>
            </w:pPr>
            <w:r>
              <w:rPr>
                <w:rFonts w:cs="Arial"/>
                <w:b/>
                <w:color w:val="000000"/>
                <w:sz w:val="18"/>
                <w:szCs w:val="18"/>
              </w:rPr>
              <w:t>Tip mjere</w:t>
            </w:r>
          </w:p>
        </w:tc>
        <w:tc>
          <w:tcPr>
            <w:tcW w:w="2700" w:type="dxa"/>
            <w:shd w:val="clear" w:color="auto" w:fill="D9EAF7"/>
          </w:tcPr>
          <w:p w:rsidR="004E4A3C" w:rsidRDefault="00FD7157">
            <w:pPr>
              <w:spacing w:after="0" w:line="240" w:lineRule="auto"/>
              <w:jc w:val="center"/>
            </w:pPr>
            <w:r>
              <w:rPr>
                <w:rFonts w:cs="Arial"/>
                <w:b/>
                <w:color w:val="000000"/>
                <w:sz w:val="18"/>
                <w:szCs w:val="18"/>
              </w:rPr>
              <w:t>Tipična primjena</w:t>
            </w:r>
          </w:p>
        </w:tc>
        <w:tc>
          <w:tcPr>
            <w:tcW w:w="3781" w:type="dxa"/>
            <w:shd w:val="clear" w:color="auto" w:fill="D9EAF7"/>
          </w:tcPr>
          <w:p w:rsidR="004E4A3C" w:rsidRDefault="00FD7157">
            <w:pPr>
              <w:spacing w:after="0" w:line="240" w:lineRule="auto"/>
              <w:jc w:val="center"/>
            </w:pPr>
            <w:r>
              <w:rPr>
                <w:rFonts w:cs="Arial"/>
                <w:b/>
                <w:color w:val="000000"/>
                <w:sz w:val="18"/>
                <w:szCs w:val="18"/>
              </w:rPr>
              <w:t>Prednosti i ograničenja</w:t>
            </w:r>
          </w:p>
        </w:tc>
        <w:tc>
          <w:tcPr>
            <w:tcW w:w="1177" w:type="dxa"/>
            <w:shd w:val="clear" w:color="auto" w:fill="D9EAF7"/>
          </w:tcPr>
          <w:p w:rsidR="004E4A3C" w:rsidRDefault="00FD7157">
            <w:pPr>
              <w:spacing w:after="0" w:line="240" w:lineRule="auto"/>
              <w:jc w:val="center"/>
            </w:pPr>
            <w:r>
              <w:rPr>
                <w:rFonts w:cs="Arial"/>
                <w:b/>
                <w:color w:val="000000"/>
                <w:sz w:val="18"/>
                <w:szCs w:val="18"/>
              </w:rPr>
              <w:t>Veza sa AP</w:t>
            </w:r>
          </w:p>
        </w:tc>
      </w:tr>
      <w:tr w:rsidR="004E4A3C">
        <w:trPr>
          <w:cantSplit/>
          <w:jc w:val="center"/>
        </w:trPr>
        <w:tc>
          <w:tcPr>
            <w:tcW w:w="2206" w:type="dxa"/>
          </w:tcPr>
          <w:p w:rsidR="004E4A3C" w:rsidRDefault="00FD7157">
            <w:pPr>
              <w:spacing w:after="0" w:line="240" w:lineRule="auto"/>
            </w:pPr>
            <w:r>
              <w:rPr>
                <w:rFonts w:cs="Arial"/>
                <w:sz w:val="18"/>
                <w:szCs w:val="18"/>
              </w:rPr>
              <w:t>Smanjenje i upravljanje brzinom</w:t>
            </w:r>
          </w:p>
        </w:tc>
        <w:tc>
          <w:tcPr>
            <w:tcW w:w="2700" w:type="dxa"/>
          </w:tcPr>
          <w:p w:rsidR="004E4A3C" w:rsidRDefault="00FD7157">
            <w:pPr>
              <w:spacing w:after="0" w:line="240" w:lineRule="auto"/>
            </w:pPr>
            <w:r>
              <w:rPr>
                <w:rFonts w:cs="Arial"/>
                <w:sz w:val="18"/>
                <w:szCs w:val="18"/>
              </w:rPr>
              <w:t>naseljeni djelovi trase i prioritetne dionice</w:t>
            </w:r>
          </w:p>
        </w:tc>
        <w:tc>
          <w:tcPr>
            <w:tcW w:w="3781" w:type="dxa"/>
          </w:tcPr>
          <w:p w:rsidR="004E4A3C" w:rsidRDefault="00FD7157">
            <w:pPr>
              <w:spacing w:after="0" w:line="240" w:lineRule="auto"/>
            </w:pPr>
            <w:r>
              <w:rPr>
                <w:rFonts w:cs="Arial"/>
                <w:sz w:val="18"/>
                <w:szCs w:val="18"/>
              </w:rPr>
              <w:t>nizak trošak, brzo sprovođenje; efekat zavisi od kontrole</w:t>
            </w:r>
          </w:p>
        </w:tc>
        <w:tc>
          <w:tcPr>
            <w:tcW w:w="1177" w:type="dxa"/>
          </w:tcPr>
          <w:p w:rsidR="004E4A3C" w:rsidRDefault="00FD7157">
            <w:pPr>
              <w:spacing w:after="0" w:line="240" w:lineRule="auto"/>
            </w:pPr>
            <w:r>
              <w:rPr>
                <w:rFonts w:cs="Arial"/>
                <w:sz w:val="18"/>
                <w:szCs w:val="18"/>
              </w:rPr>
              <w:t>S1</w:t>
            </w:r>
          </w:p>
        </w:tc>
      </w:tr>
      <w:tr w:rsidR="004E4A3C">
        <w:trPr>
          <w:cantSplit/>
          <w:jc w:val="center"/>
        </w:trPr>
        <w:tc>
          <w:tcPr>
            <w:tcW w:w="2206" w:type="dxa"/>
          </w:tcPr>
          <w:p w:rsidR="004E4A3C" w:rsidRDefault="00FD7157">
            <w:pPr>
              <w:spacing w:after="0" w:line="240" w:lineRule="auto"/>
            </w:pPr>
            <w:r>
              <w:rPr>
                <w:rFonts w:cs="Arial"/>
                <w:sz w:val="18"/>
                <w:szCs w:val="18"/>
              </w:rPr>
              <w:t>Tiši kolovozni zastor</w:t>
            </w:r>
          </w:p>
        </w:tc>
        <w:tc>
          <w:tcPr>
            <w:tcW w:w="2700" w:type="dxa"/>
          </w:tcPr>
          <w:p w:rsidR="004E4A3C" w:rsidRDefault="00FD7157">
            <w:pPr>
              <w:spacing w:after="0" w:line="240" w:lineRule="auto"/>
            </w:pPr>
            <w:r>
              <w:rPr>
                <w:rFonts w:cs="Arial"/>
                <w:sz w:val="18"/>
                <w:szCs w:val="18"/>
              </w:rPr>
              <w:t>sanacija, resurfacing ili investiciono održavanje</w:t>
            </w:r>
          </w:p>
        </w:tc>
        <w:tc>
          <w:tcPr>
            <w:tcW w:w="3781" w:type="dxa"/>
          </w:tcPr>
          <w:p w:rsidR="004E4A3C" w:rsidRDefault="00FD7157">
            <w:pPr>
              <w:spacing w:after="0" w:line="240" w:lineRule="auto"/>
            </w:pPr>
            <w:r>
              <w:rPr>
                <w:rFonts w:cs="Arial"/>
                <w:sz w:val="18"/>
                <w:szCs w:val="18"/>
              </w:rPr>
              <w:t xml:space="preserve">dobar efekat na izvoru; visoki troškovi ako </w:t>
            </w:r>
            <w:r>
              <w:rPr>
                <w:rFonts w:cs="Arial"/>
                <w:sz w:val="18"/>
                <w:szCs w:val="18"/>
              </w:rPr>
              <w:t>se radi samo zbog buke</w:t>
            </w:r>
          </w:p>
        </w:tc>
        <w:tc>
          <w:tcPr>
            <w:tcW w:w="1177" w:type="dxa"/>
          </w:tcPr>
          <w:p w:rsidR="004E4A3C" w:rsidRDefault="00FD7157">
            <w:pPr>
              <w:spacing w:after="0" w:line="240" w:lineRule="auto"/>
            </w:pPr>
            <w:r>
              <w:rPr>
                <w:rFonts w:cs="Arial"/>
                <w:sz w:val="18"/>
                <w:szCs w:val="18"/>
              </w:rPr>
              <w:t>S3 / S4</w:t>
            </w:r>
          </w:p>
        </w:tc>
      </w:tr>
      <w:tr w:rsidR="004E4A3C">
        <w:trPr>
          <w:cantSplit/>
          <w:jc w:val="center"/>
        </w:trPr>
        <w:tc>
          <w:tcPr>
            <w:tcW w:w="2206" w:type="dxa"/>
          </w:tcPr>
          <w:p w:rsidR="004E4A3C" w:rsidRDefault="00FD7157">
            <w:pPr>
              <w:spacing w:after="0" w:line="240" w:lineRule="auto"/>
            </w:pPr>
            <w:r>
              <w:rPr>
                <w:rFonts w:cs="Arial"/>
                <w:sz w:val="18"/>
                <w:szCs w:val="18"/>
              </w:rPr>
              <w:t>Kombinovani paketi mjera</w:t>
            </w:r>
          </w:p>
        </w:tc>
        <w:tc>
          <w:tcPr>
            <w:tcW w:w="2700" w:type="dxa"/>
          </w:tcPr>
          <w:p w:rsidR="004E4A3C" w:rsidRDefault="00FD7157">
            <w:pPr>
              <w:spacing w:after="0" w:line="240" w:lineRule="auto"/>
            </w:pPr>
            <w:r>
              <w:rPr>
                <w:rFonts w:cs="Arial"/>
                <w:sz w:val="18"/>
                <w:szCs w:val="18"/>
              </w:rPr>
              <w:t>brzina + kolovoz + monitoring</w:t>
            </w:r>
          </w:p>
        </w:tc>
        <w:tc>
          <w:tcPr>
            <w:tcW w:w="3781" w:type="dxa"/>
          </w:tcPr>
          <w:p w:rsidR="004E4A3C" w:rsidRDefault="00FD7157">
            <w:pPr>
              <w:spacing w:after="0" w:line="240" w:lineRule="auto"/>
            </w:pPr>
            <w:r>
              <w:rPr>
                <w:rFonts w:cs="Arial"/>
                <w:sz w:val="18"/>
                <w:szCs w:val="18"/>
              </w:rPr>
              <w:t>najbolji zbirni efekat, zahtijeva fazno planiranje</w:t>
            </w:r>
          </w:p>
        </w:tc>
        <w:tc>
          <w:tcPr>
            <w:tcW w:w="1177" w:type="dxa"/>
          </w:tcPr>
          <w:p w:rsidR="004E4A3C" w:rsidRDefault="00FD7157">
            <w:pPr>
              <w:spacing w:after="0" w:line="240" w:lineRule="auto"/>
            </w:pPr>
            <w:r>
              <w:rPr>
                <w:rFonts w:cs="Arial"/>
                <w:sz w:val="18"/>
                <w:szCs w:val="18"/>
              </w:rPr>
              <w:t>S4</w:t>
            </w:r>
          </w:p>
        </w:tc>
      </w:tr>
      <w:tr w:rsidR="004E4A3C">
        <w:trPr>
          <w:cantSplit/>
          <w:jc w:val="center"/>
        </w:trPr>
        <w:tc>
          <w:tcPr>
            <w:tcW w:w="2206" w:type="dxa"/>
          </w:tcPr>
          <w:p w:rsidR="004E4A3C" w:rsidRDefault="00FD7157">
            <w:pPr>
              <w:spacing w:after="0" w:line="240" w:lineRule="auto"/>
            </w:pPr>
            <w:r>
              <w:rPr>
                <w:rFonts w:cs="Arial"/>
                <w:sz w:val="18"/>
                <w:szCs w:val="18"/>
              </w:rPr>
              <w:t>Akustičke barijere</w:t>
            </w:r>
          </w:p>
        </w:tc>
        <w:tc>
          <w:tcPr>
            <w:tcW w:w="2700" w:type="dxa"/>
          </w:tcPr>
          <w:p w:rsidR="004E4A3C" w:rsidRDefault="00FD7157">
            <w:pPr>
              <w:spacing w:after="0" w:line="240" w:lineRule="auto"/>
            </w:pPr>
            <w:r>
              <w:rPr>
                <w:rFonts w:cs="Arial"/>
                <w:sz w:val="18"/>
                <w:szCs w:val="18"/>
              </w:rPr>
              <w:t>kratki potezi sa grupisanim objektima i povoljnim prostorom</w:t>
            </w:r>
          </w:p>
        </w:tc>
        <w:tc>
          <w:tcPr>
            <w:tcW w:w="3781" w:type="dxa"/>
          </w:tcPr>
          <w:p w:rsidR="004E4A3C" w:rsidRDefault="00FD7157">
            <w:pPr>
              <w:spacing w:after="0" w:line="240" w:lineRule="auto"/>
            </w:pPr>
            <w:r>
              <w:rPr>
                <w:rFonts w:cs="Arial"/>
                <w:sz w:val="18"/>
                <w:szCs w:val="18"/>
              </w:rPr>
              <w:t>efikasne lokalno, skupe i prostorno</w:t>
            </w:r>
            <w:r>
              <w:rPr>
                <w:rFonts w:cs="Arial"/>
                <w:sz w:val="18"/>
                <w:szCs w:val="18"/>
              </w:rPr>
              <w:t xml:space="preserve"> zahtjevne</w:t>
            </w:r>
          </w:p>
        </w:tc>
        <w:tc>
          <w:tcPr>
            <w:tcW w:w="1177" w:type="dxa"/>
          </w:tcPr>
          <w:p w:rsidR="004E4A3C" w:rsidRDefault="00FD7157">
            <w:pPr>
              <w:spacing w:after="0" w:line="240" w:lineRule="auto"/>
            </w:pPr>
            <w:r>
              <w:rPr>
                <w:rFonts w:cs="Arial"/>
                <w:sz w:val="18"/>
              </w:rPr>
              <w:t>dopunske mjere</w:t>
            </w:r>
          </w:p>
        </w:tc>
      </w:tr>
      <w:tr w:rsidR="004E4A3C">
        <w:trPr>
          <w:cantSplit/>
          <w:jc w:val="center"/>
        </w:trPr>
        <w:tc>
          <w:tcPr>
            <w:tcW w:w="2206" w:type="dxa"/>
          </w:tcPr>
          <w:p w:rsidR="004E4A3C" w:rsidRDefault="00FD7157">
            <w:pPr>
              <w:spacing w:after="0" w:line="240" w:lineRule="auto"/>
            </w:pPr>
            <w:r>
              <w:rPr>
                <w:rFonts w:cs="Arial"/>
                <w:sz w:val="18"/>
                <w:szCs w:val="18"/>
              </w:rPr>
              <w:t>Mjere na prijemniku</w:t>
            </w:r>
          </w:p>
        </w:tc>
        <w:tc>
          <w:tcPr>
            <w:tcW w:w="2700" w:type="dxa"/>
          </w:tcPr>
          <w:p w:rsidR="004E4A3C" w:rsidRDefault="00FD7157">
            <w:pPr>
              <w:spacing w:after="0" w:line="240" w:lineRule="auto"/>
            </w:pPr>
            <w:r>
              <w:rPr>
                <w:rFonts w:cs="Arial"/>
                <w:sz w:val="18"/>
                <w:szCs w:val="18"/>
              </w:rPr>
              <w:t>rezidualni objekti nakon mjera na izvoru</w:t>
            </w:r>
          </w:p>
        </w:tc>
        <w:tc>
          <w:tcPr>
            <w:tcW w:w="3781" w:type="dxa"/>
          </w:tcPr>
          <w:p w:rsidR="004E4A3C" w:rsidRDefault="00FD7157">
            <w:pPr>
              <w:spacing w:after="0" w:line="240" w:lineRule="auto"/>
            </w:pPr>
            <w:r>
              <w:rPr>
                <w:rFonts w:cs="Arial"/>
                <w:sz w:val="18"/>
                <w:szCs w:val="18"/>
              </w:rPr>
              <w:t>ne smanjuju spoljašnju buku, ali mogu biti racionalne lokalno</w:t>
            </w:r>
          </w:p>
        </w:tc>
        <w:tc>
          <w:tcPr>
            <w:tcW w:w="1177" w:type="dxa"/>
          </w:tcPr>
          <w:p w:rsidR="004E4A3C" w:rsidRDefault="00FD7157">
            <w:pPr>
              <w:spacing w:after="0" w:line="240" w:lineRule="auto"/>
            </w:pPr>
            <w:r>
              <w:rPr>
                <w:rFonts w:cs="Arial"/>
                <w:sz w:val="18"/>
              </w:rPr>
              <w:t>dopunske mjere</w:t>
            </w:r>
          </w:p>
        </w:tc>
      </w:tr>
      <w:tr w:rsidR="004E4A3C">
        <w:trPr>
          <w:cantSplit/>
          <w:jc w:val="center"/>
        </w:trPr>
        <w:tc>
          <w:tcPr>
            <w:tcW w:w="2206" w:type="dxa"/>
          </w:tcPr>
          <w:p w:rsidR="004E4A3C" w:rsidRDefault="00FD7157">
            <w:pPr>
              <w:spacing w:after="0" w:line="240" w:lineRule="auto"/>
            </w:pPr>
            <w:r>
              <w:rPr>
                <w:rFonts w:cs="Arial"/>
                <w:sz w:val="18"/>
                <w:szCs w:val="18"/>
              </w:rPr>
              <w:t>Monitoring i verifikacija</w:t>
            </w:r>
          </w:p>
        </w:tc>
        <w:tc>
          <w:tcPr>
            <w:tcW w:w="2700" w:type="dxa"/>
          </w:tcPr>
          <w:p w:rsidR="004E4A3C" w:rsidRDefault="00FD7157">
            <w:pPr>
              <w:spacing w:after="0" w:line="240" w:lineRule="auto"/>
            </w:pPr>
            <w:r>
              <w:rPr>
                <w:rFonts w:cs="Arial"/>
                <w:sz w:val="18"/>
                <w:szCs w:val="18"/>
              </w:rPr>
              <w:t>mjerenja, dodatno modelovanje, praćenje brzina</w:t>
            </w:r>
          </w:p>
        </w:tc>
        <w:tc>
          <w:tcPr>
            <w:tcW w:w="3781" w:type="dxa"/>
          </w:tcPr>
          <w:p w:rsidR="004E4A3C" w:rsidRDefault="00FD7157">
            <w:pPr>
              <w:spacing w:after="0" w:line="240" w:lineRule="auto"/>
            </w:pPr>
            <w:r>
              <w:rPr>
                <w:rFonts w:cs="Arial"/>
                <w:sz w:val="18"/>
                <w:szCs w:val="18"/>
              </w:rPr>
              <w:t xml:space="preserve">povećava </w:t>
            </w:r>
            <w:r>
              <w:rPr>
                <w:rFonts w:cs="Arial"/>
                <w:sz w:val="18"/>
                <w:szCs w:val="18"/>
              </w:rPr>
              <w:t>pouzdanost odluka i smanjuje rizik pogrešnog ulaganja</w:t>
            </w:r>
          </w:p>
        </w:tc>
        <w:tc>
          <w:tcPr>
            <w:tcW w:w="1177" w:type="dxa"/>
          </w:tcPr>
          <w:p w:rsidR="004E4A3C" w:rsidRDefault="00FD7157">
            <w:pPr>
              <w:spacing w:after="0" w:line="240" w:lineRule="auto"/>
            </w:pPr>
            <w:r>
              <w:rPr>
                <w:rFonts w:cs="Arial"/>
                <w:sz w:val="18"/>
                <w:szCs w:val="18"/>
              </w:rPr>
              <w:t>svi scenariji</w:t>
            </w:r>
          </w:p>
        </w:tc>
      </w:tr>
    </w:tbl>
    <w:p w:rsidR="004E4A3C" w:rsidRDefault="00FD7157">
      <w:pPr>
        <w:pStyle w:val="Heading2"/>
      </w:pPr>
      <w:bookmarkStart w:id="201" w:name="__RefHeading___Toc9315_4023479253"/>
      <w:bookmarkStart w:id="202" w:name="_Toc231671874"/>
      <w:bookmarkEnd w:id="201"/>
      <w:r>
        <w:rPr>
          <w:rFonts w:ascii="Arial" w:eastAsia="Arial" w:hAnsi="Arial"/>
          <w:b w:val="0"/>
        </w:rPr>
        <w:t>P2.3. Prenos evropskih pouka na dionicu Spuž–Vranjske Njive</w:t>
      </w:r>
      <w:bookmarkEnd w:id="202"/>
    </w:p>
    <w:p w:rsidR="004E4A3C" w:rsidRDefault="00FD7157">
      <w:r>
        <w:t xml:space="preserve">Prenos evropskih pouka na predmetnu dionicu mora uvažiti lokalne prostorne uslove, položaj objekata, dostupne finansijske </w:t>
      </w:r>
      <w:r>
        <w:t>izvore i karakter regionalnog puta. U nastavku su izdvojene pouke koje imaju praktičnu vrijednost za odlučivanje o mjerama na R-23.</w:t>
      </w:r>
    </w:p>
    <w:p w:rsidR="004E4A3C" w:rsidRDefault="00FD7157">
      <w:pPr>
        <w:keepNext/>
        <w:keepLines/>
        <w:spacing w:after="40"/>
        <w:rPr>
          <w:b/>
          <w:bCs/>
        </w:rPr>
      </w:pPr>
      <w:r>
        <w:rPr>
          <w:b/>
          <w:bCs/>
        </w:rPr>
        <w:t>Tabela P2-2. Prenos pouka na Akcioni plan Spuž–Vranjske Njive</w:t>
      </w:r>
    </w:p>
    <w:tbl>
      <w:tblPr>
        <w:tblStyle w:val="TableGrid"/>
        <w:tblW w:w="9865" w:type="dxa"/>
        <w:jc w:val="center"/>
        <w:tblLayout w:type="fixed"/>
        <w:tblCellMar>
          <w:top w:w="60" w:type="dxa"/>
          <w:left w:w="60" w:type="dxa"/>
          <w:bottom w:w="60" w:type="dxa"/>
          <w:right w:w="60" w:type="dxa"/>
        </w:tblCellMar>
        <w:tblLook w:val="04A0" w:firstRow="1" w:lastRow="0" w:firstColumn="1" w:lastColumn="0" w:noHBand="0" w:noVBand="1"/>
      </w:tblPr>
      <w:tblGrid>
        <w:gridCol w:w="3736"/>
        <w:gridCol w:w="3331"/>
        <w:gridCol w:w="2798"/>
      </w:tblGrid>
      <w:tr w:rsidR="004E4A3C">
        <w:trPr>
          <w:cantSplit/>
          <w:tblHeader/>
          <w:jc w:val="center"/>
        </w:trPr>
        <w:tc>
          <w:tcPr>
            <w:tcW w:w="3736" w:type="dxa"/>
            <w:shd w:val="clear" w:color="auto" w:fill="D9EAF7"/>
          </w:tcPr>
          <w:p w:rsidR="004E4A3C" w:rsidRDefault="00FD7157">
            <w:pPr>
              <w:spacing w:after="0" w:line="240" w:lineRule="auto"/>
              <w:jc w:val="center"/>
            </w:pPr>
            <w:r>
              <w:rPr>
                <w:rFonts w:cs="Arial"/>
                <w:b/>
                <w:color w:val="000000"/>
                <w:sz w:val="18"/>
                <w:szCs w:val="18"/>
              </w:rPr>
              <w:t>Pouka</w:t>
            </w:r>
          </w:p>
        </w:tc>
        <w:tc>
          <w:tcPr>
            <w:tcW w:w="3331" w:type="dxa"/>
            <w:shd w:val="clear" w:color="auto" w:fill="D9EAF7"/>
          </w:tcPr>
          <w:p w:rsidR="004E4A3C" w:rsidRDefault="00FD7157">
            <w:pPr>
              <w:spacing w:after="0" w:line="240" w:lineRule="auto"/>
              <w:jc w:val="center"/>
            </w:pPr>
            <w:r>
              <w:rPr>
                <w:rFonts w:cs="Arial"/>
                <w:b/>
                <w:color w:val="000000"/>
                <w:sz w:val="18"/>
                <w:szCs w:val="18"/>
              </w:rPr>
              <w:t>Značenje za odlučivanje</w:t>
            </w:r>
          </w:p>
        </w:tc>
        <w:tc>
          <w:tcPr>
            <w:tcW w:w="2798" w:type="dxa"/>
            <w:shd w:val="clear" w:color="auto" w:fill="D9EAF7"/>
          </w:tcPr>
          <w:p w:rsidR="004E4A3C" w:rsidRDefault="00FD7157">
            <w:pPr>
              <w:spacing w:after="0" w:line="240" w:lineRule="auto"/>
              <w:jc w:val="center"/>
            </w:pPr>
            <w:r>
              <w:rPr>
                <w:rFonts w:cs="Arial"/>
                <w:b/>
                <w:color w:val="000000"/>
                <w:sz w:val="18"/>
                <w:szCs w:val="18"/>
              </w:rPr>
              <w:t>Primjena u ovom AP</w:t>
            </w:r>
          </w:p>
        </w:tc>
      </w:tr>
      <w:tr w:rsidR="004E4A3C">
        <w:trPr>
          <w:cantSplit/>
          <w:jc w:val="center"/>
        </w:trPr>
        <w:tc>
          <w:tcPr>
            <w:tcW w:w="3736" w:type="dxa"/>
          </w:tcPr>
          <w:p w:rsidR="004E4A3C" w:rsidRDefault="00FD7157">
            <w:pPr>
              <w:spacing w:after="0" w:line="240" w:lineRule="auto"/>
            </w:pPr>
            <w:r>
              <w:rPr>
                <w:rFonts w:cs="Arial"/>
                <w:sz w:val="18"/>
                <w:szCs w:val="18"/>
              </w:rPr>
              <w:t>Za puteve sa</w:t>
            </w:r>
            <w:r>
              <w:rPr>
                <w:rFonts w:cs="Arial"/>
                <w:sz w:val="18"/>
                <w:szCs w:val="18"/>
              </w:rPr>
              <w:t xml:space="preserve"> oko 3-5 miliona vozila/godišnje često se koristi fazni pristup.</w:t>
            </w:r>
          </w:p>
        </w:tc>
        <w:tc>
          <w:tcPr>
            <w:tcW w:w="3331" w:type="dxa"/>
          </w:tcPr>
          <w:p w:rsidR="004E4A3C" w:rsidRDefault="00FD7157">
            <w:pPr>
              <w:spacing w:after="0" w:line="240" w:lineRule="auto"/>
            </w:pPr>
            <w:r>
              <w:rPr>
                <w:rFonts w:cs="Arial"/>
                <w:sz w:val="18"/>
                <w:szCs w:val="18"/>
              </w:rPr>
              <w:t>Ne mora se odmah donositi odluka o najvećoj investiciji.</w:t>
            </w:r>
          </w:p>
        </w:tc>
        <w:tc>
          <w:tcPr>
            <w:tcW w:w="2798" w:type="dxa"/>
          </w:tcPr>
          <w:p w:rsidR="004E4A3C" w:rsidRDefault="00FD7157">
            <w:pPr>
              <w:spacing w:after="0" w:line="240" w:lineRule="auto"/>
            </w:pPr>
            <w:r>
              <w:rPr>
                <w:rFonts w:cs="Arial"/>
                <w:sz w:val="18"/>
              </w:rPr>
              <w:t>S1 kratkoročno, S3/S4 pri obnovi kolovoza, dopunske mjere lokalno.</w:t>
            </w:r>
          </w:p>
        </w:tc>
      </w:tr>
      <w:tr w:rsidR="004E4A3C">
        <w:trPr>
          <w:cantSplit/>
          <w:jc w:val="center"/>
        </w:trPr>
        <w:tc>
          <w:tcPr>
            <w:tcW w:w="3736" w:type="dxa"/>
          </w:tcPr>
          <w:p w:rsidR="004E4A3C" w:rsidRDefault="00FD7157">
            <w:pPr>
              <w:spacing w:after="0" w:line="240" w:lineRule="auto"/>
            </w:pPr>
            <w:r>
              <w:rPr>
                <w:rFonts w:cs="Arial"/>
                <w:sz w:val="18"/>
                <w:szCs w:val="18"/>
              </w:rPr>
              <w:t>Brzina je često prva mjera jer je jeftina i brzo primjenjiva.</w:t>
            </w:r>
          </w:p>
        </w:tc>
        <w:tc>
          <w:tcPr>
            <w:tcW w:w="3331" w:type="dxa"/>
          </w:tcPr>
          <w:p w:rsidR="004E4A3C" w:rsidRDefault="00FD7157">
            <w:pPr>
              <w:spacing w:after="0" w:line="240" w:lineRule="auto"/>
            </w:pPr>
            <w:r>
              <w:rPr>
                <w:rFonts w:cs="Arial"/>
                <w:sz w:val="18"/>
                <w:szCs w:val="18"/>
              </w:rPr>
              <w:t>Niza</w:t>
            </w:r>
            <w:r>
              <w:rPr>
                <w:rFonts w:cs="Arial"/>
                <w:sz w:val="18"/>
                <w:szCs w:val="18"/>
              </w:rPr>
              <w:t>k trošak i dobar odnos početne koristi.</w:t>
            </w:r>
          </w:p>
        </w:tc>
        <w:tc>
          <w:tcPr>
            <w:tcW w:w="2798" w:type="dxa"/>
          </w:tcPr>
          <w:p w:rsidR="004E4A3C" w:rsidRDefault="00FD7157">
            <w:pPr>
              <w:spacing w:after="0" w:line="240" w:lineRule="auto"/>
            </w:pPr>
            <w:r>
              <w:rPr>
                <w:rFonts w:cs="Arial"/>
                <w:sz w:val="18"/>
                <w:szCs w:val="18"/>
              </w:rPr>
              <w:t>S1 je najpogodniji početni paket za javnu raspravu.</w:t>
            </w:r>
          </w:p>
        </w:tc>
      </w:tr>
      <w:tr w:rsidR="004E4A3C">
        <w:trPr>
          <w:cantSplit/>
          <w:jc w:val="center"/>
        </w:trPr>
        <w:tc>
          <w:tcPr>
            <w:tcW w:w="3736" w:type="dxa"/>
          </w:tcPr>
          <w:p w:rsidR="004E4A3C" w:rsidRDefault="00FD7157">
            <w:pPr>
              <w:spacing w:after="0" w:line="240" w:lineRule="auto"/>
            </w:pPr>
            <w:r>
              <w:rPr>
                <w:rFonts w:cs="Arial"/>
                <w:sz w:val="18"/>
                <w:szCs w:val="18"/>
              </w:rPr>
              <w:t>Tiši kolovoz je najracionalniji kada je vezan za održavanje.</w:t>
            </w:r>
          </w:p>
        </w:tc>
        <w:tc>
          <w:tcPr>
            <w:tcW w:w="3331" w:type="dxa"/>
          </w:tcPr>
          <w:p w:rsidR="004E4A3C" w:rsidRDefault="00FD7157">
            <w:pPr>
              <w:spacing w:after="0" w:line="240" w:lineRule="auto"/>
            </w:pPr>
            <w:r>
              <w:rPr>
                <w:rFonts w:cs="Arial"/>
                <w:sz w:val="18"/>
                <w:szCs w:val="18"/>
              </w:rPr>
              <w:t>Puni trošak kolovoza ne treba pripisati samo buci ako se kolovoz svakako obnavlja.</w:t>
            </w:r>
          </w:p>
        </w:tc>
        <w:tc>
          <w:tcPr>
            <w:tcW w:w="2798" w:type="dxa"/>
          </w:tcPr>
          <w:p w:rsidR="004E4A3C" w:rsidRDefault="00FD7157">
            <w:pPr>
              <w:spacing w:after="0" w:line="240" w:lineRule="auto"/>
            </w:pPr>
            <w:r>
              <w:rPr>
                <w:rFonts w:cs="Arial"/>
                <w:sz w:val="18"/>
                <w:szCs w:val="18"/>
              </w:rPr>
              <w:t>S3/S4 uvrstiti u pr</w:t>
            </w:r>
            <w:r>
              <w:rPr>
                <w:rFonts w:cs="Arial"/>
                <w:sz w:val="18"/>
                <w:szCs w:val="18"/>
              </w:rPr>
              <w:t>ogram obnove kolovoza.</w:t>
            </w:r>
          </w:p>
        </w:tc>
      </w:tr>
      <w:tr w:rsidR="004E4A3C">
        <w:trPr>
          <w:cantSplit/>
          <w:jc w:val="center"/>
        </w:trPr>
        <w:tc>
          <w:tcPr>
            <w:tcW w:w="3736" w:type="dxa"/>
          </w:tcPr>
          <w:p w:rsidR="004E4A3C" w:rsidRDefault="00FD7157">
            <w:pPr>
              <w:spacing w:after="0" w:line="240" w:lineRule="auto"/>
            </w:pPr>
            <w:r>
              <w:rPr>
                <w:rFonts w:cs="Arial"/>
                <w:sz w:val="18"/>
                <w:szCs w:val="18"/>
              </w:rPr>
              <w:lastRenderedPageBreak/>
              <w:t>Barijere nijesu univerzalno rješenje uz brojne priključke i objekte blizu puta.</w:t>
            </w:r>
          </w:p>
        </w:tc>
        <w:tc>
          <w:tcPr>
            <w:tcW w:w="3331" w:type="dxa"/>
          </w:tcPr>
          <w:p w:rsidR="004E4A3C" w:rsidRDefault="00FD7157">
            <w:pPr>
              <w:spacing w:after="0" w:line="240" w:lineRule="auto"/>
            </w:pPr>
            <w:r>
              <w:rPr>
                <w:rFonts w:cs="Arial"/>
                <w:sz w:val="18"/>
                <w:szCs w:val="18"/>
              </w:rPr>
              <w:t>Potrebna je lokalna projektna provjera.</w:t>
            </w:r>
          </w:p>
        </w:tc>
        <w:tc>
          <w:tcPr>
            <w:tcW w:w="2798" w:type="dxa"/>
          </w:tcPr>
          <w:p w:rsidR="004E4A3C" w:rsidRDefault="00FD7157">
            <w:pPr>
              <w:spacing w:after="0" w:line="240" w:lineRule="auto"/>
            </w:pPr>
            <w:r>
              <w:rPr>
                <w:rFonts w:cs="Arial"/>
                <w:sz w:val="18"/>
              </w:rPr>
              <w:t>Dopunske mjere ne modelovati kao opštu linijsku barijeru.</w:t>
            </w:r>
          </w:p>
        </w:tc>
      </w:tr>
      <w:tr w:rsidR="004E4A3C">
        <w:trPr>
          <w:cantSplit/>
          <w:jc w:val="center"/>
        </w:trPr>
        <w:tc>
          <w:tcPr>
            <w:tcW w:w="3736" w:type="dxa"/>
          </w:tcPr>
          <w:p w:rsidR="004E4A3C" w:rsidRDefault="00FD7157">
            <w:pPr>
              <w:spacing w:after="0" w:line="240" w:lineRule="auto"/>
            </w:pPr>
            <w:r>
              <w:rPr>
                <w:rFonts w:cs="Arial"/>
                <w:sz w:val="18"/>
                <w:szCs w:val="18"/>
              </w:rPr>
              <w:t xml:space="preserve">Mjere na prijemniku su racionalne za mali broj </w:t>
            </w:r>
            <w:r>
              <w:rPr>
                <w:rFonts w:cs="Arial"/>
                <w:sz w:val="18"/>
                <w:szCs w:val="18"/>
              </w:rPr>
              <w:t>preostalih objekata.</w:t>
            </w:r>
          </w:p>
        </w:tc>
        <w:tc>
          <w:tcPr>
            <w:tcW w:w="3331" w:type="dxa"/>
          </w:tcPr>
          <w:p w:rsidR="004E4A3C" w:rsidRDefault="00FD7157">
            <w:pPr>
              <w:spacing w:after="0" w:line="240" w:lineRule="auto"/>
            </w:pPr>
            <w:r>
              <w:rPr>
                <w:rFonts w:cs="Arial"/>
                <w:sz w:val="18"/>
                <w:szCs w:val="18"/>
              </w:rPr>
              <w:t>Korisne su kada su mjere na izvoru nedovoljne ili neizvodljive.</w:t>
            </w:r>
          </w:p>
        </w:tc>
        <w:tc>
          <w:tcPr>
            <w:tcW w:w="2798" w:type="dxa"/>
          </w:tcPr>
          <w:p w:rsidR="004E4A3C" w:rsidRDefault="00FD7157">
            <w:pPr>
              <w:spacing w:after="0" w:line="240" w:lineRule="auto"/>
            </w:pPr>
            <w:r>
              <w:rPr>
                <w:rFonts w:cs="Arial"/>
                <w:sz w:val="18"/>
                <w:szCs w:val="18"/>
              </w:rPr>
              <w:t>Nakon S4 izdvojiti rezidualne objekte.</w:t>
            </w:r>
          </w:p>
        </w:tc>
      </w:tr>
    </w:tbl>
    <w:p w:rsidR="004E4A3C" w:rsidRDefault="00FD7157">
      <w:pPr>
        <w:pStyle w:val="Heading2"/>
      </w:pPr>
      <w:bookmarkStart w:id="203" w:name="__RefHeading___Toc9317_4023479253"/>
      <w:bookmarkStart w:id="204" w:name="_Toc231671875"/>
      <w:bookmarkEnd w:id="203"/>
      <w:r>
        <w:rPr>
          <w:rFonts w:ascii="Arial" w:eastAsia="Arial" w:hAnsi="Arial"/>
          <w:b w:val="0"/>
        </w:rPr>
        <w:t>P2.4. Zaključak uporedne analize</w:t>
      </w:r>
      <w:bookmarkEnd w:id="204"/>
    </w:p>
    <w:p w:rsidR="004E4A3C" w:rsidRDefault="00FD7157">
      <w:r>
        <w:t>Zaključak uporedne analize izdvaja poruke koje su najkorisnije za predmetni koridor. Fokus je na f</w:t>
      </w:r>
      <w:r>
        <w:t>aznom pristupu, oprezu pri velikim investicijama i potrebi da se koristi javno objasne jednostavnim pokazateljima.</w:t>
      </w:r>
    </w:p>
    <w:p w:rsidR="004E4A3C" w:rsidRDefault="00FD7157">
      <w:r>
        <w:t>Uporedna praksa podržava fazni pristup i prioritet mjera na izvoru. Za dionicu Spuž–Vranjske Njive to znači da se javnosti ne obećavaju skupe</w:t>
      </w:r>
      <w:r>
        <w:t xml:space="preserve"> linijske barijere bez projektne provjere, već da se prvo uvode mjere upravljanja brzinama i održavanja, zatim tiši kolovoz pri obnovi i na kraju lokalne mjere za rezidualne objekte.</w:t>
      </w:r>
    </w:p>
    <w:p w:rsidR="004E4A3C" w:rsidRDefault="00FD7157">
      <w:pPr>
        <w:pStyle w:val="Heading2"/>
      </w:pPr>
      <w:bookmarkStart w:id="205" w:name="__RefHeading___Toc9319_4023479253"/>
      <w:bookmarkStart w:id="206" w:name="_Toc231671876"/>
      <w:bookmarkEnd w:id="205"/>
      <w:r>
        <w:rPr>
          <w:rFonts w:ascii="Arial" w:eastAsia="Arial" w:hAnsi="Arial"/>
          <w:b w:val="0"/>
        </w:rPr>
        <w:t>P2.5. Izvori za Prilog 2</w:t>
      </w:r>
      <w:bookmarkEnd w:id="206"/>
    </w:p>
    <w:p w:rsidR="004E4A3C" w:rsidRDefault="00FD7157">
      <w:r>
        <w:t>Izvori za uporednu praksu služe kao dokumentacio</w:t>
      </w:r>
      <w:r>
        <w:t>na podrška zaključcima ovog priloga. Navedeni izvori pomažu da se preporuke o faznosti, troškovnoj efikasnosti i oprezu pri izboru mjera povežu sa širim evropskim iskustvom i prethodno pripremljenim akcionim planovima.</w:t>
      </w:r>
    </w:p>
    <w:p w:rsidR="004E4A3C" w:rsidRDefault="00FD7157">
      <w:pPr>
        <w:pStyle w:val="ListBullet"/>
      </w:pPr>
      <w:r>
        <w:t>Directive 2002/49/EC on the assessmen</w:t>
      </w:r>
      <w:r>
        <w:t>t and management of environmental noise.</w:t>
      </w:r>
    </w:p>
    <w:p w:rsidR="004E4A3C" w:rsidRDefault="00FD7157">
      <w:pPr>
        <w:pStyle w:val="ListBullet"/>
        <w:sectPr w:rsidR="004E4A3C">
          <w:headerReference w:type="even" r:id="rId10"/>
          <w:headerReference w:type="default" r:id="rId11"/>
          <w:footerReference w:type="even" r:id="rId12"/>
          <w:footerReference w:type="default" r:id="rId13"/>
          <w:headerReference w:type="first" r:id="rId14"/>
          <w:footerReference w:type="first" r:id="rId15"/>
          <w:pgSz w:w="12240" w:h="15840"/>
          <w:pgMar w:top="907" w:right="964" w:bottom="907" w:left="964" w:header="720" w:footer="720" w:gutter="0"/>
          <w:cols w:space="720"/>
          <w:formProt w:val="0"/>
          <w:docGrid w:linePitch="360"/>
        </w:sectPr>
      </w:pPr>
      <w:r>
        <w:t>Smjernice i praksa iz evropskih akcionih planova buke za magistralne i regionalne puteve, korišćene na nivou tipičnih mjera i faznog pristupa.</w:t>
      </w:r>
    </w:p>
    <w:p w:rsidR="004E4A3C" w:rsidRDefault="00FD7157">
      <w:pPr>
        <w:pStyle w:val="Heading1"/>
      </w:pPr>
      <w:bookmarkStart w:id="207" w:name="__RefHeading___Toc9321_4023479253"/>
      <w:bookmarkStart w:id="208" w:name="_Toc231671877"/>
      <w:bookmarkEnd w:id="207"/>
      <w:r>
        <w:rPr>
          <w:rFonts w:ascii="Arial" w:eastAsia="Arial" w:hAnsi="Arial"/>
          <w:b w:val="0"/>
        </w:rPr>
        <w:lastRenderedPageBreak/>
        <w:t>Prilog 3. Kartografski prilozi</w:t>
      </w:r>
      <w:bookmarkEnd w:id="208"/>
    </w:p>
    <w:p w:rsidR="004E4A3C" w:rsidRDefault="00FD7157">
      <w:r>
        <w:t>Kartografski prilozi su prikazani radi</w:t>
      </w:r>
      <w:r>
        <w:t xml:space="preserve"> javne rasprave i prostornog razumijevanja scenarija. Karte prikazuju nivoe indikatora buke u opsezima od 5 dB(A).</w:t>
      </w:r>
    </w:p>
    <w:p w:rsidR="004E4A3C" w:rsidRDefault="00FD7157">
      <w:r>
        <w:br w:type="page"/>
      </w:r>
    </w:p>
    <w:p w:rsidR="004E4A3C" w:rsidRDefault="00FD7157">
      <w:pPr>
        <w:keepNext/>
        <w:keepLines/>
        <w:spacing w:after="40"/>
        <w:jc w:val="center"/>
      </w:pPr>
      <w:r>
        <w:lastRenderedPageBreak/>
        <w:t>Slika P3-1. S0 - nulto stanje, Lden</w:t>
      </w:r>
    </w:p>
    <w:p w:rsidR="004E4A3C" w:rsidRDefault="00FD7157">
      <w:pPr>
        <w:spacing w:after="0"/>
        <w:jc w:val="center"/>
      </w:pPr>
      <w:r>
        <w:rPr>
          <w:noProof/>
        </w:rPr>
        <w:drawing>
          <wp:inline distT="0" distB="0" distL="0" distR="0">
            <wp:extent cx="6949440" cy="54838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6"/>
                    <a:stretch>
                      <a:fillRect/>
                    </a:stretch>
                  </pic:blipFill>
                  <pic:spPr bwMode="auto">
                    <a:xfrm>
                      <a:off x="0" y="0"/>
                      <a:ext cx="6949440" cy="5483860"/>
                    </a:xfrm>
                    <a:prstGeom prst="rect">
                      <a:avLst/>
                    </a:prstGeom>
                    <a:noFill/>
                  </pic:spPr>
                </pic:pic>
              </a:graphicData>
            </a:graphic>
          </wp:inline>
        </w:drawing>
      </w:r>
    </w:p>
    <w:p w:rsidR="004E4A3C" w:rsidRDefault="00FD7157">
      <w:r>
        <w:br w:type="page"/>
      </w:r>
    </w:p>
    <w:p w:rsidR="004E4A3C" w:rsidRDefault="00FD7157">
      <w:pPr>
        <w:keepNext/>
        <w:keepLines/>
        <w:spacing w:after="40"/>
        <w:jc w:val="center"/>
      </w:pPr>
      <w:r>
        <w:lastRenderedPageBreak/>
        <w:t>Slika P3-2. S0 - nulto stanje, Lnight</w:t>
      </w:r>
    </w:p>
    <w:p w:rsidR="004E4A3C" w:rsidRDefault="00FD7157">
      <w:pPr>
        <w:spacing w:after="0"/>
        <w:jc w:val="center"/>
      </w:pPr>
      <w:r>
        <w:rPr>
          <w:noProof/>
        </w:rPr>
        <w:drawing>
          <wp:inline distT="0" distB="0" distL="0" distR="0">
            <wp:extent cx="6949440" cy="548386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7"/>
                    <a:stretch>
                      <a:fillRect/>
                    </a:stretch>
                  </pic:blipFill>
                  <pic:spPr bwMode="auto">
                    <a:xfrm>
                      <a:off x="0" y="0"/>
                      <a:ext cx="6949440" cy="5483860"/>
                    </a:xfrm>
                    <a:prstGeom prst="rect">
                      <a:avLst/>
                    </a:prstGeom>
                    <a:noFill/>
                  </pic:spPr>
                </pic:pic>
              </a:graphicData>
            </a:graphic>
          </wp:inline>
        </w:drawing>
      </w:r>
    </w:p>
    <w:p w:rsidR="004E4A3C" w:rsidRDefault="00FD7157">
      <w:r>
        <w:br w:type="page"/>
      </w:r>
    </w:p>
    <w:p w:rsidR="004E4A3C" w:rsidRDefault="00FD7157">
      <w:pPr>
        <w:keepNext/>
        <w:keepLines/>
        <w:spacing w:after="40"/>
        <w:jc w:val="center"/>
      </w:pPr>
      <w:r>
        <w:rPr>
          <w:i/>
          <w:color w:val="495057"/>
        </w:rPr>
        <w:lastRenderedPageBreak/>
        <w:t>Slika P3-3. Scenario S1 - Lden</w:t>
      </w:r>
    </w:p>
    <w:p w:rsidR="004E4A3C" w:rsidRDefault="00FD7157">
      <w:pPr>
        <w:jc w:val="center"/>
      </w:pPr>
      <w:r>
        <w:rPr>
          <w:noProof/>
        </w:rPr>
        <w:drawing>
          <wp:inline distT="0" distB="0" distL="0" distR="0">
            <wp:extent cx="6949440" cy="5484495"/>
            <wp:effectExtent l="0" t="0" r="0" b="0"/>
            <wp:docPr id="4" name="Picture 962533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62533587"/>
                    <pic:cNvPicPr>
                      <a:picLocks noChangeAspect="1" noChangeArrowheads="1"/>
                    </pic:cNvPicPr>
                  </pic:nvPicPr>
                  <pic:blipFill>
                    <a:blip r:embed="rId18"/>
                    <a:stretch>
                      <a:fillRect/>
                    </a:stretch>
                  </pic:blipFill>
                  <pic:spPr bwMode="auto">
                    <a:xfrm>
                      <a:off x="0" y="0"/>
                      <a:ext cx="6949440" cy="5484495"/>
                    </a:xfrm>
                    <a:prstGeom prst="rect">
                      <a:avLst/>
                    </a:prstGeom>
                    <a:noFill/>
                  </pic:spPr>
                </pic:pic>
              </a:graphicData>
            </a:graphic>
          </wp:inline>
        </w:drawing>
      </w:r>
    </w:p>
    <w:p w:rsidR="004E4A3C" w:rsidRDefault="00FD7157">
      <w:r>
        <w:br w:type="page"/>
      </w:r>
    </w:p>
    <w:p w:rsidR="004E4A3C" w:rsidRDefault="00FD7157">
      <w:pPr>
        <w:keepNext/>
        <w:keepLines/>
        <w:spacing w:after="40"/>
        <w:jc w:val="center"/>
      </w:pPr>
      <w:r>
        <w:rPr>
          <w:i/>
          <w:color w:val="495057"/>
        </w:rPr>
        <w:lastRenderedPageBreak/>
        <w:t>Slika P3-4. Scenario S</w:t>
      </w:r>
      <w:r>
        <w:rPr>
          <w:i/>
          <w:color w:val="495057"/>
        </w:rPr>
        <w:t>1 - Lnight</w:t>
      </w:r>
    </w:p>
    <w:p w:rsidR="004E4A3C" w:rsidRDefault="00FD7157">
      <w:pPr>
        <w:jc w:val="center"/>
      </w:pPr>
      <w:r>
        <w:rPr>
          <w:noProof/>
        </w:rPr>
        <w:drawing>
          <wp:inline distT="0" distB="0" distL="0" distR="0">
            <wp:extent cx="6949440" cy="5484495"/>
            <wp:effectExtent l="0" t="0" r="0" b="0"/>
            <wp:docPr id="5" name="Picture 962533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62533588"/>
                    <pic:cNvPicPr>
                      <a:picLocks noChangeAspect="1" noChangeArrowheads="1"/>
                    </pic:cNvPicPr>
                  </pic:nvPicPr>
                  <pic:blipFill>
                    <a:blip r:embed="rId19"/>
                    <a:stretch>
                      <a:fillRect/>
                    </a:stretch>
                  </pic:blipFill>
                  <pic:spPr bwMode="auto">
                    <a:xfrm>
                      <a:off x="0" y="0"/>
                      <a:ext cx="6949440" cy="5484495"/>
                    </a:xfrm>
                    <a:prstGeom prst="rect">
                      <a:avLst/>
                    </a:prstGeom>
                    <a:noFill/>
                  </pic:spPr>
                </pic:pic>
              </a:graphicData>
            </a:graphic>
          </wp:inline>
        </w:drawing>
      </w:r>
    </w:p>
    <w:p w:rsidR="004E4A3C" w:rsidRDefault="00FD7157">
      <w:r>
        <w:br w:type="page"/>
      </w:r>
    </w:p>
    <w:p w:rsidR="004E4A3C" w:rsidRDefault="00FD7157">
      <w:pPr>
        <w:keepNext/>
        <w:keepLines/>
        <w:spacing w:after="40"/>
        <w:jc w:val="center"/>
      </w:pPr>
      <w:r>
        <w:rPr>
          <w:i/>
          <w:color w:val="495057"/>
        </w:rPr>
        <w:lastRenderedPageBreak/>
        <w:t>Slika P3-5. Scenario S3 - Lden</w:t>
      </w:r>
    </w:p>
    <w:p w:rsidR="004E4A3C" w:rsidRDefault="00FD7157">
      <w:pPr>
        <w:jc w:val="center"/>
      </w:pPr>
      <w:r>
        <w:rPr>
          <w:noProof/>
        </w:rPr>
        <w:drawing>
          <wp:inline distT="0" distB="0" distL="0" distR="0">
            <wp:extent cx="6949440" cy="5484495"/>
            <wp:effectExtent l="0" t="0" r="0" b="0"/>
            <wp:docPr id="6" name="Picture 962533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62533589"/>
                    <pic:cNvPicPr>
                      <a:picLocks noChangeAspect="1" noChangeArrowheads="1"/>
                    </pic:cNvPicPr>
                  </pic:nvPicPr>
                  <pic:blipFill>
                    <a:blip r:embed="rId20"/>
                    <a:stretch>
                      <a:fillRect/>
                    </a:stretch>
                  </pic:blipFill>
                  <pic:spPr bwMode="auto">
                    <a:xfrm>
                      <a:off x="0" y="0"/>
                      <a:ext cx="6949440" cy="5484495"/>
                    </a:xfrm>
                    <a:prstGeom prst="rect">
                      <a:avLst/>
                    </a:prstGeom>
                    <a:noFill/>
                  </pic:spPr>
                </pic:pic>
              </a:graphicData>
            </a:graphic>
          </wp:inline>
        </w:drawing>
      </w:r>
    </w:p>
    <w:p w:rsidR="004E4A3C" w:rsidRDefault="00FD7157">
      <w:r>
        <w:br w:type="page"/>
      </w:r>
    </w:p>
    <w:p w:rsidR="004E4A3C" w:rsidRDefault="00FD7157">
      <w:pPr>
        <w:keepNext/>
        <w:keepLines/>
        <w:spacing w:after="40"/>
        <w:jc w:val="center"/>
      </w:pPr>
      <w:r>
        <w:rPr>
          <w:i/>
          <w:color w:val="495057"/>
        </w:rPr>
        <w:lastRenderedPageBreak/>
        <w:t>Slika P3-6. Scenario S3 - Lnight</w:t>
      </w:r>
    </w:p>
    <w:p w:rsidR="004E4A3C" w:rsidRDefault="00FD7157">
      <w:pPr>
        <w:jc w:val="center"/>
      </w:pPr>
      <w:r>
        <w:rPr>
          <w:noProof/>
        </w:rPr>
        <w:drawing>
          <wp:inline distT="0" distB="0" distL="0" distR="0">
            <wp:extent cx="6949440" cy="5484495"/>
            <wp:effectExtent l="0" t="0" r="0" b="0"/>
            <wp:docPr id="7" name="Picture 962533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62533590"/>
                    <pic:cNvPicPr>
                      <a:picLocks noChangeAspect="1" noChangeArrowheads="1"/>
                    </pic:cNvPicPr>
                  </pic:nvPicPr>
                  <pic:blipFill>
                    <a:blip r:embed="rId21"/>
                    <a:stretch>
                      <a:fillRect/>
                    </a:stretch>
                  </pic:blipFill>
                  <pic:spPr bwMode="auto">
                    <a:xfrm>
                      <a:off x="0" y="0"/>
                      <a:ext cx="6949440" cy="5484495"/>
                    </a:xfrm>
                    <a:prstGeom prst="rect">
                      <a:avLst/>
                    </a:prstGeom>
                    <a:noFill/>
                  </pic:spPr>
                </pic:pic>
              </a:graphicData>
            </a:graphic>
          </wp:inline>
        </w:drawing>
      </w:r>
    </w:p>
    <w:p w:rsidR="004E4A3C" w:rsidRDefault="00FD7157">
      <w:r>
        <w:br w:type="page"/>
      </w:r>
    </w:p>
    <w:p w:rsidR="004E4A3C" w:rsidRDefault="00FD7157">
      <w:pPr>
        <w:keepNext/>
        <w:keepLines/>
        <w:spacing w:after="40"/>
        <w:jc w:val="center"/>
      </w:pPr>
      <w:r>
        <w:rPr>
          <w:i/>
          <w:color w:val="495057"/>
        </w:rPr>
        <w:lastRenderedPageBreak/>
        <w:t>Slika P3-7. Scenario S4 - Lden</w:t>
      </w:r>
    </w:p>
    <w:p w:rsidR="004E4A3C" w:rsidRDefault="00FD7157">
      <w:pPr>
        <w:jc w:val="center"/>
      </w:pPr>
      <w:r>
        <w:rPr>
          <w:noProof/>
        </w:rPr>
        <w:drawing>
          <wp:inline distT="0" distB="0" distL="0" distR="0">
            <wp:extent cx="6949440" cy="5484495"/>
            <wp:effectExtent l="0" t="0" r="0" b="0"/>
            <wp:docPr id="8" name="Picture 96253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62533591"/>
                    <pic:cNvPicPr>
                      <a:picLocks noChangeAspect="1" noChangeArrowheads="1"/>
                    </pic:cNvPicPr>
                  </pic:nvPicPr>
                  <pic:blipFill>
                    <a:blip r:embed="rId22"/>
                    <a:stretch>
                      <a:fillRect/>
                    </a:stretch>
                  </pic:blipFill>
                  <pic:spPr bwMode="auto">
                    <a:xfrm>
                      <a:off x="0" y="0"/>
                      <a:ext cx="6949440" cy="5484495"/>
                    </a:xfrm>
                    <a:prstGeom prst="rect">
                      <a:avLst/>
                    </a:prstGeom>
                    <a:noFill/>
                  </pic:spPr>
                </pic:pic>
              </a:graphicData>
            </a:graphic>
          </wp:inline>
        </w:drawing>
      </w:r>
    </w:p>
    <w:p w:rsidR="004E4A3C" w:rsidRDefault="00FD7157">
      <w:r>
        <w:br w:type="page"/>
      </w:r>
    </w:p>
    <w:p w:rsidR="004E4A3C" w:rsidRDefault="00FD7157">
      <w:pPr>
        <w:keepNext/>
        <w:keepLines/>
        <w:spacing w:after="40"/>
        <w:jc w:val="center"/>
      </w:pPr>
      <w:r>
        <w:rPr>
          <w:i/>
          <w:color w:val="495057"/>
        </w:rPr>
        <w:lastRenderedPageBreak/>
        <w:t>Slika P3-8. Scenario S4 - Lnight</w:t>
      </w:r>
    </w:p>
    <w:p w:rsidR="004E4A3C" w:rsidRDefault="00FD7157">
      <w:pPr>
        <w:jc w:val="center"/>
      </w:pPr>
      <w:r>
        <w:rPr>
          <w:noProof/>
        </w:rPr>
        <w:drawing>
          <wp:inline distT="0" distB="0" distL="0" distR="0">
            <wp:extent cx="6949440" cy="5484495"/>
            <wp:effectExtent l="0" t="0" r="0" b="0"/>
            <wp:docPr id="9" name="Picture 962533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62533592"/>
                    <pic:cNvPicPr>
                      <a:picLocks noChangeAspect="1" noChangeArrowheads="1"/>
                    </pic:cNvPicPr>
                  </pic:nvPicPr>
                  <pic:blipFill>
                    <a:blip r:embed="rId23"/>
                    <a:stretch>
                      <a:fillRect/>
                    </a:stretch>
                  </pic:blipFill>
                  <pic:spPr bwMode="auto">
                    <a:xfrm>
                      <a:off x="0" y="0"/>
                      <a:ext cx="6949440" cy="5484495"/>
                    </a:xfrm>
                    <a:prstGeom prst="rect">
                      <a:avLst/>
                    </a:prstGeom>
                    <a:noFill/>
                  </pic:spPr>
                </pic:pic>
              </a:graphicData>
            </a:graphic>
          </wp:inline>
        </w:drawing>
      </w:r>
    </w:p>
    <w:sectPr w:rsidR="004E4A3C">
      <w:headerReference w:type="even" r:id="rId24"/>
      <w:headerReference w:type="default" r:id="rId25"/>
      <w:footerReference w:type="even" r:id="rId26"/>
      <w:footerReference w:type="default" r:id="rId27"/>
      <w:headerReference w:type="first" r:id="rId28"/>
      <w:footerReference w:type="first" r:id="rId29"/>
      <w:pgSz w:w="15840" w:h="12240" w:orient="landscape"/>
      <w:pgMar w:top="777" w:right="567" w:bottom="777" w:left="567"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157" w:rsidRDefault="00FD7157">
      <w:pPr>
        <w:spacing w:after="0" w:line="240" w:lineRule="auto"/>
      </w:pPr>
      <w:r>
        <w:separator/>
      </w:r>
    </w:p>
  </w:endnote>
  <w:endnote w:type="continuationSeparator" w:id="0">
    <w:p w:rsidR="00FD7157" w:rsidRDefault="00FD7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C" w:rsidRDefault="00FD7157">
    <w:pPr>
      <w:jc w:val="right"/>
    </w:pPr>
    <w:r>
      <w:rPr>
        <w:sz w:val="18"/>
      </w:rPr>
      <w:t xml:space="preserve">Strana </w:t>
    </w:r>
    <w:r>
      <w:rPr>
        <w:sz w:val="18"/>
      </w:rPr>
      <w:fldChar w:fldCharType="begin"/>
    </w:r>
    <w:r>
      <w:rPr>
        <w:sz w:val="18"/>
      </w:rPr>
      <w:instrText xml:space="preserve"> PAGE </w:instrText>
    </w:r>
    <w:r>
      <w:rPr>
        <w:sz w:val="18"/>
      </w:rPr>
      <w:fldChar w:fldCharType="separate"/>
    </w:r>
    <w:r>
      <w:rPr>
        <w:sz w:val="18"/>
      </w:rPr>
      <w:t>0</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C" w:rsidRDefault="00FD7157">
    <w:pPr>
      <w:jc w:val="right"/>
    </w:pPr>
    <w:r>
      <w:rPr>
        <w:sz w:val="18"/>
      </w:rPr>
      <w:t xml:space="preserve">Strana </w:t>
    </w:r>
    <w:r>
      <w:rPr>
        <w:sz w:val="18"/>
      </w:rPr>
      <w:fldChar w:fldCharType="begin"/>
    </w:r>
    <w:r>
      <w:rPr>
        <w:sz w:val="18"/>
      </w:rPr>
      <w:instrText xml:space="preserve"> PAGE </w:instrText>
    </w:r>
    <w:r>
      <w:rPr>
        <w:sz w:val="18"/>
      </w:rPr>
      <w:fldChar w:fldCharType="separate"/>
    </w:r>
    <w:r>
      <w:rPr>
        <w:sz w:val="18"/>
      </w:rPr>
      <w:t>36</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C" w:rsidRDefault="00FD7157">
    <w:pPr>
      <w:jc w:val="right"/>
    </w:pPr>
    <w:r>
      <w:rPr>
        <w:sz w:val="18"/>
      </w:rPr>
      <w:t xml:space="preserve">Strana </w:t>
    </w:r>
    <w:r>
      <w:rPr>
        <w:sz w:val="18"/>
      </w:rPr>
      <w:fldChar w:fldCharType="begin"/>
    </w:r>
    <w:r>
      <w:rPr>
        <w:sz w:val="18"/>
      </w:rPr>
      <w:instrText xml:space="preserve"> PAGE </w:instrText>
    </w:r>
    <w:r>
      <w:rPr>
        <w:sz w:val="18"/>
      </w:rPr>
      <w:fldChar w:fldCharType="separate"/>
    </w:r>
    <w:r>
      <w:rPr>
        <w:sz w:val="18"/>
      </w:rPr>
      <w:t>36</w:t>
    </w:r>
    <w:r>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C" w:rsidRDefault="00FD7157">
    <w:pPr>
      <w:jc w:val="right"/>
    </w:pPr>
    <w:r>
      <w:rPr>
        <w:sz w:val="18"/>
      </w:rPr>
      <w:t xml:space="preserve">Strana </w:t>
    </w:r>
    <w:r>
      <w:rPr>
        <w:sz w:val="18"/>
      </w:rPr>
      <w:fldChar w:fldCharType="begin"/>
    </w:r>
    <w:r>
      <w:rPr>
        <w:sz w:val="18"/>
      </w:rPr>
      <w:instrText xml:space="preserve"> PAGE </w:instrText>
    </w:r>
    <w:r>
      <w:rPr>
        <w:sz w:val="18"/>
      </w:rPr>
      <w:fldChar w:fldCharType="separate"/>
    </w:r>
    <w:r>
      <w:rPr>
        <w:sz w:val="18"/>
      </w:rPr>
      <w:t>0</w:t>
    </w:r>
    <w:r>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C" w:rsidRDefault="00FD7157">
    <w:pPr>
      <w:jc w:val="right"/>
    </w:pPr>
    <w:r>
      <w:rPr>
        <w:sz w:val="18"/>
      </w:rPr>
      <w:t xml:space="preserve">Strana </w:t>
    </w:r>
    <w:r>
      <w:rPr>
        <w:sz w:val="18"/>
      </w:rPr>
      <w:fldChar w:fldCharType="begin"/>
    </w:r>
    <w:r>
      <w:rPr>
        <w:sz w:val="18"/>
      </w:rPr>
      <w:instrText xml:space="preserve"> PAGE </w:instrText>
    </w:r>
    <w:r>
      <w:rPr>
        <w:sz w:val="18"/>
      </w:rPr>
      <w:fldChar w:fldCharType="separate"/>
    </w:r>
    <w:r>
      <w:rPr>
        <w:sz w:val="18"/>
      </w:rPr>
      <w:t>45</w:t>
    </w:r>
    <w:r>
      <w:rPr>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C" w:rsidRDefault="00FD7157">
    <w:pPr>
      <w:jc w:val="right"/>
    </w:pPr>
    <w:r>
      <w:rPr>
        <w:sz w:val="18"/>
      </w:rPr>
      <w:t xml:space="preserve">Strana </w:t>
    </w:r>
    <w:r>
      <w:rPr>
        <w:sz w:val="18"/>
      </w:rPr>
      <w:fldChar w:fldCharType="begin"/>
    </w:r>
    <w:r>
      <w:rPr>
        <w:sz w:val="18"/>
      </w:rPr>
      <w:instrText xml:space="preserve"> PAGE </w:instrText>
    </w:r>
    <w:r>
      <w:rPr>
        <w:sz w:val="18"/>
      </w:rPr>
      <w:fldChar w:fldCharType="separate"/>
    </w:r>
    <w:r>
      <w:rPr>
        <w:sz w:val="18"/>
      </w:rPr>
      <w:t>45</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157" w:rsidRDefault="00FD7157">
      <w:pPr>
        <w:spacing w:after="0" w:line="240" w:lineRule="auto"/>
      </w:pPr>
      <w:r>
        <w:separator/>
      </w:r>
    </w:p>
  </w:footnote>
  <w:footnote w:type="continuationSeparator" w:id="0">
    <w:p w:rsidR="00FD7157" w:rsidRDefault="00FD7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C" w:rsidRDefault="004E4A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C" w:rsidRDefault="00FD7157">
    <w:pPr>
      <w:pStyle w:val="Header"/>
      <w:jc w:val="right"/>
    </w:pPr>
    <w:r>
      <w:rPr>
        <w:sz w:val="16"/>
      </w:rPr>
      <w:t>Akcioni plan zaštite od buke – R-23 Spuž Vranjske Njive</w:t>
    </w:r>
  </w:p>
  <w:p w:rsidR="004E4A3C" w:rsidRDefault="004E4A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C" w:rsidRDefault="00FD7157">
    <w:pPr>
      <w:pStyle w:val="Header"/>
      <w:jc w:val="right"/>
    </w:pPr>
    <w:r>
      <w:rPr>
        <w:sz w:val="16"/>
      </w:rPr>
      <w:t>Akcioni plan zaštite od buke – R-23 Spuž Vranjske Njive</w:t>
    </w:r>
  </w:p>
  <w:p w:rsidR="004E4A3C" w:rsidRDefault="004E4A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C" w:rsidRDefault="004E4A3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C" w:rsidRDefault="00FD7157">
    <w:pPr>
      <w:pStyle w:val="Header"/>
      <w:jc w:val="center"/>
    </w:pPr>
    <w:r>
      <w:rPr>
        <w:color w:val="646464"/>
        <w:sz w:val="18"/>
      </w:rPr>
      <w:t>AP zaštite od buke - R-23 Spuž–Vranjske Njive | Kartografski prilozi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C" w:rsidRDefault="00FD7157">
    <w:pPr>
      <w:pStyle w:val="Header"/>
      <w:jc w:val="center"/>
    </w:pPr>
    <w:r>
      <w:rPr>
        <w:color w:val="646464"/>
        <w:sz w:val="18"/>
      </w:rPr>
      <w:t xml:space="preserve">AP zaštite od buke - R-23 </w:t>
    </w:r>
    <w:r>
      <w:rPr>
        <w:color w:val="646464"/>
        <w:sz w:val="18"/>
      </w:rPr>
      <w:t>Spuž–Vranjske Njive | Kartografski prilozi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EF9"/>
    <w:multiLevelType w:val="multilevel"/>
    <w:tmpl w:val="BB46E83E"/>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2B0965"/>
    <w:multiLevelType w:val="multilevel"/>
    <w:tmpl w:val="54943AD0"/>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E782703"/>
    <w:multiLevelType w:val="multilevel"/>
    <w:tmpl w:val="94F4DC42"/>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1815EC8"/>
    <w:multiLevelType w:val="multilevel"/>
    <w:tmpl w:val="E6D2CD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55C364D"/>
    <w:multiLevelType w:val="multilevel"/>
    <w:tmpl w:val="C60C56E4"/>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29576D1"/>
    <w:multiLevelType w:val="multilevel"/>
    <w:tmpl w:val="0D827928"/>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AC95037"/>
    <w:multiLevelType w:val="multilevel"/>
    <w:tmpl w:val="3474C22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2"/>
  </w:num>
  <w:num w:numId="3">
    <w:abstractNumId w:val="4"/>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A3C"/>
    <w:rsid w:val="004E4A3C"/>
    <w:rsid w:val="008148F0"/>
    <w:rsid w:val="00FD7157"/>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404C8E-FBA7-4661-967B-A853952C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200" w:line="276" w:lineRule="auto"/>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basedOn w:val="DefaultParagraphFont"/>
    <w:uiPriority w:val="99"/>
    <w:unhideWhenUsed/>
    <w:rsid w:val="005E2009"/>
    <w:rPr>
      <w:color w:val="0000FF" w:themeColor="hyperlink"/>
      <w:u w:val="single"/>
    </w:rPr>
  </w:style>
  <w:style w:type="character" w:styleId="UnresolvedMention">
    <w:name w:val="Unresolved Mention"/>
    <w:basedOn w:val="DefaultParagraphFont"/>
    <w:uiPriority w:val="99"/>
    <w:semiHidden/>
    <w:unhideWhenUsed/>
    <w:qFormat/>
    <w:rsid w:val="005E2009"/>
    <w:rPr>
      <w:color w:val="605E5C"/>
      <w:shd w:val="clear" w:color="auto" w:fill="E1DFDD"/>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99"/>
    <w:unhideWhenUsed/>
    <w:rsid w:val="00AA1D8D"/>
    <w:pPr>
      <w:spacing w:after="120"/>
    </w:pPr>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after="120" w:line="480" w:lineRule="auto"/>
    </w:pPr>
  </w:style>
  <w:style w:type="paragraph" w:styleId="BodyText3">
    <w:name w:val="Body Text 3"/>
    <w:basedOn w:val="Normal"/>
    <w:link w:val="BodyText3Char"/>
    <w:uiPriority w:val="99"/>
    <w:unhideWhenUsed/>
    <w:qFormat/>
    <w:rsid w:val="00AA1D8D"/>
    <w:pPr>
      <w:spacing w:after="120"/>
    </w:pPr>
    <w:rPr>
      <w:sz w:val="16"/>
      <w:szCs w:val="16"/>
    </w:rPr>
  </w:style>
  <w:style w:type="paragraph" w:styleId="List2">
    <w:name w:val="List 2"/>
    <w:basedOn w:val="Normal"/>
    <w:uiPriority w:val="99"/>
    <w:unhideWhenUsed/>
    <w:qFormat/>
    <w:rsid w:val="00326F90"/>
    <w:pPr>
      <w:ind w:left="720" w:hanging="360"/>
      <w:contextualSpacing/>
    </w:pPr>
  </w:style>
  <w:style w:type="paragraph" w:styleId="List3">
    <w:name w:val="List 3"/>
    <w:basedOn w:val="Normal"/>
    <w:uiPriority w:val="99"/>
    <w:unhideWhenUsed/>
    <w:qFormat/>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uiPriority w:val="39"/>
    <w:unhideWhenUsed/>
    <w:qFormat/>
    <w:rsid w:val="00FC693F"/>
    <w:pPr>
      <w:outlineLvl w:val="9"/>
    </w:pPr>
  </w:style>
  <w:style w:type="paragraph" w:styleId="TOC1">
    <w:name w:val="toc 1"/>
    <w:basedOn w:val="Normal"/>
    <w:next w:val="Normal"/>
    <w:autoRedefine/>
    <w:uiPriority w:val="39"/>
    <w:unhideWhenUsed/>
    <w:rsid w:val="005E2009"/>
    <w:pPr>
      <w:spacing w:after="100"/>
    </w:pPr>
  </w:style>
  <w:style w:type="paragraph" w:styleId="TOC2">
    <w:name w:val="toc 2"/>
    <w:basedOn w:val="Normal"/>
    <w:next w:val="Normal"/>
    <w:autoRedefine/>
    <w:uiPriority w:val="39"/>
    <w:unhideWhenUsed/>
    <w:rsid w:val="005E2009"/>
    <w:pPr>
      <w:spacing w:after="100"/>
      <w:ind w:left="200"/>
    </w:pPr>
  </w:style>
  <w:style w:type="paragraph" w:styleId="TOC3">
    <w:name w:val="toc 3"/>
    <w:basedOn w:val="Normal"/>
    <w:next w:val="Normal"/>
    <w:autoRedefine/>
    <w:uiPriority w:val="39"/>
    <w:unhideWhenUsed/>
    <w:rsid w:val="005E2009"/>
    <w:pPr>
      <w:spacing w:after="100"/>
      <w:ind w:left="400"/>
    </w:pPr>
  </w:style>
  <w:style w:type="paragraph" w:styleId="TOC4">
    <w:name w:val="toc 4"/>
    <w:basedOn w:val="Normal"/>
    <w:next w:val="Normal"/>
    <w:autoRedefine/>
    <w:uiPriority w:val="39"/>
    <w:unhideWhenUsed/>
    <w:rsid w:val="005E2009"/>
    <w:pPr>
      <w:spacing w:after="100" w:line="278" w:lineRule="auto"/>
      <w:ind w:left="720"/>
    </w:pPr>
    <w:rPr>
      <w:rFonts w:asciiTheme="minorHAnsi" w:eastAsiaTheme="minorEastAsia" w:hAnsiTheme="minorHAnsi"/>
      <w:kern w:val="2"/>
      <w:sz w:val="24"/>
      <w:szCs w:val="24"/>
      <w:lang w:val="sr-Latn-ME" w:eastAsia="sr-Latn-ME"/>
      <w14:ligatures w14:val="standardContextual"/>
    </w:rPr>
  </w:style>
  <w:style w:type="paragraph" w:styleId="TOC5">
    <w:name w:val="toc 5"/>
    <w:basedOn w:val="Normal"/>
    <w:next w:val="Normal"/>
    <w:autoRedefine/>
    <w:uiPriority w:val="39"/>
    <w:unhideWhenUsed/>
    <w:rsid w:val="005E2009"/>
    <w:pPr>
      <w:spacing w:after="100" w:line="278" w:lineRule="auto"/>
      <w:ind w:left="960"/>
    </w:pPr>
    <w:rPr>
      <w:rFonts w:asciiTheme="minorHAnsi" w:eastAsiaTheme="minorEastAsia" w:hAnsiTheme="minorHAnsi"/>
      <w:kern w:val="2"/>
      <w:sz w:val="24"/>
      <w:szCs w:val="24"/>
      <w:lang w:val="sr-Latn-ME" w:eastAsia="sr-Latn-ME"/>
      <w14:ligatures w14:val="standardContextual"/>
    </w:rPr>
  </w:style>
  <w:style w:type="paragraph" w:styleId="TOC6">
    <w:name w:val="toc 6"/>
    <w:basedOn w:val="Normal"/>
    <w:next w:val="Normal"/>
    <w:autoRedefine/>
    <w:uiPriority w:val="39"/>
    <w:unhideWhenUsed/>
    <w:rsid w:val="005E2009"/>
    <w:pPr>
      <w:spacing w:after="100" w:line="278" w:lineRule="auto"/>
      <w:ind w:left="1200"/>
    </w:pPr>
    <w:rPr>
      <w:rFonts w:asciiTheme="minorHAnsi" w:eastAsiaTheme="minorEastAsia" w:hAnsiTheme="minorHAnsi"/>
      <w:kern w:val="2"/>
      <w:sz w:val="24"/>
      <w:szCs w:val="24"/>
      <w:lang w:val="sr-Latn-ME" w:eastAsia="sr-Latn-ME"/>
      <w14:ligatures w14:val="standardContextual"/>
    </w:rPr>
  </w:style>
  <w:style w:type="paragraph" w:styleId="TOC7">
    <w:name w:val="toc 7"/>
    <w:basedOn w:val="Normal"/>
    <w:next w:val="Normal"/>
    <w:autoRedefine/>
    <w:uiPriority w:val="39"/>
    <w:unhideWhenUsed/>
    <w:rsid w:val="005E2009"/>
    <w:pPr>
      <w:spacing w:after="100" w:line="278" w:lineRule="auto"/>
      <w:ind w:left="1440"/>
    </w:pPr>
    <w:rPr>
      <w:rFonts w:asciiTheme="minorHAnsi" w:eastAsiaTheme="minorEastAsia" w:hAnsiTheme="minorHAnsi"/>
      <w:kern w:val="2"/>
      <w:sz w:val="24"/>
      <w:szCs w:val="24"/>
      <w:lang w:val="sr-Latn-ME" w:eastAsia="sr-Latn-ME"/>
      <w14:ligatures w14:val="standardContextual"/>
    </w:rPr>
  </w:style>
  <w:style w:type="paragraph" w:styleId="TOC8">
    <w:name w:val="toc 8"/>
    <w:basedOn w:val="Normal"/>
    <w:next w:val="Normal"/>
    <w:autoRedefine/>
    <w:uiPriority w:val="39"/>
    <w:unhideWhenUsed/>
    <w:rsid w:val="005E2009"/>
    <w:pPr>
      <w:spacing w:after="100" w:line="278" w:lineRule="auto"/>
      <w:ind w:left="1680"/>
    </w:pPr>
    <w:rPr>
      <w:rFonts w:asciiTheme="minorHAnsi" w:eastAsiaTheme="minorEastAsia" w:hAnsiTheme="minorHAnsi"/>
      <w:kern w:val="2"/>
      <w:sz w:val="24"/>
      <w:szCs w:val="24"/>
      <w:lang w:val="sr-Latn-ME" w:eastAsia="sr-Latn-ME"/>
      <w14:ligatures w14:val="standardContextual"/>
    </w:rPr>
  </w:style>
  <w:style w:type="paragraph" w:styleId="TOC9">
    <w:name w:val="toc 9"/>
    <w:basedOn w:val="Normal"/>
    <w:next w:val="Normal"/>
    <w:autoRedefine/>
    <w:uiPriority w:val="39"/>
    <w:unhideWhenUsed/>
    <w:rsid w:val="005E2009"/>
    <w:pPr>
      <w:spacing w:after="100" w:line="278" w:lineRule="auto"/>
      <w:ind w:left="1920"/>
    </w:pPr>
    <w:rPr>
      <w:rFonts w:asciiTheme="minorHAnsi" w:eastAsiaTheme="minorEastAsia" w:hAnsiTheme="minorHAnsi"/>
      <w:kern w:val="2"/>
      <w:sz w:val="24"/>
      <w:szCs w:val="24"/>
      <w:lang w:val="sr-Latn-ME" w:eastAsia="sr-Latn-ME"/>
      <w14:ligatures w14:val="standardContextual"/>
    </w:r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eg"/><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456A4-FE81-4D96-8A27-2EA337170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14257</Words>
  <Characters>81265</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Cvijovic</dc:creator>
  <cp:lastModifiedBy>Ivan Cvijovic</cp:lastModifiedBy>
  <cp:revision>2</cp:revision>
  <dcterms:created xsi:type="dcterms:W3CDTF">2026-07-03T05:54:00Z</dcterms:created>
  <dcterms:modified xsi:type="dcterms:W3CDTF">2026-07-03T05:54:00Z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Nacrt za javnu raspravu</cp:category>
  <dcterms:created xsi:type="dcterms:W3CDTF">2013-12-23T23:15:00Z</dcterms:created>
  <dc:creator>WINsoft d.o.o. Podgorica</dc:creator>
  <dc:description>Zaključen nacrt za javnu raspravu, 08.06.2026.</dc:description>
  <cp:keywords>buka akcioni plan R-23 Spuž Vranjske Njive S0 S1 S3 S4 CNOSSOS CadnaA Building Evaluation</cp:keywords>
  <dc:language>en-US</dc:language>
  <cp:lastModifiedBy/>
  <dcterms:modified xsi:type="dcterms:W3CDTF">2026-06-30T13:55:55Z</dcterms:modified>
  <cp:revision>28</cp:revision>
  <dc:subject>Nacrt za javnu raspravu</dc:subject>
  <dc:title>Akcioni plan zaštite od buke u životnoj sredini za regionalni put R-23, dionica Spuž–Vranjske Njive</dc:title>
</cp:coreProperties>
</file>