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E6CA1CC" w14:textId="373CBB64" w:rsidR="00DE1B11" w:rsidRPr="00451F6C" w:rsidRDefault="00DE1B11" w:rsidP="00DE1B11">
      <w:pPr>
        <w:pStyle w:val="Title"/>
        <w:rPr>
          <w:rFonts w:eastAsiaTheme="majorEastAsia" w:cstheme="majorBidi"/>
        </w:rPr>
      </w:pPr>
      <w:r w:rsidRPr="00451F6C">
        <w:rPr>
          <w:lang w:val="sr-Latn-ME" w:eastAsia="sr-Latn-ME"/>
        </w:rPr>
        <mc:AlternateContent>
          <mc:Choice Requires="wps">
            <w:drawing>
              <wp:anchor distT="0" distB="0" distL="114300" distR="114300" simplePos="0" relativeHeight="251659264" behindDoc="0" locked="0" layoutInCell="1" allowOverlap="1" wp14:anchorId="4B24A5B2" wp14:editId="2FEDC05F">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DED2D"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rPr>
          <w:lang w:val="sr-Latn-ME" w:eastAsia="sr-Latn-ME"/>
        </w:rPr>
        <w:drawing>
          <wp:anchor distT="0" distB="0" distL="114300" distR="114300" simplePos="0" relativeHeight="251660288" behindDoc="0" locked="0" layoutInCell="1" allowOverlap="1" wp14:anchorId="7EEDC1EB" wp14:editId="0235607E">
            <wp:simplePos x="0" y="0"/>
            <wp:positionH relativeFrom="column">
              <wp:posOffset>-16510</wp:posOffset>
            </wp:positionH>
            <wp:positionV relativeFrom="paragraph">
              <wp:posOffset>57150</wp:posOffset>
            </wp:positionV>
            <wp:extent cx="539115"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288818D4" w14:textId="77777777" w:rsidR="00DE1B11" w:rsidRDefault="00DE1B11" w:rsidP="00DE1B11">
      <w:pPr>
        <w:pStyle w:val="Title"/>
        <w:spacing w:after="0"/>
      </w:pPr>
      <w:r>
        <w:t>Ministarstvo prosvjete, nauke, kulture i sporta</w:t>
      </w:r>
    </w:p>
    <w:p w14:paraId="2508FF91" w14:textId="21329A1B" w:rsidR="00566A90" w:rsidRPr="00B35962" w:rsidRDefault="00566A90" w:rsidP="00550D6C">
      <w:pPr>
        <w:jc w:val="center"/>
        <w:rPr>
          <w:b/>
          <w:bCs/>
          <w:sz w:val="28"/>
          <w:szCs w:val="20"/>
          <w:lang w:val="sr-Latn-ME"/>
        </w:rPr>
      </w:pPr>
    </w:p>
    <w:p w14:paraId="65411EB4" w14:textId="77777777" w:rsidR="00566A90" w:rsidRPr="00B35962" w:rsidRDefault="00566A90" w:rsidP="00550D6C">
      <w:pPr>
        <w:jc w:val="center"/>
        <w:rPr>
          <w:b/>
          <w:bCs/>
          <w:sz w:val="28"/>
          <w:szCs w:val="20"/>
          <w:lang w:val="sr-Latn-ME"/>
        </w:rPr>
      </w:pPr>
    </w:p>
    <w:p w14:paraId="0E43C376" w14:textId="77777777" w:rsidR="00566A90" w:rsidRPr="00B35962" w:rsidRDefault="00566A90" w:rsidP="00550D6C">
      <w:pPr>
        <w:jc w:val="center"/>
        <w:rPr>
          <w:b/>
          <w:bCs/>
          <w:sz w:val="28"/>
          <w:szCs w:val="20"/>
          <w:lang w:val="sr-Latn-ME"/>
        </w:rPr>
      </w:pPr>
    </w:p>
    <w:p w14:paraId="58AE3C6A" w14:textId="77777777" w:rsidR="00566A90" w:rsidRPr="00B35962" w:rsidRDefault="00566A90" w:rsidP="00550D6C">
      <w:pPr>
        <w:jc w:val="center"/>
        <w:rPr>
          <w:b/>
          <w:bCs/>
          <w:sz w:val="28"/>
          <w:szCs w:val="20"/>
          <w:lang w:val="sr-Latn-ME"/>
        </w:rPr>
      </w:pPr>
    </w:p>
    <w:p w14:paraId="2F509157" w14:textId="77777777" w:rsidR="00566A90" w:rsidRPr="00B35962" w:rsidRDefault="00566A90" w:rsidP="00550D6C">
      <w:pPr>
        <w:jc w:val="center"/>
        <w:rPr>
          <w:b/>
          <w:bCs/>
          <w:sz w:val="28"/>
          <w:szCs w:val="20"/>
          <w:lang w:val="sr-Latn-ME"/>
        </w:rPr>
      </w:pPr>
    </w:p>
    <w:p w14:paraId="40E4807C" w14:textId="77777777" w:rsidR="00566A90" w:rsidRPr="00B35962" w:rsidRDefault="00566A90" w:rsidP="00550D6C">
      <w:pPr>
        <w:jc w:val="center"/>
        <w:rPr>
          <w:b/>
          <w:bCs/>
          <w:sz w:val="28"/>
          <w:szCs w:val="20"/>
          <w:lang w:val="sr-Latn-ME"/>
        </w:rPr>
      </w:pPr>
    </w:p>
    <w:p w14:paraId="1921F2A3" w14:textId="77777777" w:rsidR="00566A90" w:rsidRPr="00B35962" w:rsidRDefault="00566A90" w:rsidP="00550D6C">
      <w:pPr>
        <w:jc w:val="center"/>
        <w:rPr>
          <w:b/>
          <w:bCs/>
          <w:sz w:val="28"/>
          <w:szCs w:val="20"/>
          <w:lang w:val="sr-Latn-ME"/>
        </w:rPr>
      </w:pPr>
    </w:p>
    <w:p w14:paraId="466605AC" w14:textId="77777777" w:rsidR="00566A90" w:rsidRPr="00B35962" w:rsidRDefault="00566A90" w:rsidP="00550D6C">
      <w:pPr>
        <w:jc w:val="center"/>
        <w:rPr>
          <w:b/>
          <w:bCs/>
          <w:sz w:val="28"/>
          <w:szCs w:val="20"/>
          <w:lang w:val="sr-Latn-ME"/>
        </w:rPr>
      </w:pPr>
    </w:p>
    <w:p w14:paraId="52F462A3" w14:textId="47BE7AF4" w:rsidR="00566A90" w:rsidRDefault="00566A90" w:rsidP="00550D6C">
      <w:pPr>
        <w:jc w:val="center"/>
        <w:rPr>
          <w:b/>
          <w:bCs/>
          <w:sz w:val="28"/>
          <w:szCs w:val="20"/>
          <w:lang w:val="sr-Latn-ME"/>
        </w:rPr>
      </w:pPr>
    </w:p>
    <w:p w14:paraId="717FB788" w14:textId="6B44870C" w:rsidR="00CE3BD0" w:rsidRDefault="00CE3BD0" w:rsidP="00550D6C">
      <w:pPr>
        <w:jc w:val="center"/>
        <w:rPr>
          <w:b/>
          <w:bCs/>
          <w:sz w:val="28"/>
          <w:szCs w:val="20"/>
          <w:lang w:val="sr-Latn-ME"/>
        </w:rPr>
      </w:pPr>
    </w:p>
    <w:p w14:paraId="3EFDD610" w14:textId="0B2DE290" w:rsidR="00CE3BD0" w:rsidRDefault="00CE3BD0" w:rsidP="00550D6C">
      <w:pPr>
        <w:jc w:val="center"/>
        <w:rPr>
          <w:b/>
          <w:bCs/>
          <w:sz w:val="28"/>
          <w:szCs w:val="20"/>
          <w:lang w:val="sr-Latn-ME"/>
        </w:rPr>
      </w:pPr>
    </w:p>
    <w:p w14:paraId="7A59551F" w14:textId="3F01FA1A" w:rsidR="00CE3BD0" w:rsidRDefault="00CE3BD0" w:rsidP="00550D6C">
      <w:pPr>
        <w:jc w:val="center"/>
        <w:rPr>
          <w:b/>
          <w:bCs/>
          <w:sz w:val="28"/>
          <w:szCs w:val="20"/>
          <w:lang w:val="sr-Latn-ME"/>
        </w:rPr>
      </w:pPr>
    </w:p>
    <w:p w14:paraId="49E4921C" w14:textId="05AAF190" w:rsidR="00CE3BD0" w:rsidRDefault="00CE3BD0" w:rsidP="00550D6C">
      <w:pPr>
        <w:jc w:val="center"/>
        <w:rPr>
          <w:b/>
          <w:bCs/>
          <w:sz w:val="28"/>
          <w:szCs w:val="20"/>
          <w:lang w:val="sr-Latn-ME"/>
        </w:rPr>
      </w:pPr>
    </w:p>
    <w:p w14:paraId="0A01CA14" w14:textId="76F164C3" w:rsidR="00CE3BD0" w:rsidRDefault="00CE3BD0" w:rsidP="00550D6C">
      <w:pPr>
        <w:jc w:val="center"/>
        <w:rPr>
          <w:b/>
          <w:bCs/>
          <w:sz w:val="28"/>
          <w:szCs w:val="20"/>
          <w:lang w:val="sr-Latn-ME"/>
        </w:rPr>
      </w:pPr>
    </w:p>
    <w:p w14:paraId="25B37631" w14:textId="77777777" w:rsidR="00CE3BD0" w:rsidRPr="00B35962" w:rsidRDefault="00CE3BD0" w:rsidP="00550D6C">
      <w:pPr>
        <w:jc w:val="center"/>
        <w:rPr>
          <w:b/>
          <w:bCs/>
          <w:sz w:val="28"/>
          <w:szCs w:val="20"/>
          <w:lang w:val="sr-Latn-ME"/>
        </w:rPr>
      </w:pPr>
    </w:p>
    <w:p w14:paraId="0478E82D" w14:textId="77777777" w:rsidR="00566A90" w:rsidRPr="00B35962" w:rsidRDefault="00566A90" w:rsidP="00550D6C">
      <w:pPr>
        <w:jc w:val="center"/>
        <w:rPr>
          <w:b/>
          <w:bCs/>
          <w:sz w:val="28"/>
          <w:szCs w:val="20"/>
          <w:lang w:val="sr-Latn-ME"/>
        </w:rPr>
      </w:pPr>
    </w:p>
    <w:p w14:paraId="2D6FBB79" w14:textId="54369B65" w:rsidR="00D7566A" w:rsidRPr="00B35962" w:rsidRDefault="00550D6C" w:rsidP="00550D6C">
      <w:pPr>
        <w:jc w:val="center"/>
        <w:rPr>
          <w:b/>
          <w:bCs/>
          <w:color w:val="0070C0"/>
          <w:sz w:val="28"/>
          <w:szCs w:val="20"/>
          <w:lang w:val="sr-Latn-ME"/>
        </w:rPr>
      </w:pPr>
      <w:r w:rsidRPr="00B35962">
        <w:rPr>
          <w:b/>
          <w:bCs/>
          <w:color w:val="0070C0"/>
          <w:sz w:val="28"/>
          <w:szCs w:val="20"/>
          <w:lang w:val="sr-Latn-ME"/>
        </w:rPr>
        <w:t>STRATEGIJA RANOG I PREDŠK</w:t>
      </w:r>
      <w:r w:rsidR="00F24D1D" w:rsidRPr="00B35962">
        <w:rPr>
          <w:b/>
          <w:bCs/>
          <w:color w:val="0070C0"/>
          <w:sz w:val="28"/>
          <w:szCs w:val="20"/>
          <w:lang w:val="sr-Latn-ME"/>
        </w:rPr>
        <w:t>O</w:t>
      </w:r>
      <w:r w:rsidRPr="00B35962">
        <w:rPr>
          <w:b/>
          <w:bCs/>
          <w:color w:val="0070C0"/>
          <w:sz w:val="28"/>
          <w:szCs w:val="20"/>
          <w:lang w:val="sr-Latn-ME"/>
        </w:rPr>
        <w:t>LSKOG VASPITANJA I OBRAZOVANJA U CRNOJ GORI 2021-202</w:t>
      </w:r>
      <w:r w:rsidR="00C26510" w:rsidRPr="00B35962">
        <w:rPr>
          <w:b/>
          <w:bCs/>
          <w:color w:val="0070C0"/>
          <w:sz w:val="28"/>
          <w:szCs w:val="20"/>
          <w:lang w:val="sr-Latn-ME"/>
        </w:rPr>
        <w:t>5</w:t>
      </w:r>
    </w:p>
    <w:p w14:paraId="3277E27B" w14:textId="77777777" w:rsidR="00550D6C" w:rsidRPr="00B35962" w:rsidRDefault="00550D6C">
      <w:pPr>
        <w:rPr>
          <w:lang w:val="sr-Latn-ME"/>
        </w:rPr>
      </w:pPr>
    </w:p>
    <w:p w14:paraId="3C385423" w14:textId="77777777" w:rsidR="006B7669" w:rsidRPr="00B35962" w:rsidRDefault="00550D6C" w:rsidP="006B7669">
      <w:pPr>
        <w:spacing w:after="160"/>
        <w:ind w:firstLine="0"/>
        <w:rPr>
          <w:lang w:val="sr-Latn-ME"/>
        </w:rPr>
      </w:pPr>
      <w:r w:rsidRPr="00B35962">
        <w:rPr>
          <w:lang w:val="sr-Latn-ME"/>
        </w:rPr>
        <w:br w:type="page"/>
      </w:r>
    </w:p>
    <w:p w14:paraId="5800992E" w14:textId="77777777" w:rsidR="00D061FA" w:rsidRPr="00B35962" w:rsidRDefault="00D061FA" w:rsidP="00D061FA">
      <w:pPr>
        <w:rPr>
          <w:b/>
          <w:color w:val="0070C0"/>
          <w:lang w:val="sr-Latn-ME"/>
        </w:rPr>
      </w:pPr>
      <w:r w:rsidRPr="00B35962">
        <w:rPr>
          <w:b/>
          <w:color w:val="0070C0"/>
          <w:lang w:val="sr-Latn-ME"/>
        </w:rPr>
        <w:lastRenderedPageBreak/>
        <w:t>Sadržaj</w:t>
      </w:r>
    </w:p>
    <w:sdt>
      <w:sdtPr>
        <w:rPr>
          <w:rFonts w:ascii="Times New Roman" w:eastAsiaTheme="minorHAnsi" w:hAnsi="Times New Roman" w:cs="Times New Roman"/>
          <w:color w:val="auto"/>
          <w:sz w:val="24"/>
          <w:szCs w:val="16"/>
          <w:lang w:val="sr-Latn-ME"/>
        </w:rPr>
        <w:id w:val="-814716116"/>
        <w:docPartObj>
          <w:docPartGallery w:val="Table of Contents"/>
          <w:docPartUnique/>
        </w:docPartObj>
      </w:sdtPr>
      <w:sdtEndPr>
        <w:rPr>
          <w:b/>
          <w:bCs/>
          <w:noProof/>
        </w:rPr>
      </w:sdtEndPr>
      <w:sdtContent>
        <w:p w14:paraId="2A016B14" w14:textId="77777777" w:rsidR="00A5310D" w:rsidRPr="00B35962" w:rsidRDefault="00A5310D">
          <w:pPr>
            <w:pStyle w:val="TOCHeading"/>
            <w:rPr>
              <w:lang w:val="sr-Latn-ME"/>
            </w:rPr>
          </w:pPr>
        </w:p>
        <w:p w14:paraId="2A5E7FF8" w14:textId="77777777" w:rsidR="00571DCC" w:rsidRPr="00B35962" w:rsidRDefault="00A5310D">
          <w:pPr>
            <w:pStyle w:val="TOC1"/>
            <w:tabs>
              <w:tab w:val="right" w:leader="dot" w:pos="9350"/>
            </w:tabs>
            <w:rPr>
              <w:rFonts w:asciiTheme="minorHAnsi" w:eastAsiaTheme="minorEastAsia" w:hAnsiTheme="minorHAnsi" w:cstheme="minorBidi"/>
              <w:noProof/>
              <w:sz w:val="22"/>
              <w:szCs w:val="22"/>
              <w:lang w:val="sr-Latn-ME" w:eastAsia="sr-Latn-ME"/>
            </w:rPr>
          </w:pPr>
          <w:r w:rsidRPr="00B35962">
            <w:rPr>
              <w:b/>
              <w:bCs/>
              <w:noProof/>
              <w:lang w:val="sr-Latn-ME"/>
            </w:rPr>
            <w:fldChar w:fldCharType="begin"/>
          </w:r>
          <w:r w:rsidRPr="00B35962">
            <w:rPr>
              <w:b/>
              <w:bCs/>
              <w:noProof/>
              <w:lang w:val="sr-Latn-ME"/>
            </w:rPr>
            <w:instrText xml:space="preserve"> TOC \o "1-3" \h \z \u </w:instrText>
          </w:r>
          <w:r w:rsidRPr="00B35962">
            <w:rPr>
              <w:b/>
              <w:bCs/>
              <w:noProof/>
              <w:lang w:val="sr-Latn-ME"/>
            </w:rPr>
            <w:fldChar w:fldCharType="separate"/>
          </w:r>
          <w:hyperlink w:anchor="_Toc55295086" w:history="1">
            <w:r w:rsidR="00571DCC" w:rsidRPr="00B35962">
              <w:rPr>
                <w:rStyle w:val="Hyperlink"/>
                <w:noProof/>
                <w:lang w:val="sr-Latn-ME"/>
              </w:rPr>
              <w:t>1. UVOD</w:t>
            </w:r>
            <w:r w:rsidR="00571DCC" w:rsidRPr="00B35962">
              <w:rPr>
                <w:noProof/>
                <w:webHidden/>
                <w:lang w:val="sr-Latn-ME"/>
              </w:rPr>
              <w:tab/>
            </w:r>
            <w:r w:rsidR="00571DCC" w:rsidRPr="00B35962">
              <w:rPr>
                <w:noProof/>
                <w:webHidden/>
                <w:lang w:val="sr-Latn-ME"/>
              </w:rPr>
              <w:fldChar w:fldCharType="begin"/>
            </w:r>
            <w:r w:rsidR="00571DCC" w:rsidRPr="00B35962">
              <w:rPr>
                <w:noProof/>
                <w:webHidden/>
                <w:lang w:val="sr-Latn-ME"/>
              </w:rPr>
              <w:instrText xml:space="preserve"> PAGEREF _Toc55295086 \h </w:instrText>
            </w:r>
            <w:r w:rsidR="00571DCC" w:rsidRPr="00B35962">
              <w:rPr>
                <w:noProof/>
                <w:webHidden/>
                <w:lang w:val="sr-Latn-ME"/>
              </w:rPr>
            </w:r>
            <w:r w:rsidR="00571DCC" w:rsidRPr="00B35962">
              <w:rPr>
                <w:noProof/>
                <w:webHidden/>
                <w:lang w:val="sr-Latn-ME"/>
              </w:rPr>
              <w:fldChar w:fldCharType="separate"/>
            </w:r>
            <w:r w:rsidR="00571DCC" w:rsidRPr="00B35962">
              <w:rPr>
                <w:noProof/>
                <w:webHidden/>
                <w:lang w:val="sr-Latn-ME"/>
              </w:rPr>
              <w:t>4</w:t>
            </w:r>
            <w:r w:rsidR="00571DCC" w:rsidRPr="00B35962">
              <w:rPr>
                <w:noProof/>
                <w:webHidden/>
                <w:lang w:val="sr-Latn-ME"/>
              </w:rPr>
              <w:fldChar w:fldCharType="end"/>
            </w:r>
          </w:hyperlink>
        </w:p>
        <w:p w14:paraId="066026C9" w14:textId="6CD17CF3" w:rsidR="00571DCC" w:rsidRPr="00B35962" w:rsidRDefault="00CA0A28">
          <w:pPr>
            <w:pStyle w:val="TOC1"/>
            <w:tabs>
              <w:tab w:val="right" w:leader="dot" w:pos="9350"/>
            </w:tabs>
            <w:rPr>
              <w:rFonts w:asciiTheme="minorHAnsi" w:eastAsiaTheme="minorEastAsia" w:hAnsiTheme="minorHAnsi" w:cstheme="minorBidi"/>
              <w:noProof/>
              <w:sz w:val="22"/>
              <w:szCs w:val="22"/>
              <w:lang w:val="sr-Latn-ME" w:eastAsia="sr-Latn-ME"/>
            </w:rPr>
          </w:pPr>
          <w:hyperlink w:anchor="_Toc55295087" w:history="1">
            <w:r w:rsidR="00EB7C0D" w:rsidRPr="00B35962">
              <w:rPr>
                <w:rStyle w:val="Hyperlink"/>
                <w:noProof/>
                <w:lang w:val="sr-Latn-ME"/>
              </w:rPr>
              <w:t>2. Analiza stanja</w:t>
            </w:r>
            <w:r w:rsidR="00EB7C0D" w:rsidRPr="00B35962">
              <w:rPr>
                <w:noProof/>
                <w:webHidden/>
                <w:lang w:val="sr-Latn-ME"/>
              </w:rPr>
              <w:tab/>
            </w:r>
            <w:r w:rsidR="00995836" w:rsidRPr="00B35962">
              <w:rPr>
                <w:noProof/>
                <w:webHidden/>
                <w:lang w:val="sr-Latn-ME"/>
              </w:rPr>
              <w:t>8</w:t>
            </w:r>
          </w:hyperlink>
        </w:p>
        <w:p w14:paraId="31BCB0C2" w14:textId="6B4E8709" w:rsidR="00571DCC" w:rsidRPr="00B35962" w:rsidRDefault="00CA0A28">
          <w:pPr>
            <w:pStyle w:val="TOC2"/>
            <w:tabs>
              <w:tab w:val="right" w:leader="dot" w:pos="9350"/>
            </w:tabs>
            <w:rPr>
              <w:rFonts w:asciiTheme="minorHAnsi" w:eastAsiaTheme="minorEastAsia" w:hAnsiTheme="minorHAnsi" w:cstheme="minorBidi"/>
              <w:noProof/>
              <w:sz w:val="22"/>
              <w:szCs w:val="22"/>
              <w:lang w:val="sr-Latn-ME" w:eastAsia="sr-Latn-ME"/>
            </w:rPr>
          </w:pPr>
          <w:hyperlink w:anchor="_Toc55295088" w:history="1">
            <w:r w:rsidR="00571DCC" w:rsidRPr="00B35962">
              <w:rPr>
                <w:rStyle w:val="Hyperlink"/>
                <w:noProof/>
                <w:lang w:val="sr-Latn-ME"/>
              </w:rPr>
              <w:t>2.1. Kapacitet PU i obuhvat djece predškolskog uzrasta</w:t>
            </w:r>
            <w:r w:rsidR="00571DCC" w:rsidRPr="00B35962">
              <w:rPr>
                <w:noProof/>
                <w:webHidden/>
                <w:lang w:val="sr-Latn-ME"/>
              </w:rPr>
              <w:tab/>
            </w:r>
            <w:r w:rsidR="00995836" w:rsidRPr="00B35962">
              <w:rPr>
                <w:noProof/>
                <w:webHidden/>
                <w:lang w:val="sr-Latn-ME"/>
              </w:rPr>
              <w:t>8</w:t>
            </w:r>
          </w:hyperlink>
        </w:p>
        <w:p w14:paraId="2ED5BDBF" w14:textId="034BAE3B" w:rsidR="00571DCC" w:rsidRPr="00B35962" w:rsidRDefault="00CA0A28">
          <w:pPr>
            <w:pStyle w:val="TOC2"/>
            <w:tabs>
              <w:tab w:val="right" w:leader="dot" w:pos="9350"/>
            </w:tabs>
            <w:rPr>
              <w:rFonts w:asciiTheme="minorHAnsi" w:eastAsiaTheme="minorEastAsia" w:hAnsiTheme="minorHAnsi" w:cstheme="minorBidi"/>
              <w:noProof/>
              <w:sz w:val="22"/>
              <w:szCs w:val="22"/>
              <w:lang w:val="sr-Latn-ME" w:eastAsia="sr-Latn-ME"/>
            </w:rPr>
          </w:pPr>
          <w:hyperlink w:anchor="_Toc55295089" w:history="1">
            <w:r w:rsidR="00571DCC" w:rsidRPr="00B35962">
              <w:rPr>
                <w:rStyle w:val="Hyperlink"/>
                <w:noProof/>
                <w:lang w:val="sr-Latn-ME"/>
              </w:rPr>
              <w:t>2.2. Kompetencije zaposlenih u PU i kvalitet programa PVO</w:t>
            </w:r>
            <w:r w:rsidR="00571DCC" w:rsidRPr="00B35962">
              <w:rPr>
                <w:noProof/>
                <w:webHidden/>
                <w:lang w:val="sr-Latn-ME"/>
              </w:rPr>
              <w:tab/>
            </w:r>
            <w:r w:rsidR="00995836" w:rsidRPr="00B35962">
              <w:rPr>
                <w:noProof/>
                <w:webHidden/>
                <w:lang w:val="sr-Latn-ME"/>
              </w:rPr>
              <w:t>9</w:t>
            </w:r>
          </w:hyperlink>
        </w:p>
        <w:p w14:paraId="58DD15DD" w14:textId="694FBF9F" w:rsidR="00571DCC" w:rsidRPr="00B35962" w:rsidRDefault="00CA0A28">
          <w:pPr>
            <w:pStyle w:val="TOC2"/>
            <w:tabs>
              <w:tab w:val="right" w:leader="dot" w:pos="9350"/>
            </w:tabs>
            <w:rPr>
              <w:rFonts w:asciiTheme="minorHAnsi" w:eastAsiaTheme="minorEastAsia" w:hAnsiTheme="minorHAnsi" w:cstheme="minorBidi"/>
              <w:noProof/>
              <w:sz w:val="22"/>
              <w:szCs w:val="22"/>
              <w:lang w:val="sr-Latn-ME" w:eastAsia="sr-Latn-ME"/>
            </w:rPr>
          </w:pPr>
          <w:hyperlink w:anchor="_Toc55295090" w:history="1">
            <w:r w:rsidR="00571DCC" w:rsidRPr="00B35962">
              <w:rPr>
                <w:rStyle w:val="Hyperlink"/>
                <w:noProof/>
                <w:lang w:val="sr-Latn-ME"/>
              </w:rPr>
              <w:t>2.3. Pravednost PVO</w:t>
            </w:r>
            <w:r w:rsidR="00571DCC" w:rsidRPr="00B35962">
              <w:rPr>
                <w:noProof/>
                <w:webHidden/>
                <w:lang w:val="sr-Latn-ME"/>
              </w:rPr>
              <w:tab/>
            </w:r>
            <w:r w:rsidR="00571DCC" w:rsidRPr="00B35962">
              <w:rPr>
                <w:noProof/>
                <w:webHidden/>
                <w:lang w:val="sr-Latn-ME"/>
              </w:rPr>
              <w:fldChar w:fldCharType="begin"/>
            </w:r>
            <w:r w:rsidR="00571DCC" w:rsidRPr="00B35962">
              <w:rPr>
                <w:noProof/>
                <w:webHidden/>
                <w:lang w:val="sr-Latn-ME"/>
              </w:rPr>
              <w:instrText xml:space="preserve"> PAGEREF _Toc55295090 \h </w:instrText>
            </w:r>
            <w:r w:rsidR="00571DCC" w:rsidRPr="00B35962">
              <w:rPr>
                <w:noProof/>
                <w:webHidden/>
                <w:lang w:val="sr-Latn-ME"/>
              </w:rPr>
            </w:r>
            <w:r w:rsidR="00571DCC" w:rsidRPr="00B35962">
              <w:rPr>
                <w:noProof/>
                <w:webHidden/>
                <w:lang w:val="sr-Latn-ME"/>
              </w:rPr>
              <w:fldChar w:fldCharType="separate"/>
            </w:r>
            <w:r w:rsidR="00571DCC" w:rsidRPr="00B35962">
              <w:rPr>
                <w:noProof/>
                <w:webHidden/>
                <w:lang w:val="sr-Latn-ME"/>
              </w:rPr>
              <w:t>1</w:t>
            </w:r>
            <w:r w:rsidR="00995836" w:rsidRPr="00B35962">
              <w:rPr>
                <w:noProof/>
                <w:webHidden/>
                <w:lang w:val="sr-Latn-ME"/>
              </w:rPr>
              <w:t>1</w:t>
            </w:r>
            <w:r w:rsidR="00571DCC" w:rsidRPr="00B35962">
              <w:rPr>
                <w:noProof/>
                <w:webHidden/>
                <w:lang w:val="sr-Latn-ME"/>
              </w:rPr>
              <w:fldChar w:fldCharType="end"/>
            </w:r>
          </w:hyperlink>
        </w:p>
        <w:p w14:paraId="349C9215" w14:textId="7F059D14" w:rsidR="00571DCC" w:rsidRPr="00B35962" w:rsidRDefault="00CA0A28">
          <w:pPr>
            <w:pStyle w:val="TOC2"/>
            <w:tabs>
              <w:tab w:val="right" w:leader="dot" w:pos="9350"/>
            </w:tabs>
            <w:rPr>
              <w:rFonts w:asciiTheme="minorHAnsi" w:eastAsiaTheme="minorEastAsia" w:hAnsiTheme="minorHAnsi" w:cstheme="minorBidi"/>
              <w:noProof/>
              <w:sz w:val="22"/>
              <w:szCs w:val="22"/>
              <w:lang w:val="sr-Latn-ME" w:eastAsia="sr-Latn-ME"/>
            </w:rPr>
          </w:pPr>
          <w:hyperlink w:anchor="_Toc55295091" w:history="1">
            <w:r w:rsidR="00571DCC" w:rsidRPr="00B35962">
              <w:rPr>
                <w:rStyle w:val="Hyperlink"/>
                <w:noProof/>
                <w:lang w:val="sr-Latn-ME"/>
              </w:rPr>
              <w:t>2.4. SWOT analiza</w:t>
            </w:r>
            <w:r w:rsidR="00571DCC" w:rsidRPr="00B35962">
              <w:rPr>
                <w:noProof/>
                <w:webHidden/>
                <w:lang w:val="sr-Latn-ME"/>
              </w:rPr>
              <w:tab/>
            </w:r>
            <w:r w:rsidR="00571DCC" w:rsidRPr="00B35962">
              <w:rPr>
                <w:noProof/>
                <w:webHidden/>
                <w:lang w:val="sr-Latn-ME"/>
              </w:rPr>
              <w:fldChar w:fldCharType="begin"/>
            </w:r>
            <w:r w:rsidR="00571DCC" w:rsidRPr="00B35962">
              <w:rPr>
                <w:noProof/>
                <w:webHidden/>
                <w:lang w:val="sr-Latn-ME"/>
              </w:rPr>
              <w:instrText xml:space="preserve"> PAGEREF _Toc55295091 \h </w:instrText>
            </w:r>
            <w:r w:rsidR="00571DCC" w:rsidRPr="00B35962">
              <w:rPr>
                <w:noProof/>
                <w:webHidden/>
                <w:lang w:val="sr-Latn-ME"/>
              </w:rPr>
            </w:r>
            <w:r w:rsidR="00571DCC" w:rsidRPr="00B35962">
              <w:rPr>
                <w:noProof/>
                <w:webHidden/>
                <w:lang w:val="sr-Latn-ME"/>
              </w:rPr>
              <w:fldChar w:fldCharType="separate"/>
            </w:r>
            <w:r w:rsidR="00571DCC" w:rsidRPr="00B35962">
              <w:rPr>
                <w:noProof/>
                <w:webHidden/>
                <w:lang w:val="sr-Latn-ME"/>
              </w:rPr>
              <w:t>1</w:t>
            </w:r>
            <w:r w:rsidR="00995836" w:rsidRPr="00B35962">
              <w:rPr>
                <w:noProof/>
                <w:webHidden/>
                <w:lang w:val="sr-Latn-ME"/>
              </w:rPr>
              <w:t>5</w:t>
            </w:r>
            <w:r w:rsidR="00571DCC" w:rsidRPr="00B35962">
              <w:rPr>
                <w:noProof/>
                <w:webHidden/>
                <w:lang w:val="sr-Latn-ME"/>
              </w:rPr>
              <w:fldChar w:fldCharType="end"/>
            </w:r>
          </w:hyperlink>
        </w:p>
        <w:p w14:paraId="759CFE73" w14:textId="51258BD8" w:rsidR="00571DCC" w:rsidRPr="00B35962" w:rsidRDefault="00CA0A28">
          <w:pPr>
            <w:pStyle w:val="TOC2"/>
            <w:tabs>
              <w:tab w:val="right" w:leader="dot" w:pos="9350"/>
            </w:tabs>
            <w:rPr>
              <w:rFonts w:asciiTheme="minorHAnsi" w:eastAsiaTheme="minorEastAsia" w:hAnsiTheme="minorHAnsi" w:cstheme="minorBidi"/>
              <w:noProof/>
              <w:sz w:val="22"/>
              <w:szCs w:val="22"/>
              <w:lang w:val="sr-Latn-ME" w:eastAsia="sr-Latn-ME"/>
            </w:rPr>
          </w:pPr>
          <w:hyperlink w:anchor="_Toc55295092" w:history="1">
            <w:r w:rsidR="00571DCC" w:rsidRPr="00B35962">
              <w:rPr>
                <w:rStyle w:val="Hyperlink"/>
                <w:noProof/>
                <w:lang w:val="sr-Latn-ME"/>
              </w:rPr>
              <w:t>2.5. Analiza - Drvo problema</w:t>
            </w:r>
            <w:r w:rsidR="00571DCC" w:rsidRPr="00B35962">
              <w:rPr>
                <w:noProof/>
                <w:webHidden/>
                <w:lang w:val="sr-Latn-ME"/>
              </w:rPr>
              <w:tab/>
            </w:r>
            <w:r w:rsidR="00571DCC" w:rsidRPr="00B35962">
              <w:rPr>
                <w:noProof/>
                <w:webHidden/>
                <w:lang w:val="sr-Latn-ME"/>
              </w:rPr>
              <w:fldChar w:fldCharType="begin"/>
            </w:r>
            <w:r w:rsidR="00571DCC" w:rsidRPr="00B35962">
              <w:rPr>
                <w:noProof/>
                <w:webHidden/>
                <w:lang w:val="sr-Latn-ME"/>
              </w:rPr>
              <w:instrText xml:space="preserve"> PAGEREF _Toc55295092 \h </w:instrText>
            </w:r>
            <w:r w:rsidR="00571DCC" w:rsidRPr="00B35962">
              <w:rPr>
                <w:noProof/>
                <w:webHidden/>
                <w:lang w:val="sr-Latn-ME"/>
              </w:rPr>
            </w:r>
            <w:r w:rsidR="00571DCC" w:rsidRPr="00B35962">
              <w:rPr>
                <w:noProof/>
                <w:webHidden/>
                <w:lang w:val="sr-Latn-ME"/>
              </w:rPr>
              <w:fldChar w:fldCharType="separate"/>
            </w:r>
            <w:r w:rsidR="00571DCC" w:rsidRPr="00B35962">
              <w:rPr>
                <w:noProof/>
                <w:webHidden/>
                <w:lang w:val="sr-Latn-ME"/>
              </w:rPr>
              <w:t>1</w:t>
            </w:r>
            <w:r w:rsidR="00995836" w:rsidRPr="00B35962">
              <w:rPr>
                <w:noProof/>
                <w:webHidden/>
                <w:lang w:val="sr-Latn-ME"/>
              </w:rPr>
              <w:t>7</w:t>
            </w:r>
            <w:r w:rsidR="00571DCC" w:rsidRPr="00B35962">
              <w:rPr>
                <w:noProof/>
                <w:webHidden/>
                <w:lang w:val="sr-Latn-ME"/>
              </w:rPr>
              <w:fldChar w:fldCharType="end"/>
            </w:r>
          </w:hyperlink>
        </w:p>
        <w:p w14:paraId="22DA8547" w14:textId="51D23858" w:rsidR="00571DCC" w:rsidRPr="00B35962" w:rsidRDefault="00CA0A28">
          <w:pPr>
            <w:pStyle w:val="TOC2"/>
            <w:tabs>
              <w:tab w:val="right" w:leader="dot" w:pos="9350"/>
            </w:tabs>
            <w:rPr>
              <w:rFonts w:asciiTheme="minorHAnsi" w:eastAsiaTheme="minorEastAsia" w:hAnsiTheme="minorHAnsi" w:cstheme="minorBidi"/>
              <w:noProof/>
              <w:sz w:val="22"/>
              <w:szCs w:val="22"/>
              <w:lang w:val="sr-Latn-ME" w:eastAsia="sr-Latn-ME"/>
            </w:rPr>
          </w:pPr>
          <w:hyperlink w:anchor="_Toc55295093" w:history="1">
            <w:r w:rsidR="00571DCC" w:rsidRPr="00B35962">
              <w:rPr>
                <w:rStyle w:val="Hyperlink"/>
                <w:noProof/>
                <w:lang w:val="sr-Latn-ME"/>
              </w:rPr>
              <w:t>2.6. Analiza zainteresovanih strana</w:t>
            </w:r>
            <w:r w:rsidR="00571DCC" w:rsidRPr="00B35962">
              <w:rPr>
                <w:noProof/>
                <w:webHidden/>
                <w:lang w:val="sr-Latn-ME"/>
              </w:rPr>
              <w:tab/>
            </w:r>
            <w:r w:rsidR="003D5C45" w:rsidRPr="00B35962">
              <w:rPr>
                <w:noProof/>
                <w:webHidden/>
                <w:lang w:val="sr-Latn-ME"/>
              </w:rPr>
              <w:t>19</w:t>
            </w:r>
          </w:hyperlink>
        </w:p>
        <w:p w14:paraId="3437C63E" w14:textId="572E5EBB" w:rsidR="00571DCC" w:rsidRPr="00B35962" w:rsidRDefault="00CA0A28">
          <w:pPr>
            <w:pStyle w:val="TOC1"/>
            <w:tabs>
              <w:tab w:val="right" w:leader="dot" w:pos="9350"/>
            </w:tabs>
            <w:rPr>
              <w:rFonts w:asciiTheme="minorHAnsi" w:eastAsiaTheme="minorEastAsia" w:hAnsiTheme="minorHAnsi" w:cstheme="minorBidi"/>
              <w:noProof/>
              <w:sz w:val="22"/>
              <w:szCs w:val="22"/>
              <w:lang w:val="sr-Latn-ME" w:eastAsia="sr-Latn-ME"/>
            </w:rPr>
          </w:pPr>
          <w:hyperlink w:anchor="_Toc55295094" w:history="1">
            <w:r w:rsidR="00571DCC" w:rsidRPr="00B35962">
              <w:rPr>
                <w:rStyle w:val="Hyperlink"/>
                <w:noProof/>
                <w:lang w:val="sr-Latn-ME"/>
              </w:rPr>
              <w:t>3. Strateški i operativni ciljevi s pratećim indikatorima uspjeha</w:t>
            </w:r>
            <w:r w:rsidR="00571DCC" w:rsidRPr="00B35962">
              <w:rPr>
                <w:noProof/>
                <w:webHidden/>
                <w:lang w:val="sr-Latn-ME"/>
              </w:rPr>
              <w:tab/>
            </w:r>
            <w:r w:rsidR="00EB7C0D" w:rsidRPr="00B35962">
              <w:rPr>
                <w:noProof/>
                <w:webHidden/>
                <w:lang w:val="sr-Latn-ME"/>
              </w:rPr>
              <w:t>2</w:t>
            </w:r>
            <w:r w:rsidR="003D5C45" w:rsidRPr="00B35962">
              <w:rPr>
                <w:noProof/>
                <w:webHidden/>
                <w:lang w:val="sr-Latn-ME"/>
              </w:rPr>
              <w:t>1</w:t>
            </w:r>
          </w:hyperlink>
        </w:p>
        <w:p w14:paraId="5ABCFD02" w14:textId="1B62C1A9" w:rsidR="00571DCC" w:rsidRPr="00B35962" w:rsidRDefault="00CA0A28">
          <w:pPr>
            <w:pStyle w:val="TOC1"/>
            <w:tabs>
              <w:tab w:val="right" w:leader="dot" w:pos="9350"/>
            </w:tabs>
            <w:rPr>
              <w:rFonts w:asciiTheme="minorHAnsi" w:eastAsiaTheme="minorEastAsia" w:hAnsiTheme="minorHAnsi" w:cstheme="minorBidi"/>
              <w:noProof/>
              <w:sz w:val="22"/>
              <w:szCs w:val="22"/>
              <w:lang w:val="sr-Latn-ME" w:eastAsia="sr-Latn-ME"/>
            </w:rPr>
          </w:pPr>
          <w:hyperlink w:anchor="_Toc55295095" w:history="1">
            <w:r w:rsidR="00571DCC" w:rsidRPr="00B35962">
              <w:rPr>
                <w:rStyle w:val="Hyperlink"/>
                <w:noProof/>
                <w:lang w:val="sr-Latn-ME"/>
              </w:rPr>
              <w:t>4. Ključne aktivnosti za sprovođenje operativnih ciljeva</w:t>
            </w:r>
            <w:r w:rsidR="00571DCC" w:rsidRPr="00B35962">
              <w:rPr>
                <w:noProof/>
                <w:webHidden/>
                <w:lang w:val="sr-Latn-ME"/>
              </w:rPr>
              <w:tab/>
            </w:r>
            <w:r w:rsidR="003D5C45" w:rsidRPr="00B35962">
              <w:rPr>
                <w:noProof/>
                <w:webHidden/>
                <w:lang w:val="sr-Latn-ME"/>
              </w:rPr>
              <w:t>29</w:t>
            </w:r>
          </w:hyperlink>
        </w:p>
        <w:p w14:paraId="1F431051" w14:textId="194C6330" w:rsidR="00571DCC" w:rsidRPr="00B35962" w:rsidRDefault="00CA0A28">
          <w:pPr>
            <w:pStyle w:val="TOC1"/>
            <w:tabs>
              <w:tab w:val="right" w:leader="dot" w:pos="9350"/>
            </w:tabs>
            <w:rPr>
              <w:rFonts w:asciiTheme="minorHAnsi" w:eastAsiaTheme="minorEastAsia" w:hAnsiTheme="minorHAnsi" w:cstheme="minorBidi"/>
              <w:noProof/>
              <w:sz w:val="22"/>
              <w:szCs w:val="22"/>
              <w:lang w:val="sr-Latn-ME" w:eastAsia="sr-Latn-ME"/>
            </w:rPr>
          </w:pPr>
          <w:hyperlink w:anchor="_Toc55295096" w:history="1">
            <w:r w:rsidR="00571DCC" w:rsidRPr="00B35962">
              <w:rPr>
                <w:rStyle w:val="Hyperlink"/>
                <w:noProof/>
                <w:lang w:val="sr-Latn-ME"/>
              </w:rPr>
              <w:t>5. Opis aktivnosti nadležnih organa i tijela za praćenje sprovođenja strategije</w:t>
            </w:r>
            <w:r w:rsidR="00571DCC" w:rsidRPr="00B35962">
              <w:rPr>
                <w:noProof/>
                <w:webHidden/>
                <w:lang w:val="sr-Latn-ME"/>
              </w:rPr>
              <w:tab/>
            </w:r>
            <w:r w:rsidR="00EB7C0D" w:rsidRPr="00B35962">
              <w:rPr>
                <w:noProof/>
                <w:webHidden/>
                <w:lang w:val="sr-Latn-ME"/>
              </w:rPr>
              <w:t>4</w:t>
            </w:r>
            <w:r w:rsidR="003D5C45" w:rsidRPr="00B35962">
              <w:rPr>
                <w:noProof/>
                <w:webHidden/>
                <w:lang w:val="sr-Latn-ME"/>
              </w:rPr>
              <w:t>0</w:t>
            </w:r>
          </w:hyperlink>
        </w:p>
        <w:p w14:paraId="6AD5BE0D" w14:textId="070C4DB0" w:rsidR="00571DCC" w:rsidRPr="00B35962" w:rsidRDefault="00CA0A28">
          <w:pPr>
            <w:pStyle w:val="TOC1"/>
            <w:tabs>
              <w:tab w:val="right" w:leader="dot" w:pos="9350"/>
            </w:tabs>
            <w:rPr>
              <w:rFonts w:asciiTheme="minorHAnsi" w:eastAsiaTheme="minorEastAsia" w:hAnsiTheme="minorHAnsi" w:cstheme="minorBidi"/>
              <w:noProof/>
              <w:sz w:val="22"/>
              <w:szCs w:val="22"/>
              <w:lang w:val="sr-Latn-ME" w:eastAsia="sr-Latn-ME"/>
            </w:rPr>
          </w:pPr>
          <w:hyperlink w:anchor="_Toc55295097" w:history="1">
            <w:r w:rsidR="00571DCC" w:rsidRPr="00B35962">
              <w:rPr>
                <w:rStyle w:val="Hyperlink"/>
                <w:noProof/>
                <w:lang w:val="sr-Latn-ME"/>
              </w:rPr>
              <w:t>6. Način izvještavanja i evaluacije</w:t>
            </w:r>
            <w:r w:rsidR="00571DCC" w:rsidRPr="00B35962">
              <w:rPr>
                <w:noProof/>
                <w:webHidden/>
                <w:lang w:val="sr-Latn-ME"/>
              </w:rPr>
              <w:tab/>
            </w:r>
            <w:r w:rsidR="00571DCC" w:rsidRPr="00B35962">
              <w:rPr>
                <w:noProof/>
                <w:webHidden/>
                <w:lang w:val="sr-Latn-ME"/>
              </w:rPr>
              <w:fldChar w:fldCharType="begin"/>
            </w:r>
            <w:r w:rsidR="00571DCC" w:rsidRPr="00B35962">
              <w:rPr>
                <w:noProof/>
                <w:webHidden/>
                <w:lang w:val="sr-Latn-ME"/>
              </w:rPr>
              <w:instrText xml:space="preserve"> PAGEREF _Toc55295097 \h </w:instrText>
            </w:r>
            <w:r w:rsidR="00571DCC" w:rsidRPr="00B35962">
              <w:rPr>
                <w:noProof/>
                <w:webHidden/>
                <w:lang w:val="sr-Latn-ME"/>
              </w:rPr>
            </w:r>
            <w:r w:rsidR="00571DCC" w:rsidRPr="00B35962">
              <w:rPr>
                <w:noProof/>
                <w:webHidden/>
                <w:lang w:val="sr-Latn-ME"/>
              </w:rPr>
              <w:fldChar w:fldCharType="separate"/>
            </w:r>
            <w:r w:rsidR="00EB7C0D" w:rsidRPr="00B35962">
              <w:rPr>
                <w:noProof/>
                <w:webHidden/>
                <w:lang w:val="sr-Latn-ME"/>
              </w:rPr>
              <w:t>4</w:t>
            </w:r>
            <w:r w:rsidR="003D5C45" w:rsidRPr="00B35962">
              <w:rPr>
                <w:noProof/>
                <w:webHidden/>
                <w:lang w:val="sr-Latn-ME"/>
              </w:rPr>
              <w:t>0</w:t>
            </w:r>
            <w:r w:rsidR="00571DCC" w:rsidRPr="00B35962">
              <w:rPr>
                <w:noProof/>
                <w:webHidden/>
                <w:lang w:val="sr-Latn-ME"/>
              </w:rPr>
              <w:fldChar w:fldCharType="end"/>
            </w:r>
          </w:hyperlink>
        </w:p>
        <w:p w14:paraId="24E8F5A1" w14:textId="3745798B" w:rsidR="00571DCC" w:rsidRPr="00B35962" w:rsidRDefault="00CA0A28">
          <w:pPr>
            <w:pStyle w:val="TOC1"/>
            <w:tabs>
              <w:tab w:val="right" w:leader="dot" w:pos="9350"/>
            </w:tabs>
            <w:rPr>
              <w:rFonts w:asciiTheme="minorHAnsi" w:eastAsiaTheme="minorEastAsia" w:hAnsiTheme="minorHAnsi" w:cstheme="minorBidi"/>
              <w:noProof/>
              <w:sz w:val="22"/>
              <w:szCs w:val="22"/>
              <w:lang w:val="sr-Latn-ME" w:eastAsia="sr-Latn-ME"/>
            </w:rPr>
          </w:pPr>
          <w:hyperlink w:anchor="_Toc55295098" w:history="1">
            <w:r w:rsidR="00571DCC" w:rsidRPr="00B35962">
              <w:rPr>
                <w:rStyle w:val="Hyperlink"/>
                <w:noProof/>
                <w:lang w:val="sr-Latn-ME"/>
              </w:rPr>
              <w:t>7. Prateći akcioni plan s procjenom troškova</w:t>
            </w:r>
            <w:r w:rsidR="00571DCC" w:rsidRPr="00B35962">
              <w:rPr>
                <w:noProof/>
                <w:webHidden/>
                <w:lang w:val="sr-Latn-ME"/>
              </w:rPr>
              <w:tab/>
            </w:r>
            <w:r w:rsidR="00EB7C0D" w:rsidRPr="00B35962">
              <w:rPr>
                <w:noProof/>
                <w:webHidden/>
                <w:lang w:val="sr-Latn-ME"/>
              </w:rPr>
              <w:t>4</w:t>
            </w:r>
            <w:r w:rsidR="00D131EB" w:rsidRPr="00B35962">
              <w:rPr>
                <w:noProof/>
                <w:webHidden/>
                <w:lang w:val="sr-Latn-ME"/>
              </w:rPr>
              <w:t>1</w:t>
            </w:r>
          </w:hyperlink>
        </w:p>
        <w:p w14:paraId="1823F38A" w14:textId="76B3EE2E" w:rsidR="00571DCC" w:rsidRPr="00B35962" w:rsidRDefault="00CA0A28">
          <w:pPr>
            <w:pStyle w:val="TOC1"/>
            <w:tabs>
              <w:tab w:val="right" w:leader="dot" w:pos="9350"/>
            </w:tabs>
            <w:rPr>
              <w:rFonts w:asciiTheme="minorHAnsi" w:eastAsiaTheme="minorEastAsia" w:hAnsiTheme="minorHAnsi" w:cstheme="minorBidi"/>
              <w:noProof/>
              <w:sz w:val="22"/>
              <w:szCs w:val="22"/>
              <w:lang w:val="sr-Latn-ME" w:eastAsia="sr-Latn-ME"/>
            </w:rPr>
          </w:pPr>
          <w:hyperlink w:anchor="_Toc55295099" w:history="1">
            <w:r w:rsidR="00571DCC" w:rsidRPr="00B35962">
              <w:rPr>
                <w:rStyle w:val="Hyperlink"/>
                <w:noProof/>
                <w:lang w:val="sr-Latn-ME"/>
              </w:rPr>
              <w:t>PRILOZI</w:t>
            </w:r>
            <w:r w:rsidR="00571DCC" w:rsidRPr="00B35962">
              <w:rPr>
                <w:noProof/>
                <w:webHidden/>
                <w:lang w:val="sr-Latn-ME"/>
              </w:rPr>
              <w:tab/>
            </w:r>
            <w:r w:rsidR="00EB7C0D" w:rsidRPr="00B35962">
              <w:rPr>
                <w:noProof/>
                <w:webHidden/>
                <w:lang w:val="sr-Latn-ME"/>
              </w:rPr>
              <w:t>5</w:t>
            </w:r>
            <w:r w:rsidR="003D5C45" w:rsidRPr="00B35962">
              <w:rPr>
                <w:noProof/>
                <w:webHidden/>
                <w:lang w:val="sr-Latn-ME"/>
              </w:rPr>
              <w:t>2</w:t>
            </w:r>
          </w:hyperlink>
        </w:p>
        <w:p w14:paraId="02763588" w14:textId="77777777" w:rsidR="00A5310D" w:rsidRPr="00B35962" w:rsidRDefault="00A5310D">
          <w:pPr>
            <w:rPr>
              <w:lang w:val="sr-Latn-ME"/>
            </w:rPr>
          </w:pPr>
          <w:r w:rsidRPr="00B35962">
            <w:rPr>
              <w:b/>
              <w:bCs/>
              <w:noProof/>
              <w:lang w:val="sr-Latn-ME"/>
            </w:rPr>
            <w:fldChar w:fldCharType="end"/>
          </w:r>
        </w:p>
      </w:sdtContent>
    </w:sdt>
    <w:p w14:paraId="0BF0524A" w14:textId="77777777" w:rsidR="00A5310D" w:rsidRPr="00B35962" w:rsidRDefault="00A5310D">
      <w:pPr>
        <w:spacing w:after="160"/>
        <w:ind w:firstLine="0"/>
        <w:rPr>
          <w:szCs w:val="24"/>
          <w:lang w:val="sr-Latn-ME"/>
        </w:rPr>
      </w:pPr>
      <w:r w:rsidRPr="00B35962">
        <w:rPr>
          <w:szCs w:val="24"/>
          <w:lang w:val="sr-Latn-ME"/>
        </w:rPr>
        <w:br w:type="page"/>
      </w:r>
    </w:p>
    <w:p w14:paraId="1D9196FC" w14:textId="77777777" w:rsidR="00A4296E" w:rsidRPr="00B35962" w:rsidRDefault="00A4296E">
      <w:pPr>
        <w:spacing w:after="160"/>
        <w:ind w:firstLine="0"/>
        <w:rPr>
          <w:b/>
          <w:color w:val="0070C0"/>
          <w:szCs w:val="24"/>
          <w:lang w:val="sr-Latn-ME"/>
        </w:rPr>
      </w:pPr>
      <w:r w:rsidRPr="00B35962">
        <w:rPr>
          <w:b/>
          <w:color w:val="0070C0"/>
          <w:szCs w:val="24"/>
          <w:lang w:val="sr-Latn-ME"/>
        </w:rPr>
        <w:lastRenderedPageBreak/>
        <w:t>Lista skraćenica</w:t>
      </w:r>
    </w:p>
    <w:p w14:paraId="755A118F" w14:textId="77777777" w:rsidR="007406D5" w:rsidRPr="00B35962" w:rsidRDefault="007406D5">
      <w:pPr>
        <w:spacing w:after="160"/>
        <w:ind w:firstLine="0"/>
        <w:rPr>
          <w:rFonts w:eastAsiaTheme="majorEastAsia"/>
          <w:b/>
          <w:caps/>
          <w:color w:val="000000" w:themeColor="text1"/>
          <w:szCs w:val="24"/>
          <w:lang w:val="sr-Latn-ME"/>
        </w:rPr>
      </w:pPr>
      <w:r w:rsidRPr="00B35962">
        <w:rPr>
          <w:szCs w:val="24"/>
          <w:lang w:val="sr-Latn-ME"/>
        </w:rPr>
        <w:t>DZ – Dom zdravlja</w:t>
      </w:r>
    </w:p>
    <w:p w14:paraId="1B608B9B" w14:textId="77777777" w:rsidR="00566A90" w:rsidRPr="00B35962" w:rsidRDefault="00566A90" w:rsidP="00566A90">
      <w:pPr>
        <w:spacing w:after="200"/>
        <w:ind w:firstLine="0"/>
        <w:rPr>
          <w:szCs w:val="24"/>
          <w:lang w:val="sr-Latn-ME"/>
        </w:rPr>
      </w:pPr>
      <w:r w:rsidRPr="00B35962">
        <w:rPr>
          <w:szCs w:val="24"/>
          <w:lang w:val="sr-Latn-ME"/>
        </w:rPr>
        <w:t>IROP – Individualni razvojno-obrazovni program</w:t>
      </w:r>
    </w:p>
    <w:p w14:paraId="61D883B6" w14:textId="77777777" w:rsidR="00566A90" w:rsidRPr="00B35962" w:rsidRDefault="00566A90" w:rsidP="00566A90">
      <w:pPr>
        <w:spacing w:after="200"/>
        <w:ind w:firstLine="0"/>
        <w:rPr>
          <w:szCs w:val="24"/>
          <w:lang w:val="sr-Latn-ME"/>
        </w:rPr>
      </w:pPr>
      <w:r w:rsidRPr="00B35962">
        <w:rPr>
          <w:szCs w:val="24"/>
          <w:lang w:val="sr-Latn-ME"/>
        </w:rPr>
        <w:t>JPU – Javne predškolske ustanov</w:t>
      </w:r>
      <w:r w:rsidR="00DA1D5F" w:rsidRPr="00B35962">
        <w:rPr>
          <w:szCs w:val="24"/>
          <w:lang w:val="sr-Latn-ME"/>
        </w:rPr>
        <w:t>e</w:t>
      </w:r>
    </w:p>
    <w:p w14:paraId="4A41C51E" w14:textId="77777777" w:rsidR="00566A90" w:rsidRPr="00B35962" w:rsidRDefault="00566A90" w:rsidP="00566A90">
      <w:pPr>
        <w:spacing w:after="200"/>
        <w:ind w:firstLine="0"/>
        <w:rPr>
          <w:szCs w:val="24"/>
          <w:lang w:val="sr-Latn-ME"/>
        </w:rPr>
      </w:pPr>
      <w:r w:rsidRPr="00B35962">
        <w:rPr>
          <w:szCs w:val="24"/>
          <w:lang w:val="sr-Latn-ME"/>
        </w:rPr>
        <w:t>LS – Lokalna samouprava</w:t>
      </w:r>
    </w:p>
    <w:p w14:paraId="5833EE3B" w14:textId="77777777" w:rsidR="00566A90" w:rsidRPr="00B35962" w:rsidRDefault="00566A90" w:rsidP="00566A90">
      <w:pPr>
        <w:spacing w:after="200"/>
        <w:ind w:firstLine="0"/>
        <w:rPr>
          <w:szCs w:val="24"/>
          <w:lang w:val="sr-Latn-ME"/>
        </w:rPr>
      </w:pPr>
      <w:r w:rsidRPr="00B35962">
        <w:rPr>
          <w:szCs w:val="24"/>
          <w:lang w:val="sr-Latn-ME"/>
        </w:rPr>
        <w:t xml:space="preserve">MEIS – Crnogorski obrazovni informacioni </w:t>
      </w:r>
      <w:r w:rsidR="00F23D87" w:rsidRPr="00B35962">
        <w:rPr>
          <w:szCs w:val="24"/>
          <w:lang w:val="sr-Latn-ME"/>
        </w:rPr>
        <w:t>s</w:t>
      </w:r>
      <w:r w:rsidR="00DA1D5F" w:rsidRPr="00B35962">
        <w:rPr>
          <w:szCs w:val="24"/>
          <w:lang w:val="sr-Latn-ME"/>
        </w:rPr>
        <w:t>i</w:t>
      </w:r>
      <w:r w:rsidR="00F23D87" w:rsidRPr="00B35962">
        <w:rPr>
          <w:szCs w:val="24"/>
          <w:lang w:val="sr-Latn-ME"/>
        </w:rPr>
        <w:t>stem</w:t>
      </w:r>
    </w:p>
    <w:p w14:paraId="5B474192" w14:textId="77777777" w:rsidR="00F23D87" w:rsidRPr="00B35962" w:rsidRDefault="00F23D87" w:rsidP="00566A90">
      <w:pPr>
        <w:spacing w:after="200"/>
        <w:ind w:firstLine="0"/>
        <w:rPr>
          <w:szCs w:val="24"/>
          <w:lang w:val="sr-Latn-ME"/>
        </w:rPr>
      </w:pPr>
      <w:r w:rsidRPr="00B35962">
        <w:rPr>
          <w:szCs w:val="24"/>
          <w:lang w:val="sr-Latn-ME"/>
        </w:rPr>
        <w:t>MOP – Materijalno obezbjeđenje porodice</w:t>
      </w:r>
    </w:p>
    <w:p w14:paraId="515A97CE" w14:textId="77777777" w:rsidR="00B517F2" w:rsidRPr="00B35962" w:rsidRDefault="00B517F2" w:rsidP="00B517F2">
      <w:pPr>
        <w:spacing w:after="200"/>
        <w:ind w:firstLine="0"/>
        <w:rPr>
          <w:szCs w:val="24"/>
          <w:lang w:val="sr-Latn-ME"/>
        </w:rPr>
      </w:pPr>
      <w:r w:rsidRPr="00B35962">
        <w:rPr>
          <w:szCs w:val="24"/>
          <w:lang w:val="sr-Latn-ME"/>
        </w:rPr>
        <w:t>M</w:t>
      </w:r>
      <w:r>
        <w:rPr>
          <w:szCs w:val="24"/>
          <w:lang w:val="sr-Latn-ME"/>
        </w:rPr>
        <w:t>F</w:t>
      </w:r>
      <w:r w:rsidRPr="00B35962">
        <w:rPr>
          <w:szCs w:val="24"/>
          <w:lang w:val="sr-Latn-ME"/>
        </w:rPr>
        <w:t xml:space="preserve">SS – Ministarstvo </w:t>
      </w:r>
      <w:r>
        <w:rPr>
          <w:szCs w:val="24"/>
          <w:lang w:val="sr-Latn-ME"/>
        </w:rPr>
        <w:t>finansija</w:t>
      </w:r>
      <w:r w:rsidRPr="00B35962">
        <w:rPr>
          <w:szCs w:val="24"/>
          <w:lang w:val="sr-Latn-ME"/>
        </w:rPr>
        <w:t xml:space="preserve"> i socijalnog staranja</w:t>
      </w:r>
    </w:p>
    <w:p w14:paraId="57AB6CB5" w14:textId="478A1473" w:rsidR="00566A90" w:rsidRPr="00B35962" w:rsidRDefault="00566A90" w:rsidP="00566A90">
      <w:pPr>
        <w:spacing w:after="200"/>
        <w:ind w:firstLine="0"/>
        <w:rPr>
          <w:szCs w:val="24"/>
          <w:lang w:val="sr-Latn-ME"/>
        </w:rPr>
      </w:pPr>
      <w:r w:rsidRPr="00B35962">
        <w:rPr>
          <w:szCs w:val="24"/>
          <w:lang w:val="sr-Latn-ME"/>
        </w:rPr>
        <w:t>MP</w:t>
      </w:r>
      <w:r w:rsidR="00B517F2">
        <w:rPr>
          <w:szCs w:val="24"/>
          <w:lang w:val="sr-Latn-ME"/>
        </w:rPr>
        <w:t>NK</w:t>
      </w:r>
      <w:r w:rsidRPr="00B35962">
        <w:rPr>
          <w:szCs w:val="24"/>
          <w:lang w:val="sr-Latn-ME"/>
        </w:rPr>
        <w:t>S – Ministarstvo prosvjete</w:t>
      </w:r>
      <w:r w:rsidR="00B517F2">
        <w:rPr>
          <w:szCs w:val="24"/>
          <w:lang w:val="sr-Latn-ME"/>
        </w:rPr>
        <w:t>, nauke, kulture i sporta</w:t>
      </w:r>
    </w:p>
    <w:p w14:paraId="6193A723" w14:textId="77777777" w:rsidR="00566A90" w:rsidRPr="00B35962" w:rsidRDefault="00566A90" w:rsidP="00566A90">
      <w:pPr>
        <w:spacing w:after="200"/>
        <w:ind w:firstLine="0"/>
        <w:rPr>
          <w:szCs w:val="24"/>
          <w:lang w:val="sr-Latn-ME"/>
        </w:rPr>
      </w:pPr>
      <w:r w:rsidRPr="00B35962">
        <w:rPr>
          <w:szCs w:val="24"/>
          <w:lang w:val="sr-Latn-ME"/>
        </w:rPr>
        <w:t>MZ – Ministarstvo zdravlja</w:t>
      </w:r>
    </w:p>
    <w:p w14:paraId="787FD35C" w14:textId="77777777" w:rsidR="00566A90" w:rsidRPr="00B35962" w:rsidRDefault="00566A90" w:rsidP="00566A90">
      <w:pPr>
        <w:spacing w:after="200"/>
        <w:ind w:firstLine="0"/>
        <w:rPr>
          <w:szCs w:val="24"/>
          <w:lang w:val="sr-Latn-ME"/>
        </w:rPr>
      </w:pPr>
      <w:r w:rsidRPr="00B35962">
        <w:rPr>
          <w:szCs w:val="24"/>
          <w:lang w:val="sr-Latn-ME"/>
        </w:rPr>
        <w:t>NVO – Nevladine organizacije</w:t>
      </w:r>
    </w:p>
    <w:p w14:paraId="5ADC74F8" w14:textId="77777777" w:rsidR="00F23D87" w:rsidRPr="00B35962" w:rsidRDefault="00F23D87" w:rsidP="00566A90">
      <w:pPr>
        <w:spacing w:after="200"/>
        <w:ind w:firstLine="0"/>
        <w:rPr>
          <w:szCs w:val="24"/>
          <w:lang w:val="sr-Latn-ME"/>
        </w:rPr>
      </w:pPr>
      <w:r w:rsidRPr="00B35962">
        <w:rPr>
          <w:szCs w:val="24"/>
          <w:lang w:val="sr-Latn-ME"/>
        </w:rPr>
        <w:t>PU – Predškol</w:t>
      </w:r>
      <w:r w:rsidR="00DA1D5F" w:rsidRPr="00B35962">
        <w:rPr>
          <w:szCs w:val="24"/>
          <w:lang w:val="sr-Latn-ME"/>
        </w:rPr>
        <w:t>s</w:t>
      </w:r>
      <w:r w:rsidRPr="00B35962">
        <w:rPr>
          <w:szCs w:val="24"/>
          <w:lang w:val="sr-Latn-ME"/>
        </w:rPr>
        <w:t>ke ust</w:t>
      </w:r>
      <w:r w:rsidR="00DA1D5F" w:rsidRPr="00B35962">
        <w:rPr>
          <w:szCs w:val="24"/>
          <w:lang w:val="sr-Latn-ME"/>
        </w:rPr>
        <w:t>a</w:t>
      </w:r>
      <w:r w:rsidRPr="00B35962">
        <w:rPr>
          <w:szCs w:val="24"/>
          <w:lang w:val="sr-Latn-ME"/>
        </w:rPr>
        <w:t>nove</w:t>
      </w:r>
    </w:p>
    <w:p w14:paraId="5680345F" w14:textId="77777777" w:rsidR="00F23D87" w:rsidRPr="00B35962" w:rsidRDefault="00F23D87" w:rsidP="00566A90">
      <w:pPr>
        <w:spacing w:after="200"/>
        <w:ind w:firstLine="0"/>
        <w:rPr>
          <w:szCs w:val="24"/>
          <w:lang w:val="sr-Latn-ME"/>
        </w:rPr>
      </w:pPr>
      <w:r w:rsidRPr="00B35962">
        <w:rPr>
          <w:szCs w:val="24"/>
          <w:lang w:val="sr-Latn-ME"/>
        </w:rPr>
        <w:t>PVO – Predškolsko vaspitanje i obrazovanje</w:t>
      </w:r>
    </w:p>
    <w:p w14:paraId="0F65F808" w14:textId="77777777" w:rsidR="00566A90" w:rsidRPr="00B35962" w:rsidRDefault="00566A90" w:rsidP="00566A90">
      <w:pPr>
        <w:spacing w:after="200"/>
        <w:ind w:firstLine="0"/>
        <w:rPr>
          <w:szCs w:val="24"/>
          <w:lang w:val="sr-Latn-ME"/>
        </w:rPr>
      </w:pPr>
      <w:r w:rsidRPr="00B35962">
        <w:rPr>
          <w:szCs w:val="24"/>
          <w:lang w:val="sr-Latn-ME"/>
        </w:rPr>
        <w:t>RC – Resursni centar</w:t>
      </w:r>
    </w:p>
    <w:p w14:paraId="55E90460" w14:textId="77777777" w:rsidR="00566A90" w:rsidRPr="00B35962" w:rsidRDefault="00566A90" w:rsidP="00566A90">
      <w:pPr>
        <w:spacing w:after="200"/>
        <w:ind w:firstLine="0"/>
        <w:rPr>
          <w:szCs w:val="24"/>
          <w:lang w:val="sr-Latn-ME"/>
        </w:rPr>
      </w:pPr>
      <w:r w:rsidRPr="00B35962">
        <w:rPr>
          <w:szCs w:val="24"/>
          <w:lang w:val="sr-Latn-ME"/>
        </w:rPr>
        <w:t>VJ – Vaspitna jedinica</w:t>
      </w:r>
    </w:p>
    <w:p w14:paraId="6759BCED" w14:textId="77777777" w:rsidR="00116EBC" w:rsidRPr="00B35962" w:rsidRDefault="00116EBC" w:rsidP="00566A90">
      <w:pPr>
        <w:spacing w:after="200"/>
        <w:ind w:firstLine="0"/>
        <w:rPr>
          <w:szCs w:val="24"/>
          <w:lang w:val="sr-Latn-ME"/>
        </w:rPr>
      </w:pPr>
      <w:r w:rsidRPr="00B35962">
        <w:rPr>
          <w:szCs w:val="24"/>
          <w:lang w:val="sr-Latn-ME"/>
        </w:rPr>
        <w:t>UN – Ujedinjene nacije</w:t>
      </w:r>
    </w:p>
    <w:p w14:paraId="78B1B912" w14:textId="77777777" w:rsidR="00566A90" w:rsidRPr="00B35962" w:rsidRDefault="00566A90" w:rsidP="00566A90">
      <w:pPr>
        <w:spacing w:after="200"/>
        <w:ind w:firstLine="0"/>
        <w:rPr>
          <w:szCs w:val="24"/>
          <w:lang w:val="sr-Latn-ME"/>
        </w:rPr>
      </w:pPr>
      <w:r w:rsidRPr="00B35962">
        <w:rPr>
          <w:szCs w:val="24"/>
          <w:lang w:val="sr-Latn-ME"/>
        </w:rPr>
        <w:t xml:space="preserve">UNCRC </w:t>
      </w:r>
      <w:r w:rsidRPr="00B35962">
        <w:rPr>
          <w:color w:val="000000"/>
          <w:szCs w:val="24"/>
          <w:shd w:val="clear" w:color="auto" w:fill="FFFFFF"/>
          <w:lang w:val="sr-Latn-ME"/>
        </w:rPr>
        <w:t>–</w:t>
      </w:r>
      <w:r w:rsidRPr="00B35962">
        <w:rPr>
          <w:szCs w:val="24"/>
          <w:lang w:val="sr-Latn-ME"/>
        </w:rPr>
        <w:t xml:space="preserve"> Konvencija Ujedinjenih nacija o pravima </w:t>
      </w:r>
      <w:r w:rsidR="004C099B" w:rsidRPr="00B35962">
        <w:rPr>
          <w:szCs w:val="24"/>
          <w:lang w:val="sr-Latn-ME"/>
        </w:rPr>
        <w:t>dj</w:t>
      </w:r>
      <w:r w:rsidRPr="00B35962">
        <w:rPr>
          <w:szCs w:val="24"/>
          <w:lang w:val="sr-Latn-ME"/>
        </w:rPr>
        <w:t>eteta</w:t>
      </w:r>
    </w:p>
    <w:p w14:paraId="5515D3BC" w14:textId="77777777" w:rsidR="00566A90" w:rsidRPr="00B35962" w:rsidRDefault="00566A90" w:rsidP="00566A90">
      <w:pPr>
        <w:spacing w:after="200"/>
        <w:ind w:firstLine="0"/>
        <w:rPr>
          <w:szCs w:val="24"/>
          <w:lang w:val="sr-Latn-ME"/>
        </w:rPr>
      </w:pPr>
      <w:r w:rsidRPr="00B35962">
        <w:rPr>
          <w:szCs w:val="24"/>
          <w:lang w:val="sr-Latn-ME"/>
        </w:rPr>
        <w:t xml:space="preserve">UNICEF – </w:t>
      </w:r>
      <w:r w:rsidRPr="00B35962">
        <w:rPr>
          <w:color w:val="000000"/>
          <w:szCs w:val="24"/>
          <w:shd w:val="clear" w:color="auto" w:fill="FFFFFF"/>
          <w:lang w:val="sr-Latn-ME"/>
        </w:rPr>
        <w:t>Dječiji fond Ujedinjenih nacija</w:t>
      </w:r>
    </w:p>
    <w:p w14:paraId="4168B83A" w14:textId="77777777" w:rsidR="00566A90" w:rsidRPr="00B35962" w:rsidRDefault="00566A90" w:rsidP="00566A90">
      <w:pPr>
        <w:spacing w:after="200"/>
        <w:ind w:firstLine="0"/>
        <w:rPr>
          <w:color w:val="000000"/>
          <w:szCs w:val="24"/>
          <w:shd w:val="clear" w:color="auto" w:fill="FFFFFF"/>
          <w:lang w:val="sr-Latn-ME"/>
        </w:rPr>
      </w:pPr>
      <w:r w:rsidRPr="00B35962">
        <w:rPr>
          <w:szCs w:val="24"/>
          <w:lang w:val="sr-Latn-ME"/>
        </w:rPr>
        <w:t xml:space="preserve">UNESCO – </w:t>
      </w:r>
      <w:r w:rsidRPr="00B35962">
        <w:rPr>
          <w:color w:val="000000"/>
          <w:szCs w:val="24"/>
          <w:shd w:val="clear" w:color="auto" w:fill="FFFFFF"/>
          <w:lang w:val="sr-Latn-ME"/>
        </w:rPr>
        <w:t>Organizacija za obrazovanje, nauku i kulturu Ujedinjenih nacija </w:t>
      </w:r>
    </w:p>
    <w:p w14:paraId="6970563F" w14:textId="77777777" w:rsidR="00566A90" w:rsidRPr="00B35962" w:rsidRDefault="00566A90" w:rsidP="00566A90">
      <w:pPr>
        <w:spacing w:after="200"/>
        <w:ind w:firstLine="0"/>
        <w:rPr>
          <w:color w:val="000000"/>
          <w:szCs w:val="24"/>
          <w:shd w:val="clear" w:color="auto" w:fill="FFFFFF"/>
          <w:lang w:val="sr-Latn-ME"/>
        </w:rPr>
      </w:pPr>
      <w:r w:rsidRPr="00B35962">
        <w:rPr>
          <w:color w:val="000000"/>
          <w:szCs w:val="24"/>
          <w:shd w:val="clear" w:color="auto" w:fill="FFFFFF"/>
          <w:lang w:val="sr-Latn-ME"/>
        </w:rPr>
        <w:t>ZSDZ – Zavod za socijalnu i dječiju zaštitu</w:t>
      </w:r>
    </w:p>
    <w:p w14:paraId="15A98C2D" w14:textId="77777777" w:rsidR="00566A90" w:rsidRPr="00B35962" w:rsidRDefault="00566A90" w:rsidP="00566A90">
      <w:pPr>
        <w:spacing w:after="200"/>
        <w:ind w:firstLine="0"/>
        <w:rPr>
          <w:color w:val="000000"/>
          <w:szCs w:val="24"/>
          <w:shd w:val="clear" w:color="auto" w:fill="FFFFFF"/>
          <w:lang w:val="sr-Latn-ME"/>
        </w:rPr>
      </w:pPr>
      <w:r w:rsidRPr="00B35962">
        <w:rPr>
          <w:color w:val="000000"/>
          <w:szCs w:val="24"/>
          <w:shd w:val="clear" w:color="auto" w:fill="FFFFFF"/>
          <w:lang w:val="sr-Latn-ME"/>
        </w:rPr>
        <w:t>ZUNS – Zavod za udžbenike i nastavna sredstva</w:t>
      </w:r>
    </w:p>
    <w:p w14:paraId="2473534C" w14:textId="77777777" w:rsidR="00566A90" w:rsidRPr="00B35962" w:rsidRDefault="00566A90" w:rsidP="00566A90">
      <w:pPr>
        <w:spacing w:after="200"/>
        <w:ind w:firstLine="0"/>
        <w:rPr>
          <w:color w:val="000000"/>
          <w:szCs w:val="24"/>
          <w:shd w:val="clear" w:color="auto" w:fill="FFFFFF"/>
          <w:lang w:val="sr-Latn-ME"/>
        </w:rPr>
      </w:pPr>
      <w:r w:rsidRPr="00B35962">
        <w:rPr>
          <w:color w:val="000000"/>
          <w:szCs w:val="24"/>
          <w:shd w:val="clear" w:color="auto" w:fill="FFFFFF"/>
          <w:lang w:val="sr-Latn-ME"/>
        </w:rPr>
        <w:t>ZzŠ – Zavod za školstvo</w:t>
      </w:r>
    </w:p>
    <w:p w14:paraId="774F3FE1" w14:textId="77777777" w:rsidR="00A4296E" w:rsidRPr="00B35962" w:rsidRDefault="00A4296E">
      <w:pPr>
        <w:spacing w:after="160"/>
        <w:ind w:firstLine="0"/>
        <w:rPr>
          <w:rFonts w:eastAsiaTheme="majorEastAsia"/>
          <w:b/>
          <w:caps/>
          <w:color w:val="000000" w:themeColor="text1"/>
          <w:sz w:val="28"/>
          <w:szCs w:val="32"/>
          <w:lang w:val="sr-Latn-ME"/>
        </w:rPr>
      </w:pPr>
      <w:r w:rsidRPr="00B35962">
        <w:rPr>
          <w:lang w:val="sr-Latn-ME"/>
        </w:rPr>
        <w:br w:type="page"/>
      </w:r>
    </w:p>
    <w:p w14:paraId="3652A090" w14:textId="77777777" w:rsidR="00D061FA" w:rsidRPr="00B35962" w:rsidRDefault="00D061FA" w:rsidP="00D061FA">
      <w:pPr>
        <w:pStyle w:val="Heading1"/>
        <w:rPr>
          <w:rFonts w:cs="Times New Roman"/>
          <w:color w:val="0070C0"/>
          <w:lang w:val="sr-Latn-ME"/>
        </w:rPr>
      </w:pPr>
      <w:bookmarkStart w:id="1" w:name="_Toc53075547"/>
      <w:bookmarkStart w:id="2" w:name="_Toc55295086"/>
      <w:r w:rsidRPr="00B35962">
        <w:rPr>
          <w:rFonts w:cs="Times New Roman"/>
          <w:color w:val="0070C0"/>
          <w:lang w:val="sr-Latn-ME"/>
        </w:rPr>
        <w:lastRenderedPageBreak/>
        <w:t>1. UVOD</w:t>
      </w:r>
      <w:bookmarkEnd w:id="1"/>
      <w:bookmarkEnd w:id="2"/>
    </w:p>
    <w:p w14:paraId="1AE677AD" w14:textId="18F37B49" w:rsidR="00D061FA" w:rsidRPr="00B35962" w:rsidRDefault="00D061FA" w:rsidP="008A6793">
      <w:pPr>
        <w:spacing w:after="160"/>
        <w:rPr>
          <w:lang w:val="sr-Latn-ME"/>
        </w:rPr>
      </w:pPr>
      <w:r w:rsidRPr="00B35962">
        <w:rPr>
          <w:lang w:val="sr-Latn-ME"/>
        </w:rPr>
        <w:t>U cilju da svakom djetetu obezbijedimo najbolji početak, odnosno imajući u vidu da je kod djece  neurološki razvoj najintenzivniji u periodu predškolskog vaspitanja i obrazovanja, smatrali smo za potrebnim da nastavimo sa razvojem ovog nivoa obrazovanja kroz pripremu nove Strategije ranog i predškolskog vaspitan</w:t>
      </w:r>
      <w:r w:rsidR="009101DA">
        <w:rPr>
          <w:lang w:val="sr-Latn-ME"/>
        </w:rPr>
        <w:t>ja i obrazovanja za period 2021–</w:t>
      </w:r>
      <w:r w:rsidRPr="00B35962">
        <w:rPr>
          <w:lang w:val="sr-Latn-ME"/>
        </w:rPr>
        <w:t>202</w:t>
      </w:r>
      <w:r w:rsidR="00C26510" w:rsidRPr="00B35962">
        <w:rPr>
          <w:lang w:val="sr-Latn-ME"/>
        </w:rPr>
        <w:t>5</w:t>
      </w:r>
      <w:r w:rsidRPr="00B35962">
        <w:rPr>
          <w:lang w:val="sr-Latn-ME"/>
        </w:rPr>
        <w:t xml:space="preserve">. godine. </w:t>
      </w:r>
    </w:p>
    <w:p w14:paraId="1689E6A4" w14:textId="77777777" w:rsidR="00116EBC" w:rsidRPr="00B35962" w:rsidRDefault="00116EBC" w:rsidP="008A6793">
      <w:pPr>
        <w:spacing w:after="160"/>
        <w:rPr>
          <w:lang w:val="sr-Latn-ME"/>
        </w:rPr>
      </w:pPr>
      <w:r w:rsidRPr="00B35962">
        <w:rPr>
          <w:lang w:val="sr-Latn-ME"/>
        </w:rPr>
        <w:t xml:space="preserve">Učenje djece u okviru predškolskog vaspitanja i obrazovanja u velikoj mjeri doprinosi sveukupnom razvoju djece, u pogledu socio-emocionalnih kompetencija, buduće školske i životne uspješnosti, formiranja ličnosti kao i u odnosu na brojne društvene benefite, uključujući prevenciju nepoželjnih socijalnih pojava, ušteda u oblasti socijalne i zdravstvene zaštite. </w:t>
      </w:r>
    </w:p>
    <w:p w14:paraId="0A5C1CF4" w14:textId="14EBA46C" w:rsidR="009A12C8" w:rsidRPr="00B35962" w:rsidRDefault="00116EBC" w:rsidP="008A6793">
      <w:pPr>
        <w:spacing w:after="160"/>
        <w:rPr>
          <w:lang w:val="sr-Latn-ME"/>
        </w:rPr>
      </w:pPr>
      <w:r w:rsidRPr="00B35962">
        <w:rPr>
          <w:lang w:val="sr-Latn-ME"/>
        </w:rPr>
        <w:t>Imajući u vidu da u Crnoj Gori i dalje postoji prostor za unaprijeđenje predškolskog vaspitanja i obrazova</w:t>
      </w:r>
      <w:r w:rsidR="00B35962" w:rsidRPr="00B35962">
        <w:rPr>
          <w:lang w:val="sr-Latn-ME"/>
        </w:rPr>
        <w:t>n</w:t>
      </w:r>
      <w:r w:rsidRPr="00B35962">
        <w:rPr>
          <w:lang w:val="sr-Latn-ME"/>
        </w:rPr>
        <w:t xml:space="preserve">ja </w:t>
      </w:r>
      <w:r w:rsidR="009A12C8" w:rsidRPr="00B35962">
        <w:rPr>
          <w:lang w:val="sr-Latn-ME"/>
        </w:rPr>
        <w:t>strateški cilj</w:t>
      </w:r>
      <w:r w:rsidRPr="00B35962">
        <w:rPr>
          <w:lang w:val="sr-Latn-ME"/>
        </w:rPr>
        <w:t xml:space="preserve"> u naredne četiri godine je: </w:t>
      </w:r>
      <w:r w:rsidR="009A12C8" w:rsidRPr="00D347CF">
        <w:rPr>
          <w:b/>
          <w:bCs/>
          <w:i/>
          <w:iCs/>
          <w:lang w:val="sr-Latn-ME"/>
        </w:rPr>
        <w:t>Obezbjeđivanje jednakih šansi za rani razvoj sve djece u Crnoj Gori kroz jačanje dostupnosti, kvaliteta i pravednosti PVO</w:t>
      </w:r>
      <w:r w:rsidR="009A12C8" w:rsidRPr="00B35962">
        <w:rPr>
          <w:lang w:val="sr-Latn-ME"/>
        </w:rPr>
        <w:t xml:space="preserve"> </w:t>
      </w:r>
    </w:p>
    <w:p w14:paraId="1C737D89" w14:textId="66152450" w:rsidR="00116EBC" w:rsidRPr="00B35962" w:rsidRDefault="00116EBC" w:rsidP="008A6793">
      <w:pPr>
        <w:spacing w:after="160"/>
        <w:rPr>
          <w:lang w:val="sr-Latn-ME"/>
        </w:rPr>
      </w:pPr>
      <w:r w:rsidRPr="00B35962">
        <w:rPr>
          <w:lang w:val="sr-Latn-ME"/>
        </w:rPr>
        <w:t xml:space="preserve">Da bi </w:t>
      </w:r>
      <w:r w:rsidR="009101DA">
        <w:rPr>
          <w:lang w:val="sr-Latn-ME"/>
        </w:rPr>
        <w:t>se postigao</w:t>
      </w:r>
      <w:r w:rsidRPr="00B35962">
        <w:rPr>
          <w:lang w:val="sr-Latn-ME"/>
        </w:rPr>
        <w:t xml:space="preserve"> postavljen</w:t>
      </w:r>
      <w:r w:rsidR="009A12C8" w:rsidRPr="00B35962">
        <w:rPr>
          <w:lang w:val="sr-Latn-ME"/>
        </w:rPr>
        <w:t>i strateški cilj</w:t>
      </w:r>
      <w:r w:rsidRPr="00B35962">
        <w:rPr>
          <w:lang w:val="sr-Latn-ME"/>
        </w:rPr>
        <w:t xml:space="preserve"> neophodno je ispuniti tri </w:t>
      </w:r>
      <w:r w:rsidR="009A12C8" w:rsidRPr="00B35962">
        <w:rPr>
          <w:lang w:val="sr-Latn-ME"/>
        </w:rPr>
        <w:t>opšta operativna</w:t>
      </w:r>
      <w:r w:rsidRPr="00B35962">
        <w:rPr>
          <w:lang w:val="sr-Latn-ME"/>
        </w:rPr>
        <w:t xml:space="preserve"> cilja i to:</w:t>
      </w:r>
    </w:p>
    <w:p w14:paraId="15A3AAD8" w14:textId="1078ABFE" w:rsidR="00116EBC" w:rsidRPr="00B35962" w:rsidRDefault="009A12C8" w:rsidP="008A6793">
      <w:pPr>
        <w:spacing w:after="160"/>
        <w:rPr>
          <w:i/>
          <w:iCs/>
          <w:lang w:val="sr-Latn-ME"/>
        </w:rPr>
      </w:pPr>
      <w:r w:rsidRPr="00B35962">
        <w:rPr>
          <w:i/>
          <w:iCs/>
          <w:lang w:val="sr-Latn-ME"/>
        </w:rPr>
        <w:t>Opšti operativni cilj 1</w:t>
      </w:r>
      <w:r w:rsidR="00116EBC" w:rsidRPr="00B35962">
        <w:rPr>
          <w:i/>
          <w:iCs/>
          <w:lang w:val="sr-Latn-ME"/>
        </w:rPr>
        <w:t>: Povećanje obuhvata djece PVO</w:t>
      </w:r>
    </w:p>
    <w:p w14:paraId="42DDCB2E" w14:textId="01E56BCB" w:rsidR="00116EBC" w:rsidRPr="00B35962" w:rsidRDefault="009A12C8" w:rsidP="008A6793">
      <w:pPr>
        <w:spacing w:after="160"/>
        <w:rPr>
          <w:i/>
          <w:iCs/>
          <w:lang w:val="sr-Latn-ME"/>
        </w:rPr>
      </w:pPr>
      <w:r w:rsidRPr="00B35962">
        <w:rPr>
          <w:i/>
          <w:iCs/>
          <w:lang w:val="sr-Latn-ME"/>
        </w:rPr>
        <w:t>Opšti operativni cilj 2</w:t>
      </w:r>
      <w:r w:rsidR="00116EBC" w:rsidRPr="00B35962">
        <w:rPr>
          <w:i/>
          <w:iCs/>
          <w:lang w:val="sr-Latn-ME"/>
        </w:rPr>
        <w:t>: Unapređenje i obezbjeđivanje kvaliteta PVO</w:t>
      </w:r>
    </w:p>
    <w:p w14:paraId="51C86BB7" w14:textId="10F593D8" w:rsidR="00116EBC" w:rsidRPr="00B35962" w:rsidRDefault="009A12C8" w:rsidP="008A6793">
      <w:pPr>
        <w:spacing w:after="160"/>
        <w:rPr>
          <w:i/>
          <w:iCs/>
          <w:lang w:val="sr-Latn-ME"/>
        </w:rPr>
      </w:pPr>
      <w:r w:rsidRPr="00B35962">
        <w:rPr>
          <w:i/>
          <w:iCs/>
          <w:lang w:val="sr-Latn-ME"/>
        </w:rPr>
        <w:t>Opšti operativni cilj 3</w:t>
      </w:r>
      <w:r w:rsidR="00116EBC" w:rsidRPr="00B35962">
        <w:rPr>
          <w:i/>
          <w:iCs/>
          <w:lang w:val="sr-Latn-ME"/>
        </w:rPr>
        <w:t>: Unapređenje šansi za rani razvoj djece iz osjetljivih grupa</w:t>
      </w:r>
    </w:p>
    <w:p w14:paraId="10D93AAD" w14:textId="403AA51C" w:rsidR="00C97CC2" w:rsidRPr="00B35962" w:rsidRDefault="00116EBC" w:rsidP="00C97CC2">
      <w:pPr>
        <w:spacing w:after="160"/>
        <w:rPr>
          <w:szCs w:val="24"/>
          <w:lang w:val="sr-Latn-ME"/>
        </w:rPr>
      </w:pPr>
      <w:r w:rsidRPr="00B35962">
        <w:rPr>
          <w:szCs w:val="24"/>
          <w:lang w:val="sr-Latn-ME"/>
        </w:rPr>
        <w:t>Strategija predškolskog vaspitanja i obrazovanja (2021-202</w:t>
      </w:r>
      <w:r w:rsidR="00C26510" w:rsidRPr="00B35962">
        <w:rPr>
          <w:szCs w:val="24"/>
          <w:lang w:val="sr-Latn-ME"/>
        </w:rPr>
        <w:t>5</w:t>
      </w:r>
      <w:r w:rsidRPr="00B35962">
        <w:rPr>
          <w:szCs w:val="24"/>
          <w:lang w:val="sr-Latn-ME"/>
        </w:rPr>
        <w:t>) je razvijana kroz participativni proces releva</w:t>
      </w:r>
      <w:r w:rsidR="00360B3B">
        <w:rPr>
          <w:szCs w:val="24"/>
          <w:lang w:val="sr-Latn-ME"/>
        </w:rPr>
        <w:t>n</w:t>
      </w:r>
      <w:r w:rsidRPr="00B35962">
        <w:rPr>
          <w:szCs w:val="24"/>
          <w:lang w:val="sr-Latn-ME"/>
        </w:rPr>
        <w:t>tnih subjekata javnog i civilnog sektora. Osnov ima u mapiranju politika i praksi u ovoj oblasti, odnosno analizi materijala koja uključuju zakonska i podzakonska dokumenta, nacionalne strategije, izvještaje i druge relevantne studije. Takođe, urađen je pregled ključnih međunarodnih dokumenata, standarda, smjernica, obaveza, analize stanja i izvještaja postignuća prethodne Strategije (sprovedene u periodu od 2016. do 2020).</w:t>
      </w:r>
    </w:p>
    <w:p w14:paraId="78ACC79A" w14:textId="77777777" w:rsidR="00C97CC2" w:rsidRPr="00B35962" w:rsidRDefault="00C97CC2" w:rsidP="00C97CC2">
      <w:pPr>
        <w:spacing w:after="160"/>
        <w:rPr>
          <w:i/>
          <w:iCs/>
          <w:lang w:val="sr-Latn-ME"/>
        </w:rPr>
      </w:pPr>
      <w:r w:rsidRPr="00B35962">
        <w:rPr>
          <w:lang w:val="sr-Latn-ME"/>
        </w:rPr>
        <w:t xml:space="preserve">Bazira se na principima </w:t>
      </w:r>
      <w:r w:rsidRPr="00B35962">
        <w:rPr>
          <w:i/>
          <w:iCs/>
          <w:lang w:val="sr-Latn-ME"/>
        </w:rPr>
        <w:t>participacije, partnerstva, saradnje, održivosti, racionalnosti, kontinuiteta, kvaliteta usluga, uslova, iskustvenosti, inovativnosti, dostupnosti, individualizacije, integrisanosti, ekonomičnosti, transparentnosti.</w:t>
      </w:r>
    </w:p>
    <w:p w14:paraId="17724719" w14:textId="140806FF" w:rsidR="00C97CC2" w:rsidRPr="00B35962" w:rsidRDefault="00C97CC2" w:rsidP="00C97CC2">
      <w:pPr>
        <w:spacing w:after="160"/>
        <w:rPr>
          <w:iCs/>
          <w:lang w:val="sr-Latn-ME"/>
        </w:rPr>
      </w:pPr>
      <w:r w:rsidRPr="00B35962">
        <w:rPr>
          <w:iCs/>
          <w:lang w:val="sr-Latn-ME"/>
        </w:rPr>
        <w:t xml:space="preserve">Koncepti rodne ravnopravnosti i održivog razvoja su dio postojećeg programa rada, prakse i u budućem procesu njihovog unapređivanje </w:t>
      </w:r>
      <w:r w:rsidR="00360B3B">
        <w:rPr>
          <w:iCs/>
          <w:lang w:val="sr-Latn-ME"/>
        </w:rPr>
        <w:t>biće</w:t>
      </w:r>
      <w:r w:rsidRPr="00B35962">
        <w:rPr>
          <w:iCs/>
          <w:lang w:val="sr-Latn-ME"/>
        </w:rPr>
        <w:t xml:space="preserve"> dodatno potencirani.</w:t>
      </w:r>
    </w:p>
    <w:p w14:paraId="161E5025" w14:textId="77777777" w:rsidR="00527DC2" w:rsidRPr="00B35962" w:rsidRDefault="00116EBC" w:rsidP="008A6793">
      <w:pPr>
        <w:spacing w:after="160"/>
        <w:rPr>
          <w:lang w:val="sr-Latn-ME"/>
        </w:rPr>
      </w:pPr>
      <w:r w:rsidRPr="00B35962">
        <w:rPr>
          <w:lang w:val="sr-Latn-ME"/>
        </w:rPr>
        <w:t>Donosi se u skladu s metodologijom iz Uredbe o načinu i postupku izrade, usklađivanja i praćenja sprovođenja strateških dokumenata (</w:t>
      </w:r>
      <w:r w:rsidR="008A6793" w:rsidRPr="00B35962">
        <w:rPr>
          <w:lang w:val="sr-Latn-ME"/>
        </w:rPr>
        <w:t>„</w:t>
      </w:r>
      <w:r w:rsidRPr="00B35962">
        <w:rPr>
          <w:lang w:val="sr-Latn-ME"/>
        </w:rPr>
        <w:t>Sl</w:t>
      </w:r>
      <w:r w:rsidR="008A6793" w:rsidRPr="00B35962">
        <w:rPr>
          <w:lang w:val="sr-Latn-ME"/>
        </w:rPr>
        <w:t>.</w:t>
      </w:r>
      <w:r w:rsidRPr="00B35962">
        <w:rPr>
          <w:lang w:val="sr-Latn-ME"/>
        </w:rPr>
        <w:t xml:space="preserve"> list </w:t>
      </w:r>
      <w:r w:rsidR="008A6793" w:rsidRPr="00B35962">
        <w:rPr>
          <w:lang w:val="sr-Latn-ME"/>
        </w:rPr>
        <w:t>CG”,</w:t>
      </w:r>
      <w:r w:rsidRPr="00B35962">
        <w:rPr>
          <w:lang w:val="sr-Latn-ME"/>
        </w:rPr>
        <w:t xml:space="preserve"> br</w:t>
      </w:r>
      <w:r w:rsidR="008A6793" w:rsidRPr="00B35962">
        <w:rPr>
          <w:lang w:val="sr-Latn-ME"/>
        </w:rPr>
        <w:t>. 54/</w:t>
      </w:r>
      <w:r w:rsidRPr="00B35962">
        <w:rPr>
          <w:lang w:val="sr-Latn-ME"/>
        </w:rPr>
        <w:t xml:space="preserve">18). </w:t>
      </w:r>
    </w:p>
    <w:p w14:paraId="23F5488D" w14:textId="77777777" w:rsidR="00116EBC" w:rsidRPr="00B35962" w:rsidRDefault="00116EBC" w:rsidP="008A6793">
      <w:pPr>
        <w:spacing w:after="160"/>
        <w:rPr>
          <w:lang w:val="sr-Latn-ME"/>
        </w:rPr>
      </w:pPr>
      <w:r w:rsidRPr="00B35962">
        <w:rPr>
          <w:lang w:val="sr-Latn-ME"/>
        </w:rPr>
        <w:t xml:space="preserve">Pri izradi Strategije vodilo se računa i o ključnim </w:t>
      </w:r>
      <w:r w:rsidR="00527DC2" w:rsidRPr="00B35962">
        <w:rPr>
          <w:lang w:val="sr-Latn-ME"/>
        </w:rPr>
        <w:t>strateškim dokumentima i preporukama međunarodne zajednice, Evropske unije, kao i nacionalnim</w:t>
      </w:r>
      <w:r w:rsidRPr="00B35962">
        <w:rPr>
          <w:lang w:val="sr-Latn-ME"/>
        </w:rPr>
        <w:t xml:space="preserve"> koje u sebi prepoznaju politiku održivog inkluzivnog razvoja, obrazovanja, zapošljavanja i razvoja ljudskih resursa.</w:t>
      </w:r>
    </w:p>
    <w:p w14:paraId="13ED0A0A" w14:textId="1A072238" w:rsidR="00023674" w:rsidRPr="00B35962" w:rsidRDefault="00116EBC" w:rsidP="00023674">
      <w:pPr>
        <w:spacing w:after="160"/>
        <w:rPr>
          <w:szCs w:val="24"/>
          <w:lang w:val="sr-Latn-ME"/>
        </w:rPr>
      </w:pPr>
      <w:r w:rsidRPr="00B35962">
        <w:rPr>
          <w:szCs w:val="24"/>
          <w:lang w:val="sr-Latn-ME"/>
        </w:rPr>
        <w:lastRenderedPageBreak/>
        <w:t>Strategija predškolskog vaspitanja i obrazovanja 2021-202</w:t>
      </w:r>
      <w:r w:rsidR="00C26510" w:rsidRPr="00B35962">
        <w:rPr>
          <w:szCs w:val="24"/>
          <w:lang w:val="sr-Latn-ME"/>
        </w:rPr>
        <w:t>5</w:t>
      </w:r>
      <w:r w:rsidRPr="00B35962">
        <w:rPr>
          <w:szCs w:val="24"/>
          <w:lang w:val="sr-Latn-ME"/>
        </w:rPr>
        <w:t xml:space="preserve"> posebno uvažava obaveze Crne Gore iz Konvencije o pravima </w:t>
      </w:r>
      <w:r w:rsidR="00C933D7" w:rsidRPr="00B35962">
        <w:rPr>
          <w:szCs w:val="24"/>
          <w:lang w:val="sr-Latn-ME"/>
        </w:rPr>
        <w:t>dj</w:t>
      </w:r>
      <w:r w:rsidRPr="00B35962">
        <w:rPr>
          <w:szCs w:val="24"/>
          <w:lang w:val="sr-Latn-ME"/>
        </w:rPr>
        <w:t>eteta</w:t>
      </w:r>
      <w:r w:rsidR="00C933D7" w:rsidRPr="00B35962">
        <w:rPr>
          <w:szCs w:val="24"/>
          <w:lang w:val="sr-Latn-ME"/>
        </w:rPr>
        <w:t xml:space="preserve"> i preporuka Komiteta za prava dj</w:t>
      </w:r>
      <w:r w:rsidRPr="00B35962">
        <w:rPr>
          <w:szCs w:val="24"/>
          <w:lang w:val="sr-Latn-ME"/>
        </w:rPr>
        <w:t xml:space="preserve">eteta i obaveza u pregovaračkim poglavljima </w:t>
      </w:r>
      <w:r w:rsidRPr="00B35962">
        <w:rPr>
          <w:i/>
          <w:szCs w:val="24"/>
          <w:lang w:val="sr-Latn-ME"/>
        </w:rPr>
        <w:t>23</w:t>
      </w:r>
      <w:r w:rsidRPr="00B35962">
        <w:rPr>
          <w:szCs w:val="24"/>
          <w:lang w:val="sr-Latn-ME"/>
        </w:rPr>
        <w:t xml:space="preserve"> </w:t>
      </w:r>
      <w:r w:rsidRPr="00B35962">
        <w:rPr>
          <w:i/>
          <w:szCs w:val="24"/>
          <w:lang w:val="sr-Latn-ME"/>
        </w:rPr>
        <w:t>- Pravosuđe i temeljna prava</w:t>
      </w:r>
      <w:r w:rsidRPr="00B35962">
        <w:rPr>
          <w:szCs w:val="24"/>
          <w:lang w:val="sr-Latn-ME"/>
        </w:rPr>
        <w:t xml:space="preserve"> i 26 </w:t>
      </w:r>
      <w:r w:rsidRPr="00B35962">
        <w:rPr>
          <w:i/>
          <w:szCs w:val="24"/>
          <w:lang w:val="sr-Latn-ME"/>
        </w:rPr>
        <w:t>- Obrazovanje i kultura</w:t>
      </w:r>
      <w:r w:rsidRPr="00B35962">
        <w:rPr>
          <w:szCs w:val="24"/>
          <w:lang w:val="sr-Latn-ME"/>
        </w:rPr>
        <w:t xml:space="preserve"> u procesu pregovora o pristupanju EU u odnosu na ispunjenje principa pravičnosti i jednakih šansi koje upravo pruža rano učenje i predškolsko vaspitanje i obrazovanje. </w:t>
      </w:r>
      <w:r w:rsidR="00912969" w:rsidRPr="00B35962">
        <w:rPr>
          <w:szCs w:val="24"/>
          <w:lang w:val="sr-Latn-ME"/>
        </w:rPr>
        <w:t xml:space="preserve">On se kroz ovo Poglavlje </w:t>
      </w:r>
      <w:r w:rsidR="00023674" w:rsidRPr="00B35962">
        <w:rPr>
          <w:szCs w:val="24"/>
          <w:lang w:val="sr-Latn-ME"/>
        </w:rPr>
        <w:t>oslanja na</w:t>
      </w:r>
      <w:r w:rsidR="00351F25" w:rsidRPr="00B35962">
        <w:rPr>
          <w:szCs w:val="24"/>
          <w:lang w:val="sr-Latn-ME"/>
        </w:rPr>
        <w:t xml:space="preserve"> </w:t>
      </w:r>
      <w:r w:rsidR="00351F25" w:rsidRPr="00B35962">
        <w:rPr>
          <w:bCs/>
          <w:szCs w:val="24"/>
          <w:lang w:val="sr-Latn-ME"/>
        </w:rPr>
        <w:t xml:space="preserve">Strateški okvir obrazovanje i obuka 2020 (ET2020) </w:t>
      </w:r>
      <w:r w:rsidR="00023674" w:rsidRPr="00B35962">
        <w:rPr>
          <w:bCs/>
          <w:szCs w:val="24"/>
          <w:lang w:val="sr-Latn-ME"/>
        </w:rPr>
        <w:t>i</w:t>
      </w:r>
      <w:r w:rsidR="00351F25" w:rsidRPr="00B35962">
        <w:rPr>
          <w:szCs w:val="24"/>
          <w:lang w:val="sr-Latn-ME"/>
        </w:rPr>
        <w:t xml:space="preserve"> referentnu vrijedno</w:t>
      </w:r>
      <w:r w:rsidR="00023674" w:rsidRPr="00B35962">
        <w:rPr>
          <w:szCs w:val="24"/>
          <w:lang w:val="sr-Latn-ME"/>
        </w:rPr>
        <w:t>st da</w:t>
      </w:r>
      <w:r w:rsidR="00351F25" w:rsidRPr="00B35962">
        <w:rPr>
          <w:szCs w:val="24"/>
          <w:lang w:val="sr-Latn-ME"/>
        </w:rPr>
        <w:t xml:space="preserve"> najmanje 95 % </w:t>
      </w:r>
      <w:r w:rsidR="00023674" w:rsidRPr="00B35962">
        <w:rPr>
          <w:szCs w:val="24"/>
          <w:lang w:val="sr-Latn-ME"/>
        </w:rPr>
        <w:t>djece (od 3. godine do početka školovanja) treba</w:t>
      </w:r>
      <w:r w:rsidR="00351F25" w:rsidRPr="00B35962">
        <w:rPr>
          <w:szCs w:val="24"/>
          <w:lang w:val="sr-Latn-ME"/>
        </w:rPr>
        <w:t xml:space="preserve"> biti obuhvaćeno ranim i predškolskom vaspitanjem i obrazovanje. S</w:t>
      </w:r>
      <w:r w:rsidR="009A12C8" w:rsidRPr="00B35962">
        <w:rPr>
          <w:szCs w:val="24"/>
          <w:lang w:val="sr-Latn-ME"/>
        </w:rPr>
        <w:t xml:space="preserve"> </w:t>
      </w:r>
      <w:r w:rsidR="00351F25" w:rsidRPr="00B35962">
        <w:rPr>
          <w:szCs w:val="24"/>
          <w:lang w:val="sr-Latn-ME"/>
        </w:rPr>
        <w:t>tim u vezi Preporuka o visokokvalitetnim sistemima ranog i predškolskog vaspitanja i obrazovanja iz 20</w:t>
      </w:r>
      <w:r w:rsidR="00023674" w:rsidRPr="00B35962">
        <w:rPr>
          <w:szCs w:val="24"/>
          <w:lang w:val="sr-Latn-ME"/>
        </w:rPr>
        <w:t xml:space="preserve">19. godine ističe da </w:t>
      </w:r>
      <w:r w:rsidR="00351F25" w:rsidRPr="00B35962">
        <w:rPr>
          <w:szCs w:val="24"/>
          <w:lang w:val="sr-Latn-ME"/>
        </w:rPr>
        <w:t xml:space="preserve">treba raditi na: poboljšaju pristupa visokokvalitetnom ranom i predškolskom vaspitanju i </w:t>
      </w:r>
      <w:r w:rsidR="00023674" w:rsidRPr="00B35962">
        <w:rPr>
          <w:szCs w:val="24"/>
          <w:lang w:val="sr-Latn-ME"/>
        </w:rPr>
        <w:t xml:space="preserve">obrazovanje; </w:t>
      </w:r>
      <w:r w:rsidR="00351F25" w:rsidRPr="00B35962">
        <w:rPr>
          <w:szCs w:val="24"/>
          <w:lang w:val="sr-Latn-ME"/>
        </w:rPr>
        <w:t>obezbjeđenju pristupačnih, cjenovno prihvatljivih i uključivih usluga ranog i predškolskog vaspitanja i obrazovanja</w:t>
      </w:r>
      <w:r w:rsidR="00023674" w:rsidRPr="00B35962">
        <w:rPr>
          <w:szCs w:val="24"/>
          <w:lang w:val="sr-Latn-ME"/>
        </w:rPr>
        <w:t xml:space="preserve">; </w:t>
      </w:r>
      <w:r w:rsidR="00351F25" w:rsidRPr="00B35962">
        <w:rPr>
          <w:szCs w:val="24"/>
          <w:lang w:val="sr-Latn-ME"/>
        </w:rPr>
        <w:t>podršci profesionalizacij</w:t>
      </w:r>
      <w:r w:rsidR="00360B3B">
        <w:rPr>
          <w:szCs w:val="24"/>
          <w:lang w:val="sr-Latn-ME"/>
        </w:rPr>
        <w:t>i</w:t>
      </w:r>
      <w:r w:rsidR="00351F25" w:rsidRPr="00B35962">
        <w:rPr>
          <w:szCs w:val="24"/>
          <w:lang w:val="sr-Latn-ME"/>
        </w:rPr>
        <w:t xml:space="preserve"> osoblja uključenog u rano i predš</w:t>
      </w:r>
      <w:r w:rsidR="00023674" w:rsidRPr="00B35962">
        <w:rPr>
          <w:szCs w:val="24"/>
          <w:lang w:val="sr-Latn-ME"/>
        </w:rPr>
        <w:t>kolsko vaspitanje i obrazovanje; p</w:t>
      </w:r>
      <w:r w:rsidR="00351F25" w:rsidRPr="00B35962">
        <w:rPr>
          <w:szCs w:val="24"/>
          <w:lang w:val="sr-Latn-ME"/>
        </w:rPr>
        <w:t>oboljšajnju razvoja programa u području ranog i predškolskog vaspitanja i obrazovanja kako bi se pratili interesi djece, njegovala njihova dobrobit i ispunile jedinstvene potrebe i potencijal svakog pojedinačnog djeteta, uključujući i one sa posebnim obrazovnim potrebama ili u ranjivom ili nepovoljnom položaju</w:t>
      </w:r>
      <w:r w:rsidR="00023674" w:rsidRPr="00B35962">
        <w:rPr>
          <w:szCs w:val="24"/>
          <w:lang w:val="sr-Latn-ME"/>
        </w:rPr>
        <w:t>;</w:t>
      </w:r>
      <w:r w:rsidR="00351F25" w:rsidRPr="00B35962">
        <w:rPr>
          <w:szCs w:val="24"/>
          <w:lang w:val="sr-Latn-ME"/>
        </w:rPr>
        <w:t xml:space="preserve"> promociji transparentnog i usklađenog praćenja i vrednovanja usluga ranog i predškolskog vaspitanja i obrazovanja na odgovarajućim nivoima u cilju razvoja i sprovođenja politika</w:t>
      </w:r>
      <w:r w:rsidR="00023674" w:rsidRPr="00B35962">
        <w:rPr>
          <w:szCs w:val="24"/>
          <w:lang w:val="sr-Latn-ME"/>
        </w:rPr>
        <w:t>;</w:t>
      </w:r>
      <w:r w:rsidR="00351F25" w:rsidRPr="00B35962">
        <w:rPr>
          <w:szCs w:val="24"/>
          <w:lang w:val="sr-Latn-ME"/>
        </w:rPr>
        <w:t xml:space="preserve"> obezbjeđenju odgovarajućih finansijskih sredstava i pravnog okvira za pružanje usluga ranog i predškolskog vaspitanja i obrazovanja. </w:t>
      </w:r>
    </w:p>
    <w:p w14:paraId="24699DC0" w14:textId="77777777" w:rsidR="00360B3B" w:rsidRPr="00B35962" w:rsidRDefault="00360B3B" w:rsidP="00360B3B">
      <w:pPr>
        <w:spacing w:after="160"/>
        <w:rPr>
          <w:szCs w:val="24"/>
          <w:lang w:val="sr-Latn-ME"/>
        </w:rPr>
      </w:pPr>
      <w:r>
        <w:rPr>
          <w:szCs w:val="24"/>
          <w:lang w:val="sr-Latn-ME"/>
        </w:rPr>
        <w:t>Nadalje,</w:t>
      </w:r>
      <w:r w:rsidRPr="00B35962">
        <w:rPr>
          <w:szCs w:val="24"/>
          <w:lang w:val="sr-Latn-ME"/>
        </w:rPr>
        <w:t xml:space="preserve"> Studij</w:t>
      </w:r>
      <w:r>
        <w:rPr>
          <w:szCs w:val="24"/>
          <w:lang w:val="sr-Latn-ME"/>
        </w:rPr>
        <w:t>a</w:t>
      </w:r>
      <w:r w:rsidRPr="00B35962">
        <w:rPr>
          <w:szCs w:val="24"/>
          <w:lang w:val="sr-Latn-ME"/>
        </w:rPr>
        <w:t xml:space="preserve"> Evropskog parlamenta iz 2015 „European Child Guarantee”</w:t>
      </w:r>
      <w:r>
        <w:rPr>
          <w:szCs w:val="24"/>
          <w:lang w:val="sr-Latn-ME"/>
        </w:rPr>
        <w:t>, kao</w:t>
      </w:r>
      <w:r w:rsidRPr="00B35962">
        <w:rPr>
          <w:szCs w:val="24"/>
          <w:lang w:val="sr-Latn-ME"/>
        </w:rPr>
        <w:t xml:space="preserve"> </w:t>
      </w:r>
      <w:r>
        <w:rPr>
          <w:szCs w:val="24"/>
          <w:lang w:val="sr-Latn-ME"/>
        </w:rPr>
        <w:t xml:space="preserve">referentni </w:t>
      </w:r>
      <w:r w:rsidRPr="00B35962">
        <w:rPr>
          <w:szCs w:val="24"/>
          <w:lang w:val="sr-Latn-ME"/>
        </w:rPr>
        <w:t>dokument u oblasti predškolskog vaspitanja i obrazovanja</w:t>
      </w:r>
      <w:r>
        <w:rPr>
          <w:szCs w:val="24"/>
          <w:lang w:val="sr-Latn-ME"/>
        </w:rPr>
        <w:t>,</w:t>
      </w:r>
      <w:r w:rsidRPr="00B35962">
        <w:rPr>
          <w:szCs w:val="24"/>
          <w:lang w:val="sr-Latn-ME"/>
        </w:rPr>
        <w:t xml:space="preserve"> </w:t>
      </w:r>
      <w:r>
        <w:rPr>
          <w:szCs w:val="24"/>
          <w:lang w:val="sr-Latn-ME"/>
        </w:rPr>
        <w:t xml:space="preserve">upućuje da je važno </w:t>
      </w:r>
      <w:r w:rsidRPr="00B35962">
        <w:rPr>
          <w:szCs w:val="24"/>
          <w:lang w:val="sr-Latn-ME"/>
        </w:rPr>
        <w:t>da</w:t>
      </w:r>
      <w:r>
        <w:rPr>
          <w:szCs w:val="24"/>
          <w:lang w:val="sr-Latn-ME"/>
        </w:rPr>
        <w:t xml:space="preserve"> se</w:t>
      </w:r>
      <w:r w:rsidRPr="00B35962">
        <w:rPr>
          <w:szCs w:val="24"/>
          <w:lang w:val="sr-Latn-ME"/>
        </w:rPr>
        <w:t xml:space="preserve"> stvor</w:t>
      </w:r>
      <w:r>
        <w:rPr>
          <w:szCs w:val="24"/>
          <w:lang w:val="sr-Latn-ME"/>
        </w:rPr>
        <w:t>e</w:t>
      </w:r>
      <w:r w:rsidRPr="00B35962">
        <w:rPr>
          <w:szCs w:val="24"/>
          <w:lang w:val="sr-Latn-ME"/>
        </w:rPr>
        <w:t xml:space="preserve"> uslov</w:t>
      </w:r>
      <w:r>
        <w:rPr>
          <w:szCs w:val="24"/>
          <w:lang w:val="sr-Latn-ME"/>
        </w:rPr>
        <w:t>i</w:t>
      </w:r>
      <w:r w:rsidRPr="00B35962">
        <w:rPr>
          <w:szCs w:val="24"/>
          <w:lang w:val="sr-Latn-ME"/>
        </w:rPr>
        <w:t xml:space="preserve"> i obezbijedi besplatno i kvalitetno uključivanje i obuhvat posebno za djecu RE populacije, te u riziku od siromaštva</w:t>
      </w:r>
      <w:r>
        <w:rPr>
          <w:szCs w:val="24"/>
          <w:lang w:val="sr-Latn-ME"/>
        </w:rPr>
        <w:t xml:space="preserve"> i Strategija </w:t>
      </w:r>
      <w:r w:rsidRPr="00B35962">
        <w:rPr>
          <w:szCs w:val="24"/>
          <w:lang w:val="sr-Latn-ME"/>
        </w:rPr>
        <w:t>ranog i predškolskog vaspitanja i obrazovanja</w:t>
      </w:r>
      <w:r>
        <w:rPr>
          <w:szCs w:val="24"/>
          <w:lang w:val="sr-Latn-ME"/>
        </w:rPr>
        <w:t xml:space="preserve"> prati ove preporuke</w:t>
      </w:r>
      <w:r w:rsidRPr="00B35962">
        <w:rPr>
          <w:szCs w:val="24"/>
          <w:lang w:val="sr-Latn-ME"/>
        </w:rPr>
        <w:t xml:space="preserve">. </w:t>
      </w:r>
    </w:p>
    <w:p w14:paraId="02D5897F" w14:textId="77777777" w:rsidR="00360B3B" w:rsidRPr="00B35962" w:rsidRDefault="00360B3B" w:rsidP="00360B3B">
      <w:pPr>
        <w:spacing w:after="160"/>
        <w:rPr>
          <w:szCs w:val="24"/>
          <w:lang w:val="sr-Latn-ME"/>
        </w:rPr>
      </w:pPr>
      <w:r w:rsidRPr="00B35962">
        <w:rPr>
          <w:szCs w:val="24"/>
          <w:lang w:val="sr-Latn-ME"/>
        </w:rPr>
        <w:t xml:space="preserve">Takođe, teži visokoj saglasnosti s Evropskim stubom za socijalna prava (Evropski socijalni fond+) čiji se jedan od principa u Poglavlju III: Socijalna zaštita i inkluzija - 11. Briga o djeci i podrška djeci – odnosi na to da djeca imaju pravo na kvalitetno rano obrazovanje i njegu, zaštitu od siromaštva i posebne mjere za unapređenje jednakih mogućnosti. </w:t>
      </w:r>
    </w:p>
    <w:p w14:paraId="55089032" w14:textId="77777777" w:rsidR="00360B3B" w:rsidRPr="00B35962" w:rsidRDefault="00360B3B" w:rsidP="00360B3B">
      <w:pPr>
        <w:rPr>
          <w:szCs w:val="24"/>
          <w:lang w:val="sr-Latn-ME"/>
        </w:rPr>
      </w:pPr>
      <w:r w:rsidRPr="00B35962">
        <w:rPr>
          <w:szCs w:val="24"/>
          <w:lang w:val="sr-Latn-ME"/>
        </w:rPr>
        <w:t>Potom, prati Ciljeve održivog razvoja UN-a (SDG4 „Kvalitetno obrazovanje“) – koji teže da se do 2030 osigura da svaka djevojčica i dječak imaju pristup kvalitetnom ranom razvoju, brizi i predškolskom obrazovanju, tako da budu spremni za dalje školovanje. Ovo se konkretizuje kroz dokument Obrazovanje 2030 Okvir za akciju – za implementaciju Ciljeva održivog razvoja. Cilj 4 podstiče kvalitetno predškolsko obrazovanje na na</w:t>
      </w:r>
      <w:r>
        <w:rPr>
          <w:szCs w:val="24"/>
          <w:lang w:val="sr-Latn-ME"/>
        </w:rPr>
        <w:t>č</w:t>
      </w:r>
      <w:r w:rsidRPr="00B35962">
        <w:rPr>
          <w:szCs w:val="24"/>
          <w:lang w:val="sr-Latn-ME"/>
        </w:rPr>
        <w:t>in da sva djeca imaju pristup kvalitetnom ranom razvoju, njezi i obrazovanju kako bi se obezbijedi</w:t>
      </w:r>
      <w:r>
        <w:rPr>
          <w:szCs w:val="24"/>
          <w:lang w:val="sr-Latn-ME"/>
        </w:rPr>
        <w:t>l</w:t>
      </w:r>
      <w:r w:rsidRPr="00B35962">
        <w:rPr>
          <w:szCs w:val="24"/>
          <w:lang w:val="sr-Latn-ME"/>
        </w:rPr>
        <w:t xml:space="preserve">o dugoročno učenje i zdravlje. </w:t>
      </w:r>
    </w:p>
    <w:p w14:paraId="4490BDCF" w14:textId="77777777" w:rsidR="00360B3B" w:rsidRPr="00B35962" w:rsidRDefault="00360B3B" w:rsidP="00360B3B">
      <w:pPr>
        <w:rPr>
          <w:szCs w:val="24"/>
          <w:lang w:val="sr-Latn-ME"/>
        </w:rPr>
      </w:pPr>
    </w:p>
    <w:p w14:paraId="7FCE9167" w14:textId="77777777" w:rsidR="00360B3B" w:rsidRDefault="00360B3B" w:rsidP="00360B3B">
      <w:pPr>
        <w:rPr>
          <w:szCs w:val="24"/>
          <w:lang w:val="sr-Latn-ME"/>
        </w:rPr>
      </w:pPr>
      <w:r w:rsidRPr="00B35962">
        <w:rPr>
          <w:szCs w:val="24"/>
          <w:lang w:val="sr-Latn-ME"/>
        </w:rPr>
        <w:t xml:space="preserve">Strategija je u vezi s Integrisanim programom UN za Crnu Goru 2017 - 2021. u namjeri da stanovništvo ima unaprijeđen i jednak pristup kvalitetnim, inkluzivnim i uzajamno podržavajućim sistemima zdravstva, obrazovanja, zaštite i dostojanstvenog rada, a ponajviše u odnosu na </w:t>
      </w:r>
      <w:r w:rsidRPr="00B35962">
        <w:rPr>
          <w:szCs w:val="24"/>
          <w:lang w:val="sr-Latn-ME"/>
        </w:rPr>
        <w:lastRenderedPageBreak/>
        <w:t>Indikator 1 i stopu upisa u predškolske ustanove (3–6 godina) čija je ciljna Ciljna vrijednost (2020/21) 80%.</w:t>
      </w:r>
    </w:p>
    <w:p w14:paraId="57CC50DE" w14:textId="77777777" w:rsidR="00360B3B" w:rsidRDefault="00360B3B" w:rsidP="00360B3B">
      <w:pPr>
        <w:pStyle w:val="NoSpacing"/>
        <w:rPr>
          <w:lang w:val="sr-Latn-ME"/>
        </w:rPr>
      </w:pPr>
    </w:p>
    <w:p w14:paraId="2CB5C139" w14:textId="3CCB2161" w:rsidR="00116EBC" w:rsidRPr="00B35962" w:rsidRDefault="00116EBC" w:rsidP="008A6793">
      <w:pPr>
        <w:spacing w:after="160"/>
        <w:rPr>
          <w:bCs/>
          <w:szCs w:val="24"/>
          <w:lang w:val="sr-Latn-ME"/>
        </w:rPr>
      </w:pPr>
      <w:r w:rsidRPr="00B35962">
        <w:rPr>
          <w:lang w:val="sr-Latn-ME"/>
        </w:rPr>
        <w:t xml:space="preserve">Strategija je </w:t>
      </w:r>
      <w:r w:rsidRPr="00B35962">
        <w:rPr>
          <w:bCs/>
          <w:szCs w:val="24"/>
          <w:lang w:val="sr-Latn-ME"/>
        </w:rPr>
        <w:t>komplementarna s</w:t>
      </w:r>
      <w:r w:rsidR="001A57BB" w:rsidRPr="00B35962">
        <w:rPr>
          <w:bCs/>
          <w:szCs w:val="24"/>
          <w:lang w:val="sr-Latn-ME"/>
        </w:rPr>
        <w:t xml:space="preserve"> domaćim</w:t>
      </w:r>
      <w:r w:rsidRPr="00B35962">
        <w:rPr>
          <w:bCs/>
          <w:szCs w:val="24"/>
          <w:lang w:val="sr-Latn-ME"/>
        </w:rPr>
        <w:t xml:space="preserve"> dokumentima:</w:t>
      </w:r>
    </w:p>
    <w:p w14:paraId="53C26167" w14:textId="58ABC5FD" w:rsidR="002A424B" w:rsidRPr="00B35962" w:rsidRDefault="00116EBC" w:rsidP="002A424B">
      <w:pPr>
        <w:pStyle w:val="ListParagraph"/>
        <w:numPr>
          <w:ilvl w:val="0"/>
          <w:numId w:val="5"/>
        </w:numPr>
        <w:autoSpaceDE w:val="0"/>
        <w:autoSpaceDN w:val="0"/>
        <w:adjustRightInd w:val="0"/>
        <w:ind w:left="720" w:right="300"/>
        <w:contextualSpacing w:val="0"/>
        <w:rPr>
          <w:szCs w:val="24"/>
          <w:lang w:val="sr-Latn-ME"/>
        </w:rPr>
      </w:pPr>
      <w:r w:rsidRPr="00B35962">
        <w:rPr>
          <w:i/>
          <w:szCs w:val="24"/>
          <w:lang w:val="sr-Latn-ME"/>
        </w:rPr>
        <w:t xml:space="preserve">Strategija za ostvarivanje prava djeteta u Crnoj Gori 2019-2023 </w:t>
      </w:r>
      <w:r w:rsidRPr="00B35962">
        <w:rPr>
          <w:szCs w:val="24"/>
          <w:lang w:val="sr-Latn-ME"/>
        </w:rPr>
        <w:t>u dijelu poboljšanja</w:t>
      </w:r>
      <w:r w:rsidR="00C933D7" w:rsidRPr="00B35962">
        <w:rPr>
          <w:szCs w:val="24"/>
          <w:lang w:val="sr-Latn-ME"/>
        </w:rPr>
        <w:t xml:space="preserve"> -kvaliteta obrazovanja za svu dj</w:t>
      </w:r>
      <w:r w:rsidRPr="00B35962">
        <w:rPr>
          <w:szCs w:val="24"/>
          <w:lang w:val="sr-Latn-ME"/>
        </w:rPr>
        <w:t>ecu</w:t>
      </w:r>
      <w:r w:rsidR="002A424B" w:rsidRPr="00B35962">
        <w:rPr>
          <w:szCs w:val="24"/>
          <w:lang w:val="sr-Latn-ME"/>
        </w:rPr>
        <w:t xml:space="preserve"> kroz </w:t>
      </w:r>
      <w:r w:rsidR="002A424B" w:rsidRPr="00B35962">
        <w:rPr>
          <w:bCs/>
          <w:szCs w:val="24"/>
          <w:lang w:val="sr-Latn-ME"/>
        </w:rPr>
        <w:t>Strateški cilj II koji se odnosi na poboljšanje dostupnosti i kvalitet</w:t>
      </w:r>
      <w:r w:rsidR="00DE3D03">
        <w:rPr>
          <w:bCs/>
          <w:szCs w:val="24"/>
          <w:lang w:val="sr-Latn-ME"/>
        </w:rPr>
        <w:t>a</w:t>
      </w:r>
      <w:r w:rsidR="002A424B" w:rsidRPr="00B35962">
        <w:rPr>
          <w:bCs/>
          <w:szCs w:val="24"/>
          <w:lang w:val="sr-Latn-ME"/>
        </w:rPr>
        <w:t xml:space="preserve"> socijalne i zdravstvene zaštite i obrazovanja za svu djecu.  </w:t>
      </w:r>
    </w:p>
    <w:p w14:paraId="3BE589F0" w14:textId="77777777" w:rsidR="00DE3D03" w:rsidRPr="00B35962" w:rsidRDefault="00DE3D03" w:rsidP="00DE3D03">
      <w:pPr>
        <w:pStyle w:val="ListParagraph"/>
        <w:numPr>
          <w:ilvl w:val="0"/>
          <w:numId w:val="5"/>
        </w:numPr>
        <w:autoSpaceDE w:val="0"/>
        <w:autoSpaceDN w:val="0"/>
        <w:adjustRightInd w:val="0"/>
        <w:ind w:left="720" w:right="300"/>
        <w:contextualSpacing w:val="0"/>
        <w:rPr>
          <w:szCs w:val="24"/>
          <w:lang w:val="sr-Latn-ME"/>
        </w:rPr>
      </w:pPr>
      <w:r w:rsidRPr="00B35962">
        <w:rPr>
          <w:i/>
          <w:szCs w:val="24"/>
          <w:lang w:val="sr-Latn-ME"/>
        </w:rPr>
        <w:t xml:space="preserve">Strategija inkluzivnog obrazovanja 2019-2025 </w:t>
      </w:r>
      <w:r w:rsidRPr="00B35962">
        <w:rPr>
          <w:szCs w:val="24"/>
          <w:lang w:val="sr-Latn-ME"/>
        </w:rPr>
        <w:t>u odnosu na dostupnost, pravičnost, jednakost, kontinuitet i kvalitet</w:t>
      </w:r>
      <w:r>
        <w:rPr>
          <w:szCs w:val="24"/>
          <w:lang w:val="sr-Latn-ME"/>
        </w:rPr>
        <w:t xml:space="preserve"> koji počinje na naj</w:t>
      </w:r>
      <w:r w:rsidRPr="00B35962">
        <w:rPr>
          <w:szCs w:val="24"/>
          <w:lang w:val="sr-Latn-ME"/>
        </w:rPr>
        <w:t>ranijem uzrastu</w:t>
      </w:r>
      <w:r>
        <w:rPr>
          <w:szCs w:val="24"/>
          <w:lang w:val="sr-Latn-ME"/>
        </w:rPr>
        <w:t>, te u</w:t>
      </w:r>
      <w:r w:rsidRPr="00B35962">
        <w:rPr>
          <w:szCs w:val="24"/>
          <w:lang w:val="sr-Latn-ME"/>
        </w:rPr>
        <w:t xml:space="preserve"> pogledu praćenje razvoja djeteta s posebnim obrazovnim potrebama tokom predškolskog vaspitanja i obrazovanja, kao i prilikom prelaska u osnovnu školu. Podrška se ostvaruje u saradnji s resursnim centrima.</w:t>
      </w:r>
    </w:p>
    <w:p w14:paraId="4AA52CB3" w14:textId="4D0B40F4" w:rsidR="002A424B" w:rsidRPr="00B35962" w:rsidRDefault="00116EBC" w:rsidP="002A424B">
      <w:pPr>
        <w:pStyle w:val="ListParagraph"/>
        <w:numPr>
          <w:ilvl w:val="0"/>
          <w:numId w:val="5"/>
        </w:numPr>
        <w:autoSpaceDE w:val="0"/>
        <w:autoSpaceDN w:val="0"/>
        <w:adjustRightInd w:val="0"/>
        <w:ind w:left="720" w:right="300"/>
        <w:contextualSpacing w:val="0"/>
        <w:rPr>
          <w:szCs w:val="24"/>
          <w:lang w:val="sr-Latn-ME"/>
        </w:rPr>
      </w:pPr>
      <w:r w:rsidRPr="00B35962">
        <w:rPr>
          <w:i/>
          <w:szCs w:val="24"/>
          <w:lang w:val="sr-Latn-ME"/>
        </w:rPr>
        <w:t>Nacionalna strategija održivog razvoja 2030</w:t>
      </w:r>
      <w:r w:rsidRPr="00B35962">
        <w:rPr>
          <w:szCs w:val="24"/>
          <w:lang w:val="sr-Latn-ME"/>
        </w:rPr>
        <w:t xml:space="preserve"> kroz jačanje socijalne inkluzije, kvalitetnog obrazovanja i promo</w:t>
      </w:r>
      <w:r w:rsidR="00FD362F" w:rsidRPr="00B35962">
        <w:rPr>
          <w:szCs w:val="24"/>
          <w:lang w:val="sr-Latn-ME"/>
        </w:rPr>
        <w:t>ciju</w:t>
      </w:r>
      <w:r w:rsidRPr="00B35962">
        <w:rPr>
          <w:szCs w:val="24"/>
          <w:lang w:val="sr-Latn-ME"/>
        </w:rPr>
        <w:t xml:space="preserve"> mogućnosti.</w:t>
      </w:r>
      <w:r w:rsidR="002A424B" w:rsidRPr="00B35962">
        <w:rPr>
          <w:szCs w:val="24"/>
          <w:lang w:val="sr-Latn-ME"/>
        </w:rPr>
        <w:t xml:space="preserve"> Konkretno mjera </w:t>
      </w:r>
      <w:r w:rsidR="009C6D04" w:rsidRPr="00B35962">
        <w:rPr>
          <w:szCs w:val="24"/>
          <w:lang w:val="sr-Latn-ME"/>
        </w:rPr>
        <w:t xml:space="preserve">4.1.3. </w:t>
      </w:r>
      <w:r w:rsidR="002A424B" w:rsidRPr="00B35962">
        <w:rPr>
          <w:szCs w:val="24"/>
          <w:lang w:val="sr-Latn-ME"/>
        </w:rPr>
        <w:t xml:space="preserve">upućuje na </w:t>
      </w:r>
      <w:r w:rsidR="00DE3D03">
        <w:rPr>
          <w:szCs w:val="24"/>
          <w:lang w:val="sr-Latn-ME"/>
        </w:rPr>
        <w:t>o</w:t>
      </w:r>
      <w:r w:rsidR="009C6D04" w:rsidRPr="00B35962">
        <w:rPr>
          <w:szCs w:val="24"/>
          <w:lang w:val="sr-Latn-ME"/>
        </w:rPr>
        <w:t>bezbjeđivanje inkluzivnog i kvalitetnog obrazovanja i promovisanje mogućnosti cjeloživotnog učenja za sve</w:t>
      </w:r>
      <w:r w:rsidR="002A424B" w:rsidRPr="00B35962">
        <w:rPr>
          <w:szCs w:val="24"/>
          <w:lang w:val="sr-Latn-ME"/>
        </w:rPr>
        <w:t>.</w:t>
      </w:r>
      <w:r w:rsidR="009C6D04" w:rsidRPr="00B35962">
        <w:rPr>
          <w:szCs w:val="24"/>
          <w:lang w:val="sr-Latn-ME"/>
        </w:rPr>
        <w:t xml:space="preserve"> Jedan od strateških ciljeva koji imaju priritetetan značaj u oblasti ljudskih resursa u NSOR do 2030. godine, jeste obezbjeđivanje inkluzivnog i kvalitetnog obrazovanja i promovisanje mogućnosti cjeloživotnog učenja za sve. U ostvarivanju ovog cilja prioritetna je realizacija mjera: Obezbijediti sveobuhvatno, inkluzivno i kvalitetno predškolsko obrazovanje – SDG 4 (4.2 i 4.a). Podmjera 1.3.1.1 Obezbijediti da sve djevojčice i dječaci imaju pristup kvalitetnom razvoju, brizi i predškolskom obrazovanju u ranom djetinjstvu, tako da budu spremni za osnovno obrazovanje, SDG 4 (4.2). 1.3.1.2 Povećati obuhvat djece alternativnim programima predškolskog obrazovanja. 1.3.1.3 Povećati izdvajanja iz budžeta za predškolsko obrazovanje. 1.3.1.4 Izgraditi i nadograditi objekte za obrazovanje koji su prilagođeni djeci i osobama sa invaliditetom, koji su rodno senzitivni i pružaju bezbjedno, nenasilno, inkluzivno i djelotvorno okruženje za učenje za sve, SDG 4 (4.a).</w:t>
      </w:r>
    </w:p>
    <w:p w14:paraId="729C85CC" w14:textId="28669D49" w:rsidR="00EB7C0D" w:rsidRPr="00B35962" w:rsidRDefault="00AF63EB" w:rsidP="00EB7C0D">
      <w:pPr>
        <w:pStyle w:val="ListParagraph"/>
        <w:numPr>
          <w:ilvl w:val="0"/>
          <w:numId w:val="5"/>
        </w:numPr>
        <w:autoSpaceDE w:val="0"/>
        <w:autoSpaceDN w:val="0"/>
        <w:adjustRightInd w:val="0"/>
        <w:ind w:left="720" w:right="300"/>
        <w:contextualSpacing w:val="0"/>
        <w:rPr>
          <w:szCs w:val="24"/>
          <w:lang w:val="sr-Latn-ME"/>
        </w:rPr>
      </w:pPr>
      <w:r w:rsidRPr="00B35962">
        <w:rPr>
          <w:i/>
          <w:szCs w:val="24"/>
          <w:lang w:val="sr-Latn-ME"/>
        </w:rPr>
        <w:t xml:space="preserve">Akcioni plan za poboljšanje postignuća učenika na PISA testiranju </w:t>
      </w:r>
      <w:r w:rsidRPr="00B35962">
        <w:rPr>
          <w:iCs/>
          <w:szCs w:val="24"/>
          <w:lang w:val="sr-Latn-ME"/>
        </w:rPr>
        <w:t>kroz unapređenje kvaliteta i pravednosti prilika za rani razvoj usl</w:t>
      </w:r>
      <w:r w:rsidR="00EB7C0D" w:rsidRPr="00B35962">
        <w:rPr>
          <w:iCs/>
          <w:szCs w:val="24"/>
          <w:lang w:val="sr-Latn-ME"/>
        </w:rPr>
        <w:t>j</w:t>
      </w:r>
      <w:r w:rsidRPr="00B35962">
        <w:rPr>
          <w:iCs/>
          <w:szCs w:val="24"/>
          <w:lang w:val="sr-Latn-ME"/>
        </w:rPr>
        <w:t>ed čega će sva djeca biti bolje pripremljena za osnovno obrazovanje</w:t>
      </w:r>
      <w:r w:rsidR="00EB7C0D" w:rsidRPr="00B35962">
        <w:rPr>
          <w:iCs/>
          <w:szCs w:val="24"/>
          <w:lang w:val="sr-Latn-ME"/>
        </w:rPr>
        <w:t xml:space="preserve"> jer je dokazano da </w:t>
      </w:r>
      <w:r w:rsidR="00EB7C0D" w:rsidRPr="00B35962">
        <w:rPr>
          <w:szCs w:val="24"/>
          <w:lang w:val="sr-Latn-ME"/>
        </w:rPr>
        <w:t xml:space="preserve">pohađanje </w:t>
      </w:r>
      <w:r w:rsidR="00EB7C0D" w:rsidRPr="00B35962">
        <w:rPr>
          <w:i/>
          <w:szCs w:val="24"/>
          <w:lang w:val="sr-Latn-ME"/>
        </w:rPr>
        <w:t>predškolskog vaspitanja i obrazovanja povezano s kasnijim uspjehom učenika</w:t>
      </w:r>
      <w:r w:rsidR="00EB7C0D" w:rsidRPr="00B35962">
        <w:rPr>
          <w:szCs w:val="24"/>
          <w:lang w:val="sr-Latn-ME"/>
        </w:rPr>
        <w:t>. Bolje rezultate imaju petnaestogodišnjaci koji su duže od godinu pohađali predškolsko vaspitanje i obrazovanje nego oni koji nijesu. Razlika u nivou čitalačke pismenosti je 54 poena, što odgovara jednoj i po godini formalnog obrazovanja.</w:t>
      </w:r>
    </w:p>
    <w:p w14:paraId="3DB0BC59" w14:textId="2035B012" w:rsidR="009C6D04" w:rsidRPr="00B35962" w:rsidRDefault="002A424B" w:rsidP="002A424B">
      <w:pPr>
        <w:pStyle w:val="ListParagraph"/>
        <w:numPr>
          <w:ilvl w:val="0"/>
          <w:numId w:val="5"/>
        </w:numPr>
        <w:autoSpaceDE w:val="0"/>
        <w:autoSpaceDN w:val="0"/>
        <w:adjustRightInd w:val="0"/>
        <w:ind w:left="720" w:right="300"/>
        <w:contextualSpacing w:val="0"/>
        <w:rPr>
          <w:szCs w:val="24"/>
          <w:lang w:val="sr-Latn-ME"/>
        </w:rPr>
      </w:pPr>
      <w:r w:rsidRPr="00B35962">
        <w:rPr>
          <w:szCs w:val="24"/>
          <w:lang w:val="sr-Latn-ME"/>
        </w:rPr>
        <w:t>Konačno</w:t>
      </w:r>
      <w:r w:rsidR="009C6D04" w:rsidRPr="00B35962">
        <w:rPr>
          <w:szCs w:val="24"/>
          <w:lang w:val="sr-Latn-ME"/>
        </w:rPr>
        <w:t xml:space="preserve">, prati Srednjoročni program rada Vlade u okviru čijeg Prioriteta 3 </w:t>
      </w:r>
      <w:r w:rsidRPr="00B35962">
        <w:rPr>
          <w:szCs w:val="24"/>
          <w:lang w:val="sr-Latn-ME"/>
        </w:rPr>
        <w:t>je definisan cilje</w:t>
      </w:r>
      <w:r w:rsidR="009C6D04" w:rsidRPr="00B35962">
        <w:rPr>
          <w:szCs w:val="24"/>
          <w:lang w:val="sr-Latn-ME"/>
        </w:rPr>
        <w:t xml:space="preserve"> 15. </w:t>
      </w:r>
      <w:r w:rsidR="00B35962" w:rsidRPr="00B35962">
        <w:rPr>
          <w:szCs w:val="24"/>
          <w:lang w:val="sr-Latn-ME"/>
        </w:rPr>
        <w:t>k</w:t>
      </w:r>
      <w:r w:rsidR="009C6D04" w:rsidRPr="00B35962">
        <w:rPr>
          <w:szCs w:val="24"/>
          <w:lang w:val="sr-Latn-ME"/>
        </w:rPr>
        <w:t>oji teži da se omogućiti veći obuhvat djece s predškolskim obrazovanjem.</w:t>
      </w:r>
    </w:p>
    <w:p w14:paraId="40367CB2" w14:textId="77777777" w:rsidR="002A424B" w:rsidRPr="00B35962" w:rsidRDefault="002A424B" w:rsidP="002A424B">
      <w:pPr>
        <w:pStyle w:val="NoSpacing"/>
        <w:rPr>
          <w:lang w:val="sr-Latn-ME"/>
        </w:rPr>
      </w:pPr>
    </w:p>
    <w:p w14:paraId="055A94C1" w14:textId="0C1973B8" w:rsidR="00D061FA" w:rsidRPr="00B35962" w:rsidRDefault="00D061FA" w:rsidP="008A6793">
      <w:pPr>
        <w:spacing w:after="160"/>
        <w:rPr>
          <w:lang w:val="sr-Latn-ME"/>
        </w:rPr>
      </w:pPr>
      <w:r w:rsidRPr="00B35962">
        <w:rPr>
          <w:lang w:val="sr-Latn-ME"/>
        </w:rPr>
        <w:t>St</w:t>
      </w:r>
      <w:r w:rsidR="008A6793" w:rsidRPr="00B35962">
        <w:rPr>
          <w:lang w:val="sr-Latn-ME"/>
        </w:rPr>
        <w:t>r</w:t>
      </w:r>
      <w:r w:rsidRPr="00B35962">
        <w:rPr>
          <w:lang w:val="sr-Latn-ME"/>
        </w:rPr>
        <w:t>ategija je pripremljena od strane međusektorske radne grupa u sa</w:t>
      </w:r>
      <w:r w:rsidR="00DE1B11">
        <w:rPr>
          <w:lang w:val="sr-Latn-ME"/>
        </w:rPr>
        <w:t>stavu: Arijana Nikolić Vučinić, Tamara Milić</w:t>
      </w:r>
      <w:r w:rsidRPr="00B35962">
        <w:rPr>
          <w:lang w:val="sr-Latn-ME"/>
        </w:rPr>
        <w:t>, Vesna Pejović</w:t>
      </w:r>
      <w:r w:rsidR="00DE1B11" w:rsidRPr="00DE1B11">
        <w:rPr>
          <w:lang w:val="sr-Latn-ME"/>
        </w:rPr>
        <w:t xml:space="preserve"> </w:t>
      </w:r>
      <w:r w:rsidR="00DE1B11">
        <w:rPr>
          <w:lang w:val="sr-Latn-ME"/>
        </w:rPr>
        <w:t>(</w:t>
      </w:r>
      <w:r w:rsidR="00DE1B11" w:rsidRPr="00B35962">
        <w:rPr>
          <w:lang w:val="sr-Latn-ME"/>
        </w:rPr>
        <w:t>Ministarstv</w:t>
      </w:r>
      <w:r w:rsidR="00DE1B11">
        <w:rPr>
          <w:lang w:val="sr-Latn-ME"/>
        </w:rPr>
        <w:t>o</w:t>
      </w:r>
      <w:r w:rsidR="00DE1B11" w:rsidRPr="00B35962">
        <w:rPr>
          <w:lang w:val="sr-Latn-ME"/>
        </w:rPr>
        <w:t xml:space="preserve"> prosvjete</w:t>
      </w:r>
      <w:r w:rsidR="00DE1B11">
        <w:rPr>
          <w:lang w:val="sr-Latn-ME"/>
        </w:rPr>
        <w:t>, kulture, nauke i sporta)</w:t>
      </w:r>
      <w:r w:rsidRPr="00B35962">
        <w:rPr>
          <w:lang w:val="sr-Latn-ME"/>
        </w:rPr>
        <w:t xml:space="preserve">, Nataša </w:t>
      </w:r>
      <w:r w:rsidRPr="00B35962">
        <w:rPr>
          <w:lang w:val="sr-Latn-ME"/>
        </w:rPr>
        <w:lastRenderedPageBreak/>
        <w:t>Tomović (Zavod za školstvo),</w:t>
      </w:r>
      <w:r w:rsidR="00CE3BD0">
        <w:rPr>
          <w:lang w:val="sr-Latn-ME"/>
        </w:rPr>
        <w:t xml:space="preserve"> Svetlana Sovilj (Ministarstvo finansija</w:t>
      </w:r>
      <w:r w:rsidRPr="00B35962">
        <w:rPr>
          <w:lang w:val="sr-Latn-ME"/>
        </w:rPr>
        <w:t xml:space="preserve"> i socijalnog staran</w:t>
      </w:r>
      <w:r w:rsidR="00DE1B11">
        <w:rPr>
          <w:lang w:val="sr-Latn-ME"/>
        </w:rPr>
        <w:t>ja), Saša Milić (</w:t>
      </w:r>
      <w:r w:rsidRPr="00B35962">
        <w:rPr>
          <w:lang w:val="sr-Latn-ME"/>
        </w:rPr>
        <w:t>Filozofsk</w:t>
      </w:r>
      <w:r w:rsidR="00DE1B11">
        <w:rPr>
          <w:lang w:val="sr-Latn-ME"/>
        </w:rPr>
        <w:t>i fakultet</w:t>
      </w:r>
      <w:r w:rsidRPr="00B35962">
        <w:rPr>
          <w:lang w:val="sr-Latn-ME"/>
        </w:rPr>
        <w:t xml:space="preserve"> u Nikšiću, Univerzitet Crne Gore), Nataša Jovićević (vaspitačica), Maja Radović (vasp</w:t>
      </w:r>
      <w:r w:rsidR="00DE1B11">
        <w:rPr>
          <w:lang w:val="sr-Latn-ME"/>
        </w:rPr>
        <w:t>itačica), Kristina Mihailović (</w:t>
      </w:r>
      <w:r w:rsidRPr="00B35962">
        <w:rPr>
          <w:lang w:val="sr-Latn-ME"/>
        </w:rPr>
        <w:t>NVO Udruženje R</w:t>
      </w:r>
      <w:r w:rsidR="00DE1B11">
        <w:rPr>
          <w:lang w:val="sr-Latn-ME"/>
        </w:rPr>
        <w:t>oditelji) i Aleksand</w:t>
      </w:r>
      <w:r w:rsidR="00E163D9">
        <w:rPr>
          <w:lang w:val="sr-Latn-ME"/>
        </w:rPr>
        <w:t>e</w:t>
      </w:r>
      <w:r w:rsidR="00DE1B11">
        <w:rPr>
          <w:lang w:val="sr-Latn-ME"/>
        </w:rPr>
        <w:t>r Baucal (</w:t>
      </w:r>
      <w:r w:rsidRPr="00B35962">
        <w:rPr>
          <w:lang w:val="sr-Latn-ME"/>
        </w:rPr>
        <w:t>Filozofsk</w:t>
      </w:r>
      <w:r w:rsidR="00DE1B11">
        <w:rPr>
          <w:lang w:val="sr-Latn-ME"/>
        </w:rPr>
        <w:t>i fakultet</w:t>
      </w:r>
      <w:r w:rsidRPr="00B35962">
        <w:rPr>
          <w:lang w:val="sr-Latn-ME"/>
        </w:rPr>
        <w:t xml:space="preserve"> u Beogradu).  </w:t>
      </w:r>
    </w:p>
    <w:p w14:paraId="014CB72E" w14:textId="77777777" w:rsidR="00E163D9" w:rsidRPr="00B35962" w:rsidRDefault="00E163D9" w:rsidP="00E163D9">
      <w:pPr>
        <w:spacing w:after="160"/>
        <w:rPr>
          <w:lang w:val="sr-Latn-ME"/>
        </w:rPr>
      </w:pPr>
      <w:bookmarkStart w:id="3" w:name="_Toc55295087"/>
      <w:r w:rsidRPr="00B35962">
        <w:rPr>
          <w:lang w:val="sr-Latn-ME"/>
        </w:rPr>
        <w:t>U cilju da se javnost upozna sa tekstom Strategije i dobije dokument koji održava najviši mogući stepen saglasnost</w:t>
      </w:r>
      <w:r>
        <w:rPr>
          <w:lang w:val="sr-Latn-ME"/>
        </w:rPr>
        <w:t>i</w:t>
      </w:r>
      <w:r w:rsidRPr="00B35962">
        <w:rPr>
          <w:lang w:val="sr-Latn-ME"/>
        </w:rPr>
        <w:t>, zadovoljenja potreba i interesa</w:t>
      </w:r>
      <w:r>
        <w:rPr>
          <w:lang w:val="sr-Latn-ME"/>
        </w:rPr>
        <w:t xml:space="preserve"> korisnika, praktičara, realizatora, opšte javnosti</w:t>
      </w:r>
      <w:r w:rsidRPr="00B35962">
        <w:rPr>
          <w:lang w:val="sr-Latn-ME"/>
        </w:rPr>
        <w:t xml:space="preserve">, organizovana je javna rasprava kako bi se, svim zainteresovanim stranama, omogućilo da učestvuju u procesu njenog donošenja. </w:t>
      </w:r>
    </w:p>
    <w:p w14:paraId="36814641" w14:textId="77777777" w:rsidR="00EB7C0D" w:rsidRPr="00B35962" w:rsidRDefault="00EB7C0D" w:rsidP="00550D6C">
      <w:pPr>
        <w:pStyle w:val="Heading1"/>
        <w:rPr>
          <w:rFonts w:cs="Times New Roman"/>
          <w:color w:val="0070C0"/>
          <w:lang w:val="sr-Latn-ME"/>
        </w:rPr>
      </w:pPr>
    </w:p>
    <w:p w14:paraId="18710109" w14:textId="77777777" w:rsidR="00EB7C0D" w:rsidRPr="00B35962" w:rsidRDefault="00EB7C0D" w:rsidP="00550D6C">
      <w:pPr>
        <w:pStyle w:val="Heading1"/>
        <w:rPr>
          <w:rFonts w:cs="Times New Roman"/>
          <w:color w:val="0070C0"/>
          <w:lang w:val="sr-Latn-ME"/>
        </w:rPr>
      </w:pPr>
    </w:p>
    <w:p w14:paraId="42416C71" w14:textId="77777777" w:rsidR="00EB7C0D" w:rsidRPr="00B35962" w:rsidRDefault="00EB7C0D" w:rsidP="00550D6C">
      <w:pPr>
        <w:pStyle w:val="Heading1"/>
        <w:rPr>
          <w:rFonts w:cs="Times New Roman"/>
          <w:color w:val="0070C0"/>
          <w:lang w:val="sr-Latn-ME"/>
        </w:rPr>
      </w:pPr>
    </w:p>
    <w:p w14:paraId="62EA1167" w14:textId="77777777" w:rsidR="00EB7C0D" w:rsidRPr="00B35962" w:rsidRDefault="00EB7C0D" w:rsidP="00550D6C">
      <w:pPr>
        <w:pStyle w:val="Heading1"/>
        <w:rPr>
          <w:rFonts w:cs="Times New Roman"/>
          <w:color w:val="0070C0"/>
          <w:lang w:val="sr-Latn-ME"/>
        </w:rPr>
      </w:pPr>
    </w:p>
    <w:p w14:paraId="48AA7AE7" w14:textId="77777777" w:rsidR="00EB7C0D" w:rsidRPr="00B35962" w:rsidRDefault="00EB7C0D" w:rsidP="00550D6C">
      <w:pPr>
        <w:pStyle w:val="Heading1"/>
        <w:rPr>
          <w:rFonts w:cs="Times New Roman"/>
          <w:color w:val="0070C0"/>
          <w:lang w:val="sr-Latn-ME"/>
        </w:rPr>
      </w:pPr>
    </w:p>
    <w:p w14:paraId="4F39CBA1" w14:textId="77777777" w:rsidR="00EB7C0D" w:rsidRPr="00B35962" w:rsidRDefault="00EB7C0D" w:rsidP="00550D6C">
      <w:pPr>
        <w:pStyle w:val="Heading1"/>
        <w:rPr>
          <w:rFonts w:cs="Times New Roman"/>
          <w:color w:val="0070C0"/>
          <w:lang w:val="sr-Latn-ME"/>
        </w:rPr>
      </w:pPr>
    </w:p>
    <w:p w14:paraId="7745C5EA" w14:textId="77777777" w:rsidR="00EB7C0D" w:rsidRPr="00B35962" w:rsidRDefault="00EB7C0D" w:rsidP="00550D6C">
      <w:pPr>
        <w:pStyle w:val="Heading1"/>
        <w:rPr>
          <w:rFonts w:cs="Times New Roman"/>
          <w:color w:val="0070C0"/>
          <w:lang w:val="sr-Latn-ME"/>
        </w:rPr>
      </w:pPr>
    </w:p>
    <w:p w14:paraId="4AC68776" w14:textId="77777777" w:rsidR="00EB7C0D" w:rsidRPr="00B35962" w:rsidRDefault="00EB7C0D" w:rsidP="00550D6C">
      <w:pPr>
        <w:pStyle w:val="Heading1"/>
        <w:rPr>
          <w:rFonts w:cs="Times New Roman"/>
          <w:color w:val="0070C0"/>
          <w:lang w:val="sr-Latn-ME"/>
        </w:rPr>
      </w:pPr>
    </w:p>
    <w:p w14:paraId="3D47919C" w14:textId="77777777" w:rsidR="00EB7C0D" w:rsidRPr="00B35962" w:rsidRDefault="00EB7C0D" w:rsidP="00550D6C">
      <w:pPr>
        <w:pStyle w:val="Heading1"/>
        <w:rPr>
          <w:rFonts w:cs="Times New Roman"/>
          <w:color w:val="0070C0"/>
          <w:lang w:val="sr-Latn-ME"/>
        </w:rPr>
      </w:pPr>
    </w:p>
    <w:p w14:paraId="7DA9DC0B" w14:textId="77777777" w:rsidR="00EB7C0D" w:rsidRPr="00B35962" w:rsidRDefault="00EB7C0D" w:rsidP="00550D6C">
      <w:pPr>
        <w:pStyle w:val="Heading1"/>
        <w:rPr>
          <w:rFonts w:cs="Times New Roman"/>
          <w:color w:val="0070C0"/>
          <w:lang w:val="sr-Latn-ME"/>
        </w:rPr>
      </w:pPr>
    </w:p>
    <w:p w14:paraId="786B920C" w14:textId="77777777" w:rsidR="00EB7C0D" w:rsidRPr="00B35962" w:rsidRDefault="00EB7C0D" w:rsidP="00550D6C">
      <w:pPr>
        <w:pStyle w:val="Heading1"/>
        <w:rPr>
          <w:rFonts w:cs="Times New Roman"/>
          <w:color w:val="0070C0"/>
          <w:lang w:val="sr-Latn-ME"/>
        </w:rPr>
      </w:pPr>
    </w:p>
    <w:p w14:paraId="467E192D" w14:textId="22DB8810" w:rsidR="00CE3BD0" w:rsidRDefault="00CE3BD0" w:rsidP="00550D6C">
      <w:pPr>
        <w:pStyle w:val="Heading1"/>
        <w:rPr>
          <w:rFonts w:cs="Times New Roman"/>
          <w:color w:val="0070C0"/>
          <w:lang w:val="sr-Latn-ME"/>
        </w:rPr>
      </w:pPr>
    </w:p>
    <w:p w14:paraId="5AFF8675" w14:textId="77777777" w:rsidR="00CE3BD0" w:rsidRPr="00CE3BD0" w:rsidRDefault="00CE3BD0" w:rsidP="00CE3BD0">
      <w:pPr>
        <w:rPr>
          <w:lang w:val="sr-Latn-ME"/>
        </w:rPr>
      </w:pPr>
    </w:p>
    <w:p w14:paraId="279A39E1" w14:textId="2B3C61BB" w:rsidR="00550D6C" w:rsidRPr="00B35962" w:rsidRDefault="006B7669" w:rsidP="00550D6C">
      <w:pPr>
        <w:pStyle w:val="Heading1"/>
        <w:rPr>
          <w:rFonts w:cs="Times New Roman"/>
          <w:color w:val="0070C0"/>
          <w:lang w:val="sr-Latn-ME"/>
        </w:rPr>
      </w:pPr>
      <w:r w:rsidRPr="00B35962">
        <w:rPr>
          <w:rFonts w:cs="Times New Roman"/>
          <w:color w:val="0070C0"/>
          <w:lang w:val="sr-Latn-ME"/>
        </w:rPr>
        <w:lastRenderedPageBreak/>
        <w:t xml:space="preserve">2. </w:t>
      </w:r>
      <w:r w:rsidR="00550D6C" w:rsidRPr="00B35962">
        <w:rPr>
          <w:rFonts w:cs="Times New Roman"/>
          <w:color w:val="0070C0"/>
          <w:lang w:val="sr-Latn-ME"/>
        </w:rPr>
        <w:t>Analiza stanja</w:t>
      </w:r>
      <w:bookmarkEnd w:id="3"/>
    </w:p>
    <w:p w14:paraId="62AB4647" w14:textId="604809BC" w:rsidR="002C0493" w:rsidRPr="00B35962" w:rsidRDefault="002C0493" w:rsidP="00AD0037">
      <w:pPr>
        <w:rPr>
          <w:lang w:val="sr-Latn-ME"/>
        </w:rPr>
      </w:pPr>
      <w:r w:rsidRPr="00B35962">
        <w:rPr>
          <w:lang w:val="sr-Latn-ME"/>
        </w:rPr>
        <w:t>Prema Zakonu</w:t>
      </w:r>
      <w:r w:rsidRPr="00B35962">
        <w:rPr>
          <w:rStyle w:val="FootnoteReference"/>
          <w:lang w:val="sr-Latn-ME"/>
        </w:rPr>
        <w:footnoteReference w:id="1"/>
      </w:r>
      <w:r w:rsidRPr="00B35962">
        <w:rPr>
          <w:lang w:val="sr-Latn-ME"/>
        </w:rPr>
        <w:t xml:space="preserve"> </w:t>
      </w:r>
      <w:r w:rsidR="00AD0037" w:rsidRPr="00B35962">
        <w:rPr>
          <w:lang w:val="sr-Latn-ME"/>
        </w:rPr>
        <w:t>p</w:t>
      </w:r>
      <w:r w:rsidRPr="00B35962">
        <w:rPr>
          <w:lang w:val="sr-Latn-ME"/>
        </w:rPr>
        <w:t>redškolsko vaspitanje i obrazovanje</w:t>
      </w:r>
      <w:r w:rsidR="00AD0037" w:rsidRPr="00B35962">
        <w:rPr>
          <w:lang w:val="sr-Latn-ME"/>
        </w:rPr>
        <w:t xml:space="preserve"> je </w:t>
      </w:r>
      <w:r w:rsidR="00CE61DB" w:rsidRPr="00B35962">
        <w:rPr>
          <w:lang w:val="sr-Latn-ME"/>
        </w:rPr>
        <w:t>dio</w:t>
      </w:r>
      <w:r w:rsidR="00AD0037" w:rsidRPr="00B35962">
        <w:rPr>
          <w:lang w:val="sr-Latn-ME"/>
        </w:rPr>
        <w:t xml:space="preserve"> </w:t>
      </w:r>
      <w:r w:rsidRPr="00B35962">
        <w:rPr>
          <w:lang w:val="sr-Latn-ME"/>
        </w:rPr>
        <w:t>jedinstvenog vaspitno-obrazovnog sistema</w:t>
      </w:r>
      <w:r w:rsidR="00DA1D5F" w:rsidRPr="00B35962">
        <w:rPr>
          <w:lang w:val="sr-Latn-ME"/>
        </w:rPr>
        <w:t>,</w:t>
      </w:r>
      <w:r w:rsidR="00AD0037" w:rsidRPr="00B35962">
        <w:rPr>
          <w:lang w:val="sr-Latn-ME"/>
        </w:rPr>
        <w:t xml:space="preserve"> kojim </w:t>
      </w:r>
      <w:r w:rsidRPr="00B35962">
        <w:rPr>
          <w:lang w:val="sr-Latn-ME"/>
        </w:rPr>
        <w:t>se ostvaruje vaspitanje i obrazovanje djece, vodi briga o djeci i pruža</w:t>
      </w:r>
      <w:r w:rsidR="00AD0037" w:rsidRPr="00B35962">
        <w:rPr>
          <w:lang w:val="sr-Latn-ME"/>
        </w:rPr>
        <w:t xml:space="preserve"> </w:t>
      </w:r>
      <w:r w:rsidRPr="00B35962">
        <w:rPr>
          <w:lang w:val="sr-Latn-ME"/>
        </w:rPr>
        <w:t>pomoć roditeljima</w:t>
      </w:r>
      <w:r w:rsidR="00D02854" w:rsidRPr="00B35962">
        <w:rPr>
          <w:rStyle w:val="FootnoteReference"/>
          <w:lang w:val="sr-Latn-ME"/>
        </w:rPr>
        <w:footnoteReference w:id="2"/>
      </w:r>
      <w:r w:rsidRPr="00B35962">
        <w:rPr>
          <w:lang w:val="sr-Latn-ME"/>
        </w:rPr>
        <w:t xml:space="preserve"> u poboljšanju kvaliteta života porodice i djece</w:t>
      </w:r>
      <w:r w:rsidR="00AD0037" w:rsidRPr="00B35962">
        <w:rPr>
          <w:lang w:val="sr-Latn-ME"/>
        </w:rPr>
        <w:t xml:space="preserve">. </w:t>
      </w:r>
      <w:r w:rsidRPr="00B35962">
        <w:rPr>
          <w:lang w:val="sr-Latn-ME"/>
        </w:rPr>
        <w:t xml:space="preserve">Predškolsko vaspitanje i obrazovanje </w:t>
      </w:r>
      <w:r w:rsidR="00FD4FFF" w:rsidRPr="00B35962">
        <w:rPr>
          <w:lang w:val="sr-Latn-ME"/>
        </w:rPr>
        <w:t xml:space="preserve">(u daljem tekstu: PVO) </w:t>
      </w:r>
      <w:r w:rsidRPr="00B35962">
        <w:rPr>
          <w:lang w:val="sr-Latn-ME"/>
        </w:rPr>
        <w:t>u Crnoj Gori se realizuje u predškolskim ustanovama (javnim i privatnim)</w:t>
      </w:r>
      <w:r w:rsidR="00AD0037" w:rsidRPr="00B35962">
        <w:rPr>
          <w:lang w:val="sr-Latn-ME"/>
        </w:rPr>
        <w:t xml:space="preserve">. </w:t>
      </w:r>
      <w:r w:rsidRPr="00B35962">
        <w:rPr>
          <w:lang w:val="sr-Latn-ME"/>
        </w:rPr>
        <w:t>D</w:t>
      </w:r>
      <w:r w:rsidR="00A73486" w:rsidRPr="00B35962">
        <w:rPr>
          <w:lang w:val="sr-Latn-ME"/>
        </w:rPr>
        <w:t>j</w:t>
      </w:r>
      <w:r w:rsidRPr="00B35962">
        <w:rPr>
          <w:lang w:val="sr-Latn-ME"/>
        </w:rPr>
        <w:t>eca do tri godine starosti pohađaju jaslice, a d</w:t>
      </w:r>
      <w:r w:rsidR="003F51AC" w:rsidRPr="00B35962">
        <w:rPr>
          <w:lang w:val="sr-Latn-ME"/>
        </w:rPr>
        <w:t>j</w:t>
      </w:r>
      <w:r w:rsidRPr="00B35962">
        <w:rPr>
          <w:lang w:val="sr-Latn-ME"/>
        </w:rPr>
        <w:t xml:space="preserve">eca uzrasta od </w:t>
      </w:r>
      <w:r w:rsidR="00DA1D5F" w:rsidRPr="00B35962">
        <w:rPr>
          <w:lang w:val="sr-Latn-ME"/>
        </w:rPr>
        <w:t>tri</w:t>
      </w:r>
      <w:r w:rsidRPr="00B35962">
        <w:rPr>
          <w:lang w:val="sr-Latn-ME"/>
        </w:rPr>
        <w:t xml:space="preserve"> do </w:t>
      </w:r>
      <w:r w:rsidR="00DA1D5F" w:rsidRPr="00B35962">
        <w:rPr>
          <w:lang w:val="sr-Latn-ME"/>
        </w:rPr>
        <w:t>šest</w:t>
      </w:r>
      <w:r w:rsidRPr="00B35962">
        <w:rPr>
          <w:lang w:val="sr-Latn-ME"/>
        </w:rPr>
        <w:t xml:space="preserve"> godina pohađaju vrtiće. </w:t>
      </w:r>
      <w:r w:rsidR="00964444">
        <w:rPr>
          <w:lang w:val="sr-Latn-ME"/>
        </w:rPr>
        <w:t xml:space="preserve">Razvrstana </w:t>
      </w:r>
      <w:r w:rsidR="00DA1D5F" w:rsidRPr="00B35962">
        <w:rPr>
          <w:lang w:val="sr-Latn-ME"/>
        </w:rPr>
        <w:t>su</w:t>
      </w:r>
      <w:r w:rsidRPr="00B35962">
        <w:rPr>
          <w:lang w:val="sr-Latn-ME"/>
        </w:rPr>
        <w:t xml:space="preserve"> u</w:t>
      </w:r>
      <w:r w:rsidR="00964444">
        <w:rPr>
          <w:lang w:val="sr-Latn-ME"/>
        </w:rPr>
        <w:t xml:space="preserve"> uzrasno definisane vaspitne grupe</w:t>
      </w:r>
      <w:r w:rsidRPr="00B35962">
        <w:rPr>
          <w:lang w:val="sr-Latn-ME"/>
        </w:rPr>
        <w:t xml:space="preserve">. </w:t>
      </w:r>
    </w:p>
    <w:p w14:paraId="5FB3EDF4" w14:textId="77777777" w:rsidR="00566A90" w:rsidRPr="00B35962" w:rsidRDefault="00566A90">
      <w:pPr>
        <w:rPr>
          <w:lang w:val="sr-Latn-ME"/>
        </w:rPr>
      </w:pPr>
    </w:p>
    <w:p w14:paraId="14BC9384" w14:textId="77777777" w:rsidR="00550D6C" w:rsidRPr="00B35962" w:rsidRDefault="00A2691B" w:rsidP="00DA1D5F">
      <w:pPr>
        <w:rPr>
          <w:lang w:val="sr-Latn-ME"/>
        </w:rPr>
      </w:pPr>
      <w:r w:rsidRPr="00B35962">
        <w:rPr>
          <w:lang w:val="sr-Latn-ME"/>
        </w:rPr>
        <w:t xml:space="preserve">U ovom poglavlju biće analizirano </w:t>
      </w:r>
      <w:r w:rsidR="00C76F43" w:rsidRPr="00B35962">
        <w:rPr>
          <w:lang w:val="sr-Latn-ME"/>
        </w:rPr>
        <w:t>postojeće</w:t>
      </w:r>
      <w:r w:rsidRPr="00B35962">
        <w:rPr>
          <w:lang w:val="sr-Latn-ME"/>
        </w:rPr>
        <w:t xml:space="preserve"> stanje u Crnoj Gori</w:t>
      </w:r>
      <w:r w:rsidR="00305C01" w:rsidRPr="00B35962">
        <w:rPr>
          <w:lang w:val="sr-Latn-ME"/>
        </w:rPr>
        <w:t>, a na osnovu Izvještaj</w:t>
      </w:r>
      <w:r w:rsidR="00C76F43" w:rsidRPr="00B35962">
        <w:rPr>
          <w:lang w:val="sr-Latn-ME"/>
        </w:rPr>
        <w:t>a</w:t>
      </w:r>
      <w:r w:rsidR="00305C01" w:rsidRPr="00B35962">
        <w:rPr>
          <w:lang w:val="sr-Latn-ME"/>
        </w:rPr>
        <w:t xml:space="preserve"> o sprovođenju Strategije ranog i predškolskog vaspitanja i obrazovanja 2016</w:t>
      </w:r>
      <w:r w:rsidR="00D061FA" w:rsidRPr="00B35962">
        <w:rPr>
          <w:lang w:val="sr-Latn-ME"/>
        </w:rPr>
        <w:t>-</w:t>
      </w:r>
      <w:r w:rsidR="00305C01" w:rsidRPr="00B35962">
        <w:rPr>
          <w:lang w:val="sr-Latn-ME"/>
        </w:rPr>
        <w:t>2020</w:t>
      </w:r>
      <w:r w:rsidR="005370BC" w:rsidRPr="00B35962">
        <w:rPr>
          <w:lang w:val="sr-Latn-ME"/>
        </w:rPr>
        <w:t>,</w:t>
      </w:r>
      <w:r w:rsidR="00305C01" w:rsidRPr="00B35962">
        <w:rPr>
          <w:lang w:val="sr-Latn-ME"/>
        </w:rPr>
        <w:t xml:space="preserve"> drugih relevantnih analiza</w:t>
      </w:r>
      <w:r w:rsidR="005370BC" w:rsidRPr="00B35962">
        <w:rPr>
          <w:lang w:val="sr-Latn-ME"/>
        </w:rPr>
        <w:t xml:space="preserve"> i istraživanja i zaključaka</w:t>
      </w:r>
      <w:r w:rsidR="003F51AC" w:rsidRPr="00B35962">
        <w:rPr>
          <w:lang w:val="sr-Latn-ME"/>
        </w:rPr>
        <w:t>.</w:t>
      </w:r>
      <w:r w:rsidR="005370BC" w:rsidRPr="00B35962">
        <w:rPr>
          <w:lang w:val="sr-Latn-ME"/>
        </w:rPr>
        <w:t xml:space="preserve"> </w:t>
      </w:r>
      <w:r w:rsidR="00E336DE" w:rsidRPr="00B35962">
        <w:rPr>
          <w:lang w:val="sr-Latn-ME"/>
        </w:rPr>
        <w:t xml:space="preserve">Analiza stanja </w:t>
      </w:r>
      <w:r w:rsidR="00043116" w:rsidRPr="00B35962">
        <w:rPr>
          <w:lang w:val="sr-Latn-ME"/>
        </w:rPr>
        <w:t>je sačin</w:t>
      </w:r>
      <w:r w:rsidR="00E336DE" w:rsidRPr="00B35962">
        <w:rPr>
          <w:lang w:val="sr-Latn-ME"/>
        </w:rPr>
        <w:t>jena</w:t>
      </w:r>
      <w:r w:rsidR="00043116" w:rsidRPr="00B35962">
        <w:rPr>
          <w:lang w:val="sr-Latn-ME"/>
        </w:rPr>
        <w:t xml:space="preserve"> </w:t>
      </w:r>
      <w:r w:rsidR="00566A90" w:rsidRPr="00B35962">
        <w:rPr>
          <w:lang w:val="sr-Latn-ME"/>
        </w:rPr>
        <w:t>u</w:t>
      </w:r>
      <w:r w:rsidR="00EC0769" w:rsidRPr="00B35962">
        <w:rPr>
          <w:lang w:val="sr-Latn-ME"/>
        </w:rPr>
        <w:t xml:space="preserve"> skladu sa</w:t>
      </w:r>
      <w:r w:rsidR="00321D78" w:rsidRPr="00B35962">
        <w:rPr>
          <w:lang w:val="sr-Latn-ME"/>
        </w:rPr>
        <w:t xml:space="preserve"> prioritetima </w:t>
      </w:r>
      <w:r w:rsidR="00B05C46" w:rsidRPr="00B35962">
        <w:rPr>
          <w:lang w:val="sr-Latn-ME"/>
        </w:rPr>
        <w:t>Strategije ranog i predškolskog vaspitanja i obrazovanja</w:t>
      </w:r>
      <w:r w:rsidR="00321D78" w:rsidRPr="00B35962">
        <w:rPr>
          <w:lang w:val="sr-Latn-ME"/>
        </w:rPr>
        <w:t xml:space="preserve"> 2016</w:t>
      </w:r>
      <w:r w:rsidR="00DA1D5F" w:rsidRPr="00B35962">
        <w:rPr>
          <w:lang w:val="sr-Latn-ME"/>
        </w:rPr>
        <w:t>-</w:t>
      </w:r>
      <w:r w:rsidR="00321D78" w:rsidRPr="00B35962">
        <w:rPr>
          <w:lang w:val="sr-Latn-ME"/>
        </w:rPr>
        <w:t>2020 i EU preporukama za visokokvalitetno PVO</w:t>
      </w:r>
      <w:r w:rsidR="00E336DE" w:rsidRPr="00B35962">
        <w:rPr>
          <w:lang w:val="sr-Latn-ME"/>
        </w:rPr>
        <w:t xml:space="preserve"> i organizovana je </w:t>
      </w:r>
      <w:r w:rsidR="00321D78" w:rsidRPr="00B35962">
        <w:rPr>
          <w:lang w:val="sr-Latn-ME"/>
        </w:rPr>
        <w:t>u sl</w:t>
      </w:r>
      <w:r w:rsidR="00A73486" w:rsidRPr="00B35962">
        <w:rPr>
          <w:lang w:val="sr-Latn-ME"/>
        </w:rPr>
        <w:t>j</w:t>
      </w:r>
      <w:r w:rsidR="00321D78" w:rsidRPr="00B35962">
        <w:rPr>
          <w:lang w:val="sr-Latn-ME"/>
        </w:rPr>
        <w:t xml:space="preserve">edeće cjeline: </w:t>
      </w:r>
      <w:r w:rsidR="00B05C46" w:rsidRPr="00B35962">
        <w:rPr>
          <w:lang w:val="sr-Latn-ME"/>
        </w:rPr>
        <w:t xml:space="preserve">(a) </w:t>
      </w:r>
      <w:r w:rsidR="00321D78" w:rsidRPr="00B35962">
        <w:rPr>
          <w:lang w:val="sr-Latn-ME"/>
        </w:rPr>
        <w:t xml:space="preserve">kapacitet i obuhvat, </w:t>
      </w:r>
      <w:r w:rsidR="00B05C46" w:rsidRPr="00B35962">
        <w:rPr>
          <w:lang w:val="sr-Latn-ME"/>
        </w:rPr>
        <w:t>(b) kompetencije</w:t>
      </w:r>
      <w:r w:rsidR="00321D78" w:rsidRPr="00B35962">
        <w:rPr>
          <w:lang w:val="sr-Latn-ME"/>
        </w:rPr>
        <w:t xml:space="preserve"> zaposlenih i </w:t>
      </w:r>
      <w:r w:rsidR="00B05C46" w:rsidRPr="00B35962">
        <w:rPr>
          <w:lang w:val="sr-Latn-ME"/>
        </w:rPr>
        <w:t xml:space="preserve">kvalitet </w:t>
      </w:r>
      <w:r w:rsidR="00321D78" w:rsidRPr="00B35962">
        <w:rPr>
          <w:lang w:val="sr-Latn-ME"/>
        </w:rPr>
        <w:t>programa</w:t>
      </w:r>
      <w:r w:rsidR="00B05C46" w:rsidRPr="00B35962">
        <w:rPr>
          <w:lang w:val="sr-Latn-ME"/>
        </w:rPr>
        <w:t xml:space="preserve"> i (c)</w:t>
      </w:r>
      <w:r w:rsidR="00321D78" w:rsidRPr="00B35962">
        <w:rPr>
          <w:lang w:val="sr-Latn-ME"/>
        </w:rPr>
        <w:t xml:space="preserve"> pravednost. </w:t>
      </w:r>
    </w:p>
    <w:p w14:paraId="2173FBAF" w14:textId="77777777" w:rsidR="000C3130" w:rsidRPr="00B35962" w:rsidRDefault="000C3130" w:rsidP="00DA1D5F">
      <w:pPr>
        <w:rPr>
          <w:lang w:val="sr-Latn-ME"/>
        </w:rPr>
      </w:pPr>
    </w:p>
    <w:p w14:paraId="798B1C0C" w14:textId="77777777" w:rsidR="003D7DCF" w:rsidRPr="00B35962" w:rsidRDefault="006B7669" w:rsidP="003D7DCF">
      <w:pPr>
        <w:pStyle w:val="Heading2"/>
        <w:rPr>
          <w:rFonts w:cs="Times New Roman"/>
          <w:color w:val="0070C0"/>
          <w:lang w:val="sr-Latn-ME"/>
        </w:rPr>
      </w:pPr>
      <w:bookmarkStart w:id="4" w:name="_Toc55295088"/>
      <w:r w:rsidRPr="00B35962">
        <w:rPr>
          <w:rFonts w:cs="Times New Roman"/>
          <w:color w:val="0070C0"/>
          <w:lang w:val="sr-Latn-ME"/>
        </w:rPr>
        <w:t xml:space="preserve">2.1. </w:t>
      </w:r>
      <w:r w:rsidR="009753CB" w:rsidRPr="00B35962">
        <w:rPr>
          <w:rFonts w:cs="Times New Roman"/>
          <w:color w:val="0070C0"/>
          <w:lang w:val="sr-Latn-ME"/>
        </w:rPr>
        <w:t>Kapacitet PU i obuhvat djece predškolskog uzrasta</w:t>
      </w:r>
      <w:bookmarkEnd w:id="4"/>
    </w:p>
    <w:p w14:paraId="68BFF064" w14:textId="68CCCFC5" w:rsidR="00084A11" w:rsidRPr="00B35962" w:rsidRDefault="00734385" w:rsidP="003D7DCF">
      <w:pPr>
        <w:rPr>
          <w:lang w:val="sr-Latn-ME"/>
        </w:rPr>
      </w:pPr>
      <w:r w:rsidRPr="00B35962">
        <w:rPr>
          <w:lang w:val="sr-Latn-ME"/>
        </w:rPr>
        <w:t>Mreža predškolskih ustanova u Crnoj Gori j</w:t>
      </w:r>
      <w:r w:rsidR="0098415E" w:rsidRPr="00B35962">
        <w:rPr>
          <w:lang w:val="sr-Latn-ME"/>
        </w:rPr>
        <w:t>e</w:t>
      </w:r>
      <w:r w:rsidRPr="00B35962">
        <w:rPr>
          <w:lang w:val="sr-Latn-ME"/>
        </w:rPr>
        <w:t xml:space="preserve"> sastavljena </w:t>
      </w:r>
      <w:r w:rsidR="00DA1D5F" w:rsidRPr="00B35962">
        <w:rPr>
          <w:lang w:val="sr-Latn-ME"/>
        </w:rPr>
        <w:t xml:space="preserve">je </w:t>
      </w:r>
      <w:r w:rsidRPr="00B35962">
        <w:rPr>
          <w:lang w:val="sr-Latn-ME"/>
        </w:rPr>
        <w:t>od 21 javne predškolske ustanove (JPU) i 3</w:t>
      </w:r>
      <w:r w:rsidR="00F546EB" w:rsidRPr="00B35962">
        <w:rPr>
          <w:lang w:val="sr-Latn-ME"/>
        </w:rPr>
        <w:t>0</w:t>
      </w:r>
      <w:r w:rsidRPr="00B35962">
        <w:rPr>
          <w:lang w:val="sr-Latn-ME"/>
        </w:rPr>
        <w:t xml:space="preserve"> privatn</w:t>
      </w:r>
      <w:r w:rsidR="00DA1D5F" w:rsidRPr="00B35962">
        <w:rPr>
          <w:lang w:val="sr-Latn-ME"/>
        </w:rPr>
        <w:t>ih</w:t>
      </w:r>
      <w:r w:rsidRPr="00B35962">
        <w:rPr>
          <w:lang w:val="sr-Latn-ME"/>
        </w:rPr>
        <w:t xml:space="preserve"> predškolsk</w:t>
      </w:r>
      <w:r w:rsidR="00DA1D5F" w:rsidRPr="00B35962">
        <w:rPr>
          <w:lang w:val="sr-Latn-ME"/>
        </w:rPr>
        <w:t>ih</w:t>
      </w:r>
      <w:r w:rsidRPr="00B35962">
        <w:rPr>
          <w:lang w:val="sr-Latn-ME"/>
        </w:rPr>
        <w:t xml:space="preserve"> ustanov</w:t>
      </w:r>
      <w:r w:rsidR="00DA1D5F" w:rsidRPr="00B35962">
        <w:rPr>
          <w:lang w:val="sr-Latn-ME"/>
        </w:rPr>
        <w:t>a</w:t>
      </w:r>
      <w:r w:rsidRPr="00B35962">
        <w:rPr>
          <w:lang w:val="sr-Latn-ME"/>
        </w:rPr>
        <w:t xml:space="preserve"> (PPU)</w:t>
      </w:r>
      <w:r w:rsidR="00B50E6F" w:rsidRPr="00B35962">
        <w:rPr>
          <w:lang w:val="sr-Latn-ME"/>
        </w:rPr>
        <w:t>. Privatne predškolske ustanove</w:t>
      </w:r>
      <w:r w:rsidR="00084A11" w:rsidRPr="00B35962">
        <w:rPr>
          <w:lang w:val="sr-Latn-ME"/>
        </w:rPr>
        <w:t xml:space="preserve"> postoje uglavnom u većim gradovima (Podgoric</w:t>
      </w:r>
      <w:r w:rsidR="00F546EB" w:rsidRPr="00B35962">
        <w:rPr>
          <w:lang w:val="sr-Latn-ME"/>
        </w:rPr>
        <w:t>a</w:t>
      </w:r>
      <w:r w:rsidR="00084A11" w:rsidRPr="00B35962">
        <w:rPr>
          <w:lang w:val="sr-Latn-ME"/>
        </w:rPr>
        <w:t>, Budv</w:t>
      </w:r>
      <w:r w:rsidR="00F546EB" w:rsidRPr="00B35962">
        <w:rPr>
          <w:lang w:val="sr-Latn-ME"/>
        </w:rPr>
        <w:t>a</w:t>
      </w:r>
      <w:r w:rsidR="00084A11" w:rsidRPr="00B35962">
        <w:rPr>
          <w:lang w:val="sr-Latn-ME"/>
        </w:rPr>
        <w:t xml:space="preserve">, </w:t>
      </w:r>
      <w:r w:rsidR="00F546EB" w:rsidRPr="00B35962">
        <w:rPr>
          <w:lang w:val="sr-Latn-ME"/>
        </w:rPr>
        <w:t>Bar, Tivat,</w:t>
      </w:r>
      <w:r w:rsidR="00084A11" w:rsidRPr="00B35962">
        <w:rPr>
          <w:lang w:val="sr-Latn-ME"/>
        </w:rPr>
        <w:t xml:space="preserve"> Herceg Nov</w:t>
      </w:r>
      <w:r w:rsidR="00F546EB" w:rsidRPr="00B35962">
        <w:rPr>
          <w:lang w:val="sr-Latn-ME"/>
        </w:rPr>
        <w:t>i</w:t>
      </w:r>
      <w:r w:rsidR="00084A11" w:rsidRPr="00B35962">
        <w:rPr>
          <w:lang w:val="sr-Latn-ME"/>
        </w:rPr>
        <w:t>, Kotor</w:t>
      </w:r>
      <w:r w:rsidR="00F546EB" w:rsidRPr="00B35962">
        <w:rPr>
          <w:lang w:val="sr-Latn-ME"/>
        </w:rPr>
        <w:t>,</w:t>
      </w:r>
      <w:r w:rsidR="00084A11" w:rsidRPr="00B35962">
        <w:rPr>
          <w:lang w:val="sr-Latn-ME"/>
        </w:rPr>
        <w:t xml:space="preserve"> Nikšić i Ulcinj). </w:t>
      </w:r>
    </w:p>
    <w:p w14:paraId="26762C3C" w14:textId="77777777" w:rsidR="00566A90" w:rsidRPr="00B35962" w:rsidRDefault="00566A90" w:rsidP="003D7DCF">
      <w:pPr>
        <w:rPr>
          <w:lang w:val="sr-Latn-ME"/>
        </w:rPr>
      </w:pPr>
    </w:p>
    <w:p w14:paraId="1E8BAF99" w14:textId="217E02F0" w:rsidR="00084A11" w:rsidRPr="00B35962" w:rsidRDefault="003D7DCF" w:rsidP="003D7DCF">
      <w:pPr>
        <w:rPr>
          <w:lang w:val="sr-Latn-ME"/>
        </w:rPr>
      </w:pPr>
      <w:r w:rsidRPr="00B35962">
        <w:rPr>
          <w:lang w:val="sr-Latn-ME"/>
        </w:rPr>
        <w:t>U školskoj godini 2019/2</w:t>
      </w:r>
      <w:r w:rsidR="003F51AC" w:rsidRPr="00B35962">
        <w:rPr>
          <w:lang w:val="sr-Latn-ME"/>
        </w:rPr>
        <w:t>02</w:t>
      </w:r>
      <w:r w:rsidRPr="00B35962">
        <w:rPr>
          <w:lang w:val="sr-Latn-ME"/>
        </w:rPr>
        <w:t>0 ukupno 23</w:t>
      </w:r>
      <w:r w:rsidR="003F51AC" w:rsidRPr="00B35962">
        <w:rPr>
          <w:lang w:val="sr-Latn-ME"/>
        </w:rPr>
        <w:t>.</w:t>
      </w:r>
      <w:r w:rsidRPr="00B35962">
        <w:rPr>
          <w:lang w:val="sr-Latn-ME"/>
        </w:rPr>
        <w:t xml:space="preserve">080 djece </w:t>
      </w:r>
      <w:r w:rsidR="0051411B" w:rsidRPr="00B35962">
        <w:rPr>
          <w:lang w:val="sr-Latn-ME"/>
        </w:rPr>
        <w:t xml:space="preserve">(47% djevojčica i 53% dječaka) </w:t>
      </w:r>
      <w:r w:rsidR="00A251E5" w:rsidRPr="00B35962">
        <w:rPr>
          <w:lang w:val="sr-Latn-ME"/>
        </w:rPr>
        <w:t xml:space="preserve">uzrasta od 0 do polaska u osnovno obrazovanje </w:t>
      </w:r>
      <w:r w:rsidRPr="00B35962">
        <w:rPr>
          <w:lang w:val="sr-Latn-ME"/>
        </w:rPr>
        <w:t xml:space="preserve">uključeno </w:t>
      </w:r>
      <w:r w:rsidR="003215F6" w:rsidRPr="00B35962">
        <w:rPr>
          <w:lang w:val="sr-Latn-ME"/>
        </w:rPr>
        <w:t xml:space="preserve">je </w:t>
      </w:r>
      <w:r w:rsidRPr="00B35962">
        <w:rPr>
          <w:lang w:val="sr-Latn-ME"/>
        </w:rPr>
        <w:t xml:space="preserve">u programe </w:t>
      </w:r>
      <w:r w:rsidR="00C76F43" w:rsidRPr="00B35962">
        <w:rPr>
          <w:lang w:val="sr-Latn-ME"/>
        </w:rPr>
        <w:t>PVO</w:t>
      </w:r>
      <w:r w:rsidR="00DA1D5F" w:rsidRPr="00B35962">
        <w:rPr>
          <w:lang w:val="sr-Latn-ME"/>
        </w:rPr>
        <w:t>,</w:t>
      </w:r>
      <w:r w:rsidR="00D92FA4" w:rsidRPr="00B35962">
        <w:rPr>
          <w:lang w:val="sr-Latn-ME"/>
        </w:rPr>
        <w:t xml:space="preserve"> u 170 vaspitnih jedinica</w:t>
      </w:r>
      <w:r w:rsidR="007B528B" w:rsidRPr="00B35962">
        <w:rPr>
          <w:lang w:val="sr-Latn-ME"/>
        </w:rPr>
        <w:t xml:space="preserve"> i 778 grupa</w:t>
      </w:r>
      <w:r w:rsidR="00D92FA4" w:rsidRPr="00B35962">
        <w:rPr>
          <w:lang w:val="sr-Latn-ME"/>
        </w:rPr>
        <w:t>.</w:t>
      </w:r>
      <w:r w:rsidR="005031ED" w:rsidRPr="00B35962">
        <w:rPr>
          <w:lang w:val="sr-Latn-ME"/>
        </w:rPr>
        <w:t xml:space="preserve"> </w:t>
      </w:r>
      <w:r w:rsidR="00D92FA4" w:rsidRPr="00B35962">
        <w:rPr>
          <w:lang w:val="sr-Latn-ME"/>
        </w:rPr>
        <w:t>U školsk</w:t>
      </w:r>
      <w:r w:rsidR="00303BD7" w:rsidRPr="00B35962">
        <w:rPr>
          <w:lang w:val="sr-Latn-ME"/>
        </w:rPr>
        <w:t>oj</w:t>
      </w:r>
      <w:r w:rsidR="00D92FA4" w:rsidRPr="00B35962">
        <w:rPr>
          <w:lang w:val="sr-Latn-ME"/>
        </w:rPr>
        <w:t xml:space="preserve"> 201</w:t>
      </w:r>
      <w:r w:rsidR="007B528B" w:rsidRPr="00B35962">
        <w:rPr>
          <w:lang w:val="sr-Latn-ME"/>
        </w:rPr>
        <w:t>5</w:t>
      </w:r>
      <w:r w:rsidR="00D92FA4" w:rsidRPr="00B35962">
        <w:rPr>
          <w:lang w:val="sr-Latn-ME"/>
        </w:rPr>
        <w:t>/</w:t>
      </w:r>
      <w:r w:rsidR="000532A8" w:rsidRPr="00B35962">
        <w:rPr>
          <w:lang w:val="sr-Latn-ME"/>
        </w:rPr>
        <w:t>20</w:t>
      </w:r>
      <w:r w:rsidR="00D92FA4" w:rsidRPr="00B35962">
        <w:rPr>
          <w:lang w:val="sr-Latn-ME"/>
        </w:rPr>
        <w:t>1</w:t>
      </w:r>
      <w:r w:rsidR="007B528B" w:rsidRPr="00B35962">
        <w:rPr>
          <w:lang w:val="sr-Latn-ME"/>
        </w:rPr>
        <w:t>6</w:t>
      </w:r>
      <w:r w:rsidR="002B31C9" w:rsidRPr="00B35962">
        <w:rPr>
          <w:lang w:val="sr-Latn-ME"/>
        </w:rPr>
        <w:t>,</w:t>
      </w:r>
      <w:r w:rsidR="007B528B" w:rsidRPr="00B35962">
        <w:rPr>
          <w:lang w:val="sr-Latn-ME"/>
        </w:rPr>
        <w:t xml:space="preserve"> kada je počela da se primjenjuje </w:t>
      </w:r>
      <w:r w:rsidR="002B31C9" w:rsidRPr="00B35962">
        <w:rPr>
          <w:lang w:val="sr-Latn-ME"/>
        </w:rPr>
        <w:t>S</w:t>
      </w:r>
      <w:r w:rsidR="007B528B" w:rsidRPr="00B35962">
        <w:rPr>
          <w:lang w:val="sr-Latn-ME"/>
        </w:rPr>
        <w:t>trategija</w:t>
      </w:r>
      <w:r w:rsidR="002B31C9" w:rsidRPr="00B35962">
        <w:rPr>
          <w:lang w:val="sr-Latn-ME"/>
        </w:rPr>
        <w:t xml:space="preserve"> ranog i predškolskog vaspitanja i obrazovanja</w:t>
      </w:r>
      <w:r w:rsidR="002B31C9" w:rsidRPr="00B35962">
        <w:rPr>
          <w:rStyle w:val="FootnoteReference"/>
          <w:lang w:val="sr-Latn-ME"/>
        </w:rPr>
        <w:t xml:space="preserve"> </w:t>
      </w:r>
      <w:r w:rsidR="002B31C9" w:rsidRPr="00B35962">
        <w:rPr>
          <w:lang w:val="sr-Latn-ME"/>
        </w:rPr>
        <w:t>2016-2020,</w:t>
      </w:r>
      <w:r w:rsidR="007B528B" w:rsidRPr="00B35962">
        <w:rPr>
          <w:lang w:val="sr-Latn-ME"/>
        </w:rPr>
        <w:t xml:space="preserve"> </w:t>
      </w:r>
      <w:r w:rsidR="00303BD7" w:rsidRPr="00B35962">
        <w:rPr>
          <w:lang w:val="sr-Latn-ME"/>
        </w:rPr>
        <w:t>ukupno je bilo uključeno 16</w:t>
      </w:r>
      <w:r w:rsidR="00936C8E" w:rsidRPr="00B35962">
        <w:rPr>
          <w:lang w:val="sr-Latn-ME"/>
        </w:rPr>
        <w:t>.</w:t>
      </w:r>
      <w:r w:rsidR="00303BD7" w:rsidRPr="00B35962">
        <w:rPr>
          <w:lang w:val="sr-Latn-ME"/>
        </w:rPr>
        <w:t>972</w:t>
      </w:r>
      <w:r w:rsidR="005031ED" w:rsidRPr="00B35962">
        <w:rPr>
          <w:lang w:val="sr-Latn-ME"/>
        </w:rPr>
        <w:t xml:space="preserve"> d</w:t>
      </w:r>
      <w:r w:rsidR="00B638B1" w:rsidRPr="00B35962">
        <w:rPr>
          <w:lang w:val="sr-Latn-ME"/>
        </w:rPr>
        <w:t>j</w:t>
      </w:r>
      <w:r w:rsidR="005031ED" w:rsidRPr="00B35962">
        <w:rPr>
          <w:lang w:val="sr-Latn-ME"/>
        </w:rPr>
        <w:t xml:space="preserve">ece </w:t>
      </w:r>
      <w:r w:rsidR="00303BD7" w:rsidRPr="00B35962">
        <w:rPr>
          <w:lang w:val="sr-Latn-ME"/>
        </w:rPr>
        <w:t>u 123 vaspitnih jedinica i 575 vaspitnih grupa (vidi tabelu 1</w:t>
      </w:r>
      <w:r w:rsidR="00FD4FFF" w:rsidRPr="00B35962">
        <w:rPr>
          <w:lang w:val="sr-Latn-ME"/>
        </w:rPr>
        <w:t xml:space="preserve"> u prilozima</w:t>
      </w:r>
      <w:r w:rsidR="00303BD7" w:rsidRPr="00B35962">
        <w:rPr>
          <w:lang w:val="sr-Latn-ME"/>
        </w:rPr>
        <w:t>). Na osnovu ovih podataka može da se zaključi</w:t>
      </w:r>
      <w:r w:rsidR="00A46F70" w:rsidRPr="00B35962">
        <w:rPr>
          <w:lang w:val="sr-Latn-ME"/>
        </w:rPr>
        <w:t>ti</w:t>
      </w:r>
      <w:r w:rsidR="00303BD7" w:rsidRPr="00B35962">
        <w:rPr>
          <w:lang w:val="sr-Latn-ME"/>
        </w:rPr>
        <w:t xml:space="preserve"> da je u periodu primjene prethodne strategije došlo do značajnog povećanja broje djece (za oko 36%), kao i do povećanja kapaciteta (broj vaspitnih jedinica je poveća</w:t>
      </w:r>
      <w:r w:rsidR="00DA1D5F" w:rsidRPr="00B35962">
        <w:rPr>
          <w:lang w:val="sr-Latn-ME"/>
        </w:rPr>
        <w:t>n</w:t>
      </w:r>
      <w:r w:rsidR="00964444">
        <w:rPr>
          <w:lang w:val="sr-Latn-ME"/>
        </w:rPr>
        <w:t xml:space="preserve"> za oko 38%, </w:t>
      </w:r>
      <w:r w:rsidR="00303BD7" w:rsidRPr="00B35962">
        <w:rPr>
          <w:lang w:val="sr-Latn-ME"/>
        </w:rPr>
        <w:t xml:space="preserve">broj vaspitnih grupa oko 35%) i da je trend povećanja bio ujednačen po godinama. </w:t>
      </w:r>
    </w:p>
    <w:p w14:paraId="6FDC4417" w14:textId="77777777" w:rsidR="00566A90" w:rsidRPr="00B35962" w:rsidRDefault="00566A90" w:rsidP="00457EAE">
      <w:pPr>
        <w:rPr>
          <w:lang w:val="sr-Latn-ME"/>
        </w:rPr>
      </w:pPr>
    </w:p>
    <w:p w14:paraId="0B4C112D" w14:textId="77777777" w:rsidR="00D16A16" w:rsidRPr="00B35962" w:rsidRDefault="00D16A16" w:rsidP="00D16A16">
      <w:pPr>
        <w:rPr>
          <w:lang w:val="sr-Latn-ME"/>
        </w:rPr>
      </w:pPr>
      <w:r w:rsidRPr="00B35962">
        <w:rPr>
          <w:lang w:val="sr-Latn-ME"/>
        </w:rPr>
        <w:t>Na osnovu analize primjene Strategije 2016-2020</w:t>
      </w:r>
      <w:r w:rsidRPr="00B35962">
        <w:rPr>
          <w:rStyle w:val="FootnoteReference"/>
          <w:lang w:val="sr-Latn-ME"/>
        </w:rPr>
        <w:footnoteReference w:id="3"/>
      </w:r>
      <w:r w:rsidRPr="00B35962">
        <w:rPr>
          <w:lang w:val="sr-Latn-ME"/>
        </w:rPr>
        <w:t xml:space="preserve"> proširenje kapaciteta je bilo zasnovano na dobrim analizama na lokalnom nivou i izradi lokalnih implementacionih planova. U nekim </w:t>
      </w:r>
      <w:r w:rsidRPr="00B35962">
        <w:rPr>
          <w:lang w:val="sr-Latn-ME"/>
        </w:rPr>
        <w:lastRenderedPageBreak/>
        <w:t>sredinama izgrađeni su novi objekti</w:t>
      </w:r>
      <w:r w:rsidRPr="00B35962">
        <w:rPr>
          <w:rStyle w:val="FootnoteReference"/>
          <w:lang w:val="sr-Latn-ME"/>
        </w:rPr>
        <w:footnoteReference w:id="4"/>
      </w:r>
      <w:r w:rsidRPr="00B35962">
        <w:rPr>
          <w:lang w:val="sr-Latn-ME"/>
        </w:rPr>
        <w:t xml:space="preserve"> (uz podršku kredita Banke za razvoj Savjeta Evrope), dok se u drugim sredinama dodatni kapaciteti obezbijeđeni na osnovu rekonstrukcije postojećih kapaciteta i njihovog prilagođavanja potrebama PVO (npr. područna odjeljenja škola, učionice u školama itd.). Pored toga, obuhvat je povećan, posebno kada su u pitanju djeca iz osjetljivih grupa, i uvođenjem kraćih programa i </w:t>
      </w:r>
      <w:r>
        <w:rPr>
          <w:lang w:val="sr-Latn-ME"/>
        </w:rPr>
        <w:t xml:space="preserve">usluga u vidu besplatnih </w:t>
      </w:r>
      <w:r w:rsidRPr="00B35962">
        <w:rPr>
          <w:lang w:val="sr-Latn-ME"/>
        </w:rPr>
        <w:t>interaktivnih službi</w:t>
      </w:r>
      <w:r>
        <w:rPr>
          <w:lang w:val="sr-Latn-ME"/>
        </w:rPr>
        <w:t xml:space="preserve"> </w:t>
      </w:r>
      <w:r w:rsidRPr="00B35962">
        <w:rPr>
          <w:lang w:val="sr-Latn-ME"/>
        </w:rPr>
        <w:t>(28 punktova u 1</w:t>
      </w:r>
      <w:r>
        <w:rPr>
          <w:lang w:val="sr-Latn-ME"/>
        </w:rPr>
        <w:t>7</w:t>
      </w:r>
      <w:r w:rsidRPr="00B35962">
        <w:rPr>
          <w:lang w:val="sr-Latn-ME"/>
        </w:rPr>
        <w:t xml:space="preserve"> opština) za djecu koja žive u udaljenim i teško pristupač</w:t>
      </w:r>
      <w:r>
        <w:rPr>
          <w:lang w:val="sr-Latn-ME"/>
        </w:rPr>
        <w:t>nim sredinama</w:t>
      </w:r>
      <w:r w:rsidRPr="00B35962">
        <w:rPr>
          <w:lang w:val="sr-Latn-ME"/>
        </w:rPr>
        <w:t>. Pored toga, realizacija kampanja („Svi u vrtić“, „Zablistaću u vrtiću“ i „Svaki sokolić ide u vrtić“) koje su imale za cilj podizanje svijesti roditelja i društva o važnosti PVO za rani razvoj djece,</w:t>
      </w:r>
      <w:r>
        <w:rPr>
          <w:lang w:val="sr-Latn-ME"/>
        </w:rPr>
        <w:t xml:space="preserve"> </w:t>
      </w:r>
      <w:r w:rsidRPr="00B35962">
        <w:rPr>
          <w:lang w:val="sr-Latn-ME"/>
        </w:rPr>
        <w:t>svakako je pomogla povećanju interesovanja za uključivanje djece u PVO i samim tim i obuhvatu djece.</w:t>
      </w:r>
    </w:p>
    <w:p w14:paraId="0D360442" w14:textId="77777777" w:rsidR="00566A90" w:rsidRPr="00B35962" w:rsidRDefault="00566A90" w:rsidP="003D7DCF">
      <w:pPr>
        <w:rPr>
          <w:lang w:val="sr-Latn-ME"/>
        </w:rPr>
      </w:pPr>
    </w:p>
    <w:p w14:paraId="6C4E035C" w14:textId="77777777" w:rsidR="002F0F6A" w:rsidRPr="00B35962" w:rsidRDefault="002F0F6A" w:rsidP="003D7DCF">
      <w:pPr>
        <w:rPr>
          <w:lang w:val="sr-Latn-ME"/>
        </w:rPr>
      </w:pPr>
      <w:r w:rsidRPr="00B35962">
        <w:rPr>
          <w:lang w:val="sr-Latn-ME"/>
        </w:rPr>
        <w:t>Ukupni obuhvat d</w:t>
      </w:r>
      <w:r w:rsidR="00A428F6" w:rsidRPr="00B35962">
        <w:rPr>
          <w:lang w:val="sr-Latn-ME"/>
        </w:rPr>
        <w:t>j</w:t>
      </w:r>
      <w:r w:rsidRPr="00B35962">
        <w:rPr>
          <w:lang w:val="sr-Latn-ME"/>
        </w:rPr>
        <w:t xml:space="preserve">ece predškolskog uzrasta (0 do 6 godina) u Crnoj Gori je </w:t>
      </w:r>
      <w:r w:rsidR="006A72C5" w:rsidRPr="00B35962">
        <w:rPr>
          <w:lang w:val="sr-Latn-ME"/>
        </w:rPr>
        <w:t xml:space="preserve">u </w:t>
      </w:r>
      <w:r w:rsidRPr="00B35962">
        <w:rPr>
          <w:lang w:val="sr-Latn-ME"/>
        </w:rPr>
        <w:t>školskoj 2019/2</w:t>
      </w:r>
      <w:r w:rsidR="00E329B4" w:rsidRPr="00B35962">
        <w:rPr>
          <w:lang w:val="sr-Latn-ME"/>
        </w:rPr>
        <w:t>02</w:t>
      </w:r>
      <w:r w:rsidRPr="00B35962">
        <w:rPr>
          <w:lang w:val="sr-Latn-ME"/>
        </w:rPr>
        <w:t>0 oko 52%. Obuhvat je bio značajno niži za djecu do 3 godine starosti</w:t>
      </w:r>
      <w:r w:rsidR="00CE61DB" w:rsidRPr="00B35962">
        <w:rPr>
          <w:lang w:val="sr-Latn-ME"/>
        </w:rPr>
        <w:t xml:space="preserve"> koja pohađaju jaslice</w:t>
      </w:r>
      <w:r w:rsidRPr="00B35962">
        <w:rPr>
          <w:lang w:val="sr-Latn-ME"/>
        </w:rPr>
        <w:t xml:space="preserve"> (oko </w:t>
      </w:r>
      <w:r w:rsidR="00E329B4" w:rsidRPr="00B35962">
        <w:rPr>
          <w:lang w:val="sr-Latn-ME"/>
        </w:rPr>
        <w:t>37%</w:t>
      </w:r>
      <w:r w:rsidRPr="00B35962">
        <w:rPr>
          <w:lang w:val="sr-Latn-ME"/>
        </w:rPr>
        <w:t>), dok je obuhvat d</w:t>
      </w:r>
      <w:r w:rsidR="00A428F6" w:rsidRPr="00B35962">
        <w:rPr>
          <w:lang w:val="sr-Latn-ME"/>
        </w:rPr>
        <w:t>j</w:t>
      </w:r>
      <w:r w:rsidRPr="00B35962">
        <w:rPr>
          <w:lang w:val="sr-Latn-ME"/>
        </w:rPr>
        <w:t>ece starosti od 3 godine do polaska u osnovnu školu</w:t>
      </w:r>
      <w:r w:rsidR="00CE61DB" w:rsidRPr="00B35962">
        <w:rPr>
          <w:lang w:val="sr-Latn-ME"/>
        </w:rPr>
        <w:t>, koja pohađaju vrtiće,</w:t>
      </w:r>
      <w:r w:rsidRPr="00B35962">
        <w:rPr>
          <w:lang w:val="sr-Latn-ME"/>
        </w:rPr>
        <w:t xml:space="preserve"> značajno v</w:t>
      </w:r>
      <w:r w:rsidR="00A46F70" w:rsidRPr="00B35962">
        <w:rPr>
          <w:lang w:val="sr-Latn-ME"/>
        </w:rPr>
        <w:t>eći</w:t>
      </w:r>
      <w:r w:rsidRPr="00B35962">
        <w:rPr>
          <w:lang w:val="sr-Latn-ME"/>
        </w:rPr>
        <w:t xml:space="preserve"> (oko 7</w:t>
      </w:r>
      <w:r w:rsidR="001B07B7" w:rsidRPr="00B35962">
        <w:rPr>
          <w:lang w:val="sr-Latn-ME"/>
        </w:rPr>
        <w:t>7</w:t>
      </w:r>
      <w:r w:rsidR="00B21223" w:rsidRPr="00B35962">
        <w:rPr>
          <w:lang w:val="sr-Latn-ME"/>
        </w:rPr>
        <w:t>%</w:t>
      </w:r>
      <w:r w:rsidRPr="00B35962">
        <w:rPr>
          <w:lang w:val="sr-Latn-ME"/>
        </w:rPr>
        <w:t xml:space="preserve">). </w:t>
      </w:r>
      <w:r w:rsidR="002D39A5" w:rsidRPr="00B35962">
        <w:rPr>
          <w:lang w:val="sr-Latn-ME"/>
        </w:rPr>
        <w:t>Iako je u prethodnom periodu registrovan značajan napredak u pogledu obuhvata</w:t>
      </w:r>
      <w:r w:rsidR="00D16E8A" w:rsidRPr="00B35962">
        <w:rPr>
          <w:lang w:val="sr-Latn-ME"/>
        </w:rPr>
        <w:t xml:space="preserve"> (po prosječnoj stopi oko 3 procentna poena godišnje)</w:t>
      </w:r>
      <w:r w:rsidR="002D39A5" w:rsidRPr="00B35962">
        <w:rPr>
          <w:lang w:val="sr-Latn-ME"/>
        </w:rPr>
        <w:t xml:space="preserve">, on je i dalje značajno niži u odnosu na većinu zemalja EU (prosječni obuhvat djece uzrasta od 4 godine do polaska u školu u 27 zemalja EU je </w:t>
      </w:r>
      <w:r w:rsidR="00E73AE5" w:rsidRPr="00B35962">
        <w:rPr>
          <w:lang w:val="sr-Latn-ME"/>
        </w:rPr>
        <w:t>u 2017. godini bio oko 95%) i u odnosu na EU cilj za 2020. godinu (95%).</w:t>
      </w:r>
      <w:r w:rsidRPr="00B35962">
        <w:rPr>
          <w:rStyle w:val="FootnoteReference"/>
          <w:lang w:val="sr-Latn-ME"/>
        </w:rPr>
        <w:footnoteReference w:id="5"/>
      </w:r>
      <w:r w:rsidR="00E73AE5" w:rsidRPr="00B35962">
        <w:rPr>
          <w:lang w:val="sr-Latn-ME"/>
        </w:rPr>
        <w:t xml:space="preserve"> Dakle, primjena prethodne strategije je rezultirala značajnim napretkom u pogledu obuhvata i u narednom periodu treba nastaviti sa širenjem kapaciteta i obuhvata djece kako bi se dostigao nivo obuhvata u </w:t>
      </w:r>
      <w:r w:rsidR="00C76F43" w:rsidRPr="00B35962">
        <w:rPr>
          <w:lang w:val="sr-Latn-ME"/>
        </w:rPr>
        <w:t xml:space="preserve">EU </w:t>
      </w:r>
      <w:r w:rsidR="00B60500" w:rsidRPr="00B35962">
        <w:rPr>
          <w:lang w:val="sr-Latn-ME"/>
        </w:rPr>
        <w:t>zemljama</w:t>
      </w:r>
      <w:r w:rsidR="00E73AE5" w:rsidRPr="00B35962">
        <w:rPr>
          <w:lang w:val="sr-Latn-ME"/>
        </w:rPr>
        <w:t>.</w:t>
      </w:r>
    </w:p>
    <w:p w14:paraId="07E3C0C9" w14:textId="77777777" w:rsidR="00566A90" w:rsidRPr="00B35962" w:rsidRDefault="00566A90" w:rsidP="003D7DCF">
      <w:pPr>
        <w:rPr>
          <w:lang w:val="sr-Latn-ME"/>
        </w:rPr>
      </w:pPr>
    </w:p>
    <w:p w14:paraId="476782E9" w14:textId="77777777" w:rsidR="00B60500" w:rsidRPr="00B35962" w:rsidRDefault="00B60500" w:rsidP="003D7DCF">
      <w:pPr>
        <w:rPr>
          <w:lang w:val="sr-Latn-ME"/>
        </w:rPr>
      </w:pPr>
      <w:r w:rsidRPr="00B35962">
        <w:rPr>
          <w:lang w:val="sr-Latn-ME"/>
        </w:rPr>
        <w:t>Značajan napredak koji je ostvaren u prethodnom periodu  rezultat</w:t>
      </w:r>
      <w:r w:rsidR="00A46F70" w:rsidRPr="00B35962">
        <w:rPr>
          <w:lang w:val="sr-Latn-ME"/>
        </w:rPr>
        <w:t xml:space="preserve"> je</w:t>
      </w:r>
      <w:r w:rsidRPr="00B35962">
        <w:rPr>
          <w:lang w:val="sr-Latn-ME"/>
        </w:rPr>
        <w:t xml:space="preserve"> istovremenog širenja kapaciteta i uključivanja većeg broja d</w:t>
      </w:r>
      <w:r w:rsidR="00A428F6" w:rsidRPr="00B35962">
        <w:rPr>
          <w:lang w:val="sr-Latn-ME"/>
        </w:rPr>
        <w:t>j</w:t>
      </w:r>
      <w:r w:rsidRPr="00B35962">
        <w:rPr>
          <w:lang w:val="sr-Latn-ME"/>
        </w:rPr>
        <w:t xml:space="preserve">ece. Ipak, u više od polovine opština postoji problem vaspitnih grupa koje su u velikoj mjeri veće nego što je propisano </w:t>
      </w:r>
      <w:r w:rsidR="00A46F70" w:rsidRPr="00B35962">
        <w:rPr>
          <w:lang w:val="sr-Latn-ME"/>
        </w:rPr>
        <w:t>z</w:t>
      </w:r>
      <w:r w:rsidRPr="00B35962">
        <w:rPr>
          <w:lang w:val="sr-Latn-ME"/>
        </w:rPr>
        <w:t>akonom</w:t>
      </w:r>
      <w:r w:rsidR="00457EAE" w:rsidRPr="00B35962">
        <w:rPr>
          <w:lang w:val="sr-Latn-ME"/>
        </w:rPr>
        <w:t>.</w:t>
      </w:r>
      <w:r w:rsidR="001D1895" w:rsidRPr="00B35962">
        <w:rPr>
          <w:lang w:val="sr-Latn-ME"/>
        </w:rPr>
        <w:t xml:space="preserve"> Na prim</w:t>
      </w:r>
      <w:r w:rsidR="00B638B1" w:rsidRPr="00B35962">
        <w:rPr>
          <w:lang w:val="sr-Latn-ME"/>
        </w:rPr>
        <w:t>j</w:t>
      </w:r>
      <w:r w:rsidR="001D1895" w:rsidRPr="00B35962">
        <w:rPr>
          <w:lang w:val="sr-Latn-ME"/>
        </w:rPr>
        <w:t xml:space="preserve">er, prema podacima </w:t>
      </w:r>
      <w:r w:rsidR="00E329B4" w:rsidRPr="00B35962">
        <w:rPr>
          <w:lang w:val="sr-Latn-ME"/>
        </w:rPr>
        <w:t>u školskoj</w:t>
      </w:r>
      <w:r w:rsidR="001D1895" w:rsidRPr="00B35962">
        <w:rPr>
          <w:lang w:val="sr-Latn-ME"/>
        </w:rPr>
        <w:t xml:space="preserve"> 2017/</w:t>
      </w:r>
      <w:r w:rsidR="00E329B4" w:rsidRPr="00B35962">
        <w:rPr>
          <w:lang w:val="sr-Latn-ME"/>
        </w:rPr>
        <w:t>20</w:t>
      </w:r>
      <w:r w:rsidR="001D1895" w:rsidRPr="00B35962">
        <w:rPr>
          <w:lang w:val="sr-Latn-ME"/>
        </w:rPr>
        <w:t>18</w:t>
      </w:r>
      <w:r w:rsidR="00E329B4" w:rsidRPr="00B35962">
        <w:rPr>
          <w:lang w:val="sr-Latn-ME"/>
        </w:rPr>
        <w:t>.</w:t>
      </w:r>
      <w:r w:rsidR="001D1895" w:rsidRPr="00B35962">
        <w:rPr>
          <w:lang w:val="sr-Latn-ME"/>
        </w:rPr>
        <w:t xml:space="preserve"> godini u prosjeku je bilo 31</w:t>
      </w:r>
      <w:r w:rsidR="00E329B4" w:rsidRPr="00B35962">
        <w:rPr>
          <w:lang w:val="sr-Latn-ME"/>
        </w:rPr>
        <w:t>,</w:t>
      </w:r>
      <w:r w:rsidR="001D1895" w:rsidRPr="00B35962">
        <w:rPr>
          <w:lang w:val="sr-Latn-ME"/>
        </w:rPr>
        <w:t xml:space="preserve">9 djece po vaspitnoj grupi. </w:t>
      </w:r>
    </w:p>
    <w:p w14:paraId="6915FEB5" w14:textId="77777777" w:rsidR="000C3130" w:rsidRPr="00B35962" w:rsidRDefault="000C3130" w:rsidP="003D7DCF">
      <w:pPr>
        <w:rPr>
          <w:lang w:val="sr-Latn-ME"/>
        </w:rPr>
      </w:pPr>
    </w:p>
    <w:p w14:paraId="0BD94C56" w14:textId="77777777" w:rsidR="00FA30CD" w:rsidRPr="00B35962" w:rsidRDefault="00FA30CD" w:rsidP="00FA30CD">
      <w:pPr>
        <w:pStyle w:val="Heading2"/>
        <w:rPr>
          <w:rFonts w:cs="Times New Roman"/>
          <w:color w:val="0070C0"/>
          <w:lang w:val="sr-Latn-ME"/>
        </w:rPr>
      </w:pPr>
      <w:bookmarkStart w:id="6" w:name="_Toc55295089"/>
      <w:r w:rsidRPr="00B35962">
        <w:rPr>
          <w:rFonts w:cs="Times New Roman"/>
          <w:color w:val="0070C0"/>
          <w:lang w:val="sr-Latn-ME"/>
        </w:rPr>
        <w:t>2.2. K</w:t>
      </w:r>
      <w:r w:rsidR="00B05C46" w:rsidRPr="00B35962">
        <w:rPr>
          <w:rFonts w:cs="Times New Roman"/>
          <w:color w:val="0070C0"/>
          <w:lang w:val="sr-Latn-ME"/>
        </w:rPr>
        <w:t xml:space="preserve">ompetencije zaposlenih </w:t>
      </w:r>
      <w:r w:rsidR="009753CB" w:rsidRPr="00B35962">
        <w:rPr>
          <w:rFonts w:cs="Times New Roman"/>
          <w:color w:val="0070C0"/>
          <w:lang w:val="sr-Latn-ME"/>
        </w:rPr>
        <w:t xml:space="preserve">u PU </w:t>
      </w:r>
      <w:r w:rsidR="00B05C46" w:rsidRPr="00B35962">
        <w:rPr>
          <w:rFonts w:cs="Times New Roman"/>
          <w:color w:val="0070C0"/>
          <w:lang w:val="sr-Latn-ME"/>
        </w:rPr>
        <w:t>i kvalitet</w:t>
      </w:r>
      <w:r w:rsidR="00EC0769" w:rsidRPr="00B35962">
        <w:rPr>
          <w:rFonts w:cs="Times New Roman"/>
          <w:color w:val="0070C0"/>
          <w:lang w:val="sr-Latn-ME"/>
        </w:rPr>
        <w:t xml:space="preserve"> programa</w:t>
      </w:r>
      <w:r w:rsidR="009753CB" w:rsidRPr="00B35962">
        <w:rPr>
          <w:rFonts w:cs="Times New Roman"/>
          <w:color w:val="0070C0"/>
          <w:lang w:val="sr-Latn-ME"/>
        </w:rPr>
        <w:t xml:space="preserve"> PVO</w:t>
      </w:r>
      <w:bookmarkEnd w:id="6"/>
    </w:p>
    <w:p w14:paraId="2A5225E8" w14:textId="77777777" w:rsidR="00564CB4" w:rsidRPr="00B35962" w:rsidRDefault="00564CB4" w:rsidP="00106DA9">
      <w:pPr>
        <w:rPr>
          <w:lang w:val="sr-Latn-ME"/>
        </w:rPr>
      </w:pPr>
      <w:r w:rsidRPr="00B35962">
        <w:rPr>
          <w:lang w:val="sr-Latn-ME"/>
        </w:rPr>
        <w:t>U školskoj 2019/</w:t>
      </w:r>
      <w:r w:rsidR="00E329B4" w:rsidRPr="00B35962">
        <w:rPr>
          <w:lang w:val="sr-Latn-ME"/>
        </w:rPr>
        <w:t>20</w:t>
      </w:r>
      <w:r w:rsidRPr="00B35962">
        <w:rPr>
          <w:lang w:val="sr-Latn-ME"/>
        </w:rPr>
        <w:t xml:space="preserve">20 godini u PVO </w:t>
      </w:r>
      <w:r w:rsidR="00A46F70" w:rsidRPr="00B35962">
        <w:rPr>
          <w:lang w:val="sr-Latn-ME"/>
        </w:rPr>
        <w:t>su bile</w:t>
      </w:r>
      <w:r w:rsidRPr="00B35962">
        <w:rPr>
          <w:lang w:val="sr-Latn-ME"/>
        </w:rPr>
        <w:t xml:space="preserve"> ukupno 2</w:t>
      </w:r>
      <w:r w:rsidR="00E329B4" w:rsidRPr="00B35962">
        <w:rPr>
          <w:lang w:val="sr-Latn-ME"/>
        </w:rPr>
        <w:t>.</w:t>
      </w:r>
      <w:r w:rsidRPr="00B35962">
        <w:rPr>
          <w:lang w:val="sr-Latn-ME"/>
        </w:rPr>
        <w:t>593 zaposlene osobe</w:t>
      </w:r>
      <w:r w:rsidR="00A46F70" w:rsidRPr="00B35962">
        <w:rPr>
          <w:lang w:val="sr-Latn-ME"/>
        </w:rPr>
        <w:t>,</w:t>
      </w:r>
      <w:r w:rsidRPr="00B35962">
        <w:rPr>
          <w:lang w:val="sr-Latn-ME"/>
        </w:rPr>
        <w:t xml:space="preserve"> od kojih je 1</w:t>
      </w:r>
      <w:r w:rsidR="00E329B4" w:rsidRPr="00B35962">
        <w:rPr>
          <w:lang w:val="sr-Latn-ME"/>
        </w:rPr>
        <w:t>.</w:t>
      </w:r>
      <w:r w:rsidRPr="00B35962">
        <w:rPr>
          <w:lang w:val="sr-Latn-ME"/>
        </w:rPr>
        <w:t>290 (oko 50%) vaspitača, 572 medicinske sestre (oko 22%), 49 stručnih saradnika (1.8%) i 682 administrativna radnika i pomoćnog osoblja (oko 26%)</w:t>
      </w:r>
      <w:r w:rsidR="00A46F70" w:rsidRPr="00B35962">
        <w:rPr>
          <w:lang w:val="sr-Latn-ME"/>
        </w:rPr>
        <w:t>,</w:t>
      </w:r>
      <w:r w:rsidR="00D3001D" w:rsidRPr="00B35962">
        <w:rPr>
          <w:lang w:val="sr-Latn-ME"/>
        </w:rPr>
        <w:t xml:space="preserve"> pri čemu</w:t>
      </w:r>
      <w:r w:rsidR="00A46F70" w:rsidRPr="00B35962">
        <w:rPr>
          <w:lang w:val="sr-Latn-ME"/>
        </w:rPr>
        <w:t xml:space="preserve"> je</w:t>
      </w:r>
      <w:r w:rsidR="00D3001D" w:rsidRPr="00B35962">
        <w:rPr>
          <w:lang w:val="sr-Latn-ME"/>
        </w:rPr>
        <w:t xml:space="preserve"> oko 15% njih bilo neaktivno zbog bolovanja. </w:t>
      </w:r>
      <w:r w:rsidR="0043306C" w:rsidRPr="00B35962">
        <w:rPr>
          <w:lang w:val="sr-Latn-ME"/>
        </w:rPr>
        <w:t>Svi zaposleni u PU posjeduju licence za obavljanje rada u vaspitno-obrazovnim ustanovama</w:t>
      </w:r>
      <w:r w:rsidR="00A46F70" w:rsidRPr="00B35962">
        <w:rPr>
          <w:lang w:val="sr-Latn-ME"/>
        </w:rPr>
        <w:t>,</w:t>
      </w:r>
      <w:r w:rsidR="0043306C" w:rsidRPr="00B35962">
        <w:rPr>
          <w:lang w:val="sr-Latn-ME"/>
        </w:rPr>
        <w:t xml:space="preserve"> koje izdaje Zavod za školstvo i koje se obnavljaju nakon</w:t>
      </w:r>
      <w:r w:rsidR="00A46F70" w:rsidRPr="00B35962">
        <w:rPr>
          <w:lang w:val="sr-Latn-ME"/>
        </w:rPr>
        <w:t xml:space="preserve"> pet</w:t>
      </w:r>
      <w:r w:rsidR="0043306C" w:rsidRPr="00B35962">
        <w:rPr>
          <w:lang w:val="sr-Latn-ME"/>
        </w:rPr>
        <w:t xml:space="preserve"> godina rada. </w:t>
      </w:r>
      <w:r w:rsidR="00240C7C" w:rsidRPr="00B35962">
        <w:rPr>
          <w:lang w:val="sr-Latn-ME"/>
        </w:rPr>
        <w:t>Odnos broj</w:t>
      </w:r>
      <w:r w:rsidR="00EA7E0E" w:rsidRPr="00B35962">
        <w:rPr>
          <w:lang w:val="sr-Latn-ME"/>
        </w:rPr>
        <w:t>a</w:t>
      </w:r>
      <w:r w:rsidR="00240C7C" w:rsidRPr="00B35962">
        <w:rPr>
          <w:lang w:val="sr-Latn-ME"/>
        </w:rPr>
        <w:t xml:space="preserve"> djece prema broju onih koji direktno rade sa djecom (vaspitači i medicinske sestre) je oko 14</w:t>
      </w:r>
      <w:r w:rsidR="00E329B4" w:rsidRPr="00B35962">
        <w:rPr>
          <w:lang w:val="sr-Latn-ME"/>
        </w:rPr>
        <w:t>,</w:t>
      </w:r>
      <w:r w:rsidR="00240C7C" w:rsidRPr="00B35962">
        <w:rPr>
          <w:lang w:val="sr-Latn-ME"/>
        </w:rPr>
        <w:t>7 djece po stručnjaku koji direktno radi sa djecom što je više od prosjeka u EU zemljama (EU 27 prosjek je 12</w:t>
      </w:r>
      <w:r w:rsidR="00E329B4" w:rsidRPr="00B35962">
        <w:rPr>
          <w:lang w:val="sr-Latn-ME"/>
        </w:rPr>
        <w:t>,</w:t>
      </w:r>
      <w:r w:rsidR="00240C7C" w:rsidRPr="00B35962">
        <w:rPr>
          <w:lang w:val="sr-Latn-ME"/>
        </w:rPr>
        <w:t>7</w:t>
      </w:r>
      <w:r w:rsidR="00240C7C" w:rsidRPr="00B35962">
        <w:rPr>
          <w:rStyle w:val="FootnoteReference"/>
          <w:lang w:val="sr-Latn-ME"/>
        </w:rPr>
        <w:footnoteReference w:id="6"/>
      </w:r>
      <w:r w:rsidR="00240C7C" w:rsidRPr="00B35962">
        <w:rPr>
          <w:lang w:val="sr-Latn-ME"/>
        </w:rPr>
        <w:t xml:space="preserve">). </w:t>
      </w:r>
    </w:p>
    <w:p w14:paraId="6DADFF1F" w14:textId="77777777" w:rsidR="00F3453B" w:rsidRPr="00B35962" w:rsidRDefault="00F3453B" w:rsidP="00F3453B">
      <w:pPr>
        <w:rPr>
          <w:lang w:val="sr-Latn-ME"/>
        </w:rPr>
      </w:pPr>
      <w:r w:rsidRPr="00B35962">
        <w:rPr>
          <w:lang w:val="sr-Latn-ME"/>
        </w:rPr>
        <w:lastRenderedPageBreak/>
        <w:t xml:space="preserve">Kada je u pitanju inicijalno obrazovanje vaspitača u prethodnom periodu (2016. godine), revidiran je univerzitetski program inicijalnog obrazovanja, koji je definisan kao master program </w:t>
      </w:r>
      <w:r w:rsidRPr="00E40A6B">
        <w:rPr>
          <w:szCs w:val="24"/>
          <w:lang w:val="sr-Latn-ME"/>
        </w:rPr>
        <w:t xml:space="preserve">(300 kredita: osnovne studije </w:t>
      </w:r>
      <w:r w:rsidRPr="00E40A6B">
        <w:rPr>
          <w:szCs w:val="24"/>
          <w:lang w:val="sr-Latn-CS"/>
        </w:rPr>
        <w:t>180 ECTS kredita</w:t>
      </w:r>
      <w:r>
        <w:rPr>
          <w:szCs w:val="24"/>
          <w:lang w:val="sr-Latn-ME"/>
        </w:rPr>
        <w:t>,</w:t>
      </w:r>
      <w:r w:rsidRPr="00E40A6B">
        <w:rPr>
          <w:szCs w:val="24"/>
          <w:lang w:val="sr-Latn-ME"/>
        </w:rPr>
        <w:t xml:space="preserve"> master studije 120 ECTS</w:t>
      </w:r>
      <w:r w:rsidRPr="00B35962">
        <w:rPr>
          <w:lang w:val="sr-Latn-ME"/>
        </w:rPr>
        <w:t>) i koji je unaprijeđen u smislu da je sa primijenjenog podignut na viši, akademski nivo. Na taj način se, preko inoviranja inicijalnog obrazovanja, obezbjeđuje unapređenje kompetencija i kvaliteta rada zaposlenih u PVO. Odsjek za kontinuirani profesionalni razvoj Zavoda za školstvo organizuje obuke i stručno usavršavanje vaspitača, stručnih saradnika, direktora i pomoćnika direktora PU u skladu sa Katalogom stručnog usavršavanja nastavnika. Zavod za školstvo je formirao bazu podataka o obukama vaspitača i stručnih saradnika PU. Pored toga, uspostavljani su aktivi, tj. mreže praktičara, redovno se organizuju sajmovi inovativnih praksi PU (od 2017. godine)</w:t>
      </w:r>
      <w:r w:rsidRPr="00B35962">
        <w:rPr>
          <w:rStyle w:val="FootnoteReference"/>
          <w:lang w:val="sr-Latn-ME"/>
        </w:rPr>
        <w:footnoteReference w:id="7"/>
      </w:r>
      <w:r w:rsidRPr="00B35962">
        <w:rPr>
          <w:lang w:val="sr-Latn-ME"/>
        </w:rPr>
        <w:t xml:space="preserve"> i razvijeni su standardi rada stručnih saradnika koji definišu njihovu ulogu u obezbjeđivanju kvaliteta PVO. Odsjek za kontinuirani profesionalni razvoj Zavoda za školstvo redovno organizuje obuke i stručno usavršavanje vaspitača, stručnih saradnika, direktora i pomoćnika direktora PU a u skladu sa Katalogom stručnog usavršavanja nastavnika</w:t>
      </w:r>
      <w:r w:rsidRPr="00B35962">
        <w:rPr>
          <w:rStyle w:val="FootnoteReference"/>
          <w:lang w:val="sr-Latn-ME"/>
        </w:rPr>
        <w:footnoteReference w:id="8"/>
      </w:r>
      <w:r w:rsidRPr="00B35962">
        <w:rPr>
          <w:lang w:val="sr-Latn-ME"/>
        </w:rPr>
        <w:t>. Pored toga, realizovane su i posebne obuke zaposlenih za nove usluge, kao što su trosatni programi, interaktivne službe i biblioteke igračaka i knjiga. Na osnovu analize potreba u vezi sa profesionalnim razvojem zaposlenih u predškolskim ustanovama identifikovane su mogućnosti za usavršavanje postojećeg sistema i prakse</w:t>
      </w:r>
      <w:r w:rsidRPr="00B35962">
        <w:rPr>
          <w:rStyle w:val="FootnoteReference"/>
          <w:lang w:val="sr-Latn-ME"/>
        </w:rPr>
        <w:footnoteReference w:id="9"/>
      </w:r>
      <w:r w:rsidRPr="00B35962">
        <w:rPr>
          <w:lang w:val="sr-Latn-ME"/>
        </w:rPr>
        <w:t xml:space="preserve">. Na osnovu rezultata te studije organizovane su fokusirane obuke vaspitača u pogledu rada sa djecom sa posebnim obrazovnim potrebama i djecom iz romske i egipćanske zajednice (u daljem tekstu RE zajednice), praćenje razvoja djece od polaska u vrtić do upisa u osnovnu školu putem Portfolija i unaprijeđen je Konkurs za izbor programa stručnog usavršavanja nastavnika u školskoj 2019/2021. godini. </w:t>
      </w:r>
    </w:p>
    <w:p w14:paraId="472135CF" w14:textId="77777777" w:rsidR="00F3453B" w:rsidRPr="00B35962" w:rsidRDefault="00F3453B" w:rsidP="00F3453B">
      <w:pPr>
        <w:rPr>
          <w:lang w:val="sr-Latn-ME"/>
        </w:rPr>
      </w:pPr>
    </w:p>
    <w:p w14:paraId="601A0F41" w14:textId="77777777" w:rsidR="00F3453B" w:rsidRPr="00B35962" w:rsidRDefault="00F3453B" w:rsidP="00F3453B">
      <w:pPr>
        <w:rPr>
          <w:lang w:val="sr-Latn-ME"/>
        </w:rPr>
      </w:pPr>
      <w:r w:rsidRPr="00B35962">
        <w:rPr>
          <w:lang w:val="sr-Latn-ME"/>
        </w:rPr>
        <w:t xml:space="preserve">Pored navedenih pozitivnih promjena, ključni izazovi kada je u pitanju obezbjeđivanje kvaliteta rada zaposlenih jesu </w:t>
      </w:r>
      <w:r>
        <w:rPr>
          <w:lang w:val="sr-Latn-ME"/>
        </w:rPr>
        <w:t>izuzetno brojčane</w:t>
      </w:r>
      <w:r w:rsidRPr="00B35962">
        <w:rPr>
          <w:lang w:val="sr-Latn-ME"/>
        </w:rPr>
        <w:t xml:space="preserve"> vaspitne grupe i dalje unapređivanje sistema kontinuiranog  profesionalnog razvoja. Iako se u septembru svake godine identifikuju potrebe PU za dodatnim kadrom, snažno povećanje obuhvata u prethodnim godinama rezultiralo je prekobrojnim vaspitnim grupama, što povećava broj djece po vaspitaču i čime se ugrožava kvalitet PVO. Ovaj nalaz ukazuje na potrebu da se poveća broj vaspitača. Kada je u pitanju sistem profesionalnog razvoja vaspitača, pored pozitivnih promjena koje su pomenute, potrebno je da se dodatno osavremeni postojeći sistem profesionalnog razvoja, u skladu sa preporukama iz studije o kontinuiranom profesionalnom razvoju vaspitača.</w:t>
      </w:r>
      <w:r w:rsidRPr="00B35962">
        <w:rPr>
          <w:rStyle w:val="FootnoteReference"/>
          <w:lang w:val="sr-Latn-ME"/>
        </w:rPr>
        <w:footnoteReference w:id="10"/>
      </w:r>
      <w:r w:rsidRPr="00B35962">
        <w:rPr>
          <w:lang w:val="sr-Latn-ME"/>
        </w:rPr>
        <w:t xml:space="preserve">  </w:t>
      </w:r>
    </w:p>
    <w:p w14:paraId="3D755859" w14:textId="77777777" w:rsidR="00566A90" w:rsidRPr="00B35962" w:rsidRDefault="00566A90" w:rsidP="00106DA9">
      <w:pPr>
        <w:rPr>
          <w:lang w:val="sr-Latn-ME"/>
        </w:rPr>
      </w:pPr>
    </w:p>
    <w:p w14:paraId="59CB21CD" w14:textId="373E30F0" w:rsidR="00230AAD" w:rsidRPr="00B35962" w:rsidRDefault="00106DA9" w:rsidP="00106DA9">
      <w:pPr>
        <w:rPr>
          <w:lang w:val="sr-Latn-ME"/>
        </w:rPr>
      </w:pPr>
      <w:r w:rsidRPr="00B35962">
        <w:rPr>
          <w:lang w:val="sr-Latn-ME"/>
        </w:rPr>
        <w:lastRenderedPageBreak/>
        <w:t>Kvalitet programa je dodatno unaprijeđen uvođenjem novog trosatnog programa,</w:t>
      </w:r>
      <w:r w:rsidR="006267D3" w:rsidRPr="00B35962">
        <w:rPr>
          <w:lang w:val="sr-Latn-ME"/>
        </w:rPr>
        <w:t xml:space="preserve"> kao i kroz</w:t>
      </w:r>
      <w:r w:rsidRPr="00B35962">
        <w:rPr>
          <w:lang w:val="sr-Latn-ME"/>
        </w:rPr>
        <w:t xml:space="preserve"> </w:t>
      </w:r>
      <w:r w:rsidR="00DA4C16" w:rsidRPr="00B35962">
        <w:rPr>
          <w:lang w:val="sr-Latn-ME"/>
        </w:rPr>
        <w:t xml:space="preserve">organizovanje besplatnih interaktivnih službi u 16 opština i biblioteka igračaka, </w:t>
      </w:r>
      <w:r w:rsidRPr="00B35962">
        <w:rPr>
          <w:lang w:val="sr-Latn-ME"/>
        </w:rPr>
        <w:t xml:space="preserve">programa </w:t>
      </w:r>
      <w:r w:rsidR="00EA7E0E" w:rsidRPr="00B35962">
        <w:rPr>
          <w:lang w:val="sr-Latn-ME"/>
        </w:rPr>
        <w:t>e</w:t>
      </w:r>
      <w:r w:rsidRPr="00B35962">
        <w:rPr>
          <w:lang w:val="sr-Latn-ME"/>
        </w:rPr>
        <w:t xml:space="preserve">ngleskog jezika za djecu uzrasta tri do šest godina, </w:t>
      </w:r>
      <w:r w:rsidR="007E3A64" w:rsidRPr="00B35962">
        <w:rPr>
          <w:lang w:val="sr-Latn-ME"/>
        </w:rPr>
        <w:t xml:space="preserve"> </w:t>
      </w:r>
      <w:r w:rsidR="00EA7E0E" w:rsidRPr="00B35962">
        <w:rPr>
          <w:lang w:val="sr-Latn-ME"/>
        </w:rPr>
        <w:t xml:space="preserve">uvođenjem </w:t>
      </w:r>
      <w:r w:rsidR="007E3A64" w:rsidRPr="00B35962">
        <w:rPr>
          <w:lang w:val="sr-Latn-ME"/>
        </w:rPr>
        <w:t>program</w:t>
      </w:r>
      <w:r w:rsidR="00EA7E0E" w:rsidRPr="00B35962">
        <w:rPr>
          <w:lang w:val="sr-Latn-ME"/>
        </w:rPr>
        <w:t>a</w:t>
      </w:r>
      <w:r w:rsidR="007E3A64" w:rsidRPr="00B35962">
        <w:rPr>
          <w:lang w:val="sr-Latn-ME"/>
        </w:rPr>
        <w:t xml:space="preserve"> prelaska iz vrtića u osnovnu školu koji je kontinuiran, saradnički, partic</w:t>
      </w:r>
      <w:r w:rsidR="00920968" w:rsidRPr="00B35962">
        <w:rPr>
          <w:lang w:val="sr-Latn-ME"/>
        </w:rPr>
        <w:t>i</w:t>
      </w:r>
      <w:r w:rsidR="007E3A64" w:rsidRPr="00B35962">
        <w:rPr>
          <w:lang w:val="sr-Latn-ME"/>
        </w:rPr>
        <w:t>pativan</w:t>
      </w:r>
      <w:r w:rsidR="00EA7E0E" w:rsidRPr="00B35962">
        <w:rPr>
          <w:lang w:val="sr-Latn-ME"/>
        </w:rPr>
        <w:t>, a</w:t>
      </w:r>
      <w:r w:rsidR="007E3A64" w:rsidRPr="00B35962">
        <w:rPr>
          <w:lang w:val="sr-Latn-ME"/>
        </w:rPr>
        <w:t xml:space="preserve"> </w:t>
      </w:r>
      <w:r w:rsidRPr="00B35962">
        <w:rPr>
          <w:lang w:val="sr-Latn-ME"/>
        </w:rPr>
        <w:t xml:space="preserve"> unapr</w:t>
      </w:r>
      <w:r w:rsidR="0030781B" w:rsidRPr="00B35962">
        <w:rPr>
          <w:lang w:val="sr-Latn-ME"/>
        </w:rPr>
        <w:t>ij</w:t>
      </w:r>
      <w:r w:rsidRPr="00B35962">
        <w:rPr>
          <w:lang w:val="sr-Latn-ME"/>
        </w:rPr>
        <w:t xml:space="preserve">eđen je </w:t>
      </w:r>
      <w:r w:rsidR="00EA7E0E" w:rsidRPr="00B35962">
        <w:rPr>
          <w:lang w:val="sr-Latn-ME"/>
        </w:rPr>
        <w:t xml:space="preserve">i </w:t>
      </w:r>
      <w:r w:rsidRPr="00B35962">
        <w:rPr>
          <w:lang w:val="sr-Latn-ME"/>
        </w:rPr>
        <w:t xml:space="preserve">kvalitet saradnje vrtića sa roditeljima. </w:t>
      </w:r>
      <w:r w:rsidR="00C574C2" w:rsidRPr="00B35962">
        <w:rPr>
          <w:lang w:val="sr-Latn-ME"/>
        </w:rPr>
        <w:t>Pored toga, izm</w:t>
      </w:r>
      <w:r w:rsidR="0030781B" w:rsidRPr="00B35962">
        <w:rPr>
          <w:lang w:val="sr-Latn-ME"/>
        </w:rPr>
        <w:t>j</w:t>
      </w:r>
      <w:r w:rsidR="00C574C2" w:rsidRPr="00B35962">
        <w:rPr>
          <w:lang w:val="sr-Latn-ME"/>
        </w:rPr>
        <w:t>enama zakona iz 2017. godine definisano je vrijeme trajanja pojedinih programa u skladu sa potrebama roditelja i interesovanjem djece, definisana je mogućnost organizovanja produženog boravka i drugih program</w:t>
      </w:r>
      <w:r w:rsidR="006D62B5">
        <w:rPr>
          <w:lang w:val="sr-Latn-ME"/>
        </w:rPr>
        <w:t>a</w:t>
      </w:r>
      <w:r w:rsidR="00C574C2" w:rsidRPr="00B35962">
        <w:rPr>
          <w:lang w:val="sr-Latn-ME"/>
        </w:rPr>
        <w:t xml:space="preserve"> za animaciju i zabavu djece i podršku roditeljima (u skladu sa prostornim i kadrovskim mogućnostima PU) koji bi bili finansirani od strane roditelja</w:t>
      </w:r>
      <w:r w:rsidR="00EA7E0E" w:rsidRPr="00B35962">
        <w:rPr>
          <w:lang w:val="sr-Latn-ME"/>
        </w:rPr>
        <w:t>,</w:t>
      </w:r>
      <w:r w:rsidR="00C574C2" w:rsidRPr="00B35962">
        <w:rPr>
          <w:lang w:val="sr-Latn-ME"/>
        </w:rPr>
        <w:t xml:space="preserve"> čime su stvorene mogućnosti za širenje diver</w:t>
      </w:r>
      <w:r w:rsidR="0030781B" w:rsidRPr="00B35962">
        <w:rPr>
          <w:lang w:val="sr-Latn-ME"/>
        </w:rPr>
        <w:t>s</w:t>
      </w:r>
      <w:r w:rsidR="00C574C2" w:rsidRPr="00B35962">
        <w:rPr>
          <w:lang w:val="sr-Latn-ME"/>
        </w:rPr>
        <w:t>ifikovanih programa. U</w:t>
      </w:r>
      <w:r w:rsidRPr="00B35962">
        <w:rPr>
          <w:lang w:val="sr-Latn-ME"/>
        </w:rPr>
        <w:t>napređenje kvaliteta PVO je dodatno podržano razvojem publikacije „Razvojno-edukativna uputstva i informativni materijal”</w:t>
      </w:r>
      <w:r w:rsidR="00EA7E0E" w:rsidRPr="00B35962">
        <w:rPr>
          <w:lang w:val="sr-Latn-ME"/>
        </w:rPr>
        <w:t>,</w:t>
      </w:r>
      <w:r w:rsidRPr="00B35962">
        <w:rPr>
          <w:lang w:val="sr-Latn-ME"/>
        </w:rPr>
        <w:t xml:space="preserve"> čija je svrha podsticanje i evaluacija pojedinih razvojnih oblasti, a namijenjen je vaspitačima i roditeljima.</w:t>
      </w:r>
      <w:r w:rsidR="00E64371" w:rsidRPr="00B35962">
        <w:rPr>
          <w:lang w:val="sr-Latn-ME"/>
        </w:rPr>
        <w:t xml:space="preserve"> </w:t>
      </w:r>
    </w:p>
    <w:p w14:paraId="60DC9CA6" w14:textId="77777777" w:rsidR="00566A90" w:rsidRPr="00B35962" w:rsidRDefault="00566A90" w:rsidP="00230AAD">
      <w:pPr>
        <w:rPr>
          <w:lang w:val="sr-Latn-ME"/>
        </w:rPr>
      </w:pPr>
    </w:p>
    <w:p w14:paraId="0A726AB8" w14:textId="77777777" w:rsidR="00230AAD" w:rsidRPr="00B35962" w:rsidRDefault="00230AAD" w:rsidP="00230AAD">
      <w:pPr>
        <w:rPr>
          <w:lang w:val="sr-Latn-ME"/>
        </w:rPr>
      </w:pPr>
      <w:r w:rsidRPr="00B35962">
        <w:rPr>
          <w:lang w:val="sr-Latn-ME"/>
        </w:rPr>
        <w:t xml:space="preserve">Kvalitet PVO je unaprijeđen i </w:t>
      </w:r>
      <w:r w:rsidR="00177C7F" w:rsidRPr="00B35962">
        <w:rPr>
          <w:lang w:val="sr-Latn-ME"/>
        </w:rPr>
        <w:t>primjenom</w:t>
      </w:r>
      <w:r w:rsidRPr="00B35962">
        <w:rPr>
          <w:lang w:val="sr-Latn-ME"/>
        </w:rPr>
        <w:t xml:space="preserve"> međunarodno priznat</w:t>
      </w:r>
      <w:r w:rsidR="00177C7F" w:rsidRPr="00B35962">
        <w:rPr>
          <w:lang w:val="sr-Latn-ME"/>
        </w:rPr>
        <w:t>og</w:t>
      </w:r>
      <w:r w:rsidRPr="00B35962">
        <w:rPr>
          <w:lang w:val="sr-Latn-ME"/>
        </w:rPr>
        <w:t xml:space="preserve"> program roditeljstva „Roditeljstvo za cjeloživotno zdravlje za malu djecu“ u PU u Podgorici, Cetinju, Nikšiću i Bijelom Polju u saradnji sa UNICEF-om</w:t>
      </w:r>
      <w:r w:rsidR="00177C7F" w:rsidRPr="00B35962">
        <w:rPr>
          <w:rStyle w:val="FootnoteReference"/>
          <w:lang w:val="sr-Latn-ME"/>
        </w:rPr>
        <w:footnoteReference w:id="11"/>
      </w:r>
      <w:r w:rsidRPr="00B35962">
        <w:rPr>
          <w:lang w:val="sr-Latn-ME"/>
        </w:rPr>
        <w:t xml:space="preserve">. Ovaj program roditeljstva prvenstveno je usmjeren na uspostavljanje pozitivnih odnosa između roditelja i djece, na razvijanje osjećaja kompetentnosti kod roditelja, a time i na sprječavanje nasilja nad djecom i na sprečavanje problema u ponašanju kod djece. Pored toga, program obuke za sprovođenje ovog programa jedan je od programa stručnog usavršavanja nastavnika. </w:t>
      </w:r>
    </w:p>
    <w:p w14:paraId="6274C339" w14:textId="77777777" w:rsidR="00566A90" w:rsidRPr="00B35962" w:rsidRDefault="00566A90" w:rsidP="00230AAD">
      <w:pPr>
        <w:rPr>
          <w:lang w:val="sr-Latn-ME"/>
        </w:rPr>
      </w:pPr>
    </w:p>
    <w:p w14:paraId="34724C42" w14:textId="53078010" w:rsidR="00230AAD" w:rsidRPr="00B35962" w:rsidRDefault="00230AAD" w:rsidP="00230AAD">
      <w:pPr>
        <w:rPr>
          <w:lang w:val="sr-Latn-ME"/>
        </w:rPr>
      </w:pPr>
      <w:r w:rsidRPr="00B35962">
        <w:rPr>
          <w:lang w:val="sr-Latn-ME"/>
        </w:rPr>
        <w:t xml:space="preserve">Najzad, započete su aktivnosti u cilju unapređenja kvaliteta ishrane u predškolskim ustanovama. Naime, Institut za javno zdravlje Crne Gore </w:t>
      </w:r>
      <w:r w:rsidR="00180CDC" w:rsidRPr="00B35962">
        <w:rPr>
          <w:lang w:val="sr-Latn-ME"/>
        </w:rPr>
        <w:t xml:space="preserve">je sačinio </w:t>
      </w:r>
      <w:r w:rsidRPr="00B35962">
        <w:rPr>
          <w:lang w:val="sr-Latn-ME"/>
        </w:rPr>
        <w:t>analizu jelovnika u predškolskim ustanovama sa preporukama i smjernicama za unapređenje kvaliteta ishrane u predškolskim ustanovama i uvođenje promotivno</w:t>
      </w:r>
      <w:r w:rsidR="00886502" w:rsidRPr="00B35962">
        <w:rPr>
          <w:lang w:val="sr-Latn-ME"/>
        </w:rPr>
        <w:t xml:space="preserve"> -</w:t>
      </w:r>
      <w:r w:rsidRPr="00B35962">
        <w:rPr>
          <w:lang w:val="sr-Latn-ME"/>
        </w:rPr>
        <w:t xml:space="preserve"> edukativnih aktivnosti za djecu</w:t>
      </w:r>
      <w:r w:rsidR="00886502" w:rsidRPr="00B35962">
        <w:rPr>
          <w:lang w:val="sr-Latn-ME"/>
        </w:rPr>
        <w:t>,</w:t>
      </w:r>
      <w:r w:rsidRPr="00B35962">
        <w:rPr>
          <w:lang w:val="sr-Latn-ME"/>
        </w:rPr>
        <w:t xml:space="preserve"> što je važno zato što oko 37% dječaka u Crnoj Gori uzrasta </w:t>
      </w:r>
      <w:r w:rsidR="00886502" w:rsidRPr="00B35962">
        <w:rPr>
          <w:lang w:val="sr-Latn-ME"/>
        </w:rPr>
        <w:t>sedam</w:t>
      </w:r>
      <w:r w:rsidRPr="00B35962">
        <w:rPr>
          <w:lang w:val="sr-Latn-ME"/>
        </w:rPr>
        <w:t xml:space="preserve"> godina ima prekomjernu težinu, a 19% je gojazno, dok u slučaju djevojčic</w:t>
      </w:r>
      <w:r w:rsidR="00886502" w:rsidRPr="00B35962">
        <w:rPr>
          <w:lang w:val="sr-Latn-ME"/>
        </w:rPr>
        <w:t>a</w:t>
      </w:r>
      <w:r w:rsidRPr="00B35962">
        <w:rPr>
          <w:lang w:val="sr-Latn-ME"/>
        </w:rPr>
        <w:t xml:space="preserve"> istog uzrasta podaci iznose 29% odnosno 9%.</w:t>
      </w:r>
      <w:r w:rsidRPr="00B35962">
        <w:rPr>
          <w:rStyle w:val="FootnoteReference"/>
          <w:lang w:val="sr-Latn-ME"/>
        </w:rPr>
        <w:footnoteReference w:id="12"/>
      </w:r>
    </w:p>
    <w:p w14:paraId="1FE43EB2" w14:textId="77777777" w:rsidR="00566A90" w:rsidRPr="00B35962" w:rsidRDefault="00566A90" w:rsidP="00106DA9">
      <w:pPr>
        <w:rPr>
          <w:lang w:val="sr-Latn-ME"/>
        </w:rPr>
      </w:pPr>
    </w:p>
    <w:p w14:paraId="1245E76B" w14:textId="77777777" w:rsidR="00106DA9" w:rsidRPr="00B35962" w:rsidRDefault="00E64371" w:rsidP="00106DA9">
      <w:pPr>
        <w:rPr>
          <w:lang w:val="sr-Latn-ME"/>
        </w:rPr>
      </w:pPr>
      <w:r w:rsidRPr="00B35962">
        <w:rPr>
          <w:lang w:val="sr-Latn-ME"/>
        </w:rPr>
        <w:t xml:space="preserve">Kada je u pitanju </w:t>
      </w:r>
      <w:r w:rsidR="00DB31F6" w:rsidRPr="00B35962">
        <w:rPr>
          <w:lang w:val="sr-Latn-ME"/>
        </w:rPr>
        <w:t xml:space="preserve">unapređenje </w:t>
      </w:r>
      <w:r w:rsidRPr="00B35962">
        <w:rPr>
          <w:lang w:val="sr-Latn-ME"/>
        </w:rPr>
        <w:t xml:space="preserve">kvaliteta </w:t>
      </w:r>
      <w:r w:rsidR="00BE4052" w:rsidRPr="00B35962">
        <w:rPr>
          <w:lang w:val="sr-Latn-ME"/>
        </w:rPr>
        <w:t>PVO</w:t>
      </w:r>
      <w:r w:rsidR="00886502" w:rsidRPr="00B35962">
        <w:rPr>
          <w:lang w:val="sr-Latn-ME"/>
        </w:rPr>
        <w:t>,</w:t>
      </w:r>
      <w:r w:rsidRPr="00B35962">
        <w:rPr>
          <w:lang w:val="sr-Latn-ME"/>
        </w:rPr>
        <w:t xml:space="preserve"> identifikovani su sl</w:t>
      </w:r>
      <w:r w:rsidR="00886502" w:rsidRPr="00B35962">
        <w:rPr>
          <w:lang w:val="sr-Latn-ME"/>
        </w:rPr>
        <w:t>j</w:t>
      </w:r>
      <w:r w:rsidRPr="00B35962">
        <w:rPr>
          <w:lang w:val="sr-Latn-ME"/>
        </w:rPr>
        <w:t xml:space="preserve">edeći glavni izazovi: (a) </w:t>
      </w:r>
      <w:r w:rsidR="00CE4BF7" w:rsidRPr="00B35962">
        <w:rPr>
          <w:lang w:val="sr-Latn-ME"/>
        </w:rPr>
        <w:t xml:space="preserve">unapređenje kvaliteta </w:t>
      </w:r>
      <w:r w:rsidR="00504CE8" w:rsidRPr="00B35962">
        <w:rPr>
          <w:lang w:val="sr-Latn-ME"/>
        </w:rPr>
        <w:t xml:space="preserve">postojećeg </w:t>
      </w:r>
      <w:r w:rsidR="00D31D81" w:rsidRPr="00B35962">
        <w:rPr>
          <w:lang w:val="sr-Latn-ME"/>
        </w:rPr>
        <w:t xml:space="preserve">plana i </w:t>
      </w:r>
      <w:r w:rsidR="00504CE8" w:rsidRPr="00B35962">
        <w:rPr>
          <w:lang w:val="sr-Latn-ME"/>
        </w:rPr>
        <w:t xml:space="preserve">programa </w:t>
      </w:r>
      <w:r w:rsidR="00BE4052" w:rsidRPr="00B35962">
        <w:rPr>
          <w:lang w:val="sr-Latn-ME"/>
        </w:rPr>
        <w:t xml:space="preserve">i sistema profesionalnog usavršavanja </w:t>
      </w:r>
      <w:r w:rsidR="00CE4BF7" w:rsidRPr="00B35962">
        <w:rPr>
          <w:lang w:val="sr-Latn-ME"/>
        </w:rPr>
        <w:t>u skladu sa EU preporukama o visokokvalitetnom PVO</w:t>
      </w:r>
      <w:r w:rsidR="00B544F8" w:rsidRPr="00B35962">
        <w:rPr>
          <w:lang w:val="sr-Latn-ME"/>
        </w:rPr>
        <w:t xml:space="preserve">, </w:t>
      </w:r>
      <w:r w:rsidR="00CE4BF7" w:rsidRPr="00B35962">
        <w:rPr>
          <w:lang w:val="sr-Latn-ME"/>
        </w:rPr>
        <w:t>(b) inovira</w:t>
      </w:r>
      <w:r w:rsidR="008D1919" w:rsidRPr="00B35962">
        <w:rPr>
          <w:lang w:val="sr-Latn-ME"/>
        </w:rPr>
        <w:t>nje</w:t>
      </w:r>
      <w:r w:rsidR="00CE4BF7" w:rsidRPr="00B35962">
        <w:rPr>
          <w:lang w:val="sr-Latn-ME"/>
        </w:rPr>
        <w:t xml:space="preserve"> postojeć</w:t>
      </w:r>
      <w:r w:rsidR="008D1919" w:rsidRPr="00B35962">
        <w:rPr>
          <w:lang w:val="sr-Latn-ME"/>
        </w:rPr>
        <w:t>ih</w:t>
      </w:r>
      <w:r w:rsidR="00CE4BF7" w:rsidRPr="00B35962">
        <w:rPr>
          <w:lang w:val="sr-Latn-ME"/>
        </w:rPr>
        <w:t xml:space="preserve"> planov</w:t>
      </w:r>
      <w:r w:rsidR="008D1919" w:rsidRPr="00B35962">
        <w:rPr>
          <w:lang w:val="sr-Latn-ME"/>
        </w:rPr>
        <w:t>a</w:t>
      </w:r>
      <w:r w:rsidR="00CE4BF7" w:rsidRPr="00B35962">
        <w:rPr>
          <w:lang w:val="sr-Latn-ME"/>
        </w:rPr>
        <w:t xml:space="preserve"> izdavaštva kako bi oni obezb</w:t>
      </w:r>
      <w:r w:rsidR="00F23D87" w:rsidRPr="00B35962">
        <w:rPr>
          <w:lang w:val="sr-Latn-ME"/>
        </w:rPr>
        <w:t>ij</w:t>
      </w:r>
      <w:r w:rsidR="00CE4BF7" w:rsidRPr="00B35962">
        <w:rPr>
          <w:lang w:val="sr-Latn-ME"/>
        </w:rPr>
        <w:t xml:space="preserve">edili razvoj i izdavanje kvalitetnog materijala </w:t>
      </w:r>
      <w:r w:rsidR="006276D5" w:rsidRPr="00B35962">
        <w:rPr>
          <w:lang w:val="sr-Latn-ME"/>
        </w:rPr>
        <w:t xml:space="preserve">u oblasti </w:t>
      </w:r>
      <w:r w:rsidR="00CE4BF7" w:rsidRPr="00B35962">
        <w:rPr>
          <w:lang w:val="sr-Latn-ME"/>
        </w:rPr>
        <w:t>ranog učenja i razvoja</w:t>
      </w:r>
      <w:r w:rsidR="00B544F8" w:rsidRPr="00B35962">
        <w:rPr>
          <w:lang w:val="sr-Latn-ME"/>
        </w:rPr>
        <w:t xml:space="preserve"> i (c) pružanje podrške roditeljima u stvaranju podsticajnijeg porodičnog okruženja za rani razvoj djece (sa naglaskom ne veću uključenost očeva/staratelja</w:t>
      </w:r>
      <w:r w:rsidR="00886502" w:rsidRPr="00B35962">
        <w:rPr>
          <w:lang w:val="sr-Latn-ME"/>
        </w:rPr>
        <w:t>,</w:t>
      </w:r>
      <w:r w:rsidR="00B544F8" w:rsidRPr="00B35962">
        <w:rPr>
          <w:lang w:val="sr-Latn-ME"/>
        </w:rPr>
        <w:t xml:space="preserve"> pošto su, prema nalazima MICS 2018 studije</w:t>
      </w:r>
      <w:r w:rsidR="00886502" w:rsidRPr="00B35962">
        <w:rPr>
          <w:lang w:val="sr-Latn-ME"/>
        </w:rPr>
        <w:t>,</w:t>
      </w:r>
      <w:r w:rsidR="00B544F8" w:rsidRPr="00B35962">
        <w:rPr>
          <w:lang w:val="sr-Latn-ME"/>
        </w:rPr>
        <w:t xml:space="preserve"> oni značajno manje uključeni u rani razvoj djece)</w:t>
      </w:r>
      <w:r w:rsidR="00B544F8" w:rsidRPr="00B35962">
        <w:rPr>
          <w:rStyle w:val="FootnoteReference"/>
          <w:lang w:val="sr-Latn-ME"/>
        </w:rPr>
        <w:footnoteReference w:id="13"/>
      </w:r>
      <w:r w:rsidR="00CE4BF7" w:rsidRPr="00B35962">
        <w:rPr>
          <w:lang w:val="sr-Latn-ME"/>
        </w:rPr>
        <w:t>.</w:t>
      </w:r>
    </w:p>
    <w:p w14:paraId="1ECBA28E" w14:textId="77777777" w:rsidR="00566A90" w:rsidRPr="00B35962" w:rsidRDefault="00566A90" w:rsidP="006410E3">
      <w:pPr>
        <w:rPr>
          <w:lang w:val="sr-Latn-ME"/>
        </w:rPr>
      </w:pPr>
    </w:p>
    <w:p w14:paraId="72862FA5" w14:textId="77777777" w:rsidR="006D62B5" w:rsidRPr="00B35962" w:rsidRDefault="006D62B5" w:rsidP="006D62B5">
      <w:pPr>
        <w:rPr>
          <w:lang w:val="sr-Latn-ME"/>
        </w:rPr>
      </w:pPr>
      <w:bookmarkStart w:id="7" w:name="_Toc55295090"/>
      <w:r w:rsidRPr="00B35962">
        <w:rPr>
          <w:lang w:val="sr-Latn-ME"/>
        </w:rPr>
        <w:lastRenderedPageBreak/>
        <w:t xml:space="preserve">U pogledu sistema za praćenje i obezbjeđivanje kvaliteta, u prethodnom periodu su uvedene jasnije i pojednostavljene procedure licenciranja vrtića (izmjenama zakona o obrazovanju iz 2017. godine). Zavod za školstvo vrši kontinuirani nadzor kvaliteta vaspitno-obrazovnog rada u JPU i PPU, pri čemu se, na osnovu analize rada i potreba direktora, planiraju i realizuju obuke za direktore (PPU i nove) u skladu s važećom Metodologijom za utvrđivanje kvaliteta rada u vaspitno - obrazovnim ustanovama. Pored toga, realizovane su kontinuirane posjete PU radi pružanja savjetodavne podrške ustanovama i zaposlenima, koje su bile usmjerene na prioritetne oblasti rada iz perspektive unapređenja kvaliteta PU (saradnja sa roditeljima, timski rad i samoevaluacija). Razvijen je i sistem podrške za primjenu Portfolija za praćenje razvoja djece i promovisana je njegova upotreba u zdravstvenim ustanovama i osnovnim školama. U </w:t>
      </w:r>
      <w:r>
        <w:rPr>
          <w:lang w:val="sr-Latn-ME"/>
        </w:rPr>
        <w:t xml:space="preserve">sistemu obrazovanja i vaspitanja </w:t>
      </w:r>
      <w:r w:rsidRPr="00B35962">
        <w:rPr>
          <w:lang w:val="sr-Latn-ME"/>
        </w:rPr>
        <w:t xml:space="preserve">aktivan je MEIS sistem, gdje se nalaze svi podaci o djeci koja su uključena u predškolsko vaspitanje i obrazovanje, a izmjenama i dopunama Opšteg zakona o obrazovanju i vaspitanju iz 2017. godine su uvedeni mehanizmi koji obezbjeđuju da podaci u MEIS-u budu redovno ažurirani i da budu validni. Takođe je započeta i izrada standarda i metodologije za eksternu evaluaciju vaspitno-obrazovnog rada u PU. Kada je u pitanju unapređenje sistema za obezbjeđivanje kvaliteta PVO, u narednom periodu glavni izazovi su: (a) usvajanje i primjena novih standarda i metodologije za praćenje kvaliteta vaspitnoobrazovnog rada PU, (b) revidiranje pedagoške i druge dokumentacije kako bi se ona uskladila sa EU preporukama o visokokvalitetnom PVO i kako bi u većoj mjeri bila u funkciji unapređenja kvaliteta rada, a u manje u funkciji administracije. </w:t>
      </w:r>
    </w:p>
    <w:p w14:paraId="65142DC0" w14:textId="77777777" w:rsidR="00581CC7" w:rsidRPr="00B35962" w:rsidRDefault="00581CC7" w:rsidP="00581CC7">
      <w:pPr>
        <w:pStyle w:val="Heading2"/>
        <w:rPr>
          <w:rFonts w:cs="Times New Roman"/>
          <w:color w:val="0070C0"/>
          <w:lang w:val="sr-Latn-ME"/>
        </w:rPr>
      </w:pPr>
      <w:r w:rsidRPr="00B35962">
        <w:rPr>
          <w:rFonts w:cs="Times New Roman"/>
          <w:color w:val="0070C0"/>
          <w:lang w:val="sr-Latn-ME"/>
        </w:rPr>
        <w:t>2.3. Pravednost PVO</w:t>
      </w:r>
      <w:bookmarkEnd w:id="7"/>
    </w:p>
    <w:p w14:paraId="522BFB5C" w14:textId="77777777" w:rsidR="00080B96" w:rsidRPr="00B35962" w:rsidRDefault="00DA4C16" w:rsidP="003D7DCF">
      <w:pPr>
        <w:rPr>
          <w:lang w:val="sr-Latn-ME"/>
        </w:rPr>
      </w:pPr>
      <w:r w:rsidRPr="00B35962">
        <w:rPr>
          <w:lang w:val="sr-Latn-ME"/>
        </w:rPr>
        <w:t>Važan dio kvaliteta PVO se odnosi na obezb</w:t>
      </w:r>
      <w:r w:rsidR="00F23D87" w:rsidRPr="00B35962">
        <w:rPr>
          <w:lang w:val="sr-Latn-ME"/>
        </w:rPr>
        <w:t>j</w:t>
      </w:r>
      <w:r w:rsidRPr="00B35962">
        <w:rPr>
          <w:lang w:val="sr-Latn-ME"/>
        </w:rPr>
        <w:t xml:space="preserve">eđivanje jednake dostupnosti kvalitetnih </w:t>
      </w:r>
      <w:r w:rsidR="003A64EF" w:rsidRPr="00B35962">
        <w:rPr>
          <w:lang w:val="sr-Latn-ME"/>
        </w:rPr>
        <w:t xml:space="preserve">PVO </w:t>
      </w:r>
      <w:r w:rsidRPr="00B35962">
        <w:rPr>
          <w:lang w:val="sr-Latn-ME"/>
        </w:rPr>
        <w:t>programa.</w:t>
      </w:r>
      <w:r w:rsidR="00B8418E" w:rsidRPr="00B35962">
        <w:rPr>
          <w:lang w:val="sr-Latn-ME"/>
        </w:rPr>
        <w:t xml:space="preserve"> </w:t>
      </w:r>
      <w:r w:rsidRPr="00B35962">
        <w:rPr>
          <w:lang w:val="sr-Latn-ME"/>
        </w:rPr>
        <w:t xml:space="preserve">U </w:t>
      </w:r>
      <w:r w:rsidR="00756101" w:rsidRPr="00B35962">
        <w:rPr>
          <w:lang w:val="sr-Latn-ME"/>
        </w:rPr>
        <w:t>pogledu povećanja pravednosti PVO</w:t>
      </w:r>
      <w:r w:rsidRPr="00B35962">
        <w:rPr>
          <w:lang w:val="sr-Latn-ME"/>
        </w:rPr>
        <w:t>, u prethodnom periodu su</w:t>
      </w:r>
      <w:r w:rsidR="00581CC7" w:rsidRPr="00B35962">
        <w:rPr>
          <w:lang w:val="sr-Latn-ME"/>
        </w:rPr>
        <w:t xml:space="preserve"> realizovane različite</w:t>
      </w:r>
      <w:r w:rsidR="00AC2EA5" w:rsidRPr="00B35962">
        <w:rPr>
          <w:lang w:val="sr-Latn-ME"/>
        </w:rPr>
        <w:t xml:space="preserve"> aktivnosti namijenjene podršci za kadar i djecu iz marginalizovanih grupa</w:t>
      </w:r>
      <w:r w:rsidR="00407C12" w:rsidRPr="00B35962">
        <w:rPr>
          <w:lang w:val="sr-Latn-ME"/>
        </w:rPr>
        <w:t>,</w:t>
      </w:r>
      <w:r w:rsidR="00080B96" w:rsidRPr="00B35962">
        <w:rPr>
          <w:lang w:val="sr-Latn-ME"/>
        </w:rPr>
        <w:t xml:space="preserve"> čija </w:t>
      </w:r>
      <w:r w:rsidR="00C76F43" w:rsidRPr="00B35962">
        <w:rPr>
          <w:lang w:val="sr-Latn-ME"/>
        </w:rPr>
        <w:t xml:space="preserve">se </w:t>
      </w:r>
      <w:r w:rsidR="00080B96" w:rsidRPr="00B35962">
        <w:rPr>
          <w:lang w:val="sr-Latn-ME"/>
        </w:rPr>
        <w:t xml:space="preserve">realizacija prati kroz redovnu saradnju i razmenu informacija i praksi sa </w:t>
      </w:r>
      <w:r w:rsidR="00B44522" w:rsidRPr="00B35962">
        <w:rPr>
          <w:lang w:val="sr-Latn-ME"/>
        </w:rPr>
        <w:t>zaposlenima</w:t>
      </w:r>
      <w:r w:rsidR="00AC2EA5" w:rsidRPr="00B35962">
        <w:rPr>
          <w:lang w:val="sr-Latn-ME"/>
        </w:rPr>
        <w:t xml:space="preserve"> i uprav</w:t>
      </w:r>
      <w:r w:rsidR="00B44522" w:rsidRPr="00B35962">
        <w:rPr>
          <w:lang w:val="sr-Latn-ME"/>
        </w:rPr>
        <w:t>om</w:t>
      </w:r>
      <w:r w:rsidR="00AC2EA5" w:rsidRPr="00B35962">
        <w:rPr>
          <w:lang w:val="sr-Latn-ME"/>
        </w:rPr>
        <w:t xml:space="preserve"> vrtića</w:t>
      </w:r>
      <w:r w:rsidR="00080B96" w:rsidRPr="00B35962">
        <w:rPr>
          <w:lang w:val="sr-Latn-ME"/>
        </w:rPr>
        <w:t>.</w:t>
      </w:r>
    </w:p>
    <w:p w14:paraId="7C56E5BD" w14:textId="77777777" w:rsidR="00566A90" w:rsidRPr="00B35962" w:rsidRDefault="00566A90" w:rsidP="003D7DCF">
      <w:pPr>
        <w:rPr>
          <w:lang w:val="sr-Latn-ME"/>
        </w:rPr>
      </w:pPr>
    </w:p>
    <w:p w14:paraId="2CB88463" w14:textId="4279CF5A" w:rsidR="00D353B6" w:rsidRPr="00B35962" w:rsidRDefault="00D353B6" w:rsidP="003D7DCF">
      <w:pPr>
        <w:rPr>
          <w:lang w:val="sr-Latn-ME"/>
        </w:rPr>
      </w:pPr>
      <w:r w:rsidRPr="00B35962">
        <w:rPr>
          <w:lang w:val="sr-Latn-ME"/>
        </w:rPr>
        <w:t>Važna mjera koja je doprin</w:t>
      </w:r>
      <w:r w:rsidR="00B4290E" w:rsidRPr="00B35962">
        <w:rPr>
          <w:lang w:val="sr-Latn-ME"/>
        </w:rPr>
        <w:t>ij</w:t>
      </w:r>
      <w:r w:rsidRPr="00B35962">
        <w:rPr>
          <w:lang w:val="sr-Latn-ME"/>
        </w:rPr>
        <w:t>ela većoj dostupnosti PV</w:t>
      </w:r>
      <w:r w:rsidR="007D1C4D" w:rsidRPr="00B35962">
        <w:rPr>
          <w:lang w:val="sr-Latn-ME"/>
        </w:rPr>
        <w:t>O</w:t>
      </w:r>
      <w:r w:rsidRPr="00B35962">
        <w:rPr>
          <w:lang w:val="sr-Latn-ME"/>
        </w:rPr>
        <w:t xml:space="preserve"> za djecu iz ranjivih grupa jeste pokrivanje ukupnih troškova za boravak </w:t>
      </w:r>
      <w:r w:rsidR="00AB6810" w:rsidRPr="00B35962">
        <w:rPr>
          <w:lang w:val="sr-Latn-ME"/>
        </w:rPr>
        <w:t xml:space="preserve">i ishranu </w:t>
      </w:r>
      <w:r w:rsidRPr="00B35962">
        <w:rPr>
          <w:lang w:val="sr-Latn-ME"/>
        </w:rPr>
        <w:t>djece sa rješenjem o usmjeravanju,</w:t>
      </w:r>
      <w:r w:rsidR="00F3068C" w:rsidRPr="00B35962">
        <w:rPr>
          <w:lang w:val="sr-Latn-ME"/>
        </w:rPr>
        <w:t xml:space="preserve"> djece iz</w:t>
      </w:r>
      <w:r w:rsidRPr="00B35962">
        <w:rPr>
          <w:lang w:val="sr-Latn-ME"/>
        </w:rPr>
        <w:t xml:space="preserve"> </w:t>
      </w:r>
      <w:r w:rsidR="00F3068C" w:rsidRPr="00B35962">
        <w:rPr>
          <w:lang w:val="sr-Latn-ME"/>
        </w:rPr>
        <w:t>romske i egipćanske</w:t>
      </w:r>
      <w:r w:rsidRPr="00B35962">
        <w:rPr>
          <w:lang w:val="sr-Latn-ME"/>
        </w:rPr>
        <w:t xml:space="preserve"> </w:t>
      </w:r>
      <w:r w:rsidR="00F3068C" w:rsidRPr="00B35962">
        <w:rPr>
          <w:lang w:val="sr-Latn-ME"/>
        </w:rPr>
        <w:t>zajednice</w:t>
      </w:r>
      <w:r w:rsidRPr="00B35962">
        <w:rPr>
          <w:lang w:val="sr-Latn-ME"/>
        </w:rPr>
        <w:t>, porodica korisnika MOP-a i bez roditeljskog staranja od strane Ministarstva rada i socijalnog staranja i pokrivanj</w:t>
      </w:r>
      <w:r w:rsidR="00BB5A4A" w:rsidRPr="00B35962">
        <w:rPr>
          <w:lang w:val="sr-Latn-ME"/>
        </w:rPr>
        <w:t>e</w:t>
      </w:r>
      <w:r w:rsidRPr="00B35962">
        <w:rPr>
          <w:lang w:val="sr-Latn-ME"/>
        </w:rPr>
        <w:t xml:space="preserve"> 50% cijene za djecu samohranih roditelja od strane Ministarstva prosvjete.</w:t>
      </w:r>
      <w:r w:rsidR="0022360D" w:rsidRPr="00B35962">
        <w:rPr>
          <w:lang w:val="sr-Latn-ME"/>
        </w:rPr>
        <w:t xml:space="preserve"> </w:t>
      </w:r>
      <w:r w:rsidR="00BB5A4A" w:rsidRPr="00B35962">
        <w:rPr>
          <w:lang w:val="sr-Latn-ME"/>
        </w:rPr>
        <w:t>Izmjenama zakona iz oblasti obrazovanja 2017. godine precizno je utvrđeno nač</w:t>
      </w:r>
      <w:r w:rsidR="00DE1B11">
        <w:rPr>
          <w:lang w:val="sr-Latn-ME"/>
        </w:rPr>
        <w:t>elo nediskriminacije u skladu s</w:t>
      </w:r>
      <w:r w:rsidR="00BB5A4A" w:rsidRPr="00B35962">
        <w:rPr>
          <w:lang w:val="sr-Latn-ME"/>
        </w:rPr>
        <w:t xml:space="preserve"> posebnim propisom što će doprijeti većoj inkluzivnosti PVO. </w:t>
      </w:r>
      <w:r w:rsidR="0022360D" w:rsidRPr="00B35962">
        <w:rPr>
          <w:lang w:val="sr-Latn-ME"/>
        </w:rPr>
        <w:t>Pored toga, uvođenje trosatnih programa i interaktivnih službi sa bibliotekama igračaka i knjiga je u značajnoj mjeri povećalo dostupnost PVO djeci koja žive u udaljenim i teško dostupnim sredinama koja su tradicionalno bila veoma malo uključena u programa PVO.</w:t>
      </w:r>
    </w:p>
    <w:p w14:paraId="3DBBA634" w14:textId="77777777" w:rsidR="00566A90" w:rsidRPr="00B35962" w:rsidRDefault="00566A90" w:rsidP="003D7DCF">
      <w:pPr>
        <w:rPr>
          <w:lang w:val="sr-Latn-ME"/>
        </w:rPr>
      </w:pPr>
    </w:p>
    <w:p w14:paraId="62E3E35E" w14:textId="70E041D4" w:rsidR="00D2603F" w:rsidRPr="00B35962" w:rsidRDefault="00AC2EA5" w:rsidP="003D7DCF">
      <w:pPr>
        <w:rPr>
          <w:lang w:val="sr-Latn-ME"/>
        </w:rPr>
      </w:pPr>
      <w:r w:rsidRPr="00B35962">
        <w:rPr>
          <w:lang w:val="sr-Latn-ME"/>
        </w:rPr>
        <w:t xml:space="preserve">Za djecu </w:t>
      </w:r>
      <w:r w:rsidR="00F3068C" w:rsidRPr="00B35962">
        <w:rPr>
          <w:lang w:val="sr-Latn-ME"/>
        </w:rPr>
        <w:t>iz romskih i egipćanskih zajednica</w:t>
      </w:r>
      <w:r w:rsidRPr="00B35962">
        <w:rPr>
          <w:lang w:val="sr-Latn-ME"/>
        </w:rPr>
        <w:t xml:space="preserve"> fokus je </w:t>
      </w:r>
      <w:r w:rsidR="00581CC7" w:rsidRPr="00B35962">
        <w:rPr>
          <w:lang w:val="sr-Latn-ME"/>
        </w:rPr>
        <w:t xml:space="preserve">bio </w:t>
      </w:r>
      <w:r w:rsidRPr="00B35962">
        <w:rPr>
          <w:lang w:val="sr-Latn-ME"/>
        </w:rPr>
        <w:t>na integraciji</w:t>
      </w:r>
      <w:r w:rsidR="00581CC7" w:rsidRPr="00B35962">
        <w:rPr>
          <w:lang w:val="sr-Latn-ME"/>
        </w:rPr>
        <w:t xml:space="preserve"> kroz </w:t>
      </w:r>
      <w:r w:rsidR="00D2603F" w:rsidRPr="00B35962">
        <w:rPr>
          <w:lang w:val="sr-Latn-ME"/>
        </w:rPr>
        <w:t xml:space="preserve">redovnu </w:t>
      </w:r>
      <w:r w:rsidR="00581CC7" w:rsidRPr="00B35962">
        <w:rPr>
          <w:lang w:val="sr-Latn-ME"/>
        </w:rPr>
        <w:t xml:space="preserve">realizaciju </w:t>
      </w:r>
      <w:r w:rsidRPr="00B35962">
        <w:rPr>
          <w:lang w:val="sr-Latn-ME"/>
        </w:rPr>
        <w:t>tzv. „pripremni</w:t>
      </w:r>
      <w:r w:rsidR="00581CC7" w:rsidRPr="00B35962">
        <w:rPr>
          <w:lang w:val="sr-Latn-ME"/>
        </w:rPr>
        <w:t>h</w:t>
      </w:r>
      <w:r w:rsidRPr="00B35962">
        <w:rPr>
          <w:lang w:val="sr-Latn-ME"/>
        </w:rPr>
        <w:t xml:space="preserve"> vrtić</w:t>
      </w:r>
      <w:r w:rsidR="00581CC7" w:rsidRPr="00B35962">
        <w:rPr>
          <w:lang w:val="sr-Latn-ME"/>
        </w:rPr>
        <w:t>a</w:t>
      </w:r>
      <w:r w:rsidRPr="00B35962">
        <w:rPr>
          <w:lang w:val="sr-Latn-ME"/>
        </w:rPr>
        <w:t xml:space="preserve">“ </w:t>
      </w:r>
      <w:r w:rsidR="0022360D" w:rsidRPr="00B35962">
        <w:rPr>
          <w:lang w:val="sr-Latn-ME"/>
        </w:rPr>
        <w:t xml:space="preserve">(svake godine </w:t>
      </w:r>
      <w:r w:rsidR="00D2603F" w:rsidRPr="00B35962">
        <w:rPr>
          <w:lang w:val="sr-Latn-ME"/>
        </w:rPr>
        <w:t>u periodu april-jun</w:t>
      </w:r>
      <w:r w:rsidR="0022360D" w:rsidRPr="00B35962">
        <w:rPr>
          <w:lang w:val="sr-Latn-ME"/>
        </w:rPr>
        <w:t>)</w:t>
      </w:r>
      <w:r w:rsidR="00407C12" w:rsidRPr="00B35962">
        <w:rPr>
          <w:lang w:val="sr-Latn-ME"/>
        </w:rPr>
        <w:t>,</w:t>
      </w:r>
      <w:r w:rsidR="00D2603F" w:rsidRPr="00B35962">
        <w:rPr>
          <w:lang w:val="sr-Latn-ME"/>
        </w:rPr>
        <w:t xml:space="preserve"> </w:t>
      </w:r>
      <w:r w:rsidRPr="00B35962">
        <w:rPr>
          <w:lang w:val="sr-Latn-ME"/>
        </w:rPr>
        <w:t>s</w:t>
      </w:r>
      <w:r w:rsidR="00581CC7" w:rsidRPr="00B35962">
        <w:rPr>
          <w:lang w:val="sr-Latn-ME"/>
        </w:rPr>
        <w:t>a</w:t>
      </w:r>
      <w:r w:rsidRPr="00B35962">
        <w:rPr>
          <w:lang w:val="sr-Latn-ME"/>
        </w:rPr>
        <w:t xml:space="preserve"> </w:t>
      </w:r>
      <w:r w:rsidR="00581CC7" w:rsidRPr="00B35962">
        <w:rPr>
          <w:lang w:val="sr-Latn-ME"/>
        </w:rPr>
        <w:t>primarnim ciljem da se d</w:t>
      </w:r>
      <w:r w:rsidR="00A428F6" w:rsidRPr="00B35962">
        <w:rPr>
          <w:lang w:val="sr-Latn-ME"/>
        </w:rPr>
        <w:t>j</w:t>
      </w:r>
      <w:r w:rsidR="00581CC7" w:rsidRPr="00B35962">
        <w:rPr>
          <w:lang w:val="sr-Latn-ME"/>
        </w:rPr>
        <w:t xml:space="preserve">eca iz ove populacije adekvatno pripreme za upis </w:t>
      </w:r>
      <w:r w:rsidRPr="00B35962">
        <w:rPr>
          <w:lang w:val="sr-Latn-ME"/>
        </w:rPr>
        <w:t xml:space="preserve">u osnovnu školu. </w:t>
      </w:r>
      <w:r w:rsidR="006C5111" w:rsidRPr="00B35962">
        <w:rPr>
          <w:lang w:val="sr-Latn-ME"/>
        </w:rPr>
        <w:t xml:space="preserve">Pored toga, uvedeno je novo </w:t>
      </w:r>
      <w:r w:rsidR="006C5111" w:rsidRPr="00B35962">
        <w:rPr>
          <w:lang w:val="sr-Latn-ME"/>
        </w:rPr>
        <w:lastRenderedPageBreak/>
        <w:t xml:space="preserve">zanimanje Saradnik u socijalnoj inkluziji Roma i Egipćana u oblasti obrazovanja, razvijen je standard zanimanja i organizovana je njihova obuka. Ključni zadatak Saradnika u obrazovanju jeste da pruža stručnu podršku porodicama iz romske i egipćanske zajednice pri upisu djece u </w:t>
      </w:r>
      <w:r w:rsidR="00407C12" w:rsidRPr="00B35962">
        <w:rPr>
          <w:lang w:val="sr-Latn-ME"/>
        </w:rPr>
        <w:t xml:space="preserve">predškolsko </w:t>
      </w:r>
      <w:r w:rsidR="006C5111" w:rsidRPr="00B35962">
        <w:rPr>
          <w:lang w:val="sr-Latn-ME"/>
        </w:rPr>
        <w:t>obrazovanj</w:t>
      </w:r>
      <w:r w:rsidR="00407C12" w:rsidRPr="00B35962">
        <w:rPr>
          <w:lang w:val="sr-Latn-ME"/>
        </w:rPr>
        <w:t>e</w:t>
      </w:r>
      <w:r w:rsidR="00CC081E" w:rsidRPr="00B35962">
        <w:rPr>
          <w:lang w:val="sr-Latn-ME"/>
        </w:rPr>
        <w:t xml:space="preserve">, kao i da </w:t>
      </w:r>
      <w:r w:rsidR="006C5111" w:rsidRPr="00B35962">
        <w:rPr>
          <w:lang w:val="sr-Latn-ME"/>
        </w:rPr>
        <w:t>u saradnji sa školskim institucijama pomogne pri identifikaciji i upisu romske i egipćanske djece u obrazovni sistem</w:t>
      </w:r>
      <w:r w:rsidR="00CC081E" w:rsidRPr="00B35962">
        <w:rPr>
          <w:lang w:val="sr-Latn-ME"/>
        </w:rPr>
        <w:t xml:space="preserve">. </w:t>
      </w:r>
      <w:r w:rsidRPr="00B35962">
        <w:rPr>
          <w:lang w:val="sr-Latn-ME"/>
        </w:rPr>
        <w:t>Takođe, u opštinama u kojima se bilježi značajan broj</w:t>
      </w:r>
      <w:r w:rsidR="00F3068C" w:rsidRPr="00B35962">
        <w:rPr>
          <w:lang w:val="sr-Latn-ME"/>
        </w:rPr>
        <w:t xml:space="preserve"> djece iz </w:t>
      </w:r>
      <w:r w:rsidRPr="00B35962">
        <w:rPr>
          <w:lang w:val="sr-Latn-ME"/>
        </w:rPr>
        <w:t xml:space="preserve">RE </w:t>
      </w:r>
      <w:r w:rsidR="00F3068C" w:rsidRPr="00B35962">
        <w:rPr>
          <w:lang w:val="sr-Latn-ME"/>
        </w:rPr>
        <w:t>zajednica</w:t>
      </w:r>
      <w:r w:rsidRPr="00B35962">
        <w:rPr>
          <w:lang w:val="sr-Latn-ME"/>
        </w:rPr>
        <w:t xml:space="preserve"> </w:t>
      </w:r>
      <w:r w:rsidR="0022360D" w:rsidRPr="00B35962">
        <w:rPr>
          <w:lang w:val="sr-Latn-ME"/>
        </w:rPr>
        <w:t xml:space="preserve">realizovano </w:t>
      </w:r>
      <w:r w:rsidRPr="00B35962">
        <w:rPr>
          <w:lang w:val="sr-Latn-ME"/>
        </w:rPr>
        <w:t xml:space="preserve">je </w:t>
      </w:r>
      <w:r w:rsidR="0022360D" w:rsidRPr="00B35962">
        <w:rPr>
          <w:lang w:val="sr-Latn-ME"/>
        </w:rPr>
        <w:t xml:space="preserve">i </w:t>
      </w:r>
      <w:r w:rsidRPr="00B35962">
        <w:rPr>
          <w:lang w:val="sr-Latn-ME"/>
        </w:rPr>
        <w:t>dopunsk</w:t>
      </w:r>
      <w:r w:rsidR="0022360D" w:rsidRPr="00B35962">
        <w:rPr>
          <w:lang w:val="sr-Latn-ME"/>
        </w:rPr>
        <w:t>o</w:t>
      </w:r>
      <w:r w:rsidRPr="00B35962">
        <w:rPr>
          <w:lang w:val="sr-Latn-ME"/>
        </w:rPr>
        <w:t xml:space="preserve"> praćenj</w:t>
      </w:r>
      <w:r w:rsidR="0022360D" w:rsidRPr="00B35962">
        <w:rPr>
          <w:lang w:val="sr-Latn-ME"/>
        </w:rPr>
        <w:t>e</w:t>
      </w:r>
      <w:r w:rsidR="00D2603F" w:rsidRPr="00B35962">
        <w:rPr>
          <w:lang w:val="sr-Latn-ME"/>
        </w:rPr>
        <w:t xml:space="preserve"> radi </w:t>
      </w:r>
      <w:r w:rsidR="00F23D87" w:rsidRPr="00B35962">
        <w:rPr>
          <w:lang w:val="sr-Latn-ME"/>
        </w:rPr>
        <w:t>obezbjeđivanja</w:t>
      </w:r>
      <w:r w:rsidRPr="00B35962">
        <w:rPr>
          <w:lang w:val="sr-Latn-ME"/>
        </w:rPr>
        <w:t xml:space="preserve"> pune integracije u redovne predškolske aktivnosti</w:t>
      </w:r>
      <w:r w:rsidR="00D2603F" w:rsidRPr="00B35962">
        <w:rPr>
          <w:lang w:val="sr-Latn-ME"/>
        </w:rPr>
        <w:t xml:space="preserve"> (terenski obilasci, praćenje dolazaka i pohađanja, rad s roditeljima, savjetovanja zaposlenih, rad u zajednici i monitoring mehanizma i sl</w:t>
      </w:r>
      <w:r w:rsidR="00D7208E" w:rsidRPr="00B35962">
        <w:rPr>
          <w:lang w:val="sr-Latn-ME"/>
        </w:rPr>
        <w:t>.</w:t>
      </w:r>
      <w:r w:rsidR="00D2603F" w:rsidRPr="00B35962">
        <w:rPr>
          <w:lang w:val="sr-Latn-ME"/>
        </w:rPr>
        <w:t>)</w:t>
      </w:r>
      <w:r w:rsidR="00407C12" w:rsidRPr="00B35962">
        <w:rPr>
          <w:lang w:val="sr-Latn-ME"/>
        </w:rPr>
        <w:t>,</w:t>
      </w:r>
      <w:r w:rsidR="00D7208E" w:rsidRPr="00B35962">
        <w:rPr>
          <w:lang w:val="sr-Latn-ME"/>
        </w:rPr>
        <w:t xml:space="preserve"> što je doprinijelo povećanju obuhvata djece iz ovih zajednica</w:t>
      </w:r>
      <w:r w:rsidR="00D2603F" w:rsidRPr="00B35962">
        <w:rPr>
          <w:lang w:val="sr-Latn-ME"/>
        </w:rPr>
        <w:t xml:space="preserve">. </w:t>
      </w:r>
    </w:p>
    <w:p w14:paraId="5B967C1E" w14:textId="77777777" w:rsidR="00566A90" w:rsidRPr="00B35962" w:rsidRDefault="00566A90" w:rsidP="003D7DCF">
      <w:pPr>
        <w:rPr>
          <w:lang w:val="sr-Latn-ME"/>
        </w:rPr>
      </w:pPr>
    </w:p>
    <w:p w14:paraId="3724651D" w14:textId="49FDE5AF" w:rsidR="0075226B" w:rsidRPr="00B35962" w:rsidRDefault="00AC2EA5" w:rsidP="003D7DCF">
      <w:pPr>
        <w:rPr>
          <w:lang w:val="sr-Latn-ME"/>
        </w:rPr>
      </w:pPr>
      <w:r w:rsidRPr="00B35962">
        <w:rPr>
          <w:lang w:val="sr-Latn-ME"/>
        </w:rPr>
        <w:t>Uveden</w:t>
      </w:r>
      <w:r w:rsidR="00581CC7" w:rsidRPr="00B35962">
        <w:rPr>
          <w:lang w:val="sr-Latn-ME"/>
        </w:rPr>
        <w:t xml:space="preserve"> je i program </w:t>
      </w:r>
      <w:r w:rsidRPr="00B35962">
        <w:rPr>
          <w:lang w:val="sr-Latn-ME"/>
        </w:rPr>
        <w:t>ran</w:t>
      </w:r>
      <w:r w:rsidR="00581CC7" w:rsidRPr="00B35962">
        <w:rPr>
          <w:lang w:val="sr-Latn-ME"/>
        </w:rPr>
        <w:t>ih</w:t>
      </w:r>
      <w:r w:rsidRPr="00B35962">
        <w:rPr>
          <w:lang w:val="sr-Latn-ME"/>
        </w:rPr>
        <w:t xml:space="preserve"> intervencija i </w:t>
      </w:r>
      <w:r w:rsidR="00581CC7" w:rsidRPr="00B35962">
        <w:rPr>
          <w:lang w:val="sr-Latn-ME"/>
        </w:rPr>
        <w:t xml:space="preserve">pružanja rane </w:t>
      </w:r>
      <w:r w:rsidRPr="00B35962">
        <w:rPr>
          <w:lang w:val="sr-Latn-ME"/>
        </w:rPr>
        <w:t>podršk</w:t>
      </w:r>
      <w:r w:rsidR="00581CC7" w:rsidRPr="00B35962">
        <w:rPr>
          <w:lang w:val="sr-Latn-ME"/>
        </w:rPr>
        <w:t>e</w:t>
      </w:r>
      <w:r w:rsidRPr="00B35962">
        <w:rPr>
          <w:lang w:val="sr-Latn-ME"/>
        </w:rPr>
        <w:t xml:space="preserve"> djeci s posebnim obrazovnim potrebama</w:t>
      </w:r>
      <w:r w:rsidR="00581CC7" w:rsidRPr="00B35962">
        <w:rPr>
          <w:lang w:val="sr-Latn-ME"/>
        </w:rPr>
        <w:t xml:space="preserve"> koji  sprovodi resursni centar</w:t>
      </w:r>
      <w:r w:rsidR="00407C12" w:rsidRPr="00B35962">
        <w:rPr>
          <w:lang w:val="sr-Latn-ME"/>
        </w:rPr>
        <w:t>i</w:t>
      </w:r>
      <w:r w:rsidR="000532A8" w:rsidRPr="00B35962">
        <w:rPr>
          <w:lang w:val="sr-Latn-ME"/>
        </w:rPr>
        <w:t xml:space="preserve"> (</w:t>
      </w:r>
      <w:r w:rsidRPr="00B35962">
        <w:rPr>
          <w:lang w:val="sr-Latn-ME"/>
        </w:rPr>
        <w:t>defektolo</w:t>
      </w:r>
      <w:r w:rsidR="00407C12" w:rsidRPr="00B35962">
        <w:rPr>
          <w:lang w:val="sr-Latn-ME"/>
        </w:rPr>
        <w:t>zi</w:t>
      </w:r>
      <w:r w:rsidRPr="00B35962">
        <w:rPr>
          <w:lang w:val="sr-Latn-ME"/>
        </w:rPr>
        <w:t>, psiholo</w:t>
      </w:r>
      <w:r w:rsidR="00407C12" w:rsidRPr="00B35962">
        <w:rPr>
          <w:lang w:val="sr-Latn-ME"/>
        </w:rPr>
        <w:t>zi</w:t>
      </w:r>
      <w:r w:rsidRPr="00B35962">
        <w:rPr>
          <w:lang w:val="sr-Latn-ME"/>
        </w:rPr>
        <w:t>, pedago</w:t>
      </w:r>
      <w:r w:rsidR="00407C12" w:rsidRPr="00B35962">
        <w:rPr>
          <w:lang w:val="sr-Latn-ME"/>
        </w:rPr>
        <w:t>zi</w:t>
      </w:r>
      <w:r w:rsidR="00617C6D" w:rsidRPr="00B35962">
        <w:rPr>
          <w:lang w:val="sr-Latn-ME"/>
        </w:rPr>
        <w:t>, drugi terapeut</w:t>
      </w:r>
      <w:r w:rsidR="00407C12" w:rsidRPr="00B35962">
        <w:rPr>
          <w:lang w:val="sr-Latn-ME"/>
        </w:rPr>
        <w:t>i</w:t>
      </w:r>
      <w:r w:rsidRPr="00B35962">
        <w:rPr>
          <w:lang w:val="sr-Latn-ME"/>
        </w:rPr>
        <w:t xml:space="preserve">). </w:t>
      </w:r>
      <w:r w:rsidR="00581CC7" w:rsidRPr="00B35962">
        <w:rPr>
          <w:lang w:val="sr-Latn-ME"/>
        </w:rPr>
        <w:t>Stručnjaci iz resursnih centara</w:t>
      </w:r>
      <w:r w:rsidR="00C83C67" w:rsidRPr="00B35962">
        <w:rPr>
          <w:lang w:val="sr-Latn-ME"/>
        </w:rPr>
        <w:t xml:space="preserve"> su pružali obuku i podršku </w:t>
      </w:r>
      <w:r w:rsidR="00140D6F" w:rsidRPr="00B35962">
        <w:rPr>
          <w:lang w:val="sr-Latn-ME"/>
        </w:rPr>
        <w:t xml:space="preserve">zaposlenima u </w:t>
      </w:r>
      <w:r w:rsidR="00617C6D" w:rsidRPr="00B35962">
        <w:rPr>
          <w:lang w:val="sr-Latn-ME"/>
        </w:rPr>
        <w:t>J</w:t>
      </w:r>
      <w:r w:rsidR="00140D6F" w:rsidRPr="00B35962">
        <w:rPr>
          <w:lang w:val="sr-Latn-ME"/>
        </w:rPr>
        <w:t xml:space="preserve">PU u radu sa djecom s autizmom, </w:t>
      </w:r>
      <w:r w:rsidR="00407C12" w:rsidRPr="00B35962">
        <w:rPr>
          <w:lang w:val="sr-Latn-ME"/>
        </w:rPr>
        <w:t xml:space="preserve">s </w:t>
      </w:r>
      <w:r w:rsidR="00140D6F" w:rsidRPr="00B35962">
        <w:rPr>
          <w:lang w:val="sr-Latn-ME"/>
        </w:rPr>
        <w:t xml:space="preserve">tjelesnim i smetnjama </w:t>
      </w:r>
      <w:r w:rsidR="00407C12" w:rsidRPr="00B35962">
        <w:rPr>
          <w:lang w:val="sr-Latn-ME"/>
        </w:rPr>
        <w:t xml:space="preserve">s </w:t>
      </w:r>
      <w:r w:rsidR="00140D6F" w:rsidRPr="00B35962">
        <w:rPr>
          <w:lang w:val="sr-Latn-ME"/>
        </w:rPr>
        <w:t>vid</w:t>
      </w:r>
      <w:r w:rsidR="00407C12" w:rsidRPr="00B35962">
        <w:rPr>
          <w:lang w:val="sr-Latn-ME"/>
        </w:rPr>
        <w:t>om</w:t>
      </w:r>
      <w:r w:rsidR="00140D6F" w:rsidRPr="00B35962">
        <w:rPr>
          <w:lang w:val="sr-Latn-ME"/>
        </w:rPr>
        <w:t xml:space="preserve"> u koje su bili uključeni i stručnjaci iz zdravstvenih ustanova i lokalnih komisija za usmjeravanje s ciljem da unaprijede vještine </w:t>
      </w:r>
      <w:r w:rsidRPr="00B35962">
        <w:rPr>
          <w:lang w:val="sr-Latn-ME"/>
        </w:rPr>
        <w:t>prepoznavanj</w:t>
      </w:r>
      <w:r w:rsidR="00140D6F" w:rsidRPr="00B35962">
        <w:rPr>
          <w:lang w:val="sr-Latn-ME"/>
        </w:rPr>
        <w:t>a</w:t>
      </w:r>
      <w:r w:rsidR="00C83C67" w:rsidRPr="00B35962">
        <w:rPr>
          <w:lang w:val="sr-Latn-ME"/>
        </w:rPr>
        <w:t xml:space="preserve"> potreba djece</w:t>
      </w:r>
      <w:r w:rsidR="00BC334D" w:rsidRPr="00B35962">
        <w:rPr>
          <w:lang w:val="sr-Latn-ME"/>
        </w:rPr>
        <w:t>,</w:t>
      </w:r>
      <w:r w:rsidR="00C83C67" w:rsidRPr="00B35962">
        <w:rPr>
          <w:lang w:val="sr-Latn-ME"/>
        </w:rPr>
        <w:t xml:space="preserve"> </w:t>
      </w:r>
      <w:r w:rsidRPr="00B35962">
        <w:rPr>
          <w:lang w:val="sr-Latn-ME"/>
        </w:rPr>
        <w:t>prilagođavanj</w:t>
      </w:r>
      <w:r w:rsidR="00140D6F" w:rsidRPr="00B35962">
        <w:rPr>
          <w:lang w:val="sr-Latn-ME"/>
        </w:rPr>
        <w:t>a</w:t>
      </w:r>
      <w:r w:rsidR="00BC334D" w:rsidRPr="00B35962">
        <w:rPr>
          <w:lang w:val="sr-Latn-ME"/>
        </w:rPr>
        <w:t xml:space="preserve"> pristupa i rada</w:t>
      </w:r>
      <w:r w:rsidRPr="00B35962">
        <w:rPr>
          <w:lang w:val="sr-Latn-ME"/>
        </w:rPr>
        <w:t xml:space="preserve">. </w:t>
      </w:r>
      <w:r w:rsidR="008027A3" w:rsidRPr="00B35962">
        <w:rPr>
          <w:lang w:val="sr-Latn-ME"/>
        </w:rPr>
        <w:t xml:space="preserve">Pored toga, vaspitači su </w:t>
      </w:r>
      <w:r w:rsidR="00765C23" w:rsidRPr="00B35962">
        <w:rPr>
          <w:lang w:val="sr-Latn-ME"/>
        </w:rPr>
        <w:t xml:space="preserve">obučeni za ciljanu izradu </w:t>
      </w:r>
      <w:r w:rsidR="00BC334D" w:rsidRPr="00B35962">
        <w:rPr>
          <w:lang w:val="sr-Latn-ME"/>
        </w:rPr>
        <w:t>didaktičkih sredstava</w:t>
      </w:r>
      <w:r w:rsidR="00765C23" w:rsidRPr="00B35962">
        <w:rPr>
          <w:lang w:val="sr-Latn-ME"/>
        </w:rPr>
        <w:t xml:space="preserve">, kao i neposredno praktično vođeni (engl. coaching). </w:t>
      </w:r>
      <w:r w:rsidR="0075226B" w:rsidRPr="00B35962">
        <w:rPr>
          <w:lang w:val="sr-Latn-ME"/>
        </w:rPr>
        <w:t>U Analizi podrške i multisektorskog odgovora na potrebe djece sa smetnjama u razvoju u Crnoj Gori</w:t>
      </w:r>
      <w:r w:rsidR="0075226B" w:rsidRPr="00B35962">
        <w:rPr>
          <w:rStyle w:val="FootnoteReference"/>
          <w:lang w:val="sr-Latn-ME"/>
        </w:rPr>
        <w:footnoteReference w:id="14"/>
      </w:r>
      <w:r w:rsidR="0075226B" w:rsidRPr="00B35962">
        <w:rPr>
          <w:lang w:val="sr-Latn-ME"/>
        </w:rPr>
        <w:t xml:space="preserve"> ocjenjuje se da opšti pristup nije dovoljno tra</w:t>
      </w:r>
      <w:r w:rsidR="001318E4" w:rsidRPr="00B35962">
        <w:rPr>
          <w:lang w:val="sr-Latn-ME"/>
        </w:rPr>
        <w:t>n</w:t>
      </w:r>
      <w:r w:rsidR="0075226B" w:rsidRPr="00B35962">
        <w:rPr>
          <w:lang w:val="sr-Latn-ME"/>
        </w:rPr>
        <w:t xml:space="preserve">sformisan u pravcu bio-psiho-socijalnog modela i da još </w:t>
      </w:r>
      <w:r w:rsidR="001318E4" w:rsidRPr="00B35962">
        <w:rPr>
          <w:lang w:val="sr-Latn-ME"/>
        </w:rPr>
        <w:t>uvijek</w:t>
      </w:r>
      <w:r w:rsidR="0075226B" w:rsidRPr="00B35962">
        <w:rPr>
          <w:lang w:val="sr-Latn-ME"/>
        </w:rPr>
        <w:t xml:space="preserve"> dominira medicinski model, </w:t>
      </w:r>
      <w:r w:rsidR="00407C12" w:rsidRPr="00B35962">
        <w:rPr>
          <w:lang w:val="sr-Latn-ME"/>
        </w:rPr>
        <w:t xml:space="preserve">kao i </w:t>
      </w:r>
      <w:r w:rsidR="0075226B" w:rsidRPr="00B35962">
        <w:rPr>
          <w:lang w:val="sr-Latn-ME"/>
        </w:rPr>
        <w:t>da je opšti nivo dostupnosti uslug</w:t>
      </w:r>
      <w:r w:rsidR="00617C6D" w:rsidRPr="00B35962">
        <w:rPr>
          <w:lang w:val="sr-Latn-ME"/>
        </w:rPr>
        <w:t>a</w:t>
      </w:r>
      <w:r w:rsidR="0075226B" w:rsidRPr="00B35962">
        <w:rPr>
          <w:lang w:val="sr-Latn-ME"/>
        </w:rPr>
        <w:t xml:space="preserve"> nedovoljan i da međusektorska saradnja nije na zadovoljavajućem nivou.</w:t>
      </w:r>
    </w:p>
    <w:p w14:paraId="0A47D7B0" w14:textId="77777777" w:rsidR="00566A90" w:rsidRPr="00B35962" w:rsidRDefault="00566A90" w:rsidP="003D7DCF">
      <w:pPr>
        <w:rPr>
          <w:lang w:val="sr-Latn-ME"/>
        </w:rPr>
      </w:pPr>
    </w:p>
    <w:p w14:paraId="012A3FBA" w14:textId="77777777" w:rsidR="00FA30CD" w:rsidRPr="00B35962" w:rsidRDefault="00AC2EA5" w:rsidP="003D7DCF">
      <w:pPr>
        <w:rPr>
          <w:lang w:val="sr-Latn-ME"/>
        </w:rPr>
      </w:pPr>
      <w:r w:rsidRPr="00B35962">
        <w:rPr>
          <w:lang w:val="sr-Latn-ME"/>
        </w:rPr>
        <w:t>Djeca bez roditeljskog staranja iz JU Dječiji dom „Mladost” uključena su već treću školsku godinu u redovni predškolski program</w:t>
      </w:r>
      <w:r w:rsidR="00C83C67" w:rsidRPr="00B35962">
        <w:rPr>
          <w:lang w:val="sr-Latn-ME"/>
        </w:rPr>
        <w:t>, a s</w:t>
      </w:r>
      <w:r w:rsidRPr="00B35962">
        <w:rPr>
          <w:lang w:val="sr-Latn-ME"/>
        </w:rPr>
        <w:t xml:space="preserve">provedene su </w:t>
      </w:r>
      <w:r w:rsidR="00C83C67" w:rsidRPr="00B35962">
        <w:rPr>
          <w:lang w:val="sr-Latn-ME"/>
        </w:rPr>
        <w:t xml:space="preserve">i </w:t>
      </w:r>
      <w:r w:rsidRPr="00B35962">
        <w:rPr>
          <w:lang w:val="sr-Latn-ME"/>
        </w:rPr>
        <w:t xml:space="preserve">obuke za </w:t>
      </w:r>
      <w:r w:rsidR="00C83C67" w:rsidRPr="00B35962">
        <w:rPr>
          <w:lang w:val="sr-Latn-ME"/>
        </w:rPr>
        <w:t>zaposlene</w:t>
      </w:r>
      <w:r w:rsidRPr="00B35962">
        <w:rPr>
          <w:lang w:val="sr-Latn-ME"/>
        </w:rPr>
        <w:t xml:space="preserve"> vrtića i Dječijeg doma Bijela.</w:t>
      </w:r>
    </w:p>
    <w:p w14:paraId="4CDB6C4E" w14:textId="77777777" w:rsidR="00566A90" w:rsidRPr="00B35962" w:rsidRDefault="00566A90" w:rsidP="003D7DCF">
      <w:pPr>
        <w:rPr>
          <w:lang w:val="sr-Latn-ME"/>
        </w:rPr>
      </w:pPr>
    </w:p>
    <w:p w14:paraId="18D6CCD9" w14:textId="5AF172E7" w:rsidR="00B4290E" w:rsidRPr="00B35962" w:rsidRDefault="00B960AA" w:rsidP="003D7DCF">
      <w:pPr>
        <w:rPr>
          <w:lang w:val="sr-Latn-ME"/>
        </w:rPr>
      </w:pPr>
      <w:r w:rsidRPr="00B35962">
        <w:rPr>
          <w:lang w:val="sr-Latn-ME"/>
        </w:rPr>
        <w:t xml:space="preserve">Sve navedene mjere koje su realizovane u prethodnom periodu  doprinijele </w:t>
      </w:r>
      <w:r w:rsidR="00407C12" w:rsidRPr="00B35962">
        <w:rPr>
          <w:lang w:val="sr-Latn-ME"/>
        </w:rPr>
        <w:t xml:space="preserve">su </w:t>
      </w:r>
      <w:r w:rsidRPr="00B35962">
        <w:rPr>
          <w:lang w:val="sr-Latn-ME"/>
        </w:rPr>
        <w:t>unapređenju pravednosti</w:t>
      </w:r>
      <w:r w:rsidR="00407C12" w:rsidRPr="00B35962">
        <w:rPr>
          <w:lang w:val="sr-Latn-ME"/>
        </w:rPr>
        <w:t>,</w:t>
      </w:r>
      <w:r w:rsidRPr="00B35962">
        <w:rPr>
          <w:lang w:val="sr-Latn-ME"/>
        </w:rPr>
        <w:t xml:space="preserve"> što se pokazuje i kroz poređenje nalaza MICS studije iz 2013. i 2018. godine. Ipak</w:t>
      </w:r>
      <w:r w:rsidR="00407C12" w:rsidRPr="00B35962">
        <w:rPr>
          <w:lang w:val="sr-Latn-ME"/>
        </w:rPr>
        <w:t>,</w:t>
      </w:r>
      <w:r w:rsidRPr="00B35962">
        <w:rPr>
          <w:lang w:val="sr-Latn-ME"/>
        </w:rPr>
        <w:t xml:space="preserve"> nalazi MICS 2018 ukazuju da i dalje postoje značajni izazovi u domenu pravednosti PVO. Naime, prema nalazima MICS 2018 studija </w:t>
      </w:r>
      <w:r w:rsidR="00920968" w:rsidRPr="00B35962">
        <w:rPr>
          <w:lang w:val="sr-Latn-ME"/>
        </w:rPr>
        <w:t xml:space="preserve">stopa pohađanja </w:t>
      </w:r>
      <w:r w:rsidRPr="00B35962">
        <w:rPr>
          <w:lang w:val="sr-Latn-ME"/>
        </w:rPr>
        <w:t xml:space="preserve">dječaka i djevojčica uzrasta </w:t>
      </w:r>
      <w:r w:rsidR="00407C12" w:rsidRPr="00B35962">
        <w:rPr>
          <w:lang w:val="sr-Latn-ME"/>
        </w:rPr>
        <w:t xml:space="preserve"> tri do šest</w:t>
      </w:r>
      <w:r w:rsidRPr="00B35962">
        <w:rPr>
          <w:lang w:val="sr-Latn-ME"/>
        </w:rPr>
        <w:t xml:space="preserve"> godina  relativno</w:t>
      </w:r>
      <w:r w:rsidR="00407C12" w:rsidRPr="00B35962">
        <w:rPr>
          <w:lang w:val="sr-Latn-ME"/>
        </w:rPr>
        <w:t xml:space="preserve"> je</w:t>
      </w:r>
      <w:r w:rsidRPr="00B35962">
        <w:rPr>
          <w:lang w:val="sr-Latn-ME"/>
        </w:rPr>
        <w:t xml:space="preserve"> sličan (53% naspram 47%), ali postoje značajne razlike u obu</w:t>
      </w:r>
      <w:r w:rsidR="00406816" w:rsidRPr="00B35962">
        <w:rPr>
          <w:lang w:val="sr-Latn-ME"/>
        </w:rPr>
        <w:t xml:space="preserve">hvatu djece iz pojedinih grupa </w:t>
      </w:r>
      <w:r w:rsidR="00407C12" w:rsidRPr="00B35962">
        <w:rPr>
          <w:lang w:val="sr-Latn-ME"/>
        </w:rPr>
        <w:t>-</w:t>
      </w:r>
      <w:r w:rsidRPr="00B35962">
        <w:rPr>
          <w:lang w:val="sr-Latn-ME"/>
        </w:rPr>
        <w:t xml:space="preserve"> stopa upisa za djecu iz</w:t>
      </w:r>
      <w:r w:rsidR="00DE1B11">
        <w:rPr>
          <w:lang w:val="sr-Latn-ME"/>
        </w:rPr>
        <w:t xml:space="preserve"> najbogatijih porodica je 65%,</w:t>
      </w:r>
      <w:r w:rsidRPr="00B35962">
        <w:rPr>
          <w:lang w:val="sr-Latn-ME"/>
        </w:rPr>
        <w:t xml:space="preserve"> za djecu iz 20% najsiromašnijih porodica svega 18%; obuhvat djece iz urbanih sredina je 62%, a za djecu iz ruralnih sredina svega 35%; svega 16% djece iz romskih naselja uzrasta 3-6 godina je upisano u  PVO, dok je u opštoj populaciji djece istog uzrasta stopa upisa oko 53%</w:t>
      </w:r>
      <w:r w:rsidRPr="00B35962">
        <w:rPr>
          <w:rStyle w:val="FootnoteReference"/>
          <w:lang w:val="sr-Latn-ME"/>
        </w:rPr>
        <w:footnoteReference w:id="15"/>
      </w:r>
      <w:r w:rsidRPr="00B35962">
        <w:rPr>
          <w:lang w:val="sr-Latn-ME"/>
        </w:rPr>
        <w:t xml:space="preserve">. Pored toga, nalazi iste studije ukazuju na </w:t>
      </w:r>
      <w:r w:rsidRPr="00B35962">
        <w:rPr>
          <w:lang w:val="sr-Latn-ME"/>
        </w:rPr>
        <w:lastRenderedPageBreak/>
        <w:t>značajne razlike u pogledu indeksa ranog razvoja (ECDI indeks</w:t>
      </w:r>
      <w:r w:rsidRPr="00B35962">
        <w:rPr>
          <w:rStyle w:val="FootnoteReference"/>
          <w:lang w:val="sr-Latn-ME"/>
        </w:rPr>
        <w:footnoteReference w:id="16"/>
      </w:r>
      <w:r w:rsidRPr="00B35962">
        <w:rPr>
          <w:lang w:val="sr-Latn-ME"/>
        </w:rPr>
        <w:t>) – prosječna vrijednost indeksa za djecu iz najbogatijih porodica je 92</w:t>
      </w:r>
      <w:r w:rsidR="00407C12" w:rsidRPr="00B35962">
        <w:rPr>
          <w:lang w:val="sr-Latn-ME"/>
        </w:rPr>
        <w:t>,</w:t>
      </w:r>
      <w:r w:rsidRPr="00B35962">
        <w:rPr>
          <w:lang w:val="sr-Latn-ME"/>
        </w:rPr>
        <w:t xml:space="preserve"> dok je za djecu iz najsiromašnijih porodica 76; prosječna vrijednost indeksa za djecu visokoobrazovanih majki je 97, dok je vrijednost ovog indeksa 76 u slučaju djece čije su majke nisko obrazovane (završile su osnovnu školu ili nemaju završenu osnovnu školu); prosječni ECDI indeks za djecu koja pohađaju PVO je 97, dok je on značajno niži za djecu koja ne pohađaju PVO i iznosi oko 83</w:t>
      </w:r>
      <w:r w:rsidRPr="00B35962">
        <w:rPr>
          <w:rStyle w:val="FootnoteReference"/>
          <w:lang w:val="sr-Latn-ME"/>
        </w:rPr>
        <w:footnoteReference w:id="17"/>
      </w:r>
      <w:r w:rsidRPr="00B35962">
        <w:rPr>
          <w:lang w:val="sr-Latn-ME"/>
        </w:rPr>
        <w:t>. Ovi nalazi ukazuju da djeca iz siromašnijih porodica, ruralnih sredina i djeca čiji roditelji imaju nizak nivo obrazovanja nemaju</w:t>
      </w:r>
      <w:r w:rsidR="00D061FA" w:rsidRPr="00B35962">
        <w:rPr>
          <w:lang w:val="sr-Latn-ME"/>
        </w:rPr>
        <w:t xml:space="preserve"> iste šanse za rani razvoj i da</w:t>
      </w:r>
      <w:r w:rsidRPr="00B35962">
        <w:rPr>
          <w:lang w:val="sr-Latn-ME"/>
        </w:rPr>
        <w:t>, stoga ona imaju potrebu da budu u većoj mjeri uključena u PVO</w:t>
      </w:r>
      <w:r w:rsidR="0004010A" w:rsidRPr="00B35962">
        <w:rPr>
          <w:lang w:val="sr-Latn-ME"/>
        </w:rPr>
        <w:t>, te</w:t>
      </w:r>
      <w:r w:rsidR="00DE1B11">
        <w:rPr>
          <w:lang w:val="sr-Latn-ME"/>
        </w:rPr>
        <w:t xml:space="preserve"> </w:t>
      </w:r>
      <w:r w:rsidRPr="00B35962">
        <w:rPr>
          <w:lang w:val="sr-Latn-ME"/>
        </w:rPr>
        <w:t xml:space="preserve">da se njihovi roditelji podrže u </w:t>
      </w:r>
      <w:r w:rsidR="00F23D87" w:rsidRPr="00B35962">
        <w:rPr>
          <w:lang w:val="sr-Latn-ME"/>
        </w:rPr>
        <w:t>obezbjeđivanju</w:t>
      </w:r>
      <w:r w:rsidRPr="00B35962">
        <w:rPr>
          <w:lang w:val="sr-Latn-ME"/>
        </w:rPr>
        <w:t xml:space="preserve"> podsticajnijeg porodičnog okruženja za rani razvoj.   </w:t>
      </w:r>
    </w:p>
    <w:p w14:paraId="037D5DFA" w14:textId="77777777" w:rsidR="00566A90" w:rsidRPr="00B35962" w:rsidRDefault="00566A90" w:rsidP="003D7DCF">
      <w:pPr>
        <w:rPr>
          <w:lang w:val="sr-Latn-ME"/>
        </w:rPr>
      </w:pPr>
    </w:p>
    <w:p w14:paraId="7B8AFBAF" w14:textId="1111B735" w:rsidR="00B960AA" w:rsidRPr="00B35962" w:rsidRDefault="00B4290E" w:rsidP="003D7DCF">
      <w:pPr>
        <w:rPr>
          <w:lang w:val="sr-Latn-ME"/>
        </w:rPr>
      </w:pPr>
      <w:r w:rsidRPr="00B35962">
        <w:rPr>
          <w:lang w:val="sr-Latn-ME"/>
        </w:rPr>
        <w:t>Tokom pauze izazvane epidemij</w:t>
      </w:r>
      <w:r w:rsidR="0004010A" w:rsidRPr="00B35962">
        <w:rPr>
          <w:lang w:val="sr-Latn-ME"/>
        </w:rPr>
        <w:t>om</w:t>
      </w:r>
      <w:r w:rsidRPr="00B35962">
        <w:rPr>
          <w:lang w:val="sr-Latn-ME"/>
        </w:rPr>
        <w:t xml:space="preserve"> koronavirusom roditeljima je bilo omogućeno da koriste pripremljeni materijal za rad sa djecom koji je bio objavljen na </w:t>
      </w:r>
      <w:r w:rsidR="0004010A" w:rsidRPr="00B35962">
        <w:rPr>
          <w:lang w:val="sr-Latn-ME"/>
        </w:rPr>
        <w:t>v</w:t>
      </w:r>
      <w:r w:rsidRPr="00B35962">
        <w:rPr>
          <w:lang w:val="sr-Latn-ME"/>
        </w:rPr>
        <w:t>eb</w:t>
      </w:r>
      <w:r w:rsidR="00D061FA" w:rsidRPr="00B35962">
        <w:rPr>
          <w:lang w:val="sr-Latn-ME"/>
        </w:rPr>
        <w:t>-</w:t>
      </w:r>
      <w:r w:rsidRPr="00B35962">
        <w:rPr>
          <w:lang w:val="sr-Latn-ME"/>
        </w:rPr>
        <w:t xml:space="preserve">stranici Školski portal (www.skolskiportal.edu.me). U saradnji sa kancelarijom UNICEF-a u Crnoj Gori </w:t>
      </w:r>
      <w:r w:rsidR="000839CC" w:rsidRPr="00B35962">
        <w:rPr>
          <w:lang w:val="sr-Latn-ME"/>
        </w:rPr>
        <w:t>kreirani</w:t>
      </w:r>
      <w:r w:rsidRPr="00B35962">
        <w:rPr>
          <w:lang w:val="sr-Latn-ME"/>
        </w:rPr>
        <w:t xml:space="preserve"> su kratki video</w:t>
      </w:r>
      <w:r w:rsidR="00D061FA" w:rsidRPr="00B35962">
        <w:rPr>
          <w:lang w:val="sr-Latn-ME"/>
        </w:rPr>
        <w:t xml:space="preserve"> </w:t>
      </w:r>
      <w:r w:rsidRPr="00B35962">
        <w:rPr>
          <w:lang w:val="sr-Latn-ME"/>
        </w:rPr>
        <w:t>sadržaji</w:t>
      </w:r>
      <w:r w:rsidR="0004010A" w:rsidRPr="00B35962">
        <w:rPr>
          <w:lang w:val="sr-Latn-ME"/>
        </w:rPr>
        <w:t xml:space="preserve"> pod nazivom #IgrajSeDoma,</w:t>
      </w:r>
      <w:r w:rsidRPr="00B35962">
        <w:rPr>
          <w:lang w:val="sr-Latn-ME"/>
        </w:rPr>
        <w:t xml:space="preserve"> sa ciljem da inspirišu i usmjere roditelje na koji način da rade sa svojom djecom</w:t>
      </w:r>
      <w:r w:rsidR="0004010A" w:rsidRPr="00B35962">
        <w:rPr>
          <w:lang w:val="sr-Latn-ME"/>
        </w:rPr>
        <w:t>.</w:t>
      </w:r>
      <w:r w:rsidR="001972D3" w:rsidRPr="00B35962">
        <w:rPr>
          <w:lang w:val="sr-Latn-ME"/>
        </w:rPr>
        <w:t xml:space="preserve"> </w:t>
      </w:r>
      <w:r w:rsidRPr="00B35962">
        <w:rPr>
          <w:lang w:val="sr-Latn-ME"/>
        </w:rPr>
        <w:t xml:space="preserve">Vaspitači su na snimcima edukovali roditelje kako da naprave određeni didaktički materijal i kako da podstiču razvoj svoje djece na kvalitetan način. </w:t>
      </w:r>
      <w:r w:rsidR="00765C23" w:rsidRPr="00B35962">
        <w:rPr>
          <w:lang w:val="sr-Latn-ME"/>
        </w:rPr>
        <w:t xml:space="preserve">Takođe, </w:t>
      </w:r>
      <w:r w:rsidR="000839CC" w:rsidRPr="00B35962">
        <w:rPr>
          <w:lang w:val="sr-Latn-ME"/>
        </w:rPr>
        <w:t>vaspitaču su bili u svakodnevnom kontaktu sa roditelj</w:t>
      </w:r>
      <w:r w:rsidR="0004010A" w:rsidRPr="00B35962">
        <w:rPr>
          <w:lang w:val="sr-Latn-ME"/>
        </w:rPr>
        <w:t>im</w:t>
      </w:r>
      <w:r w:rsidR="000839CC" w:rsidRPr="00B35962">
        <w:rPr>
          <w:lang w:val="sr-Latn-ME"/>
        </w:rPr>
        <w:t xml:space="preserve">a i </w:t>
      </w:r>
      <w:r w:rsidR="00765C23" w:rsidRPr="00B35962">
        <w:rPr>
          <w:lang w:val="sr-Latn-ME"/>
        </w:rPr>
        <w:t xml:space="preserve">slali </w:t>
      </w:r>
      <w:r w:rsidR="000839CC" w:rsidRPr="00B35962">
        <w:rPr>
          <w:lang w:val="sr-Latn-ME"/>
        </w:rPr>
        <w:t xml:space="preserve">su im </w:t>
      </w:r>
      <w:r w:rsidR="00765C23" w:rsidRPr="00B35962">
        <w:rPr>
          <w:lang w:val="sr-Latn-ME"/>
        </w:rPr>
        <w:t xml:space="preserve">instrukcije, ideje za učenje, razvoj i rad </w:t>
      </w:r>
      <w:r w:rsidR="000839CC" w:rsidRPr="00B35962">
        <w:rPr>
          <w:lang w:val="sr-Latn-ME"/>
        </w:rPr>
        <w:t>sa d</w:t>
      </w:r>
      <w:r w:rsidR="00A428F6" w:rsidRPr="00B35962">
        <w:rPr>
          <w:lang w:val="sr-Latn-ME"/>
        </w:rPr>
        <w:t>j</w:t>
      </w:r>
      <w:r w:rsidR="000839CC" w:rsidRPr="00B35962">
        <w:rPr>
          <w:lang w:val="sr-Latn-ME"/>
        </w:rPr>
        <w:t xml:space="preserve">ecom </w:t>
      </w:r>
      <w:r w:rsidR="00765C23" w:rsidRPr="00B35962">
        <w:rPr>
          <w:lang w:val="sr-Latn-ME"/>
        </w:rPr>
        <w:t>kod kuće.</w:t>
      </w:r>
    </w:p>
    <w:p w14:paraId="1DE66DCD" w14:textId="77777777" w:rsidR="00C447FF" w:rsidRPr="00B35962" w:rsidRDefault="00C447FF" w:rsidP="00C447FF">
      <w:pPr>
        <w:pStyle w:val="NoSpacing"/>
        <w:rPr>
          <w:lang w:val="sr-Latn-ME"/>
        </w:rPr>
      </w:pPr>
    </w:p>
    <w:p w14:paraId="2C0F0374" w14:textId="7D483E50" w:rsidR="0022360D" w:rsidRPr="00B35962" w:rsidRDefault="00256EEE" w:rsidP="00C447FF">
      <w:pPr>
        <w:spacing w:after="160"/>
        <w:rPr>
          <w:lang w:val="sr-Latn-ME"/>
        </w:rPr>
      </w:pPr>
      <w:r w:rsidRPr="00B35962">
        <w:rPr>
          <w:lang w:val="sr-Latn-ME"/>
        </w:rPr>
        <w:t xml:space="preserve">Kad je </w:t>
      </w:r>
      <w:r w:rsidR="00E26BDE" w:rsidRPr="00B35962">
        <w:rPr>
          <w:lang w:val="sr-Latn-ME"/>
        </w:rPr>
        <w:t>u pitanju povećanje dostupnosti PVO</w:t>
      </w:r>
      <w:r w:rsidR="0004010A" w:rsidRPr="00B35962">
        <w:rPr>
          <w:lang w:val="sr-Latn-ME"/>
        </w:rPr>
        <w:t>,</w:t>
      </w:r>
      <w:r w:rsidR="00E26BDE" w:rsidRPr="00B35962">
        <w:rPr>
          <w:lang w:val="sr-Latn-ME"/>
        </w:rPr>
        <w:t xml:space="preserve"> djeci i roditeljima iz osjetljivih grupa </w:t>
      </w:r>
      <w:r w:rsidR="0022360D" w:rsidRPr="00B35962">
        <w:rPr>
          <w:lang w:val="sr-Latn-ME"/>
        </w:rPr>
        <w:t xml:space="preserve">najveći izazov za naredni period predstavljaju </w:t>
      </w:r>
      <w:r w:rsidR="008F1062" w:rsidRPr="00B35962">
        <w:rPr>
          <w:lang w:val="sr-Latn-ME"/>
        </w:rPr>
        <w:t xml:space="preserve">povećanje obuhvata i </w:t>
      </w:r>
      <w:r w:rsidR="00F23D87" w:rsidRPr="00B35962">
        <w:rPr>
          <w:lang w:val="sr-Latn-ME"/>
        </w:rPr>
        <w:t>obezbjeđivanje</w:t>
      </w:r>
      <w:r w:rsidR="0022360D" w:rsidRPr="00B35962">
        <w:rPr>
          <w:lang w:val="sr-Latn-ME"/>
        </w:rPr>
        <w:t xml:space="preserve"> redovnog pohađanja PVO, podizanje profesionalnih kapaciteta zaposlenih</w:t>
      </w:r>
      <w:r w:rsidR="0004010A" w:rsidRPr="00B35962">
        <w:rPr>
          <w:lang w:val="sr-Latn-ME"/>
        </w:rPr>
        <w:t>, kao i prilagođavanje didaktičkih sredstava</w:t>
      </w:r>
      <w:r w:rsidR="0022360D" w:rsidRPr="00B35962">
        <w:rPr>
          <w:lang w:val="sr-Latn-ME"/>
        </w:rPr>
        <w:t xml:space="preserve"> u radu sa djecom iz osjetljivih grupa, </w:t>
      </w:r>
      <w:r w:rsidR="0075226B" w:rsidRPr="00B35962">
        <w:rPr>
          <w:lang w:val="sr-Latn-ME"/>
        </w:rPr>
        <w:t>, jačanj</w:t>
      </w:r>
      <w:r w:rsidR="00DE1B11">
        <w:rPr>
          <w:lang w:val="sr-Latn-ME"/>
        </w:rPr>
        <w:t>e ranih intervencija za djecu s</w:t>
      </w:r>
      <w:r w:rsidR="0075226B" w:rsidRPr="00B35962">
        <w:rPr>
          <w:lang w:val="sr-Latn-ME"/>
        </w:rPr>
        <w:t xml:space="preserve"> posebnim</w:t>
      </w:r>
      <w:r w:rsidR="00DE1B11">
        <w:rPr>
          <w:lang w:val="sr-Latn-ME"/>
        </w:rPr>
        <w:t xml:space="preserve"> obrazovnim</w:t>
      </w:r>
      <w:r w:rsidR="0075226B" w:rsidRPr="00B35962">
        <w:rPr>
          <w:lang w:val="sr-Latn-ME"/>
        </w:rPr>
        <w:t xml:space="preserve"> potrebama i njihovim roditeljima</w:t>
      </w:r>
      <w:r w:rsidR="0022360D" w:rsidRPr="00B35962">
        <w:rPr>
          <w:lang w:val="sr-Latn-ME"/>
        </w:rPr>
        <w:t xml:space="preserve"> i </w:t>
      </w:r>
      <w:r w:rsidR="00F23D87" w:rsidRPr="00B35962">
        <w:rPr>
          <w:lang w:val="sr-Latn-ME"/>
        </w:rPr>
        <w:t>obezbjeđivanje</w:t>
      </w:r>
      <w:r w:rsidR="0075226B" w:rsidRPr="00B35962">
        <w:rPr>
          <w:lang w:val="sr-Latn-ME"/>
        </w:rPr>
        <w:t xml:space="preserve"> </w:t>
      </w:r>
      <w:r w:rsidR="001318E4" w:rsidRPr="00B35962">
        <w:rPr>
          <w:lang w:val="sr-Latn-ME"/>
        </w:rPr>
        <w:t>djelotvornije</w:t>
      </w:r>
      <w:r w:rsidR="0022360D" w:rsidRPr="00B35962">
        <w:rPr>
          <w:lang w:val="sr-Latn-ME"/>
        </w:rPr>
        <w:t xml:space="preserve"> interresorne saradnje </w:t>
      </w:r>
      <w:r w:rsidR="00427A58" w:rsidRPr="00B35962">
        <w:rPr>
          <w:lang w:val="sr-Latn-ME"/>
        </w:rPr>
        <w:t>i saradnje sa NVO</w:t>
      </w:r>
      <w:r w:rsidR="0004010A" w:rsidRPr="00B35962">
        <w:rPr>
          <w:lang w:val="sr-Latn-ME"/>
        </w:rPr>
        <w:t>,</w:t>
      </w:r>
      <w:r w:rsidR="00427A58" w:rsidRPr="00B35962">
        <w:rPr>
          <w:lang w:val="sr-Latn-ME"/>
        </w:rPr>
        <w:t xml:space="preserve"> </w:t>
      </w:r>
      <w:r w:rsidR="0022360D" w:rsidRPr="00B35962">
        <w:rPr>
          <w:lang w:val="sr-Latn-ME"/>
        </w:rPr>
        <w:t>bez koj</w:t>
      </w:r>
      <w:r w:rsidR="00427A58" w:rsidRPr="00B35962">
        <w:rPr>
          <w:lang w:val="sr-Latn-ME"/>
        </w:rPr>
        <w:t>ih</w:t>
      </w:r>
      <w:r w:rsidR="0022360D" w:rsidRPr="00B35962">
        <w:rPr>
          <w:lang w:val="sr-Latn-ME"/>
        </w:rPr>
        <w:t xml:space="preserve"> je teško </w:t>
      </w:r>
      <w:r w:rsidR="00F23D87" w:rsidRPr="00B35962">
        <w:rPr>
          <w:lang w:val="sr-Latn-ME"/>
        </w:rPr>
        <w:t>obezbijediti</w:t>
      </w:r>
      <w:r w:rsidR="0022360D" w:rsidRPr="00B35962">
        <w:rPr>
          <w:lang w:val="sr-Latn-ME"/>
        </w:rPr>
        <w:t xml:space="preserve"> kvalitetnu inkluzivnost PVO.</w:t>
      </w:r>
    </w:p>
    <w:p w14:paraId="6E83A8B4" w14:textId="77777777" w:rsidR="003A2C04" w:rsidRPr="00B35962" w:rsidRDefault="003A2C04">
      <w:pPr>
        <w:spacing w:after="160"/>
        <w:ind w:firstLine="0"/>
        <w:rPr>
          <w:rFonts w:eastAsiaTheme="majorEastAsia"/>
          <w:b/>
          <w:szCs w:val="26"/>
          <w:lang w:val="sr-Latn-ME"/>
        </w:rPr>
      </w:pPr>
      <w:r w:rsidRPr="00B35962">
        <w:rPr>
          <w:lang w:val="sr-Latn-ME"/>
        </w:rPr>
        <w:br w:type="page"/>
      </w:r>
    </w:p>
    <w:p w14:paraId="57043289" w14:textId="22DCD379" w:rsidR="00532083" w:rsidRPr="00B35962" w:rsidRDefault="00532083" w:rsidP="00532083">
      <w:pPr>
        <w:pStyle w:val="Heading2"/>
        <w:rPr>
          <w:rFonts w:cs="Times New Roman"/>
          <w:color w:val="0070C0"/>
          <w:lang w:val="sr-Latn-ME"/>
        </w:rPr>
      </w:pPr>
      <w:bookmarkStart w:id="8" w:name="_Toc55295091"/>
      <w:r w:rsidRPr="00B35962">
        <w:rPr>
          <w:rFonts w:cs="Times New Roman"/>
          <w:color w:val="0070C0"/>
          <w:lang w:val="sr-Latn-ME"/>
        </w:rPr>
        <w:lastRenderedPageBreak/>
        <w:t>2.</w:t>
      </w:r>
      <w:r w:rsidR="00A16F75" w:rsidRPr="00B35962">
        <w:rPr>
          <w:rFonts w:cs="Times New Roman"/>
          <w:color w:val="0070C0"/>
          <w:lang w:val="sr-Latn-ME"/>
        </w:rPr>
        <w:t>4</w:t>
      </w:r>
      <w:r w:rsidRPr="00B35962">
        <w:rPr>
          <w:rFonts w:cs="Times New Roman"/>
          <w:color w:val="0070C0"/>
          <w:lang w:val="sr-Latn-ME"/>
        </w:rPr>
        <w:t>. SWOT analiza</w:t>
      </w:r>
      <w:bookmarkEnd w:id="8"/>
    </w:p>
    <w:p w14:paraId="571390DA" w14:textId="77777777" w:rsidR="00532083" w:rsidRPr="00B35962" w:rsidRDefault="00532083" w:rsidP="0022360D">
      <w:pPr>
        <w:spacing w:after="160"/>
        <w:ind w:firstLine="0"/>
        <w:rPr>
          <w:lang w:val="sr-Latn-ME"/>
        </w:rPr>
      </w:pPr>
      <w:r w:rsidRPr="00B35962">
        <w:rPr>
          <w:lang w:val="sr-Latn-ME"/>
        </w:rPr>
        <w:tab/>
        <w:t>Na osnovu analize postojećeg stanja i na osnovu konsultativnog procesa sa donosiocima odluka, stručnjacima i praktičarima u oblasti PVO</w:t>
      </w:r>
      <w:r w:rsidR="0004010A" w:rsidRPr="00B35962">
        <w:rPr>
          <w:lang w:val="sr-Latn-ME"/>
        </w:rPr>
        <w:t>,</w:t>
      </w:r>
      <w:r w:rsidRPr="00B35962">
        <w:rPr>
          <w:lang w:val="sr-Latn-ME"/>
        </w:rPr>
        <w:t xml:space="preserve"> </w:t>
      </w:r>
      <w:r w:rsidR="00BC6421" w:rsidRPr="00B35962">
        <w:rPr>
          <w:lang w:val="sr-Latn-ME"/>
        </w:rPr>
        <w:t xml:space="preserve">identifikovane su specifične </w:t>
      </w:r>
      <w:r w:rsidR="002E76E1" w:rsidRPr="00B35962">
        <w:rPr>
          <w:lang w:val="sr-Latn-ME"/>
        </w:rPr>
        <w:t>prednosti</w:t>
      </w:r>
      <w:r w:rsidR="00BC6421" w:rsidRPr="00B35962">
        <w:rPr>
          <w:lang w:val="sr-Latn-ME"/>
        </w:rPr>
        <w:t>, slabosti, šanse i prijetnje (SWOT analiza)</w:t>
      </w:r>
      <w:r w:rsidR="0004010A" w:rsidRPr="00B35962">
        <w:rPr>
          <w:lang w:val="sr-Latn-ME"/>
        </w:rPr>
        <w:t>,</w:t>
      </w:r>
      <w:r w:rsidR="00BC6421" w:rsidRPr="00B35962">
        <w:rPr>
          <w:lang w:val="sr-Latn-ME"/>
        </w:rPr>
        <w:t xml:space="preserve"> i one su sumirane u tabeli 1.</w:t>
      </w:r>
      <w:r w:rsidRPr="00B35962">
        <w:rPr>
          <w:lang w:val="sr-Latn-ME"/>
        </w:rPr>
        <w:t xml:space="preserve"> </w:t>
      </w:r>
    </w:p>
    <w:p w14:paraId="24A8E84B" w14:textId="74F7A4FD" w:rsidR="00800989" w:rsidRDefault="00800989" w:rsidP="00800989">
      <w:pPr>
        <w:pStyle w:val="Caption"/>
        <w:keepNext/>
        <w:ind w:firstLine="0"/>
        <w:rPr>
          <w:i w:val="0"/>
          <w:iCs w:val="0"/>
          <w:color w:val="auto"/>
          <w:sz w:val="24"/>
          <w:szCs w:val="24"/>
          <w:lang w:val="sr-Latn-ME"/>
        </w:rPr>
      </w:pPr>
      <w:r w:rsidRPr="00B35962">
        <w:rPr>
          <w:i w:val="0"/>
          <w:iCs w:val="0"/>
          <w:color w:val="auto"/>
          <w:sz w:val="24"/>
          <w:szCs w:val="24"/>
          <w:lang w:val="sr-Latn-ME"/>
        </w:rPr>
        <w:t xml:space="preserve">Tabela </w:t>
      </w:r>
      <w:r w:rsidRPr="00B35962">
        <w:rPr>
          <w:i w:val="0"/>
          <w:iCs w:val="0"/>
          <w:color w:val="auto"/>
          <w:sz w:val="24"/>
          <w:szCs w:val="24"/>
          <w:lang w:val="sr-Latn-ME"/>
        </w:rPr>
        <w:fldChar w:fldCharType="begin"/>
      </w:r>
      <w:r w:rsidRPr="00B35962">
        <w:rPr>
          <w:i w:val="0"/>
          <w:iCs w:val="0"/>
          <w:color w:val="auto"/>
          <w:sz w:val="24"/>
          <w:szCs w:val="24"/>
          <w:lang w:val="sr-Latn-ME"/>
        </w:rPr>
        <w:instrText xml:space="preserve"> SEQ Tabela \* ARABIC </w:instrText>
      </w:r>
      <w:r w:rsidRPr="00B35962">
        <w:rPr>
          <w:i w:val="0"/>
          <w:iCs w:val="0"/>
          <w:color w:val="auto"/>
          <w:sz w:val="24"/>
          <w:szCs w:val="24"/>
          <w:lang w:val="sr-Latn-ME"/>
        </w:rPr>
        <w:fldChar w:fldCharType="separate"/>
      </w:r>
      <w:r w:rsidR="0054592B" w:rsidRPr="00B35962">
        <w:rPr>
          <w:i w:val="0"/>
          <w:iCs w:val="0"/>
          <w:noProof/>
          <w:color w:val="auto"/>
          <w:sz w:val="24"/>
          <w:szCs w:val="24"/>
          <w:lang w:val="sr-Latn-ME"/>
        </w:rPr>
        <w:t>1</w:t>
      </w:r>
      <w:r w:rsidRPr="00B35962">
        <w:rPr>
          <w:i w:val="0"/>
          <w:iCs w:val="0"/>
          <w:color w:val="auto"/>
          <w:sz w:val="24"/>
          <w:szCs w:val="24"/>
          <w:lang w:val="sr-Latn-ME"/>
        </w:rPr>
        <w:fldChar w:fldCharType="end"/>
      </w:r>
      <w:r w:rsidRPr="00B35962">
        <w:rPr>
          <w:i w:val="0"/>
          <w:iCs w:val="0"/>
          <w:color w:val="auto"/>
          <w:sz w:val="24"/>
          <w:szCs w:val="24"/>
          <w:lang w:val="sr-Latn-ME"/>
        </w:rPr>
        <w:t>. SWOT analiza sistema PVO u Crnoj Gori</w:t>
      </w:r>
    </w:p>
    <w:tbl>
      <w:tblPr>
        <w:tblStyle w:val="TableGrid0"/>
        <w:tblW w:w="93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08"/>
        <w:gridCol w:w="4747"/>
      </w:tblGrid>
      <w:tr w:rsidR="009A6746" w:rsidRPr="00B35962" w14:paraId="3BB43C98" w14:textId="77777777" w:rsidTr="009B51E3">
        <w:tc>
          <w:tcPr>
            <w:tcW w:w="4608" w:type="dxa"/>
          </w:tcPr>
          <w:p w14:paraId="4657A283" w14:textId="77777777" w:rsidR="009A6746" w:rsidRPr="00B35962" w:rsidRDefault="009A6746" w:rsidP="009B51E3">
            <w:pPr>
              <w:ind w:firstLine="0"/>
              <w:jc w:val="center"/>
              <w:rPr>
                <w:b/>
                <w:bCs/>
                <w:lang w:val="sr-Latn-ME"/>
              </w:rPr>
            </w:pPr>
            <w:r w:rsidRPr="00B35962">
              <w:rPr>
                <w:b/>
                <w:bCs/>
                <w:lang w:val="sr-Latn-ME"/>
              </w:rPr>
              <w:t>PREDNOSTI</w:t>
            </w:r>
          </w:p>
          <w:p w14:paraId="2B0266AA" w14:textId="77777777" w:rsidR="009A6746" w:rsidRPr="00B35962" w:rsidRDefault="009A6746" w:rsidP="009B51E3">
            <w:pPr>
              <w:pStyle w:val="ListParagraph"/>
              <w:numPr>
                <w:ilvl w:val="0"/>
                <w:numId w:val="1"/>
              </w:numPr>
              <w:ind w:left="432"/>
              <w:rPr>
                <w:lang w:val="sr-Latn-ME"/>
              </w:rPr>
            </w:pPr>
            <w:r w:rsidRPr="00B35962">
              <w:rPr>
                <w:lang w:val="sr-Latn-ME"/>
              </w:rPr>
              <w:t>Širenje kapaciteta PVO izgradnjom novih objekata i adaptacijom postojećih</w:t>
            </w:r>
          </w:p>
          <w:p w14:paraId="162950E4" w14:textId="77777777" w:rsidR="009A6746" w:rsidRPr="00B35962" w:rsidRDefault="009A6746" w:rsidP="009B51E3">
            <w:pPr>
              <w:pStyle w:val="ListParagraph"/>
              <w:numPr>
                <w:ilvl w:val="0"/>
                <w:numId w:val="1"/>
              </w:numPr>
              <w:ind w:left="432"/>
              <w:rPr>
                <w:lang w:val="sr-Latn-ME"/>
              </w:rPr>
            </w:pPr>
            <w:r w:rsidRPr="00B35962">
              <w:rPr>
                <w:lang w:val="sr-Latn-ME"/>
              </w:rPr>
              <w:t>Kontinuirano povećanje obuhvata djece</w:t>
            </w:r>
          </w:p>
          <w:p w14:paraId="4A10F918" w14:textId="77777777" w:rsidR="009A6746" w:rsidRPr="00B35962" w:rsidRDefault="009A6746" w:rsidP="009B51E3">
            <w:pPr>
              <w:pStyle w:val="ListParagraph"/>
              <w:numPr>
                <w:ilvl w:val="0"/>
                <w:numId w:val="1"/>
              </w:numPr>
              <w:ind w:left="432"/>
              <w:rPr>
                <w:lang w:val="sr-Latn-ME"/>
              </w:rPr>
            </w:pPr>
            <w:r w:rsidRPr="00B35962">
              <w:rPr>
                <w:lang w:val="sr-Latn-ME"/>
              </w:rPr>
              <w:t>Povećana dostupnost za djecu iz osjetljivih grupa u prethodnim godinama</w:t>
            </w:r>
          </w:p>
          <w:p w14:paraId="0830E563" w14:textId="77777777" w:rsidR="009A6746" w:rsidRPr="00B35962" w:rsidRDefault="009A6746" w:rsidP="009B51E3">
            <w:pPr>
              <w:pStyle w:val="ListParagraph"/>
              <w:numPr>
                <w:ilvl w:val="0"/>
                <w:numId w:val="1"/>
              </w:numPr>
              <w:ind w:left="432"/>
              <w:rPr>
                <w:lang w:val="sr-Latn-ME"/>
              </w:rPr>
            </w:pPr>
            <w:r w:rsidRPr="00B35962">
              <w:rPr>
                <w:lang w:val="sr-Latn-ME"/>
              </w:rPr>
              <w:t>Uvođenje novih programa (tročasovni programi, interaktivna služba, engleski jezik, rane intervencije)</w:t>
            </w:r>
          </w:p>
          <w:p w14:paraId="56DCCE5F" w14:textId="77777777" w:rsidR="009A6746" w:rsidRPr="00B35962" w:rsidRDefault="009A6746" w:rsidP="009B51E3">
            <w:pPr>
              <w:pStyle w:val="ListParagraph"/>
              <w:numPr>
                <w:ilvl w:val="0"/>
                <w:numId w:val="1"/>
              </w:numPr>
              <w:ind w:left="432"/>
              <w:rPr>
                <w:lang w:val="sr-Latn-ME"/>
              </w:rPr>
            </w:pPr>
            <w:r w:rsidRPr="00B35962">
              <w:rPr>
                <w:lang w:val="sr-Latn-ME"/>
              </w:rPr>
              <w:t>Kvalifikovan, kreativan, i posvećen kadar koji učestvuje u programima profesionalnog usavršavanja</w:t>
            </w:r>
          </w:p>
          <w:p w14:paraId="6FE5F052" w14:textId="77777777" w:rsidR="009A6746" w:rsidRPr="00B35962" w:rsidRDefault="009A6746" w:rsidP="009B51E3">
            <w:pPr>
              <w:pStyle w:val="ListParagraph"/>
              <w:numPr>
                <w:ilvl w:val="0"/>
                <w:numId w:val="1"/>
              </w:numPr>
              <w:ind w:left="432"/>
              <w:rPr>
                <w:lang w:val="sr-Latn-ME"/>
              </w:rPr>
            </w:pPr>
            <w:r w:rsidRPr="00B35962">
              <w:rPr>
                <w:lang w:val="sr-Latn-ME"/>
              </w:rPr>
              <w:t>Postoji viši nivo svijesti među praktičarima o potrebi holističkog pristupa usmjerenog na rani razvoj djece i saradnje sa roditeljima/starateljima</w:t>
            </w:r>
          </w:p>
          <w:p w14:paraId="63416383" w14:textId="77777777" w:rsidR="009A6746" w:rsidRPr="00B35962" w:rsidRDefault="009A6746" w:rsidP="009B51E3">
            <w:pPr>
              <w:pStyle w:val="ListParagraph"/>
              <w:numPr>
                <w:ilvl w:val="0"/>
                <w:numId w:val="1"/>
              </w:numPr>
              <w:ind w:left="432"/>
              <w:rPr>
                <w:lang w:val="sr-Latn-ME"/>
              </w:rPr>
            </w:pPr>
            <w:r w:rsidRPr="00B35962">
              <w:rPr>
                <w:lang w:val="sr-Latn-ME"/>
              </w:rPr>
              <w:t>Postoji viši nivo svijesti o značaju inkluzije među donosiocima odluka i praktičarima</w:t>
            </w:r>
          </w:p>
          <w:p w14:paraId="5E937DD1" w14:textId="77777777" w:rsidR="009A6746" w:rsidRPr="00B35962" w:rsidRDefault="009A6746" w:rsidP="009B51E3">
            <w:pPr>
              <w:pStyle w:val="ListParagraph"/>
              <w:numPr>
                <w:ilvl w:val="0"/>
                <w:numId w:val="1"/>
              </w:numPr>
              <w:ind w:left="432"/>
              <w:rPr>
                <w:lang w:val="sr-Latn-ME"/>
              </w:rPr>
            </w:pPr>
            <w:r>
              <w:rPr>
                <w:lang w:val="sr-Latn-ME"/>
              </w:rPr>
              <w:t>Dobra saradnja između donosila</w:t>
            </w:r>
            <w:r w:rsidRPr="00B35962">
              <w:rPr>
                <w:lang w:val="sr-Latn-ME"/>
              </w:rPr>
              <w:t>ca odluka i praktičara</w:t>
            </w:r>
          </w:p>
          <w:p w14:paraId="5B4EA3F9" w14:textId="77777777" w:rsidR="009A6746" w:rsidRPr="00B35962" w:rsidRDefault="009A6746" w:rsidP="009B51E3">
            <w:pPr>
              <w:pStyle w:val="ListParagraph"/>
              <w:numPr>
                <w:ilvl w:val="0"/>
                <w:numId w:val="1"/>
              </w:numPr>
              <w:ind w:left="432"/>
              <w:rPr>
                <w:lang w:val="sr-Latn-ME"/>
              </w:rPr>
            </w:pPr>
            <w:r w:rsidRPr="00B35962">
              <w:rPr>
                <w:lang w:val="sr-Latn-ME"/>
              </w:rPr>
              <w:t>Pravno su omogućeni diversifikovani programi, usmjereni na potrebe djece i porodica</w:t>
            </w:r>
          </w:p>
          <w:p w14:paraId="72F57A9E" w14:textId="77777777" w:rsidR="009A6746" w:rsidRPr="00B35962" w:rsidRDefault="009A6746" w:rsidP="009B51E3">
            <w:pPr>
              <w:pStyle w:val="ListParagraph"/>
              <w:numPr>
                <w:ilvl w:val="0"/>
                <w:numId w:val="1"/>
              </w:numPr>
              <w:ind w:left="432"/>
              <w:rPr>
                <w:lang w:val="sr-Latn-ME"/>
              </w:rPr>
            </w:pPr>
            <w:r w:rsidRPr="00B35962">
              <w:rPr>
                <w:lang w:val="sr-Latn-ME"/>
              </w:rPr>
              <w:t>Pokrenuto je praktično vođenje za programe: portfolio, interaktivne službe, prilagođavanje u radu sa djecom s posebnim obrazovnim potrebama i monitoring pohađanja RE djece</w:t>
            </w:r>
          </w:p>
          <w:p w14:paraId="4E6E0692" w14:textId="77777777" w:rsidR="009A6746" w:rsidRPr="00B35962" w:rsidRDefault="009A6746" w:rsidP="009B51E3">
            <w:pPr>
              <w:pStyle w:val="ListParagraph"/>
              <w:numPr>
                <w:ilvl w:val="0"/>
                <w:numId w:val="1"/>
              </w:numPr>
              <w:ind w:left="432"/>
              <w:rPr>
                <w:lang w:val="sr-Latn-ME"/>
              </w:rPr>
            </w:pPr>
            <w:r w:rsidRPr="00B35962">
              <w:rPr>
                <w:lang w:val="sr-Latn-ME"/>
              </w:rPr>
              <w:t>Sistem je u toku krize pokazao kapacitet da pruži podršku djeci i porodicama na nove i inovativne načine (npr. sistem učenja i podrške na daljinu)</w:t>
            </w:r>
          </w:p>
        </w:tc>
        <w:tc>
          <w:tcPr>
            <w:tcW w:w="4747" w:type="dxa"/>
          </w:tcPr>
          <w:p w14:paraId="6DFEDC96" w14:textId="77777777" w:rsidR="009A6746" w:rsidRPr="00B35962" w:rsidRDefault="009A6746" w:rsidP="009B51E3">
            <w:pPr>
              <w:ind w:firstLine="0"/>
              <w:jc w:val="center"/>
              <w:rPr>
                <w:b/>
                <w:bCs/>
                <w:lang w:val="sr-Latn-ME"/>
              </w:rPr>
            </w:pPr>
            <w:r w:rsidRPr="00B35962">
              <w:rPr>
                <w:b/>
                <w:bCs/>
                <w:lang w:val="sr-Latn-ME"/>
              </w:rPr>
              <w:t>SLABOSTI</w:t>
            </w:r>
          </w:p>
          <w:p w14:paraId="6561669E" w14:textId="77777777" w:rsidR="009A6746" w:rsidRPr="00B35962" w:rsidRDefault="009A6746" w:rsidP="009B51E3">
            <w:pPr>
              <w:pStyle w:val="ListParagraph"/>
              <w:numPr>
                <w:ilvl w:val="0"/>
                <w:numId w:val="1"/>
              </w:numPr>
              <w:ind w:left="432"/>
              <w:rPr>
                <w:lang w:val="sr-Latn-ME"/>
              </w:rPr>
            </w:pPr>
            <w:r w:rsidRPr="00B35962">
              <w:rPr>
                <w:lang w:val="sr-Latn-ME"/>
              </w:rPr>
              <w:t>Nedostatak prostornih kapaciteta</w:t>
            </w:r>
          </w:p>
          <w:p w14:paraId="64AAAC9D" w14:textId="77777777" w:rsidR="009A6746" w:rsidRPr="00B35962" w:rsidRDefault="009A6746" w:rsidP="009B51E3">
            <w:pPr>
              <w:pStyle w:val="ListParagraph"/>
              <w:numPr>
                <w:ilvl w:val="0"/>
                <w:numId w:val="1"/>
              </w:numPr>
              <w:ind w:left="432"/>
              <w:rPr>
                <w:lang w:val="sr-Latn-ME"/>
              </w:rPr>
            </w:pPr>
            <w:r w:rsidRPr="00B35962">
              <w:rPr>
                <w:lang w:val="sr-Latn-ME"/>
              </w:rPr>
              <w:t>Nedovoljan broj radno angažovanih vaspitača i stručnih saradnika u PU, u nekim opštinama postoji i deficit ponude</w:t>
            </w:r>
          </w:p>
          <w:p w14:paraId="02ACEE7D" w14:textId="77777777" w:rsidR="009A6746" w:rsidRPr="00B35962" w:rsidRDefault="009A6746" w:rsidP="009B51E3">
            <w:pPr>
              <w:pStyle w:val="ListParagraph"/>
              <w:numPr>
                <w:ilvl w:val="0"/>
                <w:numId w:val="1"/>
              </w:numPr>
              <w:ind w:left="432"/>
              <w:rPr>
                <w:lang w:val="sr-Latn-ME"/>
              </w:rPr>
            </w:pPr>
            <w:r w:rsidRPr="00B35962">
              <w:rPr>
                <w:lang w:val="sr-Latn-ME"/>
              </w:rPr>
              <w:t>Broj djece u vaspitnim grupama daleko iznad zakonskih normi, što ugrožava kvalitet usluga</w:t>
            </w:r>
          </w:p>
          <w:p w14:paraId="3F45D0A8" w14:textId="77777777" w:rsidR="009A6746" w:rsidRPr="00B35962" w:rsidRDefault="009A6746" w:rsidP="009B51E3">
            <w:pPr>
              <w:pStyle w:val="ListParagraph"/>
              <w:numPr>
                <w:ilvl w:val="0"/>
                <w:numId w:val="1"/>
              </w:numPr>
              <w:ind w:left="432"/>
              <w:rPr>
                <w:lang w:val="sr-Latn-ME"/>
              </w:rPr>
            </w:pPr>
            <w:r w:rsidRPr="00B35962">
              <w:rPr>
                <w:lang w:val="sr-Latn-ME"/>
              </w:rPr>
              <w:t>Nacionalni plan i program nije usklađen sa EU standardima visokokvalitetnog PVO</w:t>
            </w:r>
          </w:p>
          <w:p w14:paraId="74628D0E" w14:textId="77777777" w:rsidR="009A6746" w:rsidRPr="00B35962" w:rsidRDefault="009A6746" w:rsidP="009B51E3">
            <w:pPr>
              <w:pStyle w:val="ListParagraph"/>
              <w:numPr>
                <w:ilvl w:val="0"/>
                <w:numId w:val="1"/>
              </w:numPr>
              <w:ind w:left="432"/>
              <w:rPr>
                <w:lang w:val="sr-Latn-ME"/>
              </w:rPr>
            </w:pPr>
            <w:r w:rsidRPr="00B35962">
              <w:rPr>
                <w:lang w:val="sr-Latn-ME"/>
              </w:rPr>
              <w:t xml:space="preserve">Kontinuirani profesionalni razvoj je djelimično usklađen sa EU standardima </w:t>
            </w:r>
          </w:p>
          <w:p w14:paraId="03CA42A2" w14:textId="77777777" w:rsidR="009A6746" w:rsidRPr="00B35962" w:rsidRDefault="009A6746" w:rsidP="009B51E3">
            <w:pPr>
              <w:pStyle w:val="ListParagraph"/>
              <w:numPr>
                <w:ilvl w:val="0"/>
                <w:numId w:val="1"/>
              </w:numPr>
              <w:ind w:left="432"/>
              <w:rPr>
                <w:lang w:val="sr-Latn-ME"/>
              </w:rPr>
            </w:pPr>
            <w:r w:rsidRPr="00B35962">
              <w:rPr>
                <w:lang w:val="sr-Latn-ME"/>
              </w:rPr>
              <w:t>Niži obuhvat djece jaslenog uzrasta i djece iz najugroženijih grupa (RE zajednica, korisnika MOP-a, iz ruralnih područja)</w:t>
            </w:r>
          </w:p>
          <w:p w14:paraId="016AEDBD" w14:textId="77777777" w:rsidR="009A6746" w:rsidRPr="00B35962" w:rsidRDefault="009A6746" w:rsidP="009B51E3">
            <w:pPr>
              <w:pStyle w:val="ListParagraph"/>
              <w:numPr>
                <w:ilvl w:val="0"/>
                <w:numId w:val="1"/>
              </w:numPr>
              <w:ind w:left="432"/>
              <w:rPr>
                <w:lang w:val="sr-Latn-ME"/>
              </w:rPr>
            </w:pPr>
            <w:r w:rsidRPr="00B35962">
              <w:rPr>
                <w:lang w:val="sr-Latn-ME"/>
              </w:rPr>
              <w:t xml:space="preserve">Postojeće usluge i programi namijenjeni djeci iz osjetljivih grupa nijesu dovoljne da obezbijede jednaku dostupnost kvalitetnom PVO </w:t>
            </w:r>
          </w:p>
          <w:p w14:paraId="7E2F1791" w14:textId="77777777" w:rsidR="009A6746" w:rsidRPr="00B35962" w:rsidRDefault="009A6746" w:rsidP="009B51E3">
            <w:pPr>
              <w:pStyle w:val="ListParagraph"/>
              <w:numPr>
                <w:ilvl w:val="0"/>
                <w:numId w:val="1"/>
              </w:numPr>
              <w:ind w:left="432"/>
              <w:rPr>
                <w:lang w:val="sr-Latn-ME"/>
              </w:rPr>
            </w:pPr>
            <w:r w:rsidRPr="00B35962">
              <w:rPr>
                <w:lang w:val="sr-Latn-ME"/>
              </w:rPr>
              <w:t>Nije obezbjeđena pristupačnost svih PU svoj djeci</w:t>
            </w:r>
          </w:p>
          <w:p w14:paraId="6FA80072" w14:textId="77777777" w:rsidR="009A6746" w:rsidRPr="00B35962" w:rsidRDefault="009A6746" w:rsidP="009B51E3">
            <w:pPr>
              <w:pStyle w:val="ListParagraph"/>
              <w:numPr>
                <w:ilvl w:val="0"/>
                <w:numId w:val="1"/>
              </w:numPr>
              <w:ind w:left="432"/>
              <w:rPr>
                <w:lang w:val="sr-Latn-ME"/>
              </w:rPr>
            </w:pPr>
            <w:r w:rsidRPr="00B35962">
              <w:rPr>
                <w:lang w:val="sr-Latn-ME"/>
              </w:rPr>
              <w:t>Manjak inkluzivnih usluga u zajednici i veza s vrtićem</w:t>
            </w:r>
          </w:p>
          <w:p w14:paraId="1B261B04" w14:textId="77777777" w:rsidR="009A6746" w:rsidRPr="00B35962" w:rsidRDefault="009A6746" w:rsidP="009B51E3">
            <w:pPr>
              <w:pStyle w:val="ListParagraph"/>
              <w:numPr>
                <w:ilvl w:val="0"/>
                <w:numId w:val="1"/>
              </w:numPr>
              <w:ind w:left="432"/>
              <w:rPr>
                <w:lang w:val="sr-Latn-ME"/>
              </w:rPr>
            </w:pPr>
            <w:r w:rsidRPr="00B35962">
              <w:rPr>
                <w:lang w:val="sr-Latn-ME"/>
              </w:rPr>
              <w:t>Upisana djeca ne pohađaju redovno i kontinuirano programe PVO</w:t>
            </w:r>
          </w:p>
          <w:p w14:paraId="1FE716D6" w14:textId="77777777" w:rsidR="009A6746" w:rsidRPr="00B35962" w:rsidRDefault="009A6746" w:rsidP="009B51E3">
            <w:pPr>
              <w:pStyle w:val="ListParagraph"/>
              <w:numPr>
                <w:ilvl w:val="0"/>
                <w:numId w:val="1"/>
              </w:numPr>
              <w:ind w:left="432"/>
              <w:rPr>
                <w:lang w:val="sr-Latn-ME"/>
              </w:rPr>
            </w:pPr>
            <w:r w:rsidRPr="00B35962">
              <w:rPr>
                <w:lang w:val="sr-Latn-ME"/>
              </w:rPr>
              <w:t>Sistem nadzora i obezbjeđivanja kvaliteta je nedovoljno participativan i treba da bude u većoj mjeri savjetodavan i usmjeren na unapređenje kvaliteta i pravednosti PVO</w:t>
            </w:r>
          </w:p>
          <w:p w14:paraId="7F63D3EC" w14:textId="77777777" w:rsidR="009A6746" w:rsidRPr="00B35962" w:rsidRDefault="009A6746" w:rsidP="009B51E3">
            <w:pPr>
              <w:pStyle w:val="ListParagraph"/>
              <w:numPr>
                <w:ilvl w:val="0"/>
                <w:numId w:val="1"/>
              </w:numPr>
              <w:ind w:left="432"/>
              <w:rPr>
                <w:lang w:val="sr-Latn-ME"/>
              </w:rPr>
            </w:pPr>
            <w:r w:rsidRPr="00B35962">
              <w:rPr>
                <w:lang w:val="sr-Latn-ME"/>
              </w:rPr>
              <w:t>Pedagoška dokumentacija</w:t>
            </w:r>
            <w:r>
              <w:rPr>
                <w:lang w:val="sr-Latn-ME"/>
              </w:rPr>
              <w:t>,</w:t>
            </w:r>
            <w:r w:rsidRPr="00B35962">
              <w:rPr>
                <w:lang w:val="sr-Latn-ME"/>
              </w:rPr>
              <w:t xml:space="preserve"> </w:t>
            </w:r>
            <w:r>
              <w:rPr>
                <w:lang w:val="sr-Latn-ME"/>
              </w:rPr>
              <w:t xml:space="preserve">iako unaprijeđena, </w:t>
            </w:r>
            <w:r w:rsidRPr="00B35962">
              <w:rPr>
                <w:lang w:val="sr-Latn-ME"/>
              </w:rPr>
              <w:t xml:space="preserve">i dalje je preobimna  </w:t>
            </w:r>
          </w:p>
          <w:p w14:paraId="33C6102D" w14:textId="77777777" w:rsidR="009A6746" w:rsidRPr="00B35962" w:rsidRDefault="009A6746" w:rsidP="009B51E3">
            <w:pPr>
              <w:pStyle w:val="ListParagraph"/>
              <w:numPr>
                <w:ilvl w:val="0"/>
                <w:numId w:val="1"/>
              </w:numPr>
              <w:ind w:left="432"/>
              <w:rPr>
                <w:lang w:val="sr-Latn-ME"/>
              </w:rPr>
            </w:pPr>
            <w:r w:rsidRPr="00B35962">
              <w:rPr>
                <w:lang w:val="sr-Latn-ME"/>
              </w:rPr>
              <w:t>Nedovoljni nivo saradnje sa roditeljima/starateljima</w:t>
            </w:r>
          </w:p>
          <w:p w14:paraId="50676989" w14:textId="77777777" w:rsidR="009A6746" w:rsidRPr="00B35962" w:rsidRDefault="009A6746" w:rsidP="009B51E3">
            <w:pPr>
              <w:pStyle w:val="ListParagraph"/>
              <w:numPr>
                <w:ilvl w:val="0"/>
                <w:numId w:val="1"/>
              </w:numPr>
              <w:ind w:left="432"/>
              <w:rPr>
                <w:lang w:val="sr-Latn-ME"/>
              </w:rPr>
            </w:pPr>
            <w:r w:rsidRPr="00B35962">
              <w:rPr>
                <w:lang w:val="sr-Latn-ME"/>
              </w:rPr>
              <w:t>Nedovoljni kapaciteti PU za pružanje podrške roditeljima u obezbjeđivanju podsticajnog okruženja za rani razvoj</w:t>
            </w:r>
          </w:p>
          <w:p w14:paraId="2A4888C8" w14:textId="77777777" w:rsidR="009A6746" w:rsidRPr="00B35962" w:rsidRDefault="009A6746" w:rsidP="009B51E3">
            <w:pPr>
              <w:pStyle w:val="ListParagraph"/>
              <w:numPr>
                <w:ilvl w:val="0"/>
                <w:numId w:val="1"/>
              </w:numPr>
              <w:ind w:left="432"/>
              <w:rPr>
                <w:lang w:val="sr-Latn-ME"/>
              </w:rPr>
            </w:pPr>
            <w:r w:rsidRPr="00B35962">
              <w:rPr>
                <w:lang w:val="sr-Latn-ME"/>
              </w:rPr>
              <w:t>Neredovno plaćanje mjesečne naknade za boravak u vrtiću</w:t>
            </w:r>
          </w:p>
        </w:tc>
      </w:tr>
      <w:tr w:rsidR="009A6746" w:rsidRPr="00B35962" w14:paraId="4DD9B1CC" w14:textId="77777777" w:rsidTr="009B51E3">
        <w:tc>
          <w:tcPr>
            <w:tcW w:w="4608" w:type="dxa"/>
          </w:tcPr>
          <w:p w14:paraId="0C856831" w14:textId="77777777" w:rsidR="009A6746" w:rsidRPr="00B35962" w:rsidRDefault="009A6746" w:rsidP="009B51E3">
            <w:pPr>
              <w:ind w:firstLine="0"/>
              <w:jc w:val="center"/>
              <w:rPr>
                <w:b/>
                <w:bCs/>
                <w:lang w:val="sr-Latn-ME"/>
              </w:rPr>
            </w:pPr>
            <w:r w:rsidRPr="00B35962">
              <w:rPr>
                <w:b/>
                <w:bCs/>
                <w:lang w:val="sr-Latn-ME"/>
              </w:rPr>
              <w:lastRenderedPageBreak/>
              <w:t>ŠANSE</w:t>
            </w:r>
          </w:p>
          <w:p w14:paraId="74FAD286" w14:textId="77777777" w:rsidR="009A6746" w:rsidRPr="00B35962" w:rsidRDefault="009A6746" w:rsidP="009B51E3">
            <w:pPr>
              <w:pStyle w:val="ListParagraph"/>
              <w:numPr>
                <w:ilvl w:val="0"/>
                <w:numId w:val="1"/>
              </w:numPr>
              <w:ind w:left="432"/>
              <w:rPr>
                <w:lang w:val="sr-Latn-ME"/>
              </w:rPr>
            </w:pPr>
            <w:r w:rsidRPr="00B35962">
              <w:rPr>
                <w:lang w:val="sr-Latn-ME"/>
              </w:rPr>
              <w:t>Postoji viši nivo društvene svijest o značaju PVO i inkluzije</w:t>
            </w:r>
          </w:p>
          <w:p w14:paraId="556B5DC2" w14:textId="77777777" w:rsidR="009A6746" w:rsidRPr="00B35962" w:rsidRDefault="009A6746" w:rsidP="009B51E3">
            <w:pPr>
              <w:pStyle w:val="ListParagraph"/>
              <w:numPr>
                <w:ilvl w:val="0"/>
                <w:numId w:val="1"/>
              </w:numPr>
              <w:ind w:left="432"/>
              <w:rPr>
                <w:lang w:val="sr-Latn-ME"/>
              </w:rPr>
            </w:pPr>
            <w:r w:rsidRPr="00B35962">
              <w:rPr>
                <w:lang w:val="sr-Latn-ME"/>
              </w:rPr>
              <w:t xml:space="preserve">Spremnost da se više sredstava ulaže u PVO – iz budžeta i kreditno  </w:t>
            </w:r>
          </w:p>
          <w:p w14:paraId="12F8B7B7" w14:textId="77777777" w:rsidR="009A6746" w:rsidRPr="00B35962" w:rsidRDefault="009A6746" w:rsidP="009B51E3">
            <w:pPr>
              <w:pStyle w:val="ListParagraph"/>
              <w:numPr>
                <w:ilvl w:val="0"/>
                <w:numId w:val="1"/>
              </w:numPr>
              <w:ind w:left="432"/>
              <w:rPr>
                <w:lang w:val="sr-Latn-ME"/>
              </w:rPr>
            </w:pPr>
            <w:r w:rsidRPr="00B35962">
              <w:rPr>
                <w:lang w:val="sr-Latn-ME"/>
              </w:rPr>
              <w:t>Integracija u EU</w:t>
            </w:r>
          </w:p>
          <w:p w14:paraId="6AACB1F5" w14:textId="77777777" w:rsidR="009A6746" w:rsidRPr="00B35962" w:rsidRDefault="009A6746" w:rsidP="009B51E3">
            <w:pPr>
              <w:pStyle w:val="ListParagraph"/>
              <w:numPr>
                <w:ilvl w:val="0"/>
                <w:numId w:val="1"/>
              </w:numPr>
              <w:ind w:left="432"/>
              <w:rPr>
                <w:lang w:val="sr-Latn-ME"/>
              </w:rPr>
            </w:pPr>
            <w:r w:rsidRPr="00B35962">
              <w:rPr>
                <w:lang w:val="sr-Latn-ME"/>
              </w:rPr>
              <w:t>Programi podrške EU, UNICEF i drugih međunarodnih organizacija</w:t>
            </w:r>
          </w:p>
          <w:p w14:paraId="7E33F2F8" w14:textId="77777777" w:rsidR="009A6746" w:rsidRPr="00B35962" w:rsidRDefault="009A6746" w:rsidP="009B51E3">
            <w:pPr>
              <w:pStyle w:val="ListParagraph"/>
              <w:numPr>
                <w:ilvl w:val="0"/>
                <w:numId w:val="1"/>
              </w:numPr>
              <w:ind w:left="432"/>
              <w:rPr>
                <w:lang w:val="sr-Latn-ME"/>
              </w:rPr>
            </w:pPr>
            <w:r w:rsidRPr="00B35962">
              <w:rPr>
                <w:lang w:val="sr-Latn-ME"/>
              </w:rPr>
              <w:t>Usvajanje i unapređivanje EU standarda visokokvalitetnog PVO</w:t>
            </w:r>
          </w:p>
          <w:p w14:paraId="29FD14AC" w14:textId="77777777" w:rsidR="009A6746" w:rsidRPr="0087530D" w:rsidRDefault="009A6746" w:rsidP="009B51E3">
            <w:pPr>
              <w:pStyle w:val="ListParagraph"/>
              <w:numPr>
                <w:ilvl w:val="0"/>
                <w:numId w:val="1"/>
              </w:numPr>
              <w:ind w:left="432"/>
              <w:rPr>
                <w:lang w:val="sr-Latn-ME"/>
              </w:rPr>
            </w:pPr>
            <w:r w:rsidRPr="0087530D">
              <w:rPr>
                <w:lang w:val="sr-Latn-ME"/>
              </w:rPr>
              <w:t>Definisanje i akreditacija master univerzitetsk</w:t>
            </w:r>
            <w:r>
              <w:rPr>
                <w:lang w:val="sr-Latn-ME"/>
              </w:rPr>
              <w:t>og</w:t>
            </w:r>
            <w:r w:rsidRPr="0087530D">
              <w:rPr>
                <w:lang w:val="sr-Latn-ME"/>
              </w:rPr>
              <w:t xml:space="preserve"> program</w:t>
            </w:r>
            <w:r>
              <w:rPr>
                <w:lang w:val="sr-Latn-ME"/>
              </w:rPr>
              <w:t>a</w:t>
            </w:r>
            <w:r w:rsidRPr="0087530D">
              <w:rPr>
                <w:lang w:val="sr-Latn-ME"/>
              </w:rPr>
              <w:t xml:space="preserve"> inicijalnog obrazovanja vaspitača</w:t>
            </w:r>
          </w:p>
          <w:p w14:paraId="6D0ED8A2" w14:textId="77777777" w:rsidR="009A6746" w:rsidRPr="00B35962" w:rsidRDefault="009A6746" w:rsidP="009B51E3">
            <w:pPr>
              <w:pStyle w:val="ListParagraph"/>
              <w:numPr>
                <w:ilvl w:val="0"/>
                <w:numId w:val="1"/>
              </w:numPr>
              <w:ind w:left="432"/>
              <w:rPr>
                <w:lang w:val="sr-Latn-ME"/>
              </w:rPr>
            </w:pPr>
            <w:r w:rsidRPr="00B35962">
              <w:rPr>
                <w:lang w:val="sr-Latn-ME"/>
              </w:rPr>
              <w:t xml:space="preserve">Unapređenje sistema profesionalnog razvoja </w:t>
            </w:r>
          </w:p>
          <w:p w14:paraId="6D99A9FF" w14:textId="77777777" w:rsidR="009A6746" w:rsidRPr="00B35962" w:rsidRDefault="009A6746" w:rsidP="009B51E3">
            <w:pPr>
              <w:pStyle w:val="ListParagraph"/>
              <w:numPr>
                <w:ilvl w:val="0"/>
                <w:numId w:val="1"/>
              </w:numPr>
              <w:ind w:left="432"/>
              <w:rPr>
                <w:lang w:val="sr-Latn-ME"/>
              </w:rPr>
            </w:pPr>
            <w:r>
              <w:rPr>
                <w:lang w:val="sr-Latn-ME"/>
              </w:rPr>
              <w:t>Osavremenjena</w:t>
            </w:r>
            <w:r w:rsidRPr="00B35962">
              <w:rPr>
                <w:lang w:val="sr-Latn-ME"/>
              </w:rPr>
              <w:t xml:space="preserve"> Metodologij</w:t>
            </w:r>
            <w:r>
              <w:rPr>
                <w:lang w:val="sr-Latn-ME"/>
              </w:rPr>
              <w:t>a</w:t>
            </w:r>
            <w:r w:rsidRPr="00B35962">
              <w:rPr>
                <w:lang w:val="sr-Latn-ME"/>
              </w:rPr>
              <w:t xml:space="preserve"> za eksternu evaluaciju vaspitno-obrazovnog rada</w:t>
            </w:r>
          </w:p>
          <w:p w14:paraId="3B1B9240" w14:textId="77777777" w:rsidR="009A6746" w:rsidRPr="00B35962" w:rsidRDefault="009A6746" w:rsidP="009B51E3">
            <w:pPr>
              <w:pStyle w:val="ListParagraph"/>
              <w:numPr>
                <w:ilvl w:val="0"/>
                <w:numId w:val="1"/>
              </w:numPr>
              <w:ind w:left="432"/>
              <w:rPr>
                <w:lang w:val="sr-Latn-ME"/>
              </w:rPr>
            </w:pPr>
            <w:r w:rsidRPr="00B35962">
              <w:rPr>
                <w:lang w:val="sr-Latn-ME"/>
              </w:rPr>
              <w:t>Postojanje kvalitetnog programa podrške roditeljima koji je primijenjen uspješno u nekim opštinama i koji treba proširiti</w:t>
            </w:r>
          </w:p>
          <w:p w14:paraId="2BC66968" w14:textId="77777777" w:rsidR="009A6746" w:rsidRPr="00B35962" w:rsidRDefault="009A6746" w:rsidP="009B51E3">
            <w:pPr>
              <w:pStyle w:val="ListParagraph"/>
              <w:numPr>
                <w:ilvl w:val="0"/>
                <w:numId w:val="1"/>
              </w:numPr>
              <w:ind w:left="432"/>
              <w:rPr>
                <w:lang w:val="sr-Latn-ME"/>
              </w:rPr>
            </w:pPr>
            <w:r w:rsidRPr="00B35962">
              <w:rPr>
                <w:lang w:val="sr-Latn-ME"/>
              </w:rPr>
              <w:t>Postojanje usluga socijalne i dječje zaštite na nivou lokalne zajednice koje predstavljaju dobru osnovu za bolje povezivanje i koordinaciju u pružanju uslu</w:t>
            </w:r>
            <w:r>
              <w:rPr>
                <w:lang w:val="sr-Latn-ME"/>
              </w:rPr>
              <w:t>ga djeci s</w:t>
            </w:r>
            <w:r w:rsidRPr="00B35962">
              <w:rPr>
                <w:lang w:val="sr-Latn-ME"/>
              </w:rPr>
              <w:t xml:space="preserve"> posebnim </w:t>
            </w:r>
            <w:r>
              <w:rPr>
                <w:lang w:val="sr-Latn-ME"/>
              </w:rPr>
              <w:t xml:space="preserve">obrazovnim </w:t>
            </w:r>
            <w:r w:rsidRPr="00B35962">
              <w:rPr>
                <w:lang w:val="sr-Latn-ME"/>
              </w:rPr>
              <w:t>potrebama</w:t>
            </w:r>
          </w:p>
          <w:p w14:paraId="75C6918C" w14:textId="77777777" w:rsidR="009A6746" w:rsidRPr="00B35962" w:rsidRDefault="009A6746" w:rsidP="009B51E3">
            <w:pPr>
              <w:pStyle w:val="ListParagraph"/>
              <w:numPr>
                <w:ilvl w:val="0"/>
                <w:numId w:val="1"/>
              </w:numPr>
              <w:ind w:left="432"/>
              <w:rPr>
                <w:lang w:val="sr-Latn-ME"/>
              </w:rPr>
            </w:pPr>
            <w:r w:rsidRPr="00B35962">
              <w:rPr>
                <w:lang w:val="sr-Latn-ME"/>
              </w:rPr>
              <w:t>Sajmovi razmjene primjera dobre prakse su uspostavljeni i treba ih proširiti</w:t>
            </w:r>
          </w:p>
          <w:p w14:paraId="5DCA8EBC" w14:textId="77777777" w:rsidR="009A6746" w:rsidRPr="00B35962" w:rsidRDefault="009A6746" w:rsidP="009B51E3">
            <w:pPr>
              <w:pStyle w:val="ListParagraph"/>
              <w:numPr>
                <w:ilvl w:val="0"/>
                <w:numId w:val="1"/>
              </w:numPr>
              <w:ind w:left="432"/>
              <w:rPr>
                <w:lang w:val="sr-Latn-ME"/>
              </w:rPr>
            </w:pPr>
            <w:r w:rsidRPr="00B35962">
              <w:rPr>
                <w:lang w:val="sr-Latn-ME"/>
              </w:rPr>
              <w:t xml:space="preserve">Osnažene inkluzivne kompetencije za prilagođavanje rada, izradu specijalizovanog materijala i didaktičkih sredstava </w:t>
            </w:r>
          </w:p>
          <w:p w14:paraId="3ED2AB46" w14:textId="77777777" w:rsidR="009A6746" w:rsidRPr="00B35962" w:rsidRDefault="009A6746" w:rsidP="009B51E3">
            <w:pPr>
              <w:pStyle w:val="ListParagraph"/>
              <w:numPr>
                <w:ilvl w:val="0"/>
                <w:numId w:val="1"/>
              </w:numPr>
              <w:ind w:left="432"/>
              <w:rPr>
                <w:lang w:val="sr-Latn-ME"/>
              </w:rPr>
            </w:pPr>
            <w:r w:rsidRPr="00B35962">
              <w:rPr>
                <w:lang w:val="sr-Latn-ME"/>
              </w:rPr>
              <w:t xml:space="preserve">Tokom pandemije COVID 19 </w:t>
            </w:r>
            <w:r>
              <w:rPr>
                <w:lang w:val="sr-Latn-ME"/>
              </w:rPr>
              <w:t>urađen</w:t>
            </w:r>
            <w:r w:rsidRPr="00B35962">
              <w:rPr>
                <w:lang w:val="sr-Latn-ME"/>
              </w:rPr>
              <w:t xml:space="preserve"> je</w:t>
            </w:r>
            <w:r>
              <w:rPr>
                <w:lang w:val="sr-Latn-ME"/>
              </w:rPr>
              <w:t xml:space="preserve"> brojni video i pisani </w:t>
            </w:r>
            <w:r w:rsidRPr="00B35962">
              <w:rPr>
                <w:lang w:val="sr-Latn-ME"/>
              </w:rPr>
              <w:t>materijal za rad kod kuće i kreirana platforma za učenje na daljinu koja može obuhvatiti sve nivoe obrazovanja</w:t>
            </w:r>
          </w:p>
          <w:p w14:paraId="33016244" w14:textId="77777777" w:rsidR="009A6746" w:rsidRPr="00B35962" w:rsidRDefault="009A6746" w:rsidP="009B51E3">
            <w:pPr>
              <w:pStyle w:val="ListParagraph"/>
              <w:numPr>
                <w:ilvl w:val="0"/>
                <w:numId w:val="1"/>
              </w:numPr>
              <w:ind w:left="432"/>
              <w:rPr>
                <w:lang w:val="sr-Latn-ME"/>
              </w:rPr>
            </w:pPr>
            <w:r w:rsidRPr="00B35962">
              <w:rPr>
                <w:lang w:val="sr-Latn-ME"/>
              </w:rPr>
              <w:t>Vrtići mogu biti tematski centri izvrsnosti i vježbaonice – centri prakse za studente</w:t>
            </w:r>
          </w:p>
        </w:tc>
        <w:tc>
          <w:tcPr>
            <w:tcW w:w="4747" w:type="dxa"/>
          </w:tcPr>
          <w:p w14:paraId="57238944" w14:textId="77777777" w:rsidR="009A6746" w:rsidRPr="00B35962" w:rsidRDefault="009A6746" w:rsidP="009B51E3">
            <w:pPr>
              <w:ind w:firstLine="0"/>
              <w:jc w:val="center"/>
              <w:rPr>
                <w:b/>
                <w:bCs/>
                <w:lang w:val="sr-Latn-ME"/>
              </w:rPr>
            </w:pPr>
            <w:r w:rsidRPr="00B35962">
              <w:rPr>
                <w:b/>
                <w:bCs/>
                <w:lang w:val="sr-Latn-ME"/>
              </w:rPr>
              <w:t>PRIJETNJE</w:t>
            </w:r>
          </w:p>
          <w:p w14:paraId="0955E93F" w14:textId="77777777" w:rsidR="009A6746" w:rsidRPr="00B35962" w:rsidRDefault="009A6746" w:rsidP="009B51E3">
            <w:pPr>
              <w:pStyle w:val="ListParagraph"/>
              <w:numPr>
                <w:ilvl w:val="0"/>
                <w:numId w:val="1"/>
              </w:numPr>
              <w:ind w:left="432"/>
              <w:rPr>
                <w:lang w:val="sr-Latn-ME"/>
              </w:rPr>
            </w:pPr>
            <w:r w:rsidRPr="00B35962">
              <w:rPr>
                <w:lang w:val="sr-Latn-ME"/>
              </w:rPr>
              <w:t>Demografski trendovi u pojedinim djelovima Crne Gore (naglo povećanje i smanjenje populacije, značajne unutrašnje migracije)</w:t>
            </w:r>
          </w:p>
          <w:p w14:paraId="3FE1CCCF" w14:textId="77777777" w:rsidR="009A6746" w:rsidRPr="00B35962" w:rsidRDefault="009A6746" w:rsidP="009B51E3">
            <w:pPr>
              <w:pStyle w:val="ListParagraph"/>
              <w:numPr>
                <w:ilvl w:val="0"/>
                <w:numId w:val="1"/>
              </w:numPr>
              <w:ind w:left="432"/>
              <w:rPr>
                <w:lang w:val="sr-Latn-ME"/>
              </w:rPr>
            </w:pPr>
            <w:r w:rsidRPr="00B35962">
              <w:rPr>
                <w:lang w:val="sr-Latn-ME"/>
              </w:rPr>
              <w:t>Barijere koje otežavaju inter resornu saradnju posebno u domenu inkluzije (podrška i usluge socijalne, dječije, prije svih, zdravstvene zaštite)</w:t>
            </w:r>
          </w:p>
          <w:p w14:paraId="547B0082" w14:textId="77777777" w:rsidR="009A6746" w:rsidRPr="00B35962" w:rsidRDefault="009A6746" w:rsidP="009B51E3">
            <w:pPr>
              <w:pStyle w:val="ListParagraph"/>
              <w:numPr>
                <w:ilvl w:val="0"/>
                <w:numId w:val="1"/>
              </w:numPr>
              <w:ind w:left="432"/>
              <w:rPr>
                <w:lang w:val="sr-Latn-ME"/>
              </w:rPr>
            </w:pPr>
            <w:r w:rsidRPr="00B35962">
              <w:rPr>
                <w:lang w:val="sr-Latn-ME"/>
              </w:rPr>
              <w:t>Nedovoljni finansijski kapaciteti roditelja u pojedinim dijelovima Crne Gore</w:t>
            </w:r>
          </w:p>
          <w:p w14:paraId="0DCF56DE" w14:textId="77777777" w:rsidR="009A6746" w:rsidRPr="00B35962" w:rsidRDefault="009A6746" w:rsidP="009B51E3">
            <w:pPr>
              <w:pStyle w:val="ListParagraph"/>
              <w:numPr>
                <w:ilvl w:val="0"/>
                <w:numId w:val="1"/>
              </w:numPr>
              <w:ind w:left="432"/>
              <w:rPr>
                <w:lang w:val="sr-Latn-ME"/>
              </w:rPr>
            </w:pPr>
            <w:r w:rsidRPr="00B35962">
              <w:rPr>
                <w:lang w:val="sr-Latn-ME"/>
              </w:rPr>
              <w:t>Nedovoljan nivo društvene svijest o značaju PVO</w:t>
            </w:r>
          </w:p>
          <w:p w14:paraId="66443BBE" w14:textId="77777777" w:rsidR="009A6746" w:rsidRPr="00B35962" w:rsidRDefault="009A6746" w:rsidP="009B51E3">
            <w:pPr>
              <w:pStyle w:val="ListParagraph"/>
              <w:numPr>
                <w:ilvl w:val="0"/>
                <w:numId w:val="1"/>
              </w:numPr>
              <w:ind w:left="432"/>
              <w:rPr>
                <w:lang w:val="sr-Latn-ME"/>
              </w:rPr>
            </w:pPr>
            <w:r w:rsidRPr="00B35962">
              <w:rPr>
                <w:lang w:val="sr-Latn-ME"/>
              </w:rPr>
              <w:t>Nepristupačnost nekih naselja (posebno u zimskom periodu godine)</w:t>
            </w:r>
          </w:p>
          <w:p w14:paraId="62B4D198" w14:textId="77777777" w:rsidR="009A6746" w:rsidRPr="00B35962" w:rsidRDefault="009A6746" w:rsidP="009B51E3">
            <w:pPr>
              <w:pStyle w:val="ListParagraph"/>
              <w:numPr>
                <w:ilvl w:val="0"/>
                <w:numId w:val="1"/>
              </w:numPr>
              <w:ind w:left="432"/>
              <w:rPr>
                <w:lang w:val="sr-Latn-ME"/>
              </w:rPr>
            </w:pPr>
            <w:r w:rsidRPr="00B35962">
              <w:rPr>
                <w:lang w:val="sr-Latn-ME"/>
              </w:rPr>
              <w:t xml:space="preserve">Finansijske teškoće izazvane COVID-19 epidemijom i ograničenja u pogledu dodatnih ulaganja u PVO </w:t>
            </w:r>
          </w:p>
        </w:tc>
      </w:tr>
    </w:tbl>
    <w:p w14:paraId="5B816708" w14:textId="16BA5FE7" w:rsidR="009A6746" w:rsidRDefault="009A6746" w:rsidP="009A6746">
      <w:pPr>
        <w:rPr>
          <w:lang w:val="sr-Latn-ME"/>
        </w:rPr>
      </w:pPr>
    </w:p>
    <w:p w14:paraId="3C6781BF" w14:textId="39E6D742" w:rsidR="00190AFF" w:rsidRPr="00B35962" w:rsidRDefault="00190AFF" w:rsidP="00190AFF">
      <w:pPr>
        <w:rPr>
          <w:lang w:val="sr-Latn-ME"/>
        </w:rPr>
      </w:pPr>
      <w:r w:rsidRPr="00B35962">
        <w:rPr>
          <w:lang w:val="sr-Latn-ME"/>
        </w:rPr>
        <w:t>Spoljni faktori od uticaja na mogućnosti sprovođenje strateškog dokumenta su: epidemiološka, politička i ekonomsko-finansijska situacija.</w:t>
      </w:r>
    </w:p>
    <w:p w14:paraId="1065B419" w14:textId="143E0DF9" w:rsidR="00644802" w:rsidRPr="00B35962" w:rsidRDefault="00644802" w:rsidP="00644802">
      <w:pPr>
        <w:pStyle w:val="Heading2"/>
        <w:rPr>
          <w:rFonts w:cs="Times New Roman"/>
          <w:color w:val="0070C0"/>
          <w:lang w:val="sr-Latn-ME"/>
        </w:rPr>
      </w:pPr>
      <w:bookmarkStart w:id="9" w:name="_Toc55295092"/>
      <w:r w:rsidRPr="00B35962">
        <w:rPr>
          <w:rFonts w:cs="Times New Roman"/>
          <w:color w:val="0070C0"/>
          <w:lang w:val="sr-Latn-ME"/>
        </w:rPr>
        <w:lastRenderedPageBreak/>
        <w:t xml:space="preserve">2.5. </w:t>
      </w:r>
      <w:r w:rsidR="0053745A" w:rsidRPr="00B35962">
        <w:rPr>
          <w:rFonts w:cs="Times New Roman"/>
          <w:color w:val="0070C0"/>
          <w:lang w:val="sr-Latn-ME"/>
        </w:rPr>
        <w:t xml:space="preserve">Analiza - </w:t>
      </w:r>
      <w:r w:rsidRPr="00B35962">
        <w:rPr>
          <w:rFonts w:cs="Times New Roman"/>
          <w:color w:val="0070C0"/>
          <w:lang w:val="sr-Latn-ME"/>
        </w:rPr>
        <w:t>Drvo problema</w:t>
      </w:r>
      <w:bookmarkEnd w:id="9"/>
    </w:p>
    <w:p w14:paraId="5F097261" w14:textId="1D3E8DA1" w:rsidR="00DE4087" w:rsidRPr="00B35962" w:rsidRDefault="00DE4087" w:rsidP="00DE4087">
      <w:pPr>
        <w:rPr>
          <w:szCs w:val="24"/>
          <w:lang w:val="sr-Latn-ME"/>
        </w:rPr>
      </w:pPr>
      <w:r w:rsidRPr="00B35962">
        <w:rPr>
          <w:lang w:val="sr-Latn-ME"/>
        </w:rPr>
        <w:t>U cilju izoštravanja veze prepoznatih problema da bi se postigli ciljevi kojima se oni rješavaju izradili smo drvo problema za svaku od tri prepoznate prioritetne oblasti kao metodološki instrument koji omogućava jasno i pregledno ukazivanje na prepoznate probleme, njihove uzroke i poduzroke, kao i posljedice. Iz ključnih prepoznatih problema razvili su se ciljevi. "Drvo" predstavlja odnos između uzroka i posljedica u okviru oblasti problema.</w:t>
      </w:r>
      <w:r w:rsidR="003B6E84" w:rsidRPr="00B35962">
        <w:rPr>
          <w:lang w:val="sr-Latn-ME"/>
        </w:rPr>
        <w:t xml:space="preserve"> </w:t>
      </w:r>
      <w:r w:rsidRPr="00B35962">
        <w:rPr>
          <w:szCs w:val="24"/>
          <w:lang w:val="sr-Latn-ME"/>
        </w:rPr>
        <w:t xml:space="preserve">Na kraju analize identifikovali smo osnovne problem, kako, </w:t>
      </w:r>
      <w:r w:rsidR="000532A8" w:rsidRPr="00B35962">
        <w:rPr>
          <w:szCs w:val="24"/>
          <w:lang w:val="sr-Latn-ME"/>
        </w:rPr>
        <w:t>gdj</w:t>
      </w:r>
      <w:r w:rsidRPr="00B35962">
        <w:rPr>
          <w:szCs w:val="24"/>
          <w:lang w:val="sr-Latn-ME"/>
        </w:rPr>
        <w:t>e i zbog čaga nastaju, što na njih utiče, koji su efekti, posljedice i uradili vizuelizaciju problema u obliku dijagrama, poznatog kao „drvo problema“</w:t>
      </w:r>
      <w:r w:rsidR="000532A8" w:rsidRPr="00B35962">
        <w:rPr>
          <w:szCs w:val="24"/>
          <w:lang w:val="sr-Latn-ME"/>
        </w:rPr>
        <w:t xml:space="preserve"> </w:t>
      </w:r>
      <w:r w:rsidRPr="00B35962">
        <w:rPr>
          <w:szCs w:val="24"/>
          <w:lang w:val="sr-Latn-ME"/>
        </w:rPr>
        <w:t>kako bi odnosi uzrok-posljedica bili lakše analizirani.</w:t>
      </w:r>
      <w:r w:rsidR="003B6E84" w:rsidRPr="00B35962">
        <w:rPr>
          <w:szCs w:val="24"/>
          <w:lang w:val="sr-Latn-ME"/>
        </w:rPr>
        <w:t xml:space="preserve"> </w:t>
      </w:r>
      <w:r w:rsidRPr="00B35962">
        <w:rPr>
          <w:szCs w:val="24"/>
          <w:lang w:val="sr-Latn-ME"/>
        </w:rPr>
        <w:t>Tako smo, služeći se dostupnim informacijama, prepoznali tri ključna problema i u odnosu na njih identifikovali značajne i direktne uzroke/posljedice.</w:t>
      </w:r>
      <w:r w:rsidR="000532A8" w:rsidRPr="00B35962">
        <w:rPr>
          <w:szCs w:val="24"/>
          <w:lang w:val="sr-Latn-ME"/>
        </w:rPr>
        <w:t xml:space="preserve"> </w:t>
      </w:r>
      <w:r w:rsidRPr="00B35962">
        <w:rPr>
          <w:rFonts w:eastAsiaTheme="majorEastAsia"/>
          <w:szCs w:val="24"/>
          <w:lang w:val="sr-Latn-ME"/>
        </w:rPr>
        <w:t xml:space="preserve">U odnosu na to </w:t>
      </w:r>
      <w:r w:rsidRPr="00B35962">
        <w:rPr>
          <w:szCs w:val="24"/>
          <w:lang w:val="sr-Latn-ME"/>
        </w:rPr>
        <w:t>konstruisano je „drveta problema“ koje predstavlja hijerarhiju uzroka i posljedica, onih koji direktno uzrokuju problem i predstavljaju direktnu posljedicu.</w:t>
      </w:r>
      <w:r w:rsidR="003B6E84" w:rsidRPr="00B35962">
        <w:rPr>
          <w:szCs w:val="24"/>
          <w:lang w:val="sr-Latn-ME"/>
        </w:rPr>
        <w:t xml:space="preserve"> </w:t>
      </w:r>
      <w:r w:rsidRPr="00B35962">
        <w:rPr>
          <w:szCs w:val="24"/>
          <w:lang w:val="sr-Latn-ME"/>
        </w:rPr>
        <w:t>Prvi problem se prepoznaje u odnosu na uslove i obuhvat</w:t>
      </w:r>
      <w:r w:rsidR="00C933D7" w:rsidRPr="00B35962">
        <w:rPr>
          <w:szCs w:val="24"/>
          <w:lang w:val="sr-Latn-ME"/>
        </w:rPr>
        <w:t xml:space="preserve"> dj</w:t>
      </w:r>
      <w:r w:rsidRPr="00B35962">
        <w:rPr>
          <w:szCs w:val="24"/>
          <w:lang w:val="sr-Latn-ME"/>
        </w:rPr>
        <w:t>ece, koji konkrento rečeno mogu da se postave na način da nedostatak prostornih kapaciteta utiče na obuhvat, normative, broj</w:t>
      </w:r>
      <w:r w:rsidR="00C933D7" w:rsidRPr="00B35962">
        <w:rPr>
          <w:szCs w:val="24"/>
          <w:lang w:val="sr-Latn-ME"/>
        </w:rPr>
        <w:t xml:space="preserve"> dj</w:t>
      </w:r>
      <w:r w:rsidRPr="00B35962">
        <w:rPr>
          <w:szCs w:val="24"/>
          <w:lang w:val="sr-Latn-ME"/>
        </w:rPr>
        <w:t xml:space="preserve">ece u vaspitnim grupama, kontinuitet pohađanja, angažovanog kadra.  </w:t>
      </w:r>
    </w:p>
    <w:p w14:paraId="354572A9" w14:textId="77777777" w:rsidR="00DE4087" w:rsidRPr="00B35962" w:rsidRDefault="00DE4087" w:rsidP="00DE4087">
      <w:pPr>
        <w:rPr>
          <w:szCs w:val="24"/>
          <w:lang w:val="sr-Latn-ME"/>
        </w:rPr>
      </w:pPr>
    </w:p>
    <w:p w14:paraId="0875D865" w14:textId="38ABE38D" w:rsidR="00DE4087" w:rsidRPr="00B35962" w:rsidRDefault="00DE4087" w:rsidP="00DE4087">
      <w:pPr>
        <w:rPr>
          <w:sz w:val="22"/>
          <w:szCs w:val="22"/>
          <w:lang w:val="sr-Latn-ME"/>
        </w:rPr>
      </w:pPr>
      <w:r w:rsidRPr="00B35962">
        <w:rPr>
          <w:sz w:val="22"/>
          <w:szCs w:val="22"/>
          <w:lang w:val="sr-Latn-ME"/>
        </w:rPr>
        <w:t>Slika 1: drvo problema - uslovi i obuhvat</w:t>
      </w:r>
    </w:p>
    <w:p w14:paraId="5F475BEC" w14:textId="126738F5" w:rsidR="003A2C04" w:rsidRPr="00B35962" w:rsidRDefault="003A2C04" w:rsidP="003A2C04">
      <w:pPr>
        <w:ind w:firstLine="0"/>
        <w:rPr>
          <w:b/>
          <w:noProof/>
          <w:szCs w:val="24"/>
          <w:lang w:val="sr-Latn-ME"/>
        </w:rPr>
      </w:pPr>
    </w:p>
    <w:p w14:paraId="1D00BD3D" w14:textId="6486096C" w:rsidR="00814D6E" w:rsidRPr="00B35962" w:rsidRDefault="00814D6E" w:rsidP="003A2C04">
      <w:pPr>
        <w:ind w:firstLine="0"/>
        <w:rPr>
          <w:b/>
          <w:noProof/>
          <w:szCs w:val="24"/>
          <w:lang w:val="sr-Latn-ME"/>
        </w:rPr>
      </w:pPr>
      <w:r w:rsidRPr="00B35962">
        <w:rPr>
          <w:noProof/>
          <w:szCs w:val="24"/>
          <w:lang w:val="sr-Latn-ME" w:eastAsia="sr-Latn-ME"/>
        </w:rPr>
        <w:drawing>
          <wp:inline distT="0" distB="0" distL="0" distR="0" wp14:anchorId="05246B73" wp14:editId="299F1913">
            <wp:extent cx="5943600" cy="441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10075"/>
                    </a:xfrm>
                    <a:prstGeom prst="rect">
                      <a:avLst/>
                    </a:prstGeom>
                    <a:noFill/>
                    <a:ln>
                      <a:noFill/>
                    </a:ln>
                  </pic:spPr>
                </pic:pic>
              </a:graphicData>
            </a:graphic>
          </wp:inline>
        </w:drawing>
      </w:r>
    </w:p>
    <w:p w14:paraId="0F259378" w14:textId="67A7E1BD" w:rsidR="003A2C04" w:rsidRPr="00B35962" w:rsidRDefault="00065659" w:rsidP="00065659">
      <w:pPr>
        <w:spacing w:after="160"/>
        <w:ind w:firstLine="709"/>
        <w:rPr>
          <w:szCs w:val="24"/>
          <w:lang w:val="sr-Latn-ME"/>
        </w:rPr>
      </w:pPr>
      <w:r w:rsidRPr="00B35962">
        <w:rPr>
          <w:szCs w:val="24"/>
          <w:lang w:val="sr-Latn-ME"/>
        </w:rPr>
        <w:lastRenderedPageBreak/>
        <w:t>D</w:t>
      </w:r>
      <w:r w:rsidR="00DE4087" w:rsidRPr="00B35962">
        <w:rPr>
          <w:szCs w:val="24"/>
          <w:lang w:val="sr-Latn-ME"/>
        </w:rPr>
        <w:t xml:space="preserve">rugi problem se prepoznaje u pogledu kvaliteta rada, kompetencija kadra, pod uticajem plana i programa, inicijalnog obrazovanja, profesionalnog razvoja, podrške za praksu, rad s roditeljima.   </w:t>
      </w:r>
    </w:p>
    <w:p w14:paraId="72312B9B" w14:textId="2F970FC7" w:rsidR="00DE4087" w:rsidRPr="00B35962" w:rsidRDefault="00DE4087" w:rsidP="003A2C04">
      <w:pPr>
        <w:ind w:firstLine="709"/>
        <w:rPr>
          <w:sz w:val="22"/>
          <w:szCs w:val="22"/>
          <w:lang w:val="sr-Latn-ME"/>
        </w:rPr>
      </w:pPr>
      <w:r w:rsidRPr="00B35962">
        <w:rPr>
          <w:sz w:val="22"/>
          <w:szCs w:val="22"/>
          <w:lang w:val="sr-Latn-ME"/>
        </w:rPr>
        <w:t>Slika 2: drvo problema – kvalitet i kompetencije</w:t>
      </w:r>
    </w:p>
    <w:p w14:paraId="6362D0BE" w14:textId="1751E52B" w:rsidR="00DE4087" w:rsidRPr="00B35962" w:rsidRDefault="00DE4087" w:rsidP="00DE4087">
      <w:pPr>
        <w:ind w:firstLine="0"/>
        <w:rPr>
          <w:b/>
          <w:noProof/>
          <w:szCs w:val="24"/>
          <w:lang w:val="sr-Latn-ME"/>
        </w:rPr>
      </w:pPr>
    </w:p>
    <w:p w14:paraId="3BD17019" w14:textId="1453EB55" w:rsidR="00814D6E" w:rsidRPr="00B35962" w:rsidRDefault="00814D6E" w:rsidP="00DE4087">
      <w:pPr>
        <w:ind w:firstLine="0"/>
        <w:rPr>
          <w:b/>
          <w:noProof/>
          <w:szCs w:val="24"/>
          <w:lang w:val="sr-Latn-ME"/>
        </w:rPr>
      </w:pPr>
      <w:r w:rsidRPr="00B35962">
        <w:rPr>
          <w:noProof/>
          <w:lang w:val="sr-Latn-ME" w:eastAsia="sr-Latn-ME"/>
        </w:rPr>
        <w:drawing>
          <wp:inline distT="0" distB="0" distL="0" distR="0" wp14:anchorId="7277EA8D" wp14:editId="38B87B0A">
            <wp:extent cx="5943600" cy="580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800725"/>
                    </a:xfrm>
                    <a:prstGeom prst="rect">
                      <a:avLst/>
                    </a:prstGeom>
                    <a:noFill/>
                    <a:ln>
                      <a:noFill/>
                    </a:ln>
                  </pic:spPr>
                </pic:pic>
              </a:graphicData>
            </a:graphic>
          </wp:inline>
        </w:drawing>
      </w:r>
    </w:p>
    <w:p w14:paraId="53839526" w14:textId="79FDB6AE" w:rsidR="00814D6E" w:rsidRPr="00B35962" w:rsidRDefault="00814D6E" w:rsidP="00DE4087">
      <w:pPr>
        <w:ind w:firstLine="0"/>
        <w:rPr>
          <w:b/>
          <w:noProof/>
          <w:szCs w:val="24"/>
          <w:lang w:val="sr-Latn-ME"/>
        </w:rPr>
      </w:pPr>
    </w:p>
    <w:p w14:paraId="60EEF78A" w14:textId="31E4A6F8" w:rsidR="00DE4087" w:rsidRPr="00B35962" w:rsidRDefault="00DE4087" w:rsidP="00DE4087">
      <w:pPr>
        <w:rPr>
          <w:szCs w:val="24"/>
          <w:lang w:val="sr-Latn-ME"/>
        </w:rPr>
      </w:pPr>
      <w:r w:rsidRPr="00B35962">
        <w:rPr>
          <w:szCs w:val="24"/>
          <w:lang w:val="sr-Latn-ME"/>
        </w:rPr>
        <w:t xml:space="preserve">Kao treći problem se prepoznala oblast jednakosti kao uslov za socijalnu inkluziju posebno djece iz osjetljivih grupa. Ovome je uzrok manjak usluga </w:t>
      </w:r>
      <w:r w:rsidR="005B0225" w:rsidRPr="00B35962">
        <w:rPr>
          <w:szCs w:val="24"/>
          <w:lang w:val="sr-Latn-ME"/>
        </w:rPr>
        <w:t xml:space="preserve">i povezanosti </w:t>
      </w:r>
      <w:r w:rsidRPr="00B35962">
        <w:rPr>
          <w:szCs w:val="24"/>
          <w:lang w:val="sr-Latn-ME"/>
        </w:rPr>
        <w:t>u lo</w:t>
      </w:r>
      <w:r w:rsidR="005B0225" w:rsidRPr="00B35962">
        <w:rPr>
          <w:szCs w:val="24"/>
          <w:lang w:val="sr-Latn-ME"/>
        </w:rPr>
        <w:t>kalnoj zajednici</w:t>
      </w:r>
      <w:r w:rsidRPr="00B35962">
        <w:rPr>
          <w:szCs w:val="24"/>
          <w:lang w:val="sr-Latn-ME"/>
        </w:rPr>
        <w:t>, udaljenost naselja od matičnih jedinica, sir</w:t>
      </w:r>
      <w:r w:rsidR="00C933D7" w:rsidRPr="00B35962">
        <w:rPr>
          <w:szCs w:val="24"/>
          <w:lang w:val="sr-Latn-ME"/>
        </w:rPr>
        <w:t>omaštvo</w:t>
      </w:r>
      <w:r w:rsidR="00C6282B" w:rsidRPr="00B35962">
        <w:rPr>
          <w:szCs w:val="24"/>
          <w:lang w:val="sr-Latn-ME"/>
        </w:rPr>
        <w:t xml:space="preserve"> i sl</w:t>
      </w:r>
      <w:r w:rsidR="00C933D7" w:rsidRPr="00B35962">
        <w:rPr>
          <w:szCs w:val="24"/>
          <w:lang w:val="sr-Latn-ME"/>
        </w:rPr>
        <w:t>. Kao posljedicu ima da dj</w:t>
      </w:r>
      <w:r w:rsidRPr="00B35962">
        <w:rPr>
          <w:szCs w:val="24"/>
          <w:lang w:val="sr-Latn-ME"/>
        </w:rPr>
        <w:t xml:space="preserve">eca nisu uključena, smanjuju se šanse za rano učenje i razvoj, povećava isključenost i </w:t>
      </w:r>
      <w:r w:rsidR="000150BF" w:rsidRPr="00B35962">
        <w:rPr>
          <w:szCs w:val="24"/>
          <w:lang w:val="sr-Latn-ME"/>
        </w:rPr>
        <w:t xml:space="preserve">rizik </w:t>
      </w:r>
      <w:r w:rsidRPr="00B35962">
        <w:rPr>
          <w:szCs w:val="24"/>
          <w:lang w:val="sr-Latn-ME"/>
        </w:rPr>
        <w:t xml:space="preserve">za dalje siromaštvo. </w:t>
      </w:r>
    </w:p>
    <w:p w14:paraId="4A9B6643" w14:textId="749B33A3" w:rsidR="00DE4087" w:rsidRPr="00B35962" w:rsidRDefault="00DE4087" w:rsidP="00DE4087">
      <w:pPr>
        <w:rPr>
          <w:b/>
          <w:sz w:val="22"/>
          <w:szCs w:val="22"/>
          <w:lang w:val="sr-Latn-ME"/>
        </w:rPr>
      </w:pPr>
      <w:r w:rsidRPr="00B35962">
        <w:rPr>
          <w:sz w:val="22"/>
          <w:szCs w:val="22"/>
          <w:lang w:val="sr-Latn-ME"/>
        </w:rPr>
        <w:lastRenderedPageBreak/>
        <w:t>Slika 3: drvo problema – jednake šanse i socijalna inkluzija</w:t>
      </w:r>
    </w:p>
    <w:p w14:paraId="46AEFF37" w14:textId="6D369011" w:rsidR="00DE4087" w:rsidRPr="00B35962" w:rsidRDefault="00DE4087" w:rsidP="00DE4087">
      <w:pPr>
        <w:ind w:firstLine="0"/>
        <w:rPr>
          <w:b/>
          <w:noProof/>
          <w:szCs w:val="24"/>
          <w:lang w:val="sr-Latn-ME"/>
        </w:rPr>
      </w:pPr>
    </w:p>
    <w:p w14:paraId="6141D901" w14:textId="2AB2E4DB" w:rsidR="00814D6E" w:rsidRPr="00B35962" w:rsidRDefault="00814D6E" w:rsidP="00DE4087">
      <w:pPr>
        <w:ind w:firstLine="0"/>
        <w:rPr>
          <w:b/>
          <w:noProof/>
          <w:szCs w:val="24"/>
          <w:lang w:val="sr-Latn-ME"/>
        </w:rPr>
      </w:pPr>
      <w:r w:rsidRPr="00B35962">
        <w:rPr>
          <w:noProof/>
          <w:lang w:val="sr-Latn-ME" w:eastAsia="sr-Latn-ME"/>
        </w:rPr>
        <w:drawing>
          <wp:inline distT="0" distB="0" distL="0" distR="0" wp14:anchorId="2C02738F" wp14:editId="04101102">
            <wp:extent cx="5943600" cy="51619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161915"/>
                    </a:xfrm>
                    <a:prstGeom prst="rect">
                      <a:avLst/>
                    </a:prstGeom>
                    <a:noFill/>
                    <a:ln>
                      <a:noFill/>
                    </a:ln>
                  </pic:spPr>
                </pic:pic>
              </a:graphicData>
            </a:graphic>
          </wp:inline>
        </w:drawing>
      </w:r>
    </w:p>
    <w:p w14:paraId="1460B719" w14:textId="0EC5997F" w:rsidR="00A16F75" w:rsidRPr="00B35962" w:rsidRDefault="00A16F75" w:rsidP="00A16F75">
      <w:pPr>
        <w:pStyle w:val="Heading2"/>
        <w:rPr>
          <w:rFonts w:cs="Times New Roman"/>
          <w:color w:val="0070C0"/>
          <w:lang w:val="sr-Latn-ME"/>
        </w:rPr>
      </w:pPr>
      <w:bookmarkStart w:id="10" w:name="_Toc55295093"/>
      <w:r w:rsidRPr="00B35962">
        <w:rPr>
          <w:rFonts w:cs="Times New Roman"/>
          <w:color w:val="0070C0"/>
          <w:lang w:val="sr-Latn-ME"/>
        </w:rPr>
        <w:t>2.</w:t>
      </w:r>
      <w:r w:rsidR="00644802" w:rsidRPr="00B35962">
        <w:rPr>
          <w:rFonts w:cs="Times New Roman"/>
          <w:color w:val="0070C0"/>
          <w:lang w:val="sr-Latn-ME"/>
        </w:rPr>
        <w:t>6.</w:t>
      </w:r>
      <w:r w:rsidR="003A2C04" w:rsidRPr="00B35962">
        <w:rPr>
          <w:rFonts w:cs="Times New Roman"/>
          <w:color w:val="0070C0"/>
          <w:lang w:val="sr-Latn-ME"/>
        </w:rPr>
        <w:t xml:space="preserve"> </w:t>
      </w:r>
      <w:r w:rsidRPr="00B35962">
        <w:rPr>
          <w:rFonts w:cs="Times New Roman"/>
          <w:color w:val="0070C0"/>
          <w:lang w:val="sr-Latn-ME"/>
        </w:rPr>
        <w:t>Analiza</w:t>
      </w:r>
      <w:r w:rsidRPr="00B35962">
        <w:rPr>
          <w:rFonts w:cs="Times New Roman"/>
          <w:color w:val="0070C0"/>
          <w:szCs w:val="24"/>
          <w:lang w:val="sr-Latn-ME"/>
        </w:rPr>
        <w:t xml:space="preserve"> zainteresovanih strana</w:t>
      </w:r>
      <w:bookmarkEnd w:id="10"/>
    </w:p>
    <w:p w14:paraId="5D5CF473" w14:textId="77777777" w:rsidR="00C447FF" w:rsidRPr="00B35962" w:rsidRDefault="00C447FF" w:rsidP="00025C83">
      <w:pPr>
        <w:rPr>
          <w:b/>
          <w:lang w:val="sr-Latn-ME"/>
        </w:rPr>
      </w:pPr>
      <w:r w:rsidRPr="00B35962">
        <w:rPr>
          <w:lang w:val="sr-Latn-ME"/>
        </w:rPr>
        <w:t>Tokom</w:t>
      </w:r>
      <w:r w:rsidR="00A16F75" w:rsidRPr="00B35962">
        <w:rPr>
          <w:lang w:val="sr-Latn-ME"/>
        </w:rPr>
        <w:t xml:space="preserve"> sprov</w:t>
      </w:r>
      <w:r w:rsidRPr="00B35962">
        <w:rPr>
          <w:lang w:val="sr-Latn-ME"/>
        </w:rPr>
        <w:t xml:space="preserve">ođenja </w:t>
      </w:r>
      <w:r w:rsidR="00A16F75" w:rsidRPr="00B35962">
        <w:rPr>
          <w:lang w:val="sr-Latn-ME"/>
        </w:rPr>
        <w:t xml:space="preserve">sveobuhvatne analize kapaciteta, kvaliteta, kompetencija, </w:t>
      </w:r>
      <w:r w:rsidRPr="00B35962">
        <w:rPr>
          <w:lang w:val="sr-Latn-ME"/>
        </w:rPr>
        <w:t xml:space="preserve">pravednosti, te sagledavanja prednosti, slabosti, šansi i prijetnji paralelno su </w:t>
      </w:r>
      <w:r w:rsidR="00A16F75" w:rsidRPr="00B35962">
        <w:rPr>
          <w:lang w:val="sr-Latn-ME"/>
        </w:rPr>
        <w:t>prepozna</w:t>
      </w:r>
      <w:r w:rsidRPr="00B35962">
        <w:rPr>
          <w:lang w:val="sr-Latn-ME"/>
        </w:rPr>
        <w:t>te i konsultovane</w:t>
      </w:r>
      <w:r w:rsidR="00A16F75" w:rsidRPr="00B35962">
        <w:rPr>
          <w:lang w:val="sr-Latn-ME"/>
        </w:rPr>
        <w:t xml:space="preserve"> relevantn</w:t>
      </w:r>
      <w:r w:rsidRPr="00B35962">
        <w:rPr>
          <w:lang w:val="sr-Latn-ME"/>
        </w:rPr>
        <w:t>e</w:t>
      </w:r>
      <w:r w:rsidR="00A16F75" w:rsidRPr="00B35962">
        <w:rPr>
          <w:lang w:val="sr-Latn-ME"/>
        </w:rPr>
        <w:t xml:space="preserve"> institucij</w:t>
      </w:r>
      <w:r w:rsidRPr="00B35962">
        <w:rPr>
          <w:lang w:val="sr-Latn-ME"/>
        </w:rPr>
        <w:t>e</w:t>
      </w:r>
      <w:r w:rsidR="00A16F75" w:rsidRPr="00B35962">
        <w:rPr>
          <w:lang w:val="sr-Latn-ME"/>
        </w:rPr>
        <w:t>, organizacij</w:t>
      </w:r>
      <w:r w:rsidRPr="00B35962">
        <w:rPr>
          <w:lang w:val="sr-Latn-ME"/>
        </w:rPr>
        <w:t>e</w:t>
      </w:r>
      <w:r w:rsidR="00A16F75" w:rsidRPr="00B35962">
        <w:rPr>
          <w:lang w:val="sr-Latn-ME"/>
        </w:rPr>
        <w:t>, grup</w:t>
      </w:r>
      <w:r w:rsidRPr="00B35962">
        <w:rPr>
          <w:lang w:val="sr-Latn-ME"/>
        </w:rPr>
        <w:t>e</w:t>
      </w:r>
      <w:r w:rsidR="00A16F75" w:rsidRPr="00B35962">
        <w:rPr>
          <w:lang w:val="sr-Latn-ME"/>
        </w:rPr>
        <w:t>, pojedin</w:t>
      </w:r>
      <w:r w:rsidRPr="00B35962">
        <w:rPr>
          <w:lang w:val="sr-Latn-ME"/>
        </w:rPr>
        <w:t>ci.</w:t>
      </w:r>
    </w:p>
    <w:p w14:paraId="4ECD9099" w14:textId="77777777" w:rsidR="00C6282B" w:rsidRPr="00B35962" w:rsidRDefault="00C6282B" w:rsidP="00025C83">
      <w:pPr>
        <w:rPr>
          <w:lang w:val="sr-Latn-ME"/>
        </w:rPr>
      </w:pPr>
    </w:p>
    <w:p w14:paraId="521ACCB9" w14:textId="77777777" w:rsidR="00E25CC0" w:rsidRPr="00B35962" w:rsidRDefault="00C447FF" w:rsidP="00025C83">
      <w:pPr>
        <w:rPr>
          <w:b/>
          <w:lang w:val="sr-Latn-ME"/>
        </w:rPr>
      </w:pPr>
      <w:r w:rsidRPr="00B35962">
        <w:rPr>
          <w:lang w:val="sr-Latn-ME"/>
        </w:rPr>
        <w:t>U odnosu na to</w:t>
      </w:r>
      <w:r w:rsidR="00A16F75" w:rsidRPr="00B35962">
        <w:rPr>
          <w:lang w:val="sr-Latn-ME"/>
        </w:rPr>
        <w:t xml:space="preserve"> </w:t>
      </w:r>
      <w:r w:rsidRPr="00B35962">
        <w:rPr>
          <w:lang w:val="sr-Latn-ME"/>
        </w:rPr>
        <w:t xml:space="preserve">iskazana je posvećenost, zainteresovanost u pogledu </w:t>
      </w:r>
      <w:r w:rsidR="00A16F75" w:rsidRPr="00B35962">
        <w:rPr>
          <w:lang w:val="sr-Latn-ME"/>
        </w:rPr>
        <w:t>njihovih uloga u implementaciji politike</w:t>
      </w:r>
      <w:r w:rsidRPr="00B35962">
        <w:rPr>
          <w:lang w:val="sr-Latn-ME"/>
        </w:rPr>
        <w:t xml:space="preserve"> predškolskog vaspitanja i obrazovanja. Isto je potvrđeno javnom raspravom, posebno u dijelu</w:t>
      </w:r>
      <w:r w:rsidR="00E25CC0" w:rsidRPr="00B35962">
        <w:rPr>
          <w:lang w:val="sr-Latn-ME"/>
        </w:rPr>
        <w:t xml:space="preserve"> </w:t>
      </w:r>
      <w:r w:rsidRPr="00B35962">
        <w:rPr>
          <w:lang w:val="sr-Latn-ME"/>
        </w:rPr>
        <w:t>motivacije, spremnosti, odgovornosti</w:t>
      </w:r>
      <w:r w:rsidR="00E25CC0" w:rsidRPr="00B35962">
        <w:rPr>
          <w:lang w:val="sr-Latn-ME"/>
        </w:rPr>
        <w:t>, privrženosti.</w:t>
      </w:r>
    </w:p>
    <w:p w14:paraId="3F312D86" w14:textId="77777777" w:rsidR="00C6282B" w:rsidRPr="00B35962" w:rsidRDefault="00C6282B" w:rsidP="00025C83">
      <w:pPr>
        <w:rPr>
          <w:lang w:val="sr-Latn-ME"/>
        </w:rPr>
      </w:pPr>
    </w:p>
    <w:p w14:paraId="69BE21DC" w14:textId="5C94B838" w:rsidR="00915009" w:rsidRPr="00B35962" w:rsidRDefault="00915009" w:rsidP="00025C83">
      <w:pPr>
        <w:rPr>
          <w:lang w:val="sr-Latn-ME"/>
        </w:rPr>
      </w:pPr>
      <w:r w:rsidRPr="00B35962">
        <w:rPr>
          <w:lang w:val="sr-Latn-ME"/>
        </w:rPr>
        <w:t>Podaci su dobijeni intervjuima, rezultatima samoevaluacija ustanova, nalaza praktičnih vođenja (engl. coaching), kaskadnim konsultacijama s praktičarima.</w:t>
      </w:r>
    </w:p>
    <w:p w14:paraId="5CAC55C1" w14:textId="77777777" w:rsidR="00C6282B" w:rsidRPr="00B35962" w:rsidRDefault="00C6282B" w:rsidP="00025C83">
      <w:pPr>
        <w:rPr>
          <w:lang w:val="sr-Latn-ME"/>
        </w:rPr>
      </w:pPr>
    </w:p>
    <w:p w14:paraId="692CB317" w14:textId="000AFCF3" w:rsidR="005E0642" w:rsidRPr="00B35962" w:rsidRDefault="00E25CC0" w:rsidP="00025C83">
      <w:pPr>
        <w:rPr>
          <w:b/>
          <w:lang w:val="sr-Latn-ME"/>
        </w:rPr>
      </w:pPr>
      <w:r w:rsidRPr="00B35962">
        <w:rPr>
          <w:lang w:val="sr-Latn-ME"/>
        </w:rPr>
        <w:t>Zavod za školstvo</w:t>
      </w:r>
      <w:r w:rsidR="00C636EB" w:rsidRPr="00B35962">
        <w:rPr>
          <w:lang w:val="sr-Latn-ME"/>
        </w:rPr>
        <w:t>,</w:t>
      </w:r>
      <w:r w:rsidRPr="00B35962">
        <w:rPr>
          <w:lang w:val="sr-Latn-ME"/>
        </w:rPr>
        <w:t xml:space="preserve"> </w:t>
      </w:r>
      <w:r w:rsidR="005E0642" w:rsidRPr="00B35962">
        <w:rPr>
          <w:lang w:val="sr-Latn-ME"/>
        </w:rPr>
        <w:t>kao ustanova koja ima savjetodavnu i funkciju implementacije</w:t>
      </w:r>
      <w:r w:rsidR="00C636EB" w:rsidRPr="00B35962">
        <w:rPr>
          <w:lang w:val="sr-Latn-ME"/>
        </w:rPr>
        <w:t>,</w:t>
      </w:r>
      <w:r w:rsidR="005E0642" w:rsidRPr="00B35962">
        <w:rPr>
          <w:lang w:val="sr-Latn-ME"/>
        </w:rPr>
        <w:t xml:space="preserve"> </w:t>
      </w:r>
      <w:r w:rsidRPr="00B35962">
        <w:rPr>
          <w:lang w:val="sr-Latn-ME"/>
        </w:rPr>
        <w:t>svoje mj</w:t>
      </w:r>
      <w:r w:rsidR="005E0642" w:rsidRPr="00B35962">
        <w:rPr>
          <w:lang w:val="sr-Latn-ME"/>
        </w:rPr>
        <w:t>e</w:t>
      </w:r>
      <w:r w:rsidRPr="00B35962">
        <w:rPr>
          <w:lang w:val="sr-Latn-ME"/>
        </w:rPr>
        <w:t xml:space="preserve">sto </w:t>
      </w:r>
      <w:r w:rsidR="005E0642" w:rsidRPr="00B35962">
        <w:rPr>
          <w:lang w:val="sr-Latn-ME"/>
        </w:rPr>
        <w:t xml:space="preserve">prihvata u </w:t>
      </w:r>
      <w:r w:rsidR="00936B91" w:rsidRPr="00B35962">
        <w:rPr>
          <w:lang w:val="sr-Latn-ME"/>
        </w:rPr>
        <w:t xml:space="preserve">aktivnostima u </w:t>
      </w:r>
      <w:r w:rsidR="005E0642" w:rsidRPr="00B35962">
        <w:rPr>
          <w:lang w:val="sr-Latn-ME"/>
        </w:rPr>
        <w:t>odnosu na podršku i profesionalni razvoj kadr</w:t>
      </w:r>
      <w:r w:rsidR="00936B91" w:rsidRPr="00B35962">
        <w:rPr>
          <w:lang w:val="sr-Latn-ME"/>
        </w:rPr>
        <w:t>a</w:t>
      </w:r>
      <w:r w:rsidR="005E0642" w:rsidRPr="00B35962">
        <w:rPr>
          <w:lang w:val="sr-Latn-ME"/>
        </w:rPr>
        <w:t xml:space="preserve">, </w:t>
      </w:r>
      <w:r w:rsidR="00936B91" w:rsidRPr="00B35962">
        <w:rPr>
          <w:lang w:val="sr-Latn-ME"/>
        </w:rPr>
        <w:t xml:space="preserve">u procesu </w:t>
      </w:r>
      <w:r w:rsidR="005E0642" w:rsidRPr="00B35962">
        <w:rPr>
          <w:lang w:val="sr-Latn-ME"/>
        </w:rPr>
        <w:t>unapređenj</w:t>
      </w:r>
      <w:r w:rsidR="00936B91" w:rsidRPr="00B35962">
        <w:rPr>
          <w:lang w:val="sr-Latn-ME"/>
        </w:rPr>
        <w:t>a</w:t>
      </w:r>
      <w:r w:rsidR="005E0642" w:rsidRPr="00B35962">
        <w:rPr>
          <w:lang w:val="sr-Latn-ME"/>
        </w:rPr>
        <w:t xml:space="preserve"> kvaliteta</w:t>
      </w:r>
      <w:r w:rsidR="00936B91" w:rsidRPr="00B35962">
        <w:rPr>
          <w:lang w:val="sr-Latn-ME"/>
        </w:rPr>
        <w:t xml:space="preserve"> i inovacija</w:t>
      </w:r>
      <w:r w:rsidR="005E0642" w:rsidRPr="00B35962">
        <w:rPr>
          <w:lang w:val="sr-Latn-ME"/>
        </w:rPr>
        <w:t xml:space="preserve"> program</w:t>
      </w:r>
      <w:r w:rsidR="00936B91" w:rsidRPr="00B35962">
        <w:rPr>
          <w:lang w:val="sr-Latn-ME"/>
        </w:rPr>
        <w:t>a</w:t>
      </w:r>
      <w:r w:rsidR="005E0642" w:rsidRPr="00B35962">
        <w:rPr>
          <w:lang w:val="sr-Latn-ME"/>
        </w:rPr>
        <w:t xml:space="preserve"> rada</w:t>
      </w:r>
      <w:r w:rsidR="00936B91" w:rsidRPr="00B35962">
        <w:rPr>
          <w:lang w:val="sr-Latn-ME"/>
        </w:rPr>
        <w:t>. U ovoj Ustanovi</w:t>
      </w:r>
      <w:r w:rsidR="005E0642" w:rsidRPr="00B35962">
        <w:rPr>
          <w:lang w:val="sr-Latn-ME"/>
        </w:rPr>
        <w:t xml:space="preserve"> praktične benefite i dugo</w:t>
      </w:r>
      <w:r w:rsidR="00C933D7" w:rsidRPr="00B35962">
        <w:rPr>
          <w:lang w:val="sr-Latn-ME"/>
        </w:rPr>
        <w:t xml:space="preserve">ročni efekat </w:t>
      </w:r>
      <w:r w:rsidR="00936B91" w:rsidRPr="00B35962">
        <w:rPr>
          <w:lang w:val="sr-Latn-ME"/>
        </w:rPr>
        <w:t xml:space="preserve">percipiraju u pogledu uticaja </w:t>
      </w:r>
      <w:r w:rsidR="00C933D7" w:rsidRPr="00B35962">
        <w:rPr>
          <w:lang w:val="sr-Latn-ME"/>
        </w:rPr>
        <w:t xml:space="preserve">na </w:t>
      </w:r>
      <w:r w:rsidR="00936B91" w:rsidRPr="00B35962">
        <w:rPr>
          <w:lang w:val="sr-Latn-ME"/>
        </w:rPr>
        <w:t>razvoj</w:t>
      </w:r>
      <w:r w:rsidR="00C933D7" w:rsidRPr="00B35962">
        <w:rPr>
          <w:lang w:val="sr-Latn-ME"/>
        </w:rPr>
        <w:t xml:space="preserve"> svakog dj</w:t>
      </w:r>
      <w:r w:rsidR="005E0642" w:rsidRPr="00B35962">
        <w:rPr>
          <w:lang w:val="sr-Latn-ME"/>
        </w:rPr>
        <w:t>eteta i društva u cjelini.</w:t>
      </w:r>
    </w:p>
    <w:p w14:paraId="5A62B26A" w14:textId="77777777" w:rsidR="00C6282B" w:rsidRPr="00B35962" w:rsidRDefault="00C6282B" w:rsidP="00025C83">
      <w:pPr>
        <w:rPr>
          <w:lang w:val="sr-Latn-ME"/>
        </w:rPr>
      </w:pPr>
    </w:p>
    <w:p w14:paraId="72DF6A0B" w14:textId="4A27A063" w:rsidR="006D3905" w:rsidRPr="00B35962" w:rsidRDefault="005E0642" w:rsidP="00025C83">
      <w:pPr>
        <w:rPr>
          <w:b/>
          <w:lang w:val="sr-Latn-ME"/>
        </w:rPr>
      </w:pPr>
      <w:r w:rsidRPr="00B35962">
        <w:rPr>
          <w:lang w:val="sr-Latn-ME"/>
        </w:rPr>
        <w:t xml:space="preserve">Neposredni realizatori mjera, rukovodioci, stručni saradnici, vaspitači kao praktičari svoju ulogu prihvataju i vide kroz svakodnevni posvećen, odgovoran rad, lični doprinos razvoju teorije, prakse, budućih stručnih saradnika i nastavnika, ali i u odnosu na sopstveni i strukovni </w:t>
      </w:r>
      <w:r w:rsidR="006D3905" w:rsidRPr="00B35962">
        <w:rPr>
          <w:lang w:val="sr-Latn-ME"/>
        </w:rPr>
        <w:t>razvoja kako u odnosu isticanje uloge predškol</w:t>
      </w:r>
      <w:r w:rsidR="00C636EB" w:rsidRPr="00B35962">
        <w:rPr>
          <w:lang w:val="sr-Latn-ME"/>
        </w:rPr>
        <w:t>s</w:t>
      </w:r>
      <w:r w:rsidR="006D3905" w:rsidRPr="00B35962">
        <w:rPr>
          <w:lang w:val="sr-Latn-ME"/>
        </w:rPr>
        <w:t>k</w:t>
      </w:r>
      <w:r w:rsidR="00C933D7" w:rsidRPr="00B35962">
        <w:rPr>
          <w:lang w:val="sr-Latn-ME"/>
        </w:rPr>
        <w:t>og vaspitanja i obrazovanja za dj</w:t>
      </w:r>
      <w:r w:rsidR="006D3905" w:rsidRPr="00B35962">
        <w:rPr>
          <w:lang w:val="sr-Latn-ME"/>
        </w:rPr>
        <w:t>ecu i porodice, davanja lilčnog primjera, promovisanja struke</w:t>
      </w:r>
      <w:r w:rsidRPr="00B35962">
        <w:rPr>
          <w:lang w:val="sr-Latn-ME"/>
        </w:rPr>
        <w:t xml:space="preserve">. </w:t>
      </w:r>
    </w:p>
    <w:p w14:paraId="475A080A" w14:textId="77777777" w:rsidR="003A2C04" w:rsidRPr="00B35962" w:rsidRDefault="003A2C04" w:rsidP="00025C83">
      <w:pPr>
        <w:rPr>
          <w:lang w:val="sr-Latn-ME"/>
        </w:rPr>
      </w:pPr>
    </w:p>
    <w:p w14:paraId="7FF42F63" w14:textId="77777777" w:rsidR="006D3905" w:rsidRPr="00B35962" w:rsidRDefault="005E0642" w:rsidP="00025C83">
      <w:pPr>
        <w:rPr>
          <w:lang w:val="sr-Latn-ME"/>
        </w:rPr>
      </w:pPr>
      <w:r w:rsidRPr="00B35962">
        <w:rPr>
          <w:lang w:val="sr-Latn-ME"/>
        </w:rPr>
        <w:t>Civilni sektor osim iskazanog ličnog interesovanja, potreba sebe vidi kao aktivnog učesnika u svim ciljanim oblastima: obuhvat, kvalitet, uključivanje marginalizovanih grupa, kako kroz promociju, zastupanje, te neposredan društveni i rad u zajednici.</w:t>
      </w:r>
    </w:p>
    <w:p w14:paraId="63F3364E" w14:textId="77777777" w:rsidR="003A2C04" w:rsidRPr="00B35962" w:rsidRDefault="003A2C04" w:rsidP="00025C83">
      <w:pPr>
        <w:rPr>
          <w:b/>
          <w:lang w:val="sr-Latn-ME"/>
        </w:rPr>
      </w:pPr>
    </w:p>
    <w:p w14:paraId="55CAF1DC" w14:textId="4E1E3FAB" w:rsidR="006D3905" w:rsidRPr="00B35962" w:rsidRDefault="00936B91" w:rsidP="00025C83">
      <w:pPr>
        <w:rPr>
          <w:lang w:val="sr-Latn-ME"/>
        </w:rPr>
      </w:pPr>
      <w:r w:rsidRPr="00B35962">
        <w:rPr>
          <w:lang w:val="sr-Latn-ME"/>
        </w:rPr>
        <w:t>Partneri u m</w:t>
      </w:r>
      <w:r w:rsidR="006D3905" w:rsidRPr="00B35962">
        <w:rPr>
          <w:lang w:val="sr-Latn-ME"/>
        </w:rPr>
        <w:t>eđusektorsk</w:t>
      </w:r>
      <w:r w:rsidRPr="00B35962">
        <w:rPr>
          <w:lang w:val="sr-Latn-ME"/>
        </w:rPr>
        <w:t>oj</w:t>
      </w:r>
      <w:r w:rsidR="006D3905" w:rsidRPr="00B35962">
        <w:rPr>
          <w:lang w:val="sr-Latn-ME"/>
        </w:rPr>
        <w:t xml:space="preserve"> saradn</w:t>
      </w:r>
      <w:r w:rsidRPr="00B35962">
        <w:rPr>
          <w:lang w:val="sr-Latn-ME"/>
        </w:rPr>
        <w:t>ji</w:t>
      </w:r>
      <w:r w:rsidR="006D3905" w:rsidRPr="00B35962">
        <w:rPr>
          <w:lang w:val="sr-Latn-ME"/>
        </w:rPr>
        <w:t xml:space="preserve"> smatraju važ</w:t>
      </w:r>
      <w:r w:rsidRPr="00B35962">
        <w:rPr>
          <w:lang w:val="sr-Latn-ME"/>
        </w:rPr>
        <w:t>nim da se primijeni</w:t>
      </w:r>
      <w:r w:rsidR="006D3905" w:rsidRPr="00B35962">
        <w:rPr>
          <w:lang w:val="sr-Latn-ME"/>
        </w:rPr>
        <w:t xml:space="preserve"> višestrani pristup</w:t>
      </w:r>
      <w:r w:rsidRPr="00B35962">
        <w:rPr>
          <w:lang w:val="sr-Latn-ME"/>
        </w:rPr>
        <w:t xml:space="preserve">. Sopstvena sektorska </w:t>
      </w:r>
      <w:r w:rsidR="006D3905" w:rsidRPr="00B35962">
        <w:rPr>
          <w:lang w:val="sr-Latn-ME"/>
        </w:rPr>
        <w:t>involviranost će im pru</w:t>
      </w:r>
      <w:r w:rsidR="00C131A5" w:rsidRPr="00B35962">
        <w:rPr>
          <w:lang w:val="sr-Latn-ME"/>
        </w:rPr>
        <w:t>ž</w:t>
      </w:r>
      <w:r w:rsidR="006D3905" w:rsidRPr="00B35962">
        <w:rPr>
          <w:lang w:val="sr-Latn-ME"/>
        </w:rPr>
        <w:t>iti uvid u potrebe korisnika</w:t>
      </w:r>
      <w:r w:rsidRPr="00B35962">
        <w:rPr>
          <w:lang w:val="sr-Latn-ME"/>
        </w:rPr>
        <w:t xml:space="preserve"> i dovesti do toga da </w:t>
      </w:r>
      <w:r w:rsidR="006D3905" w:rsidRPr="00B35962">
        <w:rPr>
          <w:lang w:val="sr-Latn-ME"/>
        </w:rPr>
        <w:t xml:space="preserve">svoje usluge razvijaju prema </w:t>
      </w:r>
      <w:r w:rsidRPr="00B35962">
        <w:rPr>
          <w:lang w:val="sr-Latn-ME"/>
        </w:rPr>
        <w:t>potrebama grupa sa kojima rade</w:t>
      </w:r>
      <w:r w:rsidR="006D3905" w:rsidRPr="00B35962">
        <w:rPr>
          <w:lang w:val="sr-Latn-ME"/>
        </w:rPr>
        <w:t>. Samim tim će nastati preventivne uštede</w:t>
      </w:r>
      <w:r w:rsidRPr="00B35962">
        <w:rPr>
          <w:lang w:val="sr-Latn-ME"/>
        </w:rPr>
        <w:t>,</w:t>
      </w:r>
      <w:r w:rsidR="006D3905" w:rsidRPr="00B35962">
        <w:rPr>
          <w:lang w:val="sr-Latn-ME"/>
        </w:rPr>
        <w:t xml:space="preserve"> prije svega sekundarnih nepoželjnih pojava</w:t>
      </w:r>
      <w:r w:rsidRPr="00B35962">
        <w:rPr>
          <w:lang w:val="sr-Latn-ME"/>
        </w:rPr>
        <w:t xml:space="preserve"> (socijalna davanja, hospitalizacije, nepoželjna I štetna ponašanja)</w:t>
      </w:r>
      <w:r w:rsidR="006D3905" w:rsidRPr="00B35962">
        <w:rPr>
          <w:lang w:val="sr-Latn-ME"/>
        </w:rPr>
        <w:t>.</w:t>
      </w:r>
    </w:p>
    <w:p w14:paraId="047743E7" w14:textId="77777777" w:rsidR="003A2C04" w:rsidRPr="00B35962" w:rsidRDefault="003A2C04" w:rsidP="00025C83">
      <w:pPr>
        <w:rPr>
          <w:b/>
          <w:lang w:val="sr-Latn-ME"/>
        </w:rPr>
      </w:pPr>
    </w:p>
    <w:p w14:paraId="7838AE2A" w14:textId="64CC45A3" w:rsidR="006D3905" w:rsidRPr="00B35962" w:rsidRDefault="006D3905" w:rsidP="00065659">
      <w:pPr>
        <w:rPr>
          <w:lang w:val="sr-Latn-ME"/>
        </w:rPr>
      </w:pPr>
      <w:r w:rsidRPr="00B35962">
        <w:rPr>
          <w:lang w:val="sr-Latn-ME"/>
        </w:rPr>
        <w:t>Akademska zajednica sebe vidi u odnosu na pripremu kadra, praćenje potreba, nadogradnju teorije, naučni, društveni i praktičan doprinos.</w:t>
      </w:r>
    </w:p>
    <w:p w14:paraId="317E7DF1" w14:textId="77777777" w:rsidR="00C447FF" w:rsidRPr="00B35962" w:rsidRDefault="00C447FF" w:rsidP="00C447FF">
      <w:pPr>
        <w:ind w:firstLine="0"/>
        <w:rPr>
          <w:lang w:val="sr-Latn-ME"/>
        </w:rPr>
      </w:pPr>
      <w:r w:rsidRPr="00B35962">
        <w:rPr>
          <w:lang w:val="sr-Latn-ME"/>
        </w:rPr>
        <w:tab/>
      </w:r>
    </w:p>
    <w:p w14:paraId="7843364F" w14:textId="77777777" w:rsidR="00025C83" w:rsidRPr="00B35962" w:rsidRDefault="00025C83">
      <w:pPr>
        <w:spacing w:after="160"/>
        <w:ind w:firstLine="0"/>
        <w:rPr>
          <w:rFonts w:eastAsiaTheme="majorEastAsia"/>
          <w:b/>
          <w:caps/>
          <w:color w:val="000000" w:themeColor="text1"/>
          <w:sz w:val="28"/>
          <w:szCs w:val="32"/>
          <w:lang w:val="sr-Latn-ME"/>
        </w:rPr>
      </w:pPr>
      <w:r w:rsidRPr="00B35962">
        <w:rPr>
          <w:lang w:val="sr-Latn-ME"/>
        </w:rPr>
        <w:br w:type="page"/>
      </w:r>
    </w:p>
    <w:p w14:paraId="5CB2439E" w14:textId="5DE012EF" w:rsidR="006B7669" w:rsidRPr="00B35962" w:rsidRDefault="006B7669" w:rsidP="006B7669">
      <w:pPr>
        <w:pStyle w:val="Heading1"/>
        <w:rPr>
          <w:rFonts w:cs="Times New Roman"/>
          <w:color w:val="0070C0"/>
          <w:lang w:val="sr-Latn-ME"/>
        </w:rPr>
      </w:pPr>
      <w:bookmarkStart w:id="11" w:name="_Toc55295094"/>
      <w:r w:rsidRPr="00B35962">
        <w:rPr>
          <w:rFonts w:cs="Times New Roman"/>
          <w:color w:val="0070C0"/>
          <w:lang w:val="sr-Latn-ME"/>
        </w:rPr>
        <w:lastRenderedPageBreak/>
        <w:t>3. Strateški i operativni ciljevi s pratećim indikatorima uspjeha</w:t>
      </w:r>
      <w:bookmarkEnd w:id="11"/>
    </w:p>
    <w:p w14:paraId="12172059" w14:textId="48CFC238" w:rsidR="00F672DB" w:rsidRPr="00B35962" w:rsidRDefault="00875422" w:rsidP="00F672DB">
      <w:pPr>
        <w:ind w:firstLine="0"/>
        <w:rPr>
          <w:lang w:val="sr-Latn-ME"/>
        </w:rPr>
      </w:pPr>
      <w:r w:rsidRPr="00B35962">
        <w:rPr>
          <w:lang w:val="sr-Latn-ME"/>
        </w:rPr>
        <w:tab/>
        <w:t>Imajući u vidu analizu postojećeg stanja u sektoru predškolskog vaspitanja i obrazovanja</w:t>
      </w:r>
      <w:r w:rsidR="008139DB" w:rsidRPr="00B35962">
        <w:rPr>
          <w:lang w:val="sr-Latn-ME"/>
        </w:rPr>
        <w:t>,</w:t>
      </w:r>
      <w:r w:rsidR="004E4500" w:rsidRPr="00B35962">
        <w:rPr>
          <w:lang w:val="sr-Latn-ME"/>
        </w:rPr>
        <w:t xml:space="preserve"> dugoročnu viziju da se kroz uključivanje u PVO svoj djeci predškolskog uzrasta u Crnoj Gori osigura najbolji mogući početak u životu</w:t>
      </w:r>
      <w:r w:rsidR="0004010A" w:rsidRPr="00B35962">
        <w:rPr>
          <w:lang w:val="sr-Latn-ME"/>
        </w:rPr>
        <w:t>,</w:t>
      </w:r>
      <w:r w:rsidR="004E4500" w:rsidRPr="00B35962">
        <w:rPr>
          <w:lang w:val="sr-Latn-ME"/>
        </w:rPr>
        <w:t xml:space="preserve"> kao preduslov za razvoj svih njihovih potencijala</w:t>
      </w:r>
      <w:r w:rsidR="0004010A" w:rsidRPr="00B35962">
        <w:rPr>
          <w:lang w:val="sr-Latn-ME"/>
        </w:rPr>
        <w:t>,</w:t>
      </w:r>
      <w:r w:rsidR="008139DB" w:rsidRPr="00B35962">
        <w:rPr>
          <w:lang w:val="sr-Latn-ME"/>
        </w:rPr>
        <w:t xml:space="preserve"> i principe na kojima počiva PVO</w:t>
      </w:r>
      <w:r w:rsidR="00EC15B2" w:rsidRPr="00B35962">
        <w:rPr>
          <w:lang w:val="sr-Latn-ME"/>
        </w:rPr>
        <w:t xml:space="preserve"> (vidi okvir 1)</w:t>
      </w:r>
      <w:r w:rsidR="008139DB" w:rsidRPr="00B35962">
        <w:rPr>
          <w:lang w:val="sr-Latn-ME"/>
        </w:rPr>
        <w:t xml:space="preserve">, </w:t>
      </w:r>
      <w:r w:rsidR="004B0138" w:rsidRPr="00B35962">
        <w:rPr>
          <w:lang w:val="sr-Latn-ME"/>
        </w:rPr>
        <w:t>strateški cilj je:</w:t>
      </w:r>
      <w:r w:rsidR="00F672DB" w:rsidRPr="00B35962">
        <w:rPr>
          <w:lang w:val="sr-Latn-ME"/>
        </w:rPr>
        <w:t xml:space="preserve"> </w:t>
      </w:r>
    </w:p>
    <w:p w14:paraId="7A8AFBAA" w14:textId="77777777" w:rsidR="00F672DB" w:rsidRPr="00B35962" w:rsidRDefault="00F672DB" w:rsidP="00F672DB">
      <w:pPr>
        <w:ind w:firstLine="0"/>
        <w:rPr>
          <w:lang w:val="sr-Latn-ME"/>
        </w:rPr>
      </w:pPr>
    </w:p>
    <w:p w14:paraId="0C533E54" w14:textId="2ACB65D2" w:rsidR="004B0138" w:rsidRPr="00B35962" w:rsidRDefault="000F575A" w:rsidP="00D347CF">
      <w:pPr>
        <w:pStyle w:val="IntenseQuote1"/>
        <w:spacing w:before="0" w:beforeAutospacing="0"/>
        <w:ind w:firstLine="0"/>
        <w:jc w:val="both"/>
        <w:rPr>
          <w:lang w:val="sr-Latn-ME"/>
        </w:rPr>
      </w:pPr>
      <w:r w:rsidRPr="00B35962">
        <w:rPr>
          <w:lang w:val="sr-Latn-ME"/>
        </w:rPr>
        <w:t>Obezbjeđivanje jednakih šansi za rani razvoj sve djece u Crnoj Gori kroz jačanje dostupnosti, kvaliteta i pravednosti PVO.</w:t>
      </w:r>
    </w:p>
    <w:p w14:paraId="3E9A8A2A" w14:textId="77777777" w:rsidR="000F575A" w:rsidRPr="00B35962" w:rsidRDefault="000F575A" w:rsidP="00C77D7E">
      <w:pPr>
        <w:ind w:firstLine="0"/>
        <w:rPr>
          <w:lang w:val="sr-Latn-ME"/>
        </w:rPr>
      </w:pPr>
    </w:p>
    <w:p w14:paraId="3DD8DFA9" w14:textId="313982A7" w:rsidR="00875422" w:rsidRPr="00B35962" w:rsidRDefault="004B0138" w:rsidP="00F672DB">
      <w:pPr>
        <w:rPr>
          <w:lang w:val="sr-Latn-ME"/>
        </w:rPr>
      </w:pPr>
      <w:r w:rsidRPr="00B35962">
        <w:rPr>
          <w:lang w:val="sr-Latn-ME"/>
        </w:rPr>
        <w:t xml:space="preserve">Ovaj </w:t>
      </w:r>
      <w:r w:rsidR="002E2B22" w:rsidRPr="00B35962">
        <w:rPr>
          <w:lang w:val="sr-Latn-ME"/>
        </w:rPr>
        <w:t>s</w:t>
      </w:r>
      <w:r w:rsidRPr="00B35962">
        <w:rPr>
          <w:lang w:val="sr-Latn-ME"/>
        </w:rPr>
        <w:t>taretški cilj je operacionalizovan kroz tri operativna cilja koji su bili osnova svih mjera i aktivnosti koje se</w:t>
      </w:r>
      <w:r w:rsidR="00350CFC">
        <w:rPr>
          <w:lang w:val="sr-Latn-ME"/>
        </w:rPr>
        <w:t xml:space="preserve"> predlažu za period 2021-2025,</w:t>
      </w:r>
      <w:r w:rsidRPr="00B35962">
        <w:rPr>
          <w:lang w:val="sr-Latn-ME"/>
        </w:rPr>
        <w:t xml:space="preserve"> </w:t>
      </w:r>
      <w:r w:rsidR="00350CFC">
        <w:rPr>
          <w:lang w:val="sr-Latn-ME"/>
        </w:rPr>
        <w:t>koje treba da dovedu do unapređ</w:t>
      </w:r>
      <w:r w:rsidRPr="00B35962">
        <w:rPr>
          <w:lang w:val="sr-Latn-ME"/>
        </w:rPr>
        <w:t>enja dostupnosti, kvaliteta i pravednosti PVO</w:t>
      </w:r>
      <w:r w:rsidR="00875422" w:rsidRPr="00B35962">
        <w:rPr>
          <w:lang w:val="sr-Latn-ME"/>
        </w:rPr>
        <w:t>:</w:t>
      </w:r>
    </w:p>
    <w:p w14:paraId="44093960" w14:textId="77777777" w:rsidR="00C77D7E" w:rsidRPr="00B35962" w:rsidRDefault="00C77D7E" w:rsidP="00C77D7E">
      <w:pPr>
        <w:ind w:left="720" w:firstLine="0"/>
        <w:rPr>
          <w:i/>
          <w:iCs/>
          <w:lang w:val="sr-Latn-ME"/>
        </w:rPr>
      </w:pPr>
    </w:p>
    <w:p w14:paraId="30EAEFB1" w14:textId="1F6775BE" w:rsidR="000F3BCB" w:rsidRPr="00B35962" w:rsidRDefault="00D131EB" w:rsidP="00936B91">
      <w:pPr>
        <w:pStyle w:val="IntenseQuote"/>
        <w:rPr>
          <w:lang w:val="sr-Latn-ME"/>
        </w:rPr>
      </w:pPr>
      <w:r w:rsidRPr="00B35962">
        <w:rPr>
          <w:lang w:val="sr-Latn-ME"/>
        </w:rPr>
        <w:t>O</w:t>
      </w:r>
      <w:r w:rsidR="004B0138" w:rsidRPr="00B35962">
        <w:rPr>
          <w:lang w:val="sr-Latn-ME"/>
        </w:rPr>
        <w:t>perativni</w:t>
      </w:r>
      <w:r w:rsidR="000F3BCB" w:rsidRPr="00B35962">
        <w:rPr>
          <w:lang w:val="sr-Latn-ME"/>
        </w:rPr>
        <w:t xml:space="preserve"> cilj 1:</w:t>
      </w:r>
      <w:r w:rsidR="00441EE3" w:rsidRPr="00B35962">
        <w:rPr>
          <w:lang w:val="sr-Latn-ME"/>
        </w:rPr>
        <w:t xml:space="preserve"> </w:t>
      </w:r>
      <w:r w:rsidR="00177B93" w:rsidRPr="00B35962">
        <w:rPr>
          <w:lang w:val="sr-Latn-ME"/>
        </w:rPr>
        <w:t>Povećanje obuhvata djece PVO</w:t>
      </w:r>
    </w:p>
    <w:p w14:paraId="3FFA2EA5" w14:textId="77777777" w:rsidR="00BC06D9" w:rsidRPr="00B35962" w:rsidRDefault="00C20A00" w:rsidP="000F575A">
      <w:pPr>
        <w:rPr>
          <w:lang w:val="sr-Latn-ME"/>
        </w:rPr>
      </w:pPr>
      <w:bookmarkStart w:id="12" w:name="_Hlk40712047"/>
      <w:r w:rsidRPr="00B35962">
        <w:rPr>
          <w:lang w:val="sr-Latn-ME"/>
        </w:rPr>
        <w:t>Do 202</w:t>
      </w:r>
      <w:r w:rsidR="00A16F75" w:rsidRPr="00B35962">
        <w:rPr>
          <w:lang w:val="sr-Latn-ME"/>
        </w:rPr>
        <w:t>5</w:t>
      </w:r>
      <w:r w:rsidRPr="00B35962">
        <w:rPr>
          <w:lang w:val="sr-Latn-ME"/>
        </w:rPr>
        <w:t xml:space="preserve">. </w:t>
      </w:r>
      <w:r w:rsidR="00806051" w:rsidRPr="00B35962">
        <w:rPr>
          <w:lang w:val="sr-Latn-ME"/>
        </w:rPr>
        <w:t>g</w:t>
      </w:r>
      <w:r w:rsidRPr="00B35962">
        <w:rPr>
          <w:lang w:val="sr-Latn-ME"/>
        </w:rPr>
        <w:t>odine p</w:t>
      </w:r>
      <w:r w:rsidR="004E4500" w:rsidRPr="00B35962">
        <w:rPr>
          <w:lang w:val="sr-Latn-ME"/>
        </w:rPr>
        <w:t xml:space="preserve">ovećati uključenost djece predškolskog uzrasta u programe predškolskog vaspitanja i obrazovanja i </w:t>
      </w:r>
      <w:r w:rsidR="00F23D87" w:rsidRPr="00B35962">
        <w:rPr>
          <w:lang w:val="sr-Latn-ME"/>
        </w:rPr>
        <w:t>obezbijediti</w:t>
      </w:r>
      <w:r w:rsidR="004E4500" w:rsidRPr="00B35962">
        <w:rPr>
          <w:lang w:val="sr-Latn-ME"/>
        </w:rPr>
        <w:t xml:space="preserve"> </w:t>
      </w:r>
      <w:r w:rsidR="00085AC6" w:rsidRPr="00B35962">
        <w:rPr>
          <w:lang w:val="sr-Latn-ME"/>
        </w:rPr>
        <w:t xml:space="preserve">ukupan </w:t>
      </w:r>
      <w:r w:rsidR="004E4500" w:rsidRPr="00B35962">
        <w:rPr>
          <w:lang w:val="sr-Latn-ME"/>
        </w:rPr>
        <w:t xml:space="preserve">obuhvat </w:t>
      </w:r>
      <w:r w:rsidR="00BC06D9" w:rsidRPr="00B35962">
        <w:rPr>
          <w:lang w:val="sr-Latn-ME"/>
        </w:rPr>
        <w:t xml:space="preserve">djece </w:t>
      </w:r>
      <w:r w:rsidR="004E4500" w:rsidRPr="00B35962">
        <w:rPr>
          <w:lang w:val="sr-Latn-ME"/>
        </w:rPr>
        <w:t xml:space="preserve">od </w:t>
      </w:r>
      <w:r w:rsidR="00BC06D9" w:rsidRPr="00B35962">
        <w:rPr>
          <w:lang w:val="sr-Latn-ME"/>
        </w:rPr>
        <w:t>6</w:t>
      </w:r>
      <w:r w:rsidR="00797AC5" w:rsidRPr="00B35962">
        <w:rPr>
          <w:lang w:val="sr-Latn-ME"/>
        </w:rPr>
        <w:t>0</w:t>
      </w:r>
      <w:r w:rsidR="004E4500" w:rsidRPr="00B35962">
        <w:rPr>
          <w:lang w:val="sr-Latn-ME"/>
        </w:rPr>
        <w:t>%</w:t>
      </w:r>
      <w:r w:rsidR="00BC06D9" w:rsidRPr="00B35962">
        <w:rPr>
          <w:lang w:val="sr-Latn-ME"/>
        </w:rPr>
        <w:t xml:space="preserve"> sa obuhvatom </w:t>
      </w:r>
      <w:r w:rsidRPr="00B35962">
        <w:rPr>
          <w:lang w:val="sr-Latn-ME"/>
        </w:rPr>
        <w:t xml:space="preserve">od </w:t>
      </w:r>
      <w:r w:rsidR="00797AC5" w:rsidRPr="00B35962">
        <w:rPr>
          <w:lang w:val="sr-Latn-ME"/>
        </w:rPr>
        <w:t>3</w:t>
      </w:r>
      <w:r w:rsidRPr="00B35962">
        <w:rPr>
          <w:lang w:val="sr-Latn-ME"/>
        </w:rPr>
        <w:t xml:space="preserve">0% djece mlađe od 3 godine i 90% </w:t>
      </w:r>
      <w:r w:rsidR="00BC06D9" w:rsidRPr="00B35962">
        <w:rPr>
          <w:lang w:val="sr-Latn-ME"/>
        </w:rPr>
        <w:t>djece starije od 3 godine</w:t>
      </w:r>
      <w:r w:rsidRPr="00B35962">
        <w:rPr>
          <w:lang w:val="sr-Latn-ME"/>
        </w:rPr>
        <w:t>.</w:t>
      </w:r>
    </w:p>
    <w:bookmarkEnd w:id="12"/>
    <w:p w14:paraId="7BDC4582" w14:textId="77777777" w:rsidR="00C77D7E" w:rsidRPr="00B35962" w:rsidRDefault="00C77D7E" w:rsidP="000F575A">
      <w:pPr>
        <w:rPr>
          <w:i/>
          <w:iCs/>
          <w:lang w:val="sr-Latn-ME"/>
        </w:rPr>
      </w:pPr>
    </w:p>
    <w:p w14:paraId="4C6376B3" w14:textId="015F7B29" w:rsidR="000F3BCB" w:rsidRPr="00B35962" w:rsidRDefault="00D131EB" w:rsidP="00936B91">
      <w:pPr>
        <w:pStyle w:val="IntenseQuote"/>
        <w:rPr>
          <w:lang w:val="sr-Latn-ME"/>
        </w:rPr>
      </w:pPr>
      <w:r w:rsidRPr="00B35962">
        <w:rPr>
          <w:lang w:val="sr-Latn-ME"/>
        </w:rPr>
        <w:t>O</w:t>
      </w:r>
      <w:r w:rsidR="004B0138" w:rsidRPr="00B35962">
        <w:rPr>
          <w:lang w:val="sr-Latn-ME"/>
        </w:rPr>
        <w:t>perativni</w:t>
      </w:r>
      <w:r w:rsidR="000F3BCB" w:rsidRPr="00B35962">
        <w:rPr>
          <w:lang w:val="sr-Latn-ME"/>
        </w:rPr>
        <w:t xml:space="preserve"> cilj 2:</w:t>
      </w:r>
      <w:r w:rsidR="00441EE3" w:rsidRPr="00B35962">
        <w:rPr>
          <w:lang w:val="sr-Latn-ME"/>
        </w:rPr>
        <w:t xml:space="preserve"> </w:t>
      </w:r>
      <w:bookmarkStart w:id="13" w:name="_Hlk40940337"/>
      <w:r w:rsidR="009C54B5" w:rsidRPr="00B35962">
        <w:rPr>
          <w:lang w:val="sr-Latn-ME"/>
        </w:rPr>
        <w:t>Unapređenje</w:t>
      </w:r>
      <w:r w:rsidR="00441EE3" w:rsidRPr="00B35962">
        <w:rPr>
          <w:lang w:val="sr-Latn-ME"/>
        </w:rPr>
        <w:t xml:space="preserve"> </w:t>
      </w:r>
      <w:r w:rsidR="00A91CB6" w:rsidRPr="00B35962">
        <w:rPr>
          <w:lang w:val="sr-Latn-ME"/>
        </w:rPr>
        <w:t xml:space="preserve">i </w:t>
      </w:r>
      <w:r w:rsidR="00F23D87" w:rsidRPr="00B35962">
        <w:rPr>
          <w:lang w:val="sr-Latn-ME"/>
        </w:rPr>
        <w:t>obezbjeđivanje</w:t>
      </w:r>
      <w:r w:rsidR="00A91CB6" w:rsidRPr="00B35962">
        <w:rPr>
          <w:lang w:val="sr-Latn-ME"/>
        </w:rPr>
        <w:t xml:space="preserve"> </w:t>
      </w:r>
      <w:r w:rsidR="00441EE3" w:rsidRPr="00B35962">
        <w:rPr>
          <w:lang w:val="sr-Latn-ME"/>
        </w:rPr>
        <w:t>k</w:t>
      </w:r>
      <w:r w:rsidR="00D671E1" w:rsidRPr="00B35962">
        <w:rPr>
          <w:lang w:val="sr-Latn-ME"/>
        </w:rPr>
        <w:t>valitet</w:t>
      </w:r>
      <w:r w:rsidR="00441EE3" w:rsidRPr="00B35962">
        <w:rPr>
          <w:lang w:val="sr-Latn-ME"/>
        </w:rPr>
        <w:t>a PVO</w:t>
      </w:r>
      <w:bookmarkEnd w:id="13"/>
    </w:p>
    <w:p w14:paraId="1ECD8F37" w14:textId="77777777" w:rsidR="00BC06D9" w:rsidRPr="00B35962" w:rsidRDefault="008A28A4" w:rsidP="000F575A">
      <w:pPr>
        <w:rPr>
          <w:lang w:val="sr-Latn-ME"/>
        </w:rPr>
      </w:pPr>
      <w:r w:rsidRPr="00B35962">
        <w:rPr>
          <w:lang w:val="sr-Latn-ME"/>
        </w:rPr>
        <w:t>Osavremeniti</w:t>
      </w:r>
      <w:r w:rsidR="00D7392B" w:rsidRPr="00B35962">
        <w:rPr>
          <w:lang w:val="sr-Latn-ME"/>
        </w:rPr>
        <w:t xml:space="preserve"> </w:t>
      </w:r>
      <w:r w:rsidRPr="00B35962">
        <w:rPr>
          <w:lang w:val="sr-Latn-ME"/>
        </w:rPr>
        <w:t xml:space="preserve">postojeći Plan i program za oblast predškolskog vaspitanja i obrazovanja u svijetlu naučnih saznanja i najboljih međunarodnih praksi koje vode sveukupnom razvoju potencijala svakog djeteta </w:t>
      </w:r>
      <w:r w:rsidR="00D7392B" w:rsidRPr="00B35962">
        <w:rPr>
          <w:lang w:val="sr-Latn-ME"/>
        </w:rPr>
        <w:t xml:space="preserve">i unaprijediti </w:t>
      </w:r>
      <w:r w:rsidR="0090025D" w:rsidRPr="00B35962">
        <w:rPr>
          <w:lang w:val="sr-Latn-ME"/>
        </w:rPr>
        <w:t xml:space="preserve">sistem za </w:t>
      </w:r>
      <w:r w:rsidR="00F23D87" w:rsidRPr="00B35962">
        <w:rPr>
          <w:lang w:val="sr-Latn-ME"/>
        </w:rPr>
        <w:t>obezbjeđivanje</w:t>
      </w:r>
      <w:r w:rsidR="0090025D" w:rsidRPr="00B35962">
        <w:rPr>
          <w:lang w:val="sr-Latn-ME"/>
        </w:rPr>
        <w:t xml:space="preserve"> kvaliteta </w:t>
      </w:r>
      <w:r w:rsidR="00BC06D9" w:rsidRPr="00B35962">
        <w:rPr>
          <w:lang w:val="sr-Latn-ME"/>
        </w:rPr>
        <w:t>u skladu sa EU okvirom za visokokvalitetno PVO</w:t>
      </w:r>
      <w:r w:rsidR="0003200B" w:rsidRPr="00B35962">
        <w:rPr>
          <w:lang w:val="sr-Latn-ME"/>
        </w:rPr>
        <w:t xml:space="preserve"> do 202</w:t>
      </w:r>
      <w:r w:rsidR="00A16F75" w:rsidRPr="00B35962">
        <w:rPr>
          <w:lang w:val="sr-Latn-ME"/>
        </w:rPr>
        <w:t>5</w:t>
      </w:r>
      <w:r w:rsidR="0003200B" w:rsidRPr="00B35962">
        <w:rPr>
          <w:lang w:val="sr-Latn-ME"/>
        </w:rPr>
        <w:t xml:space="preserve">. </w:t>
      </w:r>
      <w:r w:rsidR="00D7392B" w:rsidRPr="00B35962">
        <w:rPr>
          <w:lang w:val="sr-Latn-ME"/>
        </w:rPr>
        <w:t>g</w:t>
      </w:r>
      <w:r w:rsidR="0003200B" w:rsidRPr="00B35962">
        <w:rPr>
          <w:lang w:val="sr-Latn-ME"/>
        </w:rPr>
        <w:t>odine</w:t>
      </w:r>
      <w:r w:rsidR="002319DD" w:rsidRPr="00B35962">
        <w:rPr>
          <w:lang w:val="sr-Latn-ME"/>
        </w:rPr>
        <w:t>.</w:t>
      </w:r>
    </w:p>
    <w:p w14:paraId="4EFBF0D2" w14:textId="77777777" w:rsidR="00D11BB1" w:rsidRPr="00B35962" w:rsidRDefault="00D11BB1" w:rsidP="000F575A">
      <w:pPr>
        <w:rPr>
          <w:lang w:val="sr-Latn-ME"/>
        </w:rPr>
      </w:pPr>
    </w:p>
    <w:p w14:paraId="325278D7" w14:textId="50634FAE" w:rsidR="000F3BCB" w:rsidRPr="00B35962" w:rsidRDefault="00D131EB" w:rsidP="00936B91">
      <w:pPr>
        <w:pStyle w:val="IntenseQuote"/>
        <w:rPr>
          <w:lang w:val="sr-Latn-ME"/>
        </w:rPr>
      </w:pPr>
      <w:r w:rsidRPr="00B35962">
        <w:rPr>
          <w:lang w:val="sr-Latn-ME"/>
        </w:rPr>
        <w:t>O</w:t>
      </w:r>
      <w:r w:rsidR="004B0138" w:rsidRPr="00B35962">
        <w:rPr>
          <w:lang w:val="sr-Latn-ME"/>
        </w:rPr>
        <w:t>perativni</w:t>
      </w:r>
      <w:r w:rsidR="000F3BCB" w:rsidRPr="00B35962">
        <w:rPr>
          <w:lang w:val="sr-Latn-ME"/>
        </w:rPr>
        <w:t xml:space="preserve"> cilj 3:</w:t>
      </w:r>
      <w:r w:rsidR="00441EE3" w:rsidRPr="00B35962">
        <w:rPr>
          <w:lang w:val="sr-Latn-ME"/>
        </w:rPr>
        <w:t xml:space="preserve"> </w:t>
      </w:r>
      <w:r w:rsidR="00134D9D" w:rsidRPr="00B35962">
        <w:rPr>
          <w:lang w:val="sr-Latn-ME"/>
        </w:rPr>
        <w:t>Unapređenje šansi za rani razvoj djece iz osjetljivih grupa</w:t>
      </w:r>
    </w:p>
    <w:p w14:paraId="20F28DB3" w14:textId="14E97CAC" w:rsidR="00EC15B2" w:rsidRPr="00B35962" w:rsidRDefault="002319DD" w:rsidP="000F575A">
      <w:pPr>
        <w:rPr>
          <w:lang w:val="sr-Latn-ME"/>
        </w:rPr>
      </w:pPr>
      <w:bookmarkStart w:id="14" w:name="_Hlk41223188"/>
      <w:r w:rsidRPr="00B35962">
        <w:rPr>
          <w:lang w:val="sr-Latn-ME"/>
        </w:rPr>
        <w:t>Do 202</w:t>
      </w:r>
      <w:r w:rsidR="00A16F75" w:rsidRPr="00B35962">
        <w:rPr>
          <w:lang w:val="sr-Latn-ME"/>
        </w:rPr>
        <w:t>5</w:t>
      </w:r>
      <w:r w:rsidRPr="00B35962">
        <w:rPr>
          <w:lang w:val="sr-Latn-ME"/>
        </w:rPr>
        <w:t xml:space="preserve">. </w:t>
      </w:r>
      <w:r w:rsidR="00D7392B" w:rsidRPr="00B35962">
        <w:rPr>
          <w:lang w:val="sr-Latn-ME"/>
        </w:rPr>
        <w:t>g</w:t>
      </w:r>
      <w:r w:rsidRPr="00B35962">
        <w:rPr>
          <w:lang w:val="sr-Latn-ME"/>
        </w:rPr>
        <w:t>odine u</w:t>
      </w:r>
      <w:r w:rsidR="00C46764" w:rsidRPr="00B35962">
        <w:rPr>
          <w:lang w:val="sr-Latn-ME"/>
        </w:rPr>
        <w:t xml:space="preserve">naprijediti </w:t>
      </w:r>
      <w:r w:rsidR="00134D9D" w:rsidRPr="00B35962">
        <w:rPr>
          <w:lang w:val="sr-Latn-ME"/>
        </w:rPr>
        <w:t>postojeći sistem za pružanje podrške za ran</w:t>
      </w:r>
      <w:r w:rsidR="00C46764" w:rsidRPr="00B35962">
        <w:rPr>
          <w:lang w:val="sr-Latn-ME"/>
        </w:rPr>
        <w:t>i</w:t>
      </w:r>
      <w:r w:rsidR="00134D9D" w:rsidRPr="00B35962">
        <w:rPr>
          <w:lang w:val="sr-Latn-ME"/>
        </w:rPr>
        <w:t xml:space="preserve"> razvoj djece iz osjetljivih grupa kroz pružanje podrške roditeljima i kroz veću uključenost u kvalitetne programe PVO tako da </w:t>
      </w:r>
      <w:r w:rsidR="00A8355C" w:rsidRPr="00B35962">
        <w:rPr>
          <w:lang w:val="sr-Latn-ME"/>
        </w:rPr>
        <w:t>se poveća indeks ranog razvoja (ECDI) djece iz najsiromašnijih porodica sa 76 na 85</w:t>
      </w:r>
      <w:r w:rsidR="00556560" w:rsidRPr="00B35962">
        <w:rPr>
          <w:rStyle w:val="FootnoteReference"/>
          <w:lang w:val="sr-Latn-ME"/>
        </w:rPr>
        <w:footnoteReference w:id="18"/>
      </w:r>
      <w:r w:rsidR="00A8355C" w:rsidRPr="00B35962">
        <w:rPr>
          <w:lang w:val="sr-Latn-ME"/>
        </w:rPr>
        <w:t>.</w:t>
      </w:r>
      <w:bookmarkEnd w:id="14"/>
      <w:r w:rsidR="00C46764" w:rsidRPr="00B35962">
        <w:rPr>
          <w:lang w:val="sr-Latn-ME"/>
        </w:rPr>
        <w:t xml:space="preserve">  </w:t>
      </w:r>
      <w:r w:rsidR="004E4500" w:rsidRPr="00B35962">
        <w:rPr>
          <w:lang w:val="sr-Latn-ME"/>
        </w:rPr>
        <w:t xml:space="preserve"> </w:t>
      </w:r>
    </w:p>
    <w:p w14:paraId="5C60964B" w14:textId="77777777" w:rsidR="004B0138" w:rsidRPr="00B35962" w:rsidRDefault="004B0138" w:rsidP="00C77D7E">
      <w:pPr>
        <w:ind w:left="720" w:firstLine="0"/>
        <w:rPr>
          <w:lang w:val="sr-Latn-ME"/>
        </w:rPr>
      </w:pPr>
    </w:p>
    <w:tbl>
      <w:tblPr>
        <w:tblStyle w:val="TableGrid0"/>
        <w:tblW w:w="0" w:type="auto"/>
        <w:tblLook w:val="04A0" w:firstRow="1" w:lastRow="0" w:firstColumn="1" w:lastColumn="0" w:noHBand="0" w:noVBand="1"/>
      </w:tblPr>
      <w:tblGrid>
        <w:gridCol w:w="9350"/>
      </w:tblGrid>
      <w:tr w:rsidR="008139DB" w:rsidRPr="00B35962" w14:paraId="23AD1B63" w14:textId="77777777" w:rsidTr="008139DB">
        <w:tc>
          <w:tcPr>
            <w:tcW w:w="9350" w:type="dxa"/>
          </w:tcPr>
          <w:p w14:paraId="1432CB58" w14:textId="77777777" w:rsidR="008139DB" w:rsidRPr="00B35962" w:rsidRDefault="008139DB" w:rsidP="008139DB">
            <w:pPr>
              <w:spacing w:after="160"/>
              <w:ind w:firstLine="0"/>
              <w:rPr>
                <w:lang w:val="sr-Latn-ME"/>
              </w:rPr>
            </w:pPr>
            <w:r w:rsidRPr="00B35962">
              <w:rPr>
                <w:lang w:val="sr-Latn-ME"/>
              </w:rPr>
              <w:t>Okvir 1: Principi na kojima počiva Strategija za predškolsko vaspitanje i obrazovanje za period 2021-202</w:t>
            </w:r>
            <w:r w:rsidR="00A16F75" w:rsidRPr="00B35962">
              <w:rPr>
                <w:lang w:val="sr-Latn-ME"/>
              </w:rPr>
              <w:t>5</w:t>
            </w:r>
            <w:r w:rsidRPr="00B35962">
              <w:rPr>
                <w:lang w:val="sr-Latn-ME"/>
              </w:rPr>
              <w:t xml:space="preserve"> u Crnoj Gori </w:t>
            </w:r>
          </w:p>
          <w:p w14:paraId="7BAFB519" w14:textId="77777777" w:rsidR="008139DB" w:rsidRPr="00B35962" w:rsidRDefault="00AA7BF1" w:rsidP="008139DB">
            <w:pPr>
              <w:spacing w:after="160"/>
              <w:ind w:firstLine="0"/>
              <w:rPr>
                <w:i/>
                <w:iCs/>
                <w:color w:val="0070C0"/>
                <w:lang w:val="sr-Latn-ME"/>
              </w:rPr>
            </w:pPr>
            <w:r w:rsidRPr="00B35962">
              <w:rPr>
                <w:i/>
                <w:iCs/>
                <w:color w:val="0070C0"/>
                <w:lang w:val="sr-Latn-ME"/>
              </w:rPr>
              <w:t>Visok k</w:t>
            </w:r>
            <w:r w:rsidR="008139DB" w:rsidRPr="00B35962">
              <w:rPr>
                <w:i/>
                <w:iCs/>
                <w:color w:val="0070C0"/>
                <w:lang w:val="sr-Latn-ME"/>
              </w:rPr>
              <w:t>valitet usluga</w:t>
            </w:r>
            <w:r w:rsidRPr="00B35962">
              <w:rPr>
                <w:i/>
                <w:iCs/>
                <w:color w:val="0070C0"/>
                <w:lang w:val="sr-Latn-ME"/>
              </w:rPr>
              <w:t xml:space="preserve"> i iskustvenost</w:t>
            </w:r>
          </w:p>
          <w:p w14:paraId="1EC380E3" w14:textId="77777777" w:rsidR="00C61C49" w:rsidRPr="00B35962" w:rsidRDefault="00A02AB2" w:rsidP="008139DB">
            <w:pPr>
              <w:spacing w:after="160"/>
              <w:ind w:firstLine="0"/>
              <w:rPr>
                <w:lang w:val="sr-Latn-ME"/>
              </w:rPr>
            </w:pPr>
            <w:r w:rsidRPr="00B35962">
              <w:rPr>
                <w:lang w:val="sr-Latn-ME"/>
              </w:rPr>
              <w:t>Diversifikovani p</w:t>
            </w:r>
            <w:r w:rsidR="008139DB" w:rsidRPr="00B35962">
              <w:rPr>
                <w:lang w:val="sr-Latn-ME"/>
              </w:rPr>
              <w:t>rogrami i usluge predškolskog vaspitanja i obrazovanja se zasnivaju na savremenim naučnim saznanjima</w:t>
            </w:r>
            <w:r w:rsidRPr="00B35962">
              <w:rPr>
                <w:lang w:val="sr-Latn-ME"/>
              </w:rPr>
              <w:t>, potrebama djece i porodica</w:t>
            </w:r>
            <w:r w:rsidR="008139DB" w:rsidRPr="00B35962">
              <w:rPr>
                <w:lang w:val="sr-Latn-ME"/>
              </w:rPr>
              <w:t xml:space="preserve"> i dobrim praksama koje su razvijene od strane praktičara </w:t>
            </w:r>
            <w:r w:rsidRPr="00B35962">
              <w:rPr>
                <w:lang w:val="sr-Latn-ME"/>
              </w:rPr>
              <w:t xml:space="preserve">radi </w:t>
            </w:r>
            <w:r w:rsidR="008139DB" w:rsidRPr="00B35962">
              <w:rPr>
                <w:lang w:val="sr-Latn-ME"/>
              </w:rPr>
              <w:t>pružanj</w:t>
            </w:r>
            <w:r w:rsidRPr="00B35962">
              <w:rPr>
                <w:lang w:val="sr-Latn-ME"/>
              </w:rPr>
              <w:t>a</w:t>
            </w:r>
            <w:r w:rsidR="008139DB" w:rsidRPr="00B35962">
              <w:rPr>
                <w:lang w:val="sr-Latn-ME"/>
              </w:rPr>
              <w:t xml:space="preserve"> </w:t>
            </w:r>
            <w:r w:rsidR="00AA7BF1" w:rsidRPr="00B35962">
              <w:rPr>
                <w:lang w:val="sr-Latn-ME"/>
              </w:rPr>
              <w:t>o</w:t>
            </w:r>
            <w:r w:rsidR="00C61C49" w:rsidRPr="00B35962">
              <w:rPr>
                <w:lang w:val="sr-Latn-ME"/>
              </w:rPr>
              <w:t>ptimalne</w:t>
            </w:r>
            <w:r w:rsidR="00AA7BF1" w:rsidRPr="00B35962">
              <w:rPr>
                <w:lang w:val="sr-Latn-ME"/>
              </w:rPr>
              <w:t xml:space="preserve"> </w:t>
            </w:r>
            <w:r w:rsidR="008139DB" w:rsidRPr="00B35962">
              <w:rPr>
                <w:lang w:val="sr-Latn-ME"/>
              </w:rPr>
              <w:t xml:space="preserve">podrške ranom razvoju </w:t>
            </w:r>
            <w:r w:rsidR="00C61C49" w:rsidRPr="00B35962">
              <w:rPr>
                <w:lang w:val="sr-Latn-ME"/>
              </w:rPr>
              <w:t xml:space="preserve">sve </w:t>
            </w:r>
            <w:r w:rsidR="008139DB" w:rsidRPr="00B35962">
              <w:rPr>
                <w:lang w:val="sr-Latn-ME"/>
              </w:rPr>
              <w:t xml:space="preserve">djece kroz razvojno </w:t>
            </w:r>
            <w:r w:rsidR="00AA7BF1" w:rsidRPr="00B35962">
              <w:rPr>
                <w:lang w:val="sr-Latn-ME"/>
              </w:rPr>
              <w:t xml:space="preserve">prilagođene </w:t>
            </w:r>
            <w:r w:rsidR="008139DB" w:rsidRPr="00B35962">
              <w:rPr>
                <w:lang w:val="sr-Latn-ME"/>
              </w:rPr>
              <w:t>aktivnosti i igru.</w:t>
            </w:r>
          </w:p>
          <w:p w14:paraId="4D34413B" w14:textId="77777777" w:rsidR="00AA7BF1" w:rsidRPr="00B35962" w:rsidRDefault="00C61C49" w:rsidP="008139DB">
            <w:pPr>
              <w:spacing w:after="160"/>
              <w:ind w:firstLine="0"/>
              <w:rPr>
                <w:i/>
                <w:iCs/>
                <w:color w:val="0070C0"/>
                <w:lang w:val="sr-Latn-ME"/>
              </w:rPr>
            </w:pPr>
            <w:r w:rsidRPr="00B35962">
              <w:rPr>
                <w:i/>
                <w:iCs/>
                <w:color w:val="0070C0"/>
                <w:lang w:val="sr-Latn-ME"/>
              </w:rPr>
              <w:t>Zajednica refleksivnih praktičara</w:t>
            </w:r>
            <w:r w:rsidR="00770C4B" w:rsidRPr="00B35962">
              <w:rPr>
                <w:i/>
                <w:iCs/>
                <w:color w:val="0070C0"/>
                <w:lang w:val="sr-Latn-ME"/>
              </w:rPr>
              <w:t xml:space="preserve">, inovativnost i </w:t>
            </w:r>
            <w:r w:rsidR="00F23D87" w:rsidRPr="00B35962">
              <w:rPr>
                <w:i/>
                <w:iCs/>
                <w:color w:val="0070C0"/>
                <w:lang w:val="sr-Latn-ME"/>
              </w:rPr>
              <w:t>obezbjeđivanje</w:t>
            </w:r>
            <w:r w:rsidR="00770C4B" w:rsidRPr="00B35962">
              <w:rPr>
                <w:i/>
                <w:iCs/>
                <w:color w:val="0070C0"/>
                <w:lang w:val="sr-Latn-ME"/>
              </w:rPr>
              <w:t xml:space="preserve"> kvaliteta</w:t>
            </w:r>
            <w:r w:rsidR="008139DB" w:rsidRPr="00B35962">
              <w:rPr>
                <w:i/>
                <w:iCs/>
                <w:color w:val="0070C0"/>
                <w:lang w:val="sr-Latn-ME"/>
              </w:rPr>
              <w:t xml:space="preserve"> </w:t>
            </w:r>
          </w:p>
          <w:p w14:paraId="68B75A2F" w14:textId="77777777" w:rsidR="008139DB" w:rsidRPr="00B35962" w:rsidRDefault="00AA7BF1" w:rsidP="008139DB">
            <w:pPr>
              <w:spacing w:after="160"/>
              <w:ind w:firstLine="0"/>
              <w:rPr>
                <w:lang w:val="sr-Latn-ME"/>
              </w:rPr>
            </w:pPr>
            <w:r w:rsidRPr="00B35962">
              <w:rPr>
                <w:lang w:val="sr-Latn-ME"/>
              </w:rPr>
              <w:t xml:space="preserve">Ključni faktor za </w:t>
            </w:r>
            <w:r w:rsidR="00E86E27" w:rsidRPr="00B35962">
              <w:rPr>
                <w:lang w:val="sr-Latn-ME"/>
              </w:rPr>
              <w:t>unapređivanje</w:t>
            </w:r>
            <w:r w:rsidRPr="00B35962">
              <w:rPr>
                <w:lang w:val="sr-Latn-ME"/>
              </w:rPr>
              <w:t xml:space="preserve"> kvaliteta je zajednica refleksivnih praktičara koj</w:t>
            </w:r>
            <w:r w:rsidR="0095338D" w:rsidRPr="00B35962">
              <w:rPr>
                <w:lang w:val="sr-Latn-ME"/>
              </w:rPr>
              <w:t>i rade u adekv</w:t>
            </w:r>
            <w:r w:rsidR="00770C4B" w:rsidRPr="00B35962">
              <w:rPr>
                <w:lang w:val="sr-Latn-ME"/>
              </w:rPr>
              <w:t xml:space="preserve">atnim </w:t>
            </w:r>
            <w:r w:rsidR="0095338D" w:rsidRPr="00B35962">
              <w:rPr>
                <w:lang w:val="sr-Latn-ME"/>
              </w:rPr>
              <w:t>uslovima koji im omogućavaju da</w:t>
            </w:r>
            <w:r w:rsidRPr="00B35962">
              <w:rPr>
                <w:lang w:val="sr-Latn-ME"/>
              </w:rPr>
              <w:t xml:space="preserve"> kroz saradnju i c</w:t>
            </w:r>
            <w:r w:rsidR="0004010A" w:rsidRPr="00B35962">
              <w:rPr>
                <w:lang w:val="sr-Latn-ME"/>
              </w:rPr>
              <w:t>j</w:t>
            </w:r>
            <w:r w:rsidRPr="00B35962">
              <w:rPr>
                <w:lang w:val="sr-Latn-ME"/>
              </w:rPr>
              <w:t>eloživotno učenje kontinuirano inovira</w:t>
            </w:r>
            <w:r w:rsidR="0095338D" w:rsidRPr="00B35962">
              <w:rPr>
                <w:lang w:val="sr-Latn-ME"/>
              </w:rPr>
              <w:t>ju</w:t>
            </w:r>
            <w:r w:rsidRPr="00B35962">
              <w:rPr>
                <w:lang w:val="sr-Latn-ME"/>
              </w:rPr>
              <w:t xml:space="preserve"> </w:t>
            </w:r>
            <w:r w:rsidR="0095338D" w:rsidRPr="00B35962">
              <w:rPr>
                <w:lang w:val="sr-Latn-ME"/>
              </w:rPr>
              <w:t xml:space="preserve">svoju </w:t>
            </w:r>
            <w:r w:rsidRPr="00B35962">
              <w:rPr>
                <w:lang w:val="sr-Latn-ME"/>
              </w:rPr>
              <w:t xml:space="preserve">praksu </w:t>
            </w:r>
            <w:r w:rsidR="008139DB" w:rsidRPr="00B35962">
              <w:rPr>
                <w:lang w:val="sr-Latn-ME"/>
              </w:rPr>
              <w:t xml:space="preserve">kako bi bili u stanju da </w:t>
            </w:r>
            <w:r w:rsidR="0095338D" w:rsidRPr="00B35962">
              <w:rPr>
                <w:lang w:val="sr-Latn-ME"/>
              </w:rPr>
              <w:t>pruž</w:t>
            </w:r>
            <w:r w:rsidR="0004010A" w:rsidRPr="00B35962">
              <w:rPr>
                <w:lang w:val="sr-Latn-ME"/>
              </w:rPr>
              <w:t>e</w:t>
            </w:r>
            <w:r w:rsidR="0095338D" w:rsidRPr="00B35962">
              <w:rPr>
                <w:lang w:val="sr-Latn-ME"/>
              </w:rPr>
              <w:t xml:space="preserve"> adekvatnu podršku djeci i porodici</w:t>
            </w:r>
            <w:r w:rsidR="008139DB" w:rsidRPr="00B35962">
              <w:rPr>
                <w:lang w:val="sr-Latn-ME"/>
              </w:rPr>
              <w:t xml:space="preserve">. </w:t>
            </w:r>
          </w:p>
          <w:p w14:paraId="5D0BB08A" w14:textId="77777777" w:rsidR="0095338D" w:rsidRPr="00B35962" w:rsidRDefault="0095338D" w:rsidP="0095338D">
            <w:pPr>
              <w:spacing w:after="160"/>
              <w:ind w:firstLine="0"/>
              <w:rPr>
                <w:i/>
                <w:iCs/>
                <w:color w:val="0070C0"/>
                <w:lang w:val="sr-Latn-ME"/>
              </w:rPr>
            </w:pPr>
            <w:r w:rsidRPr="00B35962">
              <w:rPr>
                <w:i/>
                <w:iCs/>
                <w:color w:val="0070C0"/>
                <w:lang w:val="sr-Latn-ME"/>
              </w:rPr>
              <w:t>Dostupnost, individualizacija i integrisanost usluga</w:t>
            </w:r>
          </w:p>
          <w:p w14:paraId="24807474" w14:textId="1D721ABA" w:rsidR="0095338D" w:rsidRPr="00B35962" w:rsidRDefault="0095338D" w:rsidP="0095338D">
            <w:pPr>
              <w:spacing w:after="160"/>
              <w:ind w:firstLine="0"/>
              <w:rPr>
                <w:lang w:val="sr-Latn-ME"/>
              </w:rPr>
            </w:pPr>
            <w:r w:rsidRPr="00B35962">
              <w:rPr>
                <w:lang w:val="sr-Latn-ME"/>
              </w:rPr>
              <w:t xml:space="preserve">Podrška i usluge u predškolskom vaspitanju i obrazovanju </w:t>
            </w:r>
            <w:r w:rsidR="00DE1B11">
              <w:rPr>
                <w:lang w:val="sr-Latn-ME"/>
              </w:rPr>
              <w:t>treba da budu dostupne svakom d</w:t>
            </w:r>
            <w:r w:rsidRPr="00B35962">
              <w:rPr>
                <w:lang w:val="sr-Latn-ME"/>
              </w:rPr>
              <w:t>jetetu, da budu usmjerene na dijete i porodicu i usklađene sa njihovim potrebama</w:t>
            </w:r>
            <w:r w:rsidR="00A02AB2" w:rsidRPr="00B35962">
              <w:rPr>
                <w:lang w:val="sr-Latn-ME"/>
              </w:rPr>
              <w:t>,</w:t>
            </w:r>
            <w:r w:rsidR="00C61C49" w:rsidRPr="00B35962">
              <w:rPr>
                <w:lang w:val="sr-Latn-ME"/>
              </w:rPr>
              <w:t xml:space="preserve"> </w:t>
            </w:r>
            <w:r w:rsidRPr="00B35962">
              <w:rPr>
                <w:lang w:val="sr-Latn-ME"/>
              </w:rPr>
              <w:t xml:space="preserve">da budu integrisane sa </w:t>
            </w:r>
            <w:r w:rsidR="00AA5323" w:rsidRPr="00B35962">
              <w:rPr>
                <w:lang w:val="sr-Latn-ME"/>
              </w:rPr>
              <w:t>uslugama iz zdravstvenog sektora i sektora socijalnog staranja</w:t>
            </w:r>
            <w:r w:rsidR="00072C9E" w:rsidRPr="00B35962">
              <w:rPr>
                <w:lang w:val="sr-Latn-ME"/>
              </w:rPr>
              <w:t xml:space="preserve"> i da doprinose inkluzivnosti i kohezivnosti zajednice</w:t>
            </w:r>
            <w:r w:rsidRPr="00B35962">
              <w:rPr>
                <w:lang w:val="sr-Latn-ME"/>
              </w:rPr>
              <w:t>.</w:t>
            </w:r>
          </w:p>
          <w:p w14:paraId="6F004334" w14:textId="77777777" w:rsidR="0095338D" w:rsidRPr="00B35962" w:rsidRDefault="0095338D" w:rsidP="0095338D">
            <w:pPr>
              <w:spacing w:after="160"/>
              <w:ind w:firstLine="0"/>
              <w:rPr>
                <w:i/>
                <w:iCs/>
                <w:color w:val="0070C0"/>
                <w:lang w:val="sr-Latn-ME"/>
              </w:rPr>
            </w:pPr>
            <w:r w:rsidRPr="00B35962">
              <w:rPr>
                <w:i/>
                <w:iCs/>
                <w:color w:val="0070C0"/>
                <w:lang w:val="sr-Latn-ME"/>
              </w:rPr>
              <w:t>Participacija</w:t>
            </w:r>
            <w:r w:rsidR="00655FEC" w:rsidRPr="00B35962">
              <w:rPr>
                <w:i/>
                <w:iCs/>
                <w:color w:val="0070C0"/>
                <w:lang w:val="sr-Latn-ME"/>
              </w:rPr>
              <w:t xml:space="preserve">, partnerstvo i </w:t>
            </w:r>
            <w:r w:rsidR="00FD338F" w:rsidRPr="00B35962">
              <w:rPr>
                <w:i/>
                <w:iCs/>
                <w:color w:val="0070C0"/>
                <w:lang w:val="sr-Latn-ME"/>
              </w:rPr>
              <w:t xml:space="preserve">intersektorska </w:t>
            </w:r>
            <w:r w:rsidR="00655FEC" w:rsidRPr="00B35962">
              <w:rPr>
                <w:i/>
                <w:iCs/>
                <w:color w:val="0070C0"/>
                <w:lang w:val="sr-Latn-ME"/>
              </w:rPr>
              <w:t>saradnja</w:t>
            </w:r>
          </w:p>
          <w:p w14:paraId="781F2383" w14:textId="77777777" w:rsidR="0095338D" w:rsidRPr="00B35962" w:rsidRDefault="00655FEC" w:rsidP="0095338D">
            <w:pPr>
              <w:spacing w:after="160"/>
              <w:ind w:firstLine="0"/>
              <w:rPr>
                <w:lang w:val="sr-Latn-ME"/>
              </w:rPr>
            </w:pPr>
            <w:r w:rsidRPr="00B35962">
              <w:rPr>
                <w:lang w:val="sr-Latn-ME"/>
              </w:rPr>
              <w:t>Svi važni akteri u PVO (praktičari, r</w:t>
            </w:r>
            <w:r w:rsidR="0095338D" w:rsidRPr="00B35962">
              <w:rPr>
                <w:lang w:val="sr-Latn-ME"/>
              </w:rPr>
              <w:t>oditelji, lokalna zajednica, donosioci odluka</w:t>
            </w:r>
            <w:r w:rsidRPr="00B35962">
              <w:rPr>
                <w:lang w:val="sr-Latn-ME"/>
              </w:rPr>
              <w:t xml:space="preserve"> i drugi)</w:t>
            </w:r>
            <w:r w:rsidR="0095338D" w:rsidRPr="00B35962">
              <w:rPr>
                <w:lang w:val="sr-Latn-ME"/>
              </w:rPr>
              <w:t xml:space="preserve"> će </w:t>
            </w:r>
            <w:r w:rsidRPr="00B35962">
              <w:rPr>
                <w:lang w:val="sr-Latn-ME"/>
              </w:rPr>
              <w:t xml:space="preserve">kroz partnerstvo i saradnju </w:t>
            </w:r>
            <w:r w:rsidR="00AA5323" w:rsidRPr="00B35962">
              <w:rPr>
                <w:lang w:val="sr-Latn-ME"/>
              </w:rPr>
              <w:t xml:space="preserve">sa ustanovama drugim sektorima (zdravstveni sektor i sektor za socijalnog staranja) </w:t>
            </w:r>
            <w:r w:rsidR="00C61C49" w:rsidRPr="00B35962">
              <w:rPr>
                <w:lang w:val="sr-Latn-ME"/>
              </w:rPr>
              <w:t>obezb</w:t>
            </w:r>
            <w:r w:rsidR="00E86E27" w:rsidRPr="00B35962">
              <w:rPr>
                <w:lang w:val="sr-Latn-ME"/>
              </w:rPr>
              <w:t>j</w:t>
            </w:r>
            <w:r w:rsidR="00C61C49" w:rsidRPr="00B35962">
              <w:rPr>
                <w:lang w:val="sr-Latn-ME"/>
              </w:rPr>
              <w:t>eđivati</w:t>
            </w:r>
            <w:r w:rsidR="0095338D" w:rsidRPr="00B35962">
              <w:rPr>
                <w:lang w:val="sr-Latn-ME"/>
              </w:rPr>
              <w:t xml:space="preserve"> podržavajuće i zdravo okruženja</w:t>
            </w:r>
            <w:r w:rsidR="00C61C49" w:rsidRPr="00B35962">
              <w:rPr>
                <w:lang w:val="sr-Latn-ME"/>
              </w:rPr>
              <w:t xml:space="preserve"> za rani razvoj sve djece</w:t>
            </w:r>
            <w:r w:rsidR="0095338D" w:rsidRPr="00B35962">
              <w:rPr>
                <w:lang w:val="sr-Latn-ME"/>
              </w:rPr>
              <w:t xml:space="preserve"> i prilagodiće svoje usluge kako bi se zadovoljile jedinstvene potrebe djece i njihovih porodica. </w:t>
            </w:r>
          </w:p>
          <w:p w14:paraId="5DA26215" w14:textId="77777777" w:rsidR="00770C4B" w:rsidRPr="00B35962" w:rsidRDefault="00770C4B" w:rsidP="008139DB">
            <w:pPr>
              <w:spacing w:after="160"/>
              <w:ind w:firstLine="0"/>
              <w:rPr>
                <w:i/>
                <w:iCs/>
                <w:color w:val="0070C0"/>
                <w:lang w:val="sr-Latn-ME"/>
              </w:rPr>
            </w:pPr>
            <w:r w:rsidRPr="00B35962">
              <w:rPr>
                <w:i/>
                <w:iCs/>
                <w:color w:val="0070C0"/>
                <w:lang w:val="sr-Latn-ME"/>
              </w:rPr>
              <w:t>Adekvatni uslovi</w:t>
            </w:r>
            <w:r w:rsidR="00580198" w:rsidRPr="00B35962">
              <w:rPr>
                <w:i/>
                <w:iCs/>
                <w:color w:val="0070C0"/>
                <w:lang w:val="sr-Latn-ME"/>
              </w:rPr>
              <w:t xml:space="preserve"> i kapaciteti</w:t>
            </w:r>
          </w:p>
          <w:p w14:paraId="3999A575" w14:textId="77777777" w:rsidR="008139DB" w:rsidRPr="00B35962" w:rsidRDefault="00770C4B" w:rsidP="00770C4B">
            <w:pPr>
              <w:spacing w:after="160"/>
              <w:ind w:firstLine="0"/>
              <w:rPr>
                <w:lang w:val="sr-Latn-ME"/>
              </w:rPr>
            </w:pPr>
            <w:r w:rsidRPr="00B35962">
              <w:rPr>
                <w:lang w:val="sr-Latn-ME"/>
              </w:rPr>
              <w:t xml:space="preserve">Kvalitet usluga u PVO je nužno povezan sa </w:t>
            </w:r>
            <w:r w:rsidR="00F23D87" w:rsidRPr="00B35962">
              <w:rPr>
                <w:lang w:val="sr-Latn-ME"/>
              </w:rPr>
              <w:t>obezbjeđivanje</w:t>
            </w:r>
            <w:r w:rsidRPr="00B35962">
              <w:rPr>
                <w:lang w:val="sr-Latn-ME"/>
              </w:rPr>
              <w:t>m adekvatnih uslova (prostor, oprema i didaktički materijali, veličina vaspitnih grupa, društveni status PVO</w:t>
            </w:r>
            <w:r w:rsidR="00580198" w:rsidRPr="00B35962">
              <w:rPr>
                <w:lang w:val="sr-Latn-ME"/>
              </w:rPr>
              <w:t>) i kapaciteta (npr. odgovarajući broj vaspitača i drugog kadra)</w:t>
            </w:r>
            <w:r w:rsidRPr="00B35962">
              <w:rPr>
                <w:lang w:val="sr-Latn-ME"/>
              </w:rPr>
              <w:t xml:space="preserve"> i zato je neophodno da se, u skladu sa raspoloživim resursima, unapr</w:t>
            </w:r>
            <w:r w:rsidR="00E86E27" w:rsidRPr="00B35962">
              <w:rPr>
                <w:lang w:val="sr-Latn-ME"/>
              </w:rPr>
              <w:t>ij</w:t>
            </w:r>
            <w:r w:rsidRPr="00B35962">
              <w:rPr>
                <w:lang w:val="sr-Latn-ME"/>
              </w:rPr>
              <w:t xml:space="preserve">ede postojeći uslovi u kojima se realizuju programi </w:t>
            </w:r>
            <w:r w:rsidR="0004010A" w:rsidRPr="00B35962">
              <w:rPr>
                <w:lang w:val="sr-Latn-ME"/>
              </w:rPr>
              <w:t>i</w:t>
            </w:r>
            <w:r w:rsidRPr="00B35962">
              <w:rPr>
                <w:lang w:val="sr-Latn-ME"/>
              </w:rPr>
              <w:t xml:space="preserve"> usluge predškolskog vaspitanja i obrazovanja</w:t>
            </w:r>
            <w:r w:rsidR="00580198" w:rsidRPr="00B35962">
              <w:rPr>
                <w:lang w:val="sr-Latn-ME"/>
              </w:rPr>
              <w:t xml:space="preserve"> i kapaciteti PVO</w:t>
            </w:r>
            <w:r w:rsidRPr="00B35962">
              <w:rPr>
                <w:lang w:val="sr-Latn-ME"/>
              </w:rPr>
              <w:t xml:space="preserve">. </w:t>
            </w:r>
          </w:p>
          <w:p w14:paraId="566D4D93" w14:textId="77777777" w:rsidR="00FF7254" w:rsidRPr="00B35962" w:rsidRDefault="00FF7254" w:rsidP="00FF7254">
            <w:pPr>
              <w:spacing w:before="100" w:beforeAutospacing="1" w:after="160"/>
              <w:ind w:firstLine="0"/>
              <w:jc w:val="left"/>
              <w:rPr>
                <w:rFonts w:eastAsia="Times New Roman"/>
                <w:i/>
                <w:iCs/>
                <w:color w:val="0070C0"/>
                <w:szCs w:val="24"/>
                <w:lang w:val="sr-Latn-ME"/>
              </w:rPr>
            </w:pPr>
            <w:r w:rsidRPr="00B35962">
              <w:rPr>
                <w:rFonts w:eastAsia="Times New Roman"/>
                <w:i/>
                <w:iCs/>
                <w:color w:val="0070C0"/>
                <w:szCs w:val="24"/>
                <w:lang w:val="sr-Latn-ME"/>
              </w:rPr>
              <w:t>Institucionalizacija inovacija</w:t>
            </w:r>
          </w:p>
          <w:p w14:paraId="3A45D299" w14:textId="77777777" w:rsidR="000839CC" w:rsidRPr="00B35962" w:rsidRDefault="00FF7254" w:rsidP="00350CFC">
            <w:pPr>
              <w:spacing w:before="100" w:beforeAutospacing="1" w:after="160"/>
              <w:ind w:firstLine="0"/>
              <w:rPr>
                <w:rFonts w:eastAsia="Times New Roman"/>
                <w:szCs w:val="24"/>
                <w:lang w:val="sr-Latn-ME"/>
              </w:rPr>
            </w:pPr>
            <w:r w:rsidRPr="00B35962">
              <w:rPr>
                <w:rFonts w:eastAsia="Times New Roman"/>
                <w:szCs w:val="24"/>
                <w:lang w:val="sr-Latn-ME"/>
              </w:rPr>
              <w:t>Pravci razvoja, nove prakse, uspostavljene nove usluge treba da budu prepoznate, precizno određene, utemeljene, postavljene i propraćene u odgovarajućoj legislativi i pravno-tehničkoj osnovi i normi da bi se osigurala njihova primjena i kapacitet.</w:t>
            </w:r>
          </w:p>
        </w:tc>
      </w:tr>
    </w:tbl>
    <w:p w14:paraId="43007CB5" w14:textId="77777777" w:rsidR="003D7F02" w:rsidRPr="00B35962" w:rsidRDefault="003D7F02" w:rsidP="006B7669">
      <w:pPr>
        <w:spacing w:after="160"/>
        <w:ind w:firstLine="0"/>
        <w:rPr>
          <w:lang w:val="sr-Latn-ME"/>
        </w:rPr>
      </w:pPr>
      <w:r w:rsidRPr="00B35962">
        <w:rPr>
          <w:lang w:val="sr-Latn-ME"/>
        </w:rPr>
        <w:tab/>
      </w:r>
    </w:p>
    <w:p w14:paraId="6ECEB1A7" w14:textId="77777777" w:rsidR="00296289" w:rsidRPr="00B35962" w:rsidRDefault="00296289">
      <w:pPr>
        <w:spacing w:after="160"/>
        <w:ind w:firstLine="0"/>
        <w:rPr>
          <w:b/>
          <w:lang w:val="sr-Latn-ME"/>
        </w:rPr>
      </w:pPr>
      <w:r w:rsidRPr="00B35962">
        <w:rPr>
          <w:b/>
          <w:lang w:val="sr-Latn-ME"/>
        </w:rPr>
        <w:br w:type="page"/>
      </w:r>
    </w:p>
    <w:p w14:paraId="04BCFA22" w14:textId="3C713EEE" w:rsidR="006B7669" w:rsidRPr="00B35962" w:rsidRDefault="00D131EB" w:rsidP="00A5310D">
      <w:pPr>
        <w:ind w:firstLine="0"/>
        <w:rPr>
          <w:b/>
          <w:color w:val="0070C0"/>
          <w:lang w:val="sr-Latn-ME"/>
        </w:rPr>
      </w:pPr>
      <w:r w:rsidRPr="00B35962">
        <w:rPr>
          <w:b/>
          <w:color w:val="0070C0"/>
          <w:lang w:val="sr-Latn-ME"/>
        </w:rPr>
        <w:lastRenderedPageBreak/>
        <w:t>O</w:t>
      </w:r>
      <w:r w:rsidR="004B0138" w:rsidRPr="00B35962">
        <w:rPr>
          <w:b/>
          <w:color w:val="0070C0"/>
          <w:lang w:val="sr-Latn-ME"/>
        </w:rPr>
        <w:t>perativni</w:t>
      </w:r>
      <w:r w:rsidR="000A3E8E" w:rsidRPr="00B35962">
        <w:rPr>
          <w:b/>
          <w:color w:val="0070C0"/>
          <w:lang w:val="sr-Latn-ME"/>
        </w:rPr>
        <w:t xml:space="preserve"> cilj 1</w:t>
      </w:r>
      <w:r w:rsidR="006B7003" w:rsidRPr="00B35962">
        <w:rPr>
          <w:b/>
          <w:color w:val="0070C0"/>
          <w:lang w:val="sr-Latn-ME"/>
        </w:rPr>
        <w:t xml:space="preserve">: </w:t>
      </w:r>
      <w:r w:rsidR="00177B93" w:rsidRPr="00B35962">
        <w:rPr>
          <w:b/>
          <w:color w:val="0070C0"/>
          <w:lang w:val="sr-Latn-ME"/>
        </w:rPr>
        <w:t>Povećanje obuhvata djece PVO</w:t>
      </w:r>
    </w:p>
    <w:p w14:paraId="60D49DAD" w14:textId="730FB9B7" w:rsidR="00797AC5" w:rsidRPr="00B35962" w:rsidRDefault="00093D46" w:rsidP="00C77D7E">
      <w:pPr>
        <w:ind w:firstLine="0"/>
        <w:rPr>
          <w:lang w:val="sr-Latn-ME"/>
        </w:rPr>
      </w:pPr>
      <w:r w:rsidRPr="00B35962">
        <w:rPr>
          <w:lang w:val="sr-Latn-ME"/>
        </w:rPr>
        <w:tab/>
      </w:r>
      <w:r w:rsidR="006B7003" w:rsidRPr="00B35962">
        <w:rPr>
          <w:lang w:val="sr-Latn-ME"/>
        </w:rPr>
        <w:t xml:space="preserve">Prvi </w:t>
      </w:r>
      <w:r w:rsidR="004B0138" w:rsidRPr="00B35962">
        <w:rPr>
          <w:lang w:val="sr-Latn-ME"/>
        </w:rPr>
        <w:t>opšti operativni</w:t>
      </w:r>
      <w:r w:rsidR="006B7003" w:rsidRPr="00B35962">
        <w:rPr>
          <w:lang w:val="sr-Latn-ME"/>
        </w:rPr>
        <w:t xml:space="preserve"> cilj se odnosi na povećanje obuhvata. Imajući u vidu da je tokom perioda primjene prethodne strategije (2016-2020) obuhvat u prosjeku uvećavan za 3 procentna poena </w:t>
      </w:r>
      <w:r w:rsidR="003C6917" w:rsidRPr="00B35962">
        <w:rPr>
          <w:lang w:val="sr-Latn-ME"/>
        </w:rPr>
        <w:t xml:space="preserve">godišnje </w:t>
      </w:r>
      <w:r w:rsidR="006B7003" w:rsidRPr="00B35962">
        <w:rPr>
          <w:lang w:val="sr-Latn-ME"/>
        </w:rPr>
        <w:t>to znači da uz postojeći intenzitet širenja obuhvata može da se dostigne obuhvat od 6</w:t>
      </w:r>
      <w:r w:rsidR="00797AC5" w:rsidRPr="00B35962">
        <w:rPr>
          <w:lang w:val="sr-Latn-ME"/>
        </w:rPr>
        <w:t>0</w:t>
      </w:r>
      <w:r w:rsidR="006B7003" w:rsidRPr="00B35962">
        <w:rPr>
          <w:lang w:val="sr-Latn-ME"/>
        </w:rPr>
        <w:t>% do 202</w:t>
      </w:r>
      <w:r w:rsidR="00A16F75" w:rsidRPr="00B35962">
        <w:rPr>
          <w:lang w:val="sr-Latn-ME"/>
        </w:rPr>
        <w:t>5</w:t>
      </w:r>
      <w:r w:rsidR="006B7003" w:rsidRPr="00B35962">
        <w:rPr>
          <w:lang w:val="sr-Latn-ME"/>
        </w:rPr>
        <w:t xml:space="preserve">. </w:t>
      </w:r>
      <w:r w:rsidR="003C6917" w:rsidRPr="00B35962">
        <w:rPr>
          <w:lang w:val="sr-Latn-ME"/>
        </w:rPr>
        <w:t>g</w:t>
      </w:r>
      <w:r w:rsidR="006B7003" w:rsidRPr="00B35962">
        <w:rPr>
          <w:lang w:val="sr-Latn-ME"/>
        </w:rPr>
        <w:t>odine.</w:t>
      </w:r>
      <w:r w:rsidR="00C77D7E" w:rsidRPr="00B35962">
        <w:rPr>
          <w:lang w:val="sr-Latn-ME"/>
        </w:rPr>
        <w:t xml:space="preserve"> </w:t>
      </w:r>
      <w:r w:rsidR="00085AC6" w:rsidRPr="00B35962">
        <w:rPr>
          <w:lang w:val="sr-Latn-ME"/>
        </w:rPr>
        <w:t>To znači da bi oko 27</w:t>
      </w:r>
      <w:r w:rsidR="003C6917" w:rsidRPr="00B35962">
        <w:rPr>
          <w:lang w:val="sr-Latn-ME"/>
        </w:rPr>
        <w:t>.</w:t>
      </w:r>
      <w:r w:rsidR="00085AC6" w:rsidRPr="00B35962">
        <w:rPr>
          <w:lang w:val="sr-Latn-ME"/>
        </w:rPr>
        <w:t>000 djece trebalo da pohađa PVO u 202</w:t>
      </w:r>
      <w:r w:rsidR="00A16F75" w:rsidRPr="00B35962">
        <w:rPr>
          <w:lang w:val="sr-Latn-ME"/>
        </w:rPr>
        <w:t>5</w:t>
      </w:r>
      <w:r w:rsidR="00085AC6" w:rsidRPr="00B35962">
        <w:rPr>
          <w:lang w:val="sr-Latn-ME"/>
        </w:rPr>
        <w:t xml:space="preserve">. </w:t>
      </w:r>
      <w:r w:rsidR="003C6917" w:rsidRPr="00B35962">
        <w:rPr>
          <w:lang w:val="sr-Latn-ME"/>
        </w:rPr>
        <w:t>g</w:t>
      </w:r>
      <w:r w:rsidR="00085AC6" w:rsidRPr="00B35962">
        <w:rPr>
          <w:lang w:val="sr-Latn-ME"/>
        </w:rPr>
        <w:t>odini, odnosno oko 3</w:t>
      </w:r>
      <w:r w:rsidR="003C6917" w:rsidRPr="00B35962">
        <w:rPr>
          <w:lang w:val="sr-Latn-ME"/>
        </w:rPr>
        <w:t>.</w:t>
      </w:r>
      <w:r w:rsidR="00085AC6" w:rsidRPr="00B35962">
        <w:rPr>
          <w:lang w:val="sr-Latn-ME"/>
        </w:rPr>
        <w:t xml:space="preserve">600 više djece nego što je to bio slučaj u 2020. </w:t>
      </w:r>
      <w:r w:rsidR="003C6917" w:rsidRPr="00B35962">
        <w:rPr>
          <w:lang w:val="sr-Latn-ME"/>
        </w:rPr>
        <w:t>g</w:t>
      </w:r>
      <w:r w:rsidR="00085AC6" w:rsidRPr="00B35962">
        <w:rPr>
          <w:lang w:val="sr-Latn-ME"/>
        </w:rPr>
        <w:t>odini. Pored toga, povećanje obuhvata treba da bude ostvareno tako da obuhvat djece mlađe od 3 godine bude 30%, a da obuhvat djece od 3 godine do polaska u osnovnu školu bude 90% (vidi tabelu 2). Da bi se ostvario taj cilj potrebno je da se broj djece u jaslicama poveća za oko 600 i da se broj djece u vrtićima poveća za oko 3</w:t>
      </w:r>
      <w:r w:rsidR="003C6917" w:rsidRPr="00B35962">
        <w:rPr>
          <w:lang w:val="sr-Latn-ME"/>
        </w:rPr>
        <w:t>.</w:t>
      </w:r>
      <w:r w:rsidR="00085AC6" w:rsidRPr="00B35962">
        <w:rPr>
          <w:lang w:val="sr-Latn-ME"/>
        </w:rPr>
        <w:t xml:space="preserve">000. </w:t>
      </w:r>
      <w:r w:rsidR="00797AC5" w:rsidRPr="00B35962">
        <w:rPr>
          <w:lang w:val="sr-Latn-ME"/>
        </w:rPr>
        <w:t xml:space="preserve"> </w:t>
      </w:r>
    </w:p>
    <w:p w14:paraId="57B1DFF2" w14:textId="77777777" w:rsidR="00566A90" w:rsidRPr="00B35962" w:rsidRDefault="00566A90" w:rsidP="00797AC5">
      <w:pPr>
        <w:rPr>
          <w:lang w:val="sr-Latn-ME"/>
        </w:rPr>
      </w:pPr>
    </w:p>
    <w:p w14:paraId="5DE9288B" w14:textId="3D549ACA" w:rsidR="00797AC5" w:rsidRPr="00B35962" w:rsidRDefault="00797AC5" w:rsidP="00797AC5">
      <w:pPr>
        <w:rPr>
          <w:lang w:val="sr-Latn-ME"/>
        </w:rPr>
      </w:pPr>
      <w:r w:rsidRPr="00B35962">
        <w:rPr>
          <w:lang w:val="sr-Latn-ME"/>
        </w:rPr>
        <w:t>Planirano povećanje broja djece u PVO je niže od povećanja koje je ostvareno u periodu 2016-2020 u kojem je oko 6</w:t>
      </w:r>
      <w:r w:rsidR="003C6917" w:rsidRPr="00B35962">
        <w:rPr>
          <w:lang w:val="sr-Latn-ME"/>
        </w:rPr>
        <w:t>.</w:t>
      </w:r>
      <w:r w:rsidRPr="00B35962">
        <w:rPr>
          <w:lang w:val="sr-Latn-ME"/>
        </w:rPr>
        <w:t>000 dodatne djece uključeno u PVO (oko 4</w:t>
      </w:r>
      <w:r w:rsidR="003C6917" w:rsidRPr="00B35962">
        <w:rPr>
          <w:lang w:val="sr-Latn-ME"/>
        </w:rPr>
        <w:t>.</w:t>
      </w:r>
      <w:r w:rsidRPr="00B35962">
        <w:rPr>
          <w:lang w:val="sr-Latn-ME"/>
        </w:rPr>
        <w:t>000 u vrtiće i oko 2</w:t>
      </w:r>
      <w:r w:rsidR="003C6917" w:rsidRPr="00B35962">
        <w:rPr>
          <w:lang w:val="sr-Latn-ME"/>
        </w:rPr>
        <w:t>.</w:t>
      </w:r>
      <w:r w:rsidRPr="00B35962">
        <w:rPr>
          <w:lang w:val="sr-Latn-ME"/>
        </w:rPr>
        <w:t>000 u jaslene programe). Ključni razlog zašto se za period 2020-202</w:t>
      </w:r>
      <w:r w:rsidR="00A16F75" w:rsidRPr="00B35962">
        <w:rPr>
          <w:lang w:val="sr-Latn-ME"/>
        </w:rPr>
        <w:t>5</w:t>
      </w:r>
      <w:r w:rsidRPr="00B35962">
        <w:rPr>
          <w:lang w:val="sr-Latn-ME"/>
        </w:rPr>
        <w:t xml:space="preserve"> planira niži porast u broju djece se odnosi na potrebu da se smanji veličina postojećih grupa (koje su sada u velikom broju PU veoma velike</w:t>
      </w:r>
      <w:r w:rsidR="006A72C5" w:rsidRPr="00B35962">
        <w:rPr>
          <w:lang w:val="sr-Latn-ME"/>
        </w:rPr>
        <w:t xml:space="preserve">) i da se na taj način ostvari </w:t>
      </w:r>
      <w:r w:rsidR="00E00A18" w:rsidRPr="00B35962">
        <w:rPr>
          <w:lang w:val="sr-Latn-ME"/>
        </w:rPr>
        <w:t>opšti operativni</w:t>
      </w:r>
      <w:r w:rsidR="006A72C5" w:rsidRPr="00B35962">
        <w:rPr>
          <w:lang w:val="sr-Latn-ME"/>
        </w:rPr>
        <w:t xml:space="preserve"> cilj 2 (povećanje kvaliteta, vidi dole).</w:t>
      </w:r>
    </w:p>
    <w:p w14:paraId="54C55056" w14:textId="77777777" w:rsidR="00566A90" w:rsidRPr="00B35962" w:rsidRDefault="00566A90" w:rsidP="00797AC5">
      <w:pPr>
        <w:rPr>
          <w:lang w:val="sr-Latn-ME"/>
        </w:rPr>
      </w:pPr>
    </w:p>
    <w:p w14:paraId="30A7C60A" w14:textId="71C31437" w:rsidR="009E2114" w:rsidRPr="00B35962" w:rsidRDefault="00797AC5" w:rsidP="00797AC5">
      <w:pPr>
        <w:rPr>
          <w:lang w:val="sr-Latn-ME"/>
        </w:rPr>
      </w:pPr>
      <w:r w:rsidRPr="00B35962">
        <w:rPr>
          <w:lang w:val="sr-Latn-ME"/>
        </w:rPr>
        <w:t xml:space="preserve">Ostvarenjem ovog </w:t>
      </w:r>
      <w:r w:rsidR="00E00A18" w:rsidRPr="00B35962">
        <w:rPr>
          <w:lang w:val="sr-Latn-ME"/>
        </w:rPr>
        <w:t xml:space="preserve">opšteg operativnog </w:t>
      </w:r>
      <w:r w:rsidRPr="00B35962">
        <w:rPr>
          <w:lang w:val="sr-Latn-ME"/>
        </w:rPr>
        <w:t xml:space="preserve">cilja PVO u Crnoj Gori bi se približila prosječnom obuhvatu jaslenim programima u zemljama EU (prosječni obuhvat je oko 35%) i EU cilju za 2020. </w:t>
      </w:r>
      <w:r w:rsidR="00CB79CE" w:rsidRPr="00B35962">
        <w:rPr>
          <w:lang w:val="sr-Latn-ME"/>
        </w:rPr>
        <w:t>g</w:t>
      </w:r>
      <w:r w:rsidRPr="00B35962">
        <w:rPr>
          <w:lang w:val="sr-Latn-ME"/>
        </w:rPr>
        <w:t>odinu kada je u pitanju obuhvat djece starije od 4 godine (95%).</w:t>
      </w:r>
    </w:p>
    <w:p w14:paraId="2F653C75" w14:textId="77777777" w:rsidR="009E2114" w:rsidRPr="00B35962" w:rsidRDefault="009E2114" w:rsidP="00797AC5">
      <w:pPr>
        <w:rPr>
          <w:lang w:val="sr-Latn-ME"/>
        </w:rPr>
      </w:pPr>
    </w:p>
    <w:p w14:paraId="59CD31A3" w14:textId="4B907120" w:rsidR="007C3A96" w:rsidRPr="00B35962" w:rsidRDefault="007C3A96" w:rsidP="007C3A96">
      <w:pPr>
        <w:pStyle w:val="Caption"/>
        <w:keepNext/>
        <w:ind w:firstLine="0"/>
        <w:rPr>
          <w:i w:val="0"/>
          <w:iCs w:val="0"/>
          <w:color w:val="auto"/>
          <w:sz w:val="24"/>
          <w:szCs w:val="24"/>
          <w:lang w:val="sr-Latn-ME"/>
        </w:rPr>
      </w:pPr>
      <w:r w:rsidRPr="00B35962">
        <w:rPr>
          <w:i w:val="0"/>
          <w:iCs w:val="0"/>
          <w:color w:val="auto"/>
          <w:sz w:val="24"/>
          <w:szCs w:val="24"/>
          <w:lang w:val="sr-Latn-ME"/>
        </w:rPr>
        <w:t xml:space="preserve">Tabela </w:t>
      </w:r>
      <w:r w:rsidRPr="00B35962">
        <w:rPr>
          <w:i w:val="0"/>
          <w:iCs w:val="0"/>
          <w:color w:val="auto"/>
          <w:sz w:val="24"/>
          <w:szCs w:val="24"/>
          <w:lang w:val="sr-Latn-ME"/>
        </w:rPr>
        <w:fldChar w:fldCharType="begin"/>
      </w:r>
      <w:r w:rsidRPr="00B35962">
        <w:rPr>
          <w:i w:val="0"/>
          <w:iCs w:val="0"/>
          <w:color w:val="auto"/>
          <w:sz w:val="24"/>
          <w:szCs w:val="24"/>
          <w:lang w:val="sr-Latn-ME"/>
        </w:rPr>
        <w:instrText xml:space="preserve"> SEQ Tabela \* ARABIC </w:instrText>
      </w:r>
      <w:r w:rsidRPr="00B35962">
        <w:rPr>
          <w:i w:val="0"/>
          <w:iCs w:val="0"/>
          <w:color w:val="auto"/>
          <w:sz w:val="24"/>
          <w:szCs w:val="24"/>
          <w:lang w:val="sr-Latn-ME"/>
        </w:rPr>
        <w:fldChar w:fldCharType="separate"/>
      </w:r>
      <w:r w:rsidR="0054592B" w:rsidRPr="00B35962">
        <w:rPr>
          <w:i w:val="0"/>
          <w:iCs w:val="0"/>
          <w:noProof/>
          <w:color w:val="auto"/>
          <w:sz w:val="24"/>
          <w:szCs w:val="24"/>
          <w:lang w:val="sr-Latn-ME"/>
        </w:rPr>
        <w:t>2</w:t>
      </w:r>
      <w:r w:rsidRPr="00B35962">
        <w:rPr>
          <w:i w:val="0"/>
          <w:iCs w:val="0"/>
          <w:color w:val="auto"/>
          <w:sz w:val="24"/>
          <w:szCs w:val="24"/>
          <w:lang w:val="sr-Latn-ME"/>
        </w:rPr>
        <w:fldChar w:fldCharType="end"/>
      </w:r>
      <w:r w:rsidRPr="00B35962">
        <w:rPr>
          <w:i w:val="0"/>
          <w:iCs w:val="0"/>
          <w:color w:val="auto"/>
          <w:sz w:val="24"/>
          <w:szCs w:val="24"/>
          <w:lang w:val="sr-Latn-ME"/>
        </w:rPr>
        <w:t xml:space="preserve">. Indikatori za praćenje </w:t>
      </w:r>
      <w:r w:rsidR="004B0138" w:rsidRPr="00B35962">
        <w:rPr>
          <w:i w:val="0"/>
          <w:iCs w:val="0"/>
          <w:color w:val="auto"/>
          <w:sz w:val="24"/>
          <w:szCs w:val="24"/>
          <w:lang w:val="sr-Latn-ME"/>
        </w:rPr>
        <w:t>operativnog</w:t>
      </w:r>
      <w:r w:rsidRPr="00B35962">
        <w:rPr>
          <w:i w:val="0"/>
          <w:iCs w:val="0"/>
          <w:color w:val="auto"/>
          <w:sz w:val="24"/>
          <w:szCs w:val="24"/>
          <w:lang w:val="sr-Latn-ME"/>
        </w:rPr>
        <w:t xml:space="preserve"> cilja 1</w:t>
      </w:r>
    </w:p>
    <w:tbl>
      <w:tblPr>
        <w:tblStyle w:val="TableGrid0"/>
        <w:tblW w:w="96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48"/>
        <w:gridCol w:w="2448"/>
        <w:gridCol w:w="1584"/>
        <w:gridCol w:w="1584"/>
        <w:gridCol w:w="1584"/>
      </w:tblGrid>
      <w:tr w:rsidR="009E2114" w:rsidRPr="00B35962" w14:paraId="01CD15A4" w14:textId="77777777" w:rsidTr="00936B91">
        <w:tc>
          <w:tcPr>
            <w:tcW w:w="2448" w:type="dxa"/>
          </w:tcPr>
          <w:p w14:paraId="2FF631F4" w14:textId="770FA7A7" w:rsidR="009E2114" w:rsidRPr="00B35962" w:rsidRDefault="00D131EB" w:rsidP="009E2114">
            <w:pPr>
              <w:ind w:firstLine="0"/>
              <w:rPr>
                <w:lang w:val="sr-Latn-ME"/>
              </w:rPr>
            </w:pPr>
            <w:r w:rsidRPr="00B35962">
              <w:rPr>
                <w:lang w:val="sr-Latn-ME"/>
              </w:rPr>
              <w:t>O</w:t>
            </w:r>
            <w:r w:rsidR="004B0138" w:rsidRPr="00B35962">
              <w:rPr>
                <w:lang w:val="sr-Latn-ME"/>
              </w:rPr>
              <w:t xml:space="preserve">perativni </w:t>
            </w:r>
            <w:r w:rsidR="009E2114" w:rsidRPr="00B35962">
              <w:rPr>
                <w:lang w:val="sr-Latn-ME"/>
              </w:rPr>
              <w:t>cilj</w:t>
            </w:r>
          </w:p>
        </w:tc>
        <w:tc>
          <w:tcPr>
            <w:tcW w:w="2448" w:type="dxa"/>
          </w:tcPr>
          <w:p w14:paraId="12E71B29" w14:textId="77777777" w:rsidR="009E2114" w:rsidRPr="00B35962" w:rsidRDefault="009E2114" w:rsidP="009E2114">
            <w:pPr>
              <w:ind w:firstLine="0"/>
              <w:rPr>
                <w:lang w:val="sr-Latn-ME"/>
              </w:rPr>
            </w:pPr>
            <w:r w:rsidRPr="00B35962">
              <w:rPr>
                <w:lang w:val="sr-Latn-ME"/>
              </w:rPr>
              <w:t>Indikator</w:t>
            </w:r>
            <w:r w:rsidR="00EE49B4" w:rsidRPr="00B35962">
              <w:rPr>
                <w:lang w:val="sr-Latn-ME"/>
              </w:rPr>
              <w:t xml:space="preserve"> (izvor)</w:t>
            </w:r>
          </w:p>
        </w:tc>
        <w:tc>
          <w:tcPr>
            <w:tcW w:w="1584" w:type="dxa"/>
          </w:tcPr>
          <w:p w14:paraId="4709AC3E" w14:textId="77777777" w:rsidR="009E2114" w:rsidRPr="00B35962" w:rsidRDefault="009E2114" w:rsidP="009E2114">
            <w:pPr>
              <w:ind w:firstLine="0"/>
              <w:rPr>
                <w:lang w:val="sr-Latn-ME"/>
              </w:rPr>
            </w:pPr>
            <w:r w:rsidRPr="00B35962">
              <w:rPr>
                <w:lang w:val="sr-Latn-ME"/>
              </w:rPr>
              <w:t>Sadašnja vrijednost 2020</w:t>
            </w:r>
          </w:p>
        </w:tc>
        <w:tc>
          <w:tcPr>
            <w:tcW w:w="1584" w:type="dxa"/>
          </w:tcPr>
          <w:p w14:paraId="592190C7" w14:textId="77777777" w:rsidR="009E2114" w:rsidRPr="00B35962" w:rsidRDefault="009E2114" w:rsidP="009E2114">
            <w:pPr>
              <w:ind w:firstLine="0"/>
              <w:rPr>
                <w:lang w:val="sr-Latn-ME"/>
              </w:rPr>
            </w:pPr>
            <w:r w:rsidRPr="00B35962">
              <w:rPr>
                <w:lang w:val="sr-Latn-ME"/>
              </w:rPr>
              <w:t>Ciljna vrijednost 2022</w:t>
            </w:r>
          </w:p>
        </w:tc>
        <w:tc>
          <w:tcPr>
            <w:tcW w:w="1584" w:type="dxa"/>
          </w:tcPr>
          <w:p w14:paraId="77BBFC5B" w14:textId="77777777" w:rsidR="009E2114" w:rsidRPr="00B35962" w:rsidRDefault="009E2114" w:rsidP="00D70D59">
            <w:pPr>
              <w:ind w:firstLine="0"/>
              <w:rPr>
                <w:lang w:val="sr-Latn-ME"/>
              </w:rPr>
            </w:pPr>
            <w:r w:rsidRPr="00B35962">
              <w:rPr>
                <w:lang w:val="sr-Latn-ME"/>
              </w:rPr>
              <w:t>Ciljna vrijednost 202</w:t>
            </w:r>
            <w:r w:rsidR="00D70D59" w:rsidRPr="00B35962">
              <w:rPr>
                <w:lang w:val="sr-Latn-ME"/>
              </w:rPr>
              <w:t>5</w:t>
            </w:r>
          </w:p>
        </w:tc>
      </w:tr>
      <w:tr w:rsidR="00E44A85" w:rsidRPr="00B35962" w14:paraId="2CD0A5E7" w14:textId="77777777" w:rsidTr="00936B91">
        <w:tc>
          <w:tcPr>
            <w:tcW w:w="2448" w:type="dxa"/>
          </w:tcPr>
          <w:p w14:paraId="33C3DB51" w14:textId="77777777" w:rsidR="00E44A85" w:rsidRPr="00B35962" w:rsidRDefault="00E44A85" w:rsidP="004B1FD4">
            <w:pPr>
              <w:ind w:firstLine="0"/>
              <w:jc w:val="left"/>
              <w:rPr>
                <w:lang w:val="sr-Latn-ME"/>
              </w:rPr>
            </w:pPr>
            <w:r w:rsidRPr="00B35962">
              <w:rPr>
                <w:lang w:val="sr-Latn-ME"/>
              </w:rPr>
              <w:t xml:space="preserve">1. </w:t>
            </w:r>
            <w:r w:rsidR="00177B93" w:rsidRPr="00B35962">
              <w:rPr>
                <w:lang w:val="sr-Latn-ME"/>
              </w:rPr>
              <w:t>Povećanje obuhvata djece PVO</w:t>
            </w:r>
          </w:p>
        </w:tc>
        <w:tc>
          <w:tcPr>
            <w:tcW w:w="2448" w:type="dxa"/>
          </w:tcPr>
          <w:p w14:paraId="7BC188BE" w14:textId="77777777" w:rsidR="00E44A85" w:rsidRPr="00B35962" w:rsidRDefault="00E44A85" w:rsidP="004B1FD4">
            <w:pPr>
              <w:ind w:firstLine="0"/>
              <w:jc w:val="left"/>
              <w:rPr>
                <w:lang w:val="sr-Latn-ME"/>
              </w:rPr>
            </w:pPr>
            <w:r w:rsidRPr="00B35962">
              <w:rPr>
                <w:lang w:val="sr-Latn-ME"/>
              </w:rPr>
              <w:t>1.1 Ukupan obuhvat djece uzrasta od 0 do 6 godina</w:t>
            </w:r>
            <w:r w:rsidR="00EE49B4" w:rsidRPr="00B35962">
              <w:rPr>
                <w:lang w:val="sr-Latn-ME"/>
              </w:rPr>
              <w:t xml:space="preserve"> (MONSTAT)</w:t>
            </w:r>
          </w:p>
        </w:tc>
        <w:tc>
          <w:tcPr>
            <w:tcW w:w="1584" w:type="dxa"/>
          </w:tcPr>
          <w:p w14:paraId="4AA7DB75" w14:textId="77777777" w:rsidR="00E44A85" w:rsidRPr="00B35962" w:rsidRDefault="00E44A85" w:rsidP="004B1FD4">
            <w:pPr>
              <w:ind w:firstLine="0"/>
              <w:rPr>
                <w:lang w:val="sr-Latn-ME"/>
              </w:rPr>
            </w:pPr>
            <w:r w:rsidRPr="00B35962">
              <w:rPr>
                <w:lang w:val="sr-Latn-ME"/>
              </w:rPr>
              <w:t>52%</w:t>
            </w:r>
          </w:p>
        </w:tc>
        <w:tc>
          <w:tcPr>
            <w:tcW w:w="1584" w:type="dxa"/>
          </w:tcPr>
          <w:p w14:paraId="249AE9DA" w14:textId="77777777" w:rsidR="00E44A85" w:rsidRPr="00B35962" w:rsidRDefault="00E44A85" w:rsidP="004B1FD4">
            <w:pPr>
              <w:ind w:firstLine="0"/>
              <w:rPr>
                <w:lang w:val="sr-Latn-ME"/>
              </w:rPr>
            </w:pPr>
            <w:r w:rsidRPr="00B35962">
              <w:rPr>
                <w:lang w:val="sr-Latn-ME"/>
              </w:rPr>
              <w:t>56%</w:t>
            </w:r>
          </w:p>
        </w:tc>
        <w:tc>
          <w:tcPr>
            <w:tcW w:w="1584" w:type="dxa"/>
          </w:tcPr>
          <w:p w14:paraId="660A1B92" w14:textId="77777777" w:rsidR="00E44A85" w:rsidRPr="00B35962" w:rsidRDefault="00E44A85" w:rsidP="004B1FD4">
            <w:pPr>
              <w:ind w:firstLine="0"/>
              <w:rPr>
                <w:lang w:val="sr-Latn-ME"/>
              </w:rPr>
            </w:pPr>
            <w:r w:rsidRPr="00B35962">
              <w:rPr>
                <w:lang w:val="sr-Latn-ME"/>
              </w:rPr>
              <w:t xml:space="preserve"> 60%</w:t>
            </w:r>
          </w:p>
        </w:tc>
      </w:tr>
      <w:tr w:rsidR="00E44A85" w:rsidRPr="00B35962" w14:paraId="3A6D08FC" w14:textId="77777777" w:rsidTr="00936B91">
        <w:tc>
          <w:tcPr>
            <w:tcW w:w="2448" w:type="dxa"/>
          </w:tcPr>
          <w:p w14:paraId="5B795E0A" w14:textId="77777777" w:rsidR="00E44A85" w:rsidRPr="00B35962" w:rsidRDefault="00E44A85" w:rsidP="004B1FD4">
            <w:pPr>
              <w:ind w:firstLine="0"/>
              <w:jc w:val="left"/>
              <w:rPr>
                <w:lang w:val="sr-Latn-ME"/>
              </w:rPr>
            </w:pPr>
            <w:r w:rsidRPr="00B35962">
              <w:rPr>
                <w:lang w:val="sr-Latn-ME"/>
              </w:rPr>
              <w:t xml:space="preserve">1. </w:t>
            </w:r>
            <w:r w:rsidR="00177B93" w:rsidRPr="00B35962">
              <w:rPr>
                <w:lang w:val="sr-Latn-ME"/>
              </w:rPr>
              <w:t>Povećanje obuhvata djece PVO</w:t>
            </w:r>
          </w:p>
        </w:tc>
        <w:tc>
          <w:tcPr>
            <w:tcW w:w="2448" w:type="dxa"/>
          </w:tcPr>
          <w:p w14:paraId="5A199EA4" w14:textId="77777777" w:rsidR="00E44A85" w:rsidRPr="00B35962" w:rsidRDefault="00E44A85" w:rsidP="004B1FD4">
            <w:pPr>
              <w:ind w:firstLine="0"/>
              <w:jc w:val="left"/>
              <w:rPr>
                <w:lang w:val="sr-Latn-ME"/>
              </w:rPr>
            </w:pPr>
            <w:r w:rsidRPr="00B35962">
              <w:rPr>
                <w:lang w:val="sr-Latn-ME"/>
              </w:rPr>
              <w:t>1.2 Ukupan obuhvat djece uzrasta od 3 do 6 godina</w:t>
            </w:r>
            <w:r w:rsidR="00EE49B4" w:rsidRPr="00B35962">
              <w:rPr>
                <w:lang w:val="sr-Latn-ME"/>
              </w:rPr>
              <w:t xml:space="preserve"> (MONSTAT)</w:t>
            </w:r>
          </w:p>
        </w:tc>
        <w:tc>
          <w:tcPr>
            <w:tcW w:w="1584" w:type="dxa"/>
          </w:tcPr>
          <w:p w14:paraId="23E7E0D5" w14:textId="77777777" w:rsidR="00E44A85" w:rsidRPr="00B35962" w:rsidRDefault="00E44A85" w:rsidP="004B1FD4">
            <w:pPr>
              <w:ind w:firstLine="0"/>
              <w:rPr>
                <w:lang w:val="sr-Latn-ME"/>
              </w:rPr>
            </w:pPr>
            <w:r w:rsidRPr="00B35962">
              <w:rPr>
                <w:lang w:val="sr-Latn-ME"/>
              </w:rPr>
              <w:t>7</w:t>
            </w:r>
            <w:r w:rsidR="005E50D2" w:rsidRPr="00B35962">
              <w:rPr>
                <w:lang w:val="sr-Latn-ME"/>
              </w:rPr>
              <w:t>7%</w:t>
            </w:r>
          </w:p>
        </w:tc>
        <w:tc>
          <w:tcPr>
            <w:tcW w:w="1584" w:type="dxa"/>
          </w:tcPr>
          <w:p w14:paraId="11A90A66" w14:textId="77777777" w:rsidR="00E44A85" w:rsidRPr="00B35962" w:rsidRDefault="00E44A85" w:rsidP="004B1FD4">
            <w:pPr>
              <w:ind w:firstLine="0"/>
              <w:rPr>
                <w:lang w:val="sr-Latn-ME"/>
              </w:rPr>
            </w:pPr>
            <w:r w:rsidRPr="00B35962">
              <w:rPr>
                <w:lang w:val="sr-Latn-ME"/>
              </w:rPr>
              <w:t>83%</w:t>
            </w:r>
          </w:p>
        </w:tc>
        <w:tc>
          <w:tcPr>
            <w:tcW w:w="1584" w:type="dxa"/>
          </w:tcPr>
          <w:p w14:paraId="1D009551" w14:textId="77777777" w:rsidR="00E44A85" w:rsidRPr="00B35962" w:rsidRDefault="00E44A85" w:rsidP="004B1FD4">
            <w:pPr>
              <w:ind w:firstLine="0"/>
              <w:rPr>
                <w:lang w:val="sr-Latn-ME"/>
              </w:rPr>
            </w:pPr>
            <w:r w:rsidRPr="00B35962">
              <w:rPr>
                <w:lang w:val="sr-Latn-ME"/>
              </w:rPr>
              <w:t xml:space="preserve"> 90%</w:t>
            </w:r>
          </w:p>
        </w:tc>
      </w:tr>
      <w:tr w:rsidR="009E2114" w:rsidRPr="00B35962" w14:paraId="67611105" w14:textId="77777777" w:rsidTr="00936B91">
        <w:tc>
          <w:tcPr>
            <w:tcW w:w="2448" w:type="dxa"/>
          </w:tcPr>
          <w:p w14:paraId="03FE8D1C" w14:textId="77777777" w:rsidR="009E2114" w:rsidRPr="00B35962" w:rsidRDefault="009E2114" w:rsidP="009E2114">
            <w:pPr>
              <w:ind w:firstLine="0"/>
              <w:jc w:val="left"/>
              <w:rPr>
                <w:lang w:val="sr-Latn-ME"/>
              </w:rPr>
            </w:pPr>
            <w:r w:rsidRPr="00B35962">
              <w:rPr>
                <w:lang w:val="sr-Latn-ME"/>
              </w:rPr>
              <w:t xml:space="preserve">1. </w:t>
            </w:r>
            <w:r w:rsidR="00177B93" w:rsidRPr="00B35962">
              <w:rPr>
                <w:lang w:val="sr-Latn-ME"/>
              </w:rPr>
              <w:t>Povećanje obuhvata djece PVO</w:t>
            </w:r>
          </w:p>
        </w:tc>
        <w:tc>
          <w:tcPr>
            <w:tcW w:w="2448" w:type="dxa"/>
          </w:tcPr>
          <w:p w14:paraId="57780B51" w14:textId="77777777" w:rsidR="009E2114" w:rsidRPr="00B35962" w:rsidRDefault="009E2114" w:rsidP="009E2114">
            <w:pPr>
              <w:ind w:firstLine="0"/>
              <w:jc w:val="left"/>
              <w:rPr>
                <w:lang w:val="sr-Latn-ME"/>
              </w:rPr>
            </w:pPr>
            <w:r w:rsidRPr="00B35962">
              <w:rPr>
                <w:lang w:val="sr-Latn-ME"/>
              </w:rPr>
              <w:t>1.</w:t>
            </w:r>
            <w:r w:rsidR="00E44A85" w:rsidRPr="00B35962">
              <w:rPr>
                <w:lang w:val="sr-Latn-ME"/>
              </w:rPr>
              <w:t>3</w:t>
            </w:r>
            <w:r w:rsidRPr="00B35962">
              <w:rPr>
                <w:lang w:val="sr-Latn-ME"/>
              </w:rPr>
              <w:t xml:space="preserve"> Ukupan obuhvat djece uzrasta od </w:t>
            </w:r>
            <w:r w:rsidR="00E44A85" w:rsidRPr="00B35962">
              <w:rPr>
                <w:lang w:val="sr-Latn-ME"/>
              </w:rPr>
              <w:t>0</w:t>
            </w:r>
            <w:r w:rsidRPr="00B35962">
              <w:rPr>
                <w:lang w:val="sr-Latn-ME"/>
              </w:rPr>
              <w:t xml:space="preserve"> do </w:t>
            </w:r>
            <w:r w:rsidR="00E44A85" w:rsidRPr="00B35962">
              <w:rPr>
                <w:lang w:val="sr-Latn-ME"/>
              </w:rPr>
              <w:t>3</w:t>
            </w:r>
            <w:r w:rsidRPr="00B35962">
              <w:rPr>
                <w:lang w:val="sr-Latn-ME"/>
              </w:rPr>
              <w:t xml:space="preserve"> godina</w:t>
            </w:r>
            <w:r w:rsidR="00EE49B4" w:rsidRPr="00B35962">
              <w:rPr>
                <w:lang w:val="sr-Latn-ME"/>
              </w:rPr>
              <w:t xml:space="preserve"> (MONSTAT)</w:t>
            </w:r>
          </w:p>
        </w:tc>
        <w:tc>
          <w:tcPr>
            <w:tcW w:w="1584" w:type="dxa"/>
          </w:tcPr>
          <w:p w14:paraId="3356F958" w14:textId="77777777" w:rsidR="009E2114" w:rsidRPr="00B35962" w:rsidRDefault="00E44A85" w:rsidP="009E2114">
            <w:pPr>
              <w:ind w:firstLine="0"/>
              <w:rPr>
                <w:lang w:val="sr-Latn-ME"/>
              </w:rPr>
            </w:pPr>
            <w:r w:rsidRPr="00B35962">
              <w:rPr>
                <w:lang w:val="sr-Latn-ME"/>
              </w:rPr>
              <w:t>2</w:t>
            </w:r>
            <w:r w:rsidR="008514D8" w:rsidRPr="00B35962">
              <w:rPr>
                <w:lang w:val="sr-Latn-ME"/>
              </w:rPr>
              <w:t>8</w:t>
            </w:r>
            <w:r w:rsidR="009E2114" w:rsidRPr="00B35962">
              <w:rPr>
                <w:lang w:val="sr-Latn-ME"/>
              </w:rPr>
              <w:t>%</w:t>
            </w:r>
          </w:p>
        </w:tc>
        <w:tc>
          <w:tcPr>
            <w:tcW w:w="1584" w:type="dxa"/>
          </w:tcPr>
          <w:p w14:paraId="2AA8736C" w14:textId="77777777" w:rsidR="009E2114" w:rsidRPr="00B35962" w:rsidRDefault="00E44A85" w:rsidP="009E2114">
            <w:pPr>
              <w:ind w:firstLine="0"/>
              <w:rPr>
                <w:lang w:val="sr-Latn-ME"/>
              </w:rPr>
            </w:pPr>
            <w:r w:rsidRPr="00B35962">
              <w:rPr>
                <w:lang w:val="sr-Latn-ME"/>
              </w:rPr>
              <w:t>2</w:t>
            </w:r>
            <w:r w:rsidR="008514D8" w:rsidRPr="00B35962">
              <w:rPr>
                <w:lang w:val="sr-Latn-ME"/>
              </w:rPr>
              <w:t>9</w:t>
            </w:r>
            <w:r w:rsidRPr="00B35962">
              <w:rPr>
                <w:lang w:val="sr-Latn-ME"/>
              </w:rPr>
              <w:t>%</w:t>
            </w:r>
          </w:p>
        </w:tc>
        <w:tc>
          <w:tcPr>
            <w:tcW w:w="1584" w:type="dxa"/>
          </w:tcPr>
          <w:p w14:paraId="1B60B088" w14:textId="77777777" w:rsidR="009E2114" w:rsidRPr="00B35962" w:rsidRDefault="009E2114" w:rsidP="009E2114">
            <w:pPr>
              <w:ind w:firstLine="0"/>
              <w:rPr>
                <w:lang w:val="sr-Latn-ME"/>
              </w:rPr>
            </w:pPr>
            <w:r w:rsidRPr="00B35962">
              <w:rPr>
                <w:lang w:val="sr-Latn-ME"/>
              </w:rPr>
              <w:t xml:space="preserve"> </w:t>
            </w:r>
            <w:r w:rsidR="00E44A85" w:rsidRPr="00B35962">
              <w:rPr>
                <w:lang w:val="sr-Latn-ME"/>
              </w:rPr>
              <w:t>3</w:t>
            </w:r>
            <w:r w:rsidRPr="00B35962">
              <w:rPr>
                <w:lang w:val="sr-Latn-ME"/>
              </w:rPr>
              <w:t>0%</w:t>
            </w:r>
          </w:p>
        </w:tc>
      </w:tr>
    </w:tbl>
    <w:p w14:paraId="11D6CED3" w14:textId="5B8D01BF" w:rsidR="00C60C9D" w:rsidRPr="00B35962" w:rsidRDefault="00797AC5" w:rsidP="006A72C5">
      <w:pPr>
        <w:rPr>
          <w:lang w:val="sr-Latn-ME"/>
        </w:rPr>
      </w:pPr>
      <w:r w:rsidRPr="00B35962">
        <w:rPr>
          <w:lang w:val="sr-Latn-ME"/>
        </w:rPr>
        <w:t xml:space="preserve"> </w:t>
      </w:r>
      <w:r w:rsidR="00823423" w:rsidRPr="00B35962">
        <w:rPr>
          <w:lang w:val="sr-Latn-ME"/>
        </w:rPr>
        <w:t xml:space="preserve">Da bi se ostvario ovaj </w:t>
      </w:r>
      <w:r w:rsidR="004B0138" w:rsidRPr="00B35962">
        <w:rPr>
          <w:lang w:val="sr-Latn-ME"/>
        </w:rPr>
        <w:t>operativni cilj</w:t>
      </w:r>
      <w:r w:rsidR="00823423" w:rsidRPr="00B35962">
        <w:rPr>
          <w:lang w:val="sr-Latn-ME"/>
        </w:rPr>
        <w:t xml:space="preserve"> potrebno je da se realizuju sl</w:t>
      </w:r>
      <w:r w:rsidR="0004010A" w:rsidRPr="00B35962">
        <w:rPr>
          <w:lang w:val="sr-Latn-ME"/>
        </w:rPr>
        <w:t>j</w:t>
      </w:r>
      <w:r w:rsidR="00823423" w:rsidRPr="00B35962">
        <w:rPr>
          <w:lang w:val="sr-Latn-ME"/>
        </w:rPr>
        <w:t>edeć</w:t>
      </w:r>
      <w:r w:rsidR="00D131EB" w:rsidRPr="00B35962">
        <w:rPr>
          <w:lang w:val="sr-Latn-ME"/>
        </w:rPr>
        <w:t>a ključna mjerila da</w:t>
      </w:r>
      <w:r w:rsidR="00F24E7F" w:rsidRPr="00B35962">
        <w:rPr>
          <w:lang w:val="sr-Latn-ME"/>
        </w:rPr>
        <w:t xml:space="preserve"> </w:t>
      </w:r>
      <w:r w:rsidR="004B3182" w:rsidRPr="00B35962">
        <w:rPr>
          <w:lang w:val="sr-Latn-ME"/>
        </w:rPr>
        <w:t xml:space="preserve">bi doprinijeli </w:t>
      </w:r>
      <w:r w:rsidR="00F24E7F" w:rsidRPr="00B35962">
        <w:rPr>
          <w:lang w:val="sr-Latn-ME"/>
        </w:rPr>
        <w:t>proširenj</w:t>
      </w:r>
      <w:r w:rsidR="004B3182" w:rsidRPr="00B35962">
        <w:rPr>
          <w:lang w:val="sr-Latn-ME"/>
        </w:rPr>
        <w:t>u</w:t>
      </w:r>
      <w:r w:rsidR="00F24E7F" w:rsidRPr="00B35962">
        <w:rPr>
          <w:lang w:val="sr-Latn-ME"/>
        </w:rPr>
        <w:t xml:space="preserve"> postojećih kapaciteta</w:t>
      </w:r>
      <w:r w:rsidR="00823423" w:rsidRPr="00B35962">
        <w:rPr>
          <w:lang w:val="sr-Latn-ME"/>
        </w:rPr>
        <w:t>:</w:t>
      </w:r>
    </w:p>
    <w:p w14:paraId="78C93E9A" w14:textId="3ECF640F" w:rsidR="00823423" w:rsidRPr="00B35962" w:rsidRDefault="00D131EB" w:rsidP="00075DEC">
      <w:pPr>
        <w:pStyle w:val="ListParagraph"/>
        <w:numPr>
          <w:ilvl w:val="0"/>
          <w:numId w:val="2"/>
        </w:numPr>
        <w:ind w:left="1170"/>
        <w:rPr>
          <w:lang w:val="sr-Latn-ME"/>
        </w:rPr>
      </w:pPr>
      <w:r w:rsidRPr="00B35962">
        <w:rPr>
          <w:lang w:val="sr-Latn-ME"/>
        </w:rPr>
        <w:t>Ključno mjerilo</w:t>
      </w:r>
      <w:r w:rsidR="00823423" w:rsidRPr="00B35962">
        <w:rPr>
          <w:lang w:val="sr-Latn-ME"/>
        </w:rPr>
        <w:t xml:space="preserve"> </w:t>
      </w:r>
      <w:r w:rsidR="00441EE3" w:rsidRPr="00B35962">
        <w:rPr>
          <w:lang w:val="sr-Latn-ME"/>
        </w:rPr>
        <w:t>1.</w:t>
      </w:r>
      <w:r w:rsidR="00823423" w:rsidRPr="00B35962">
        <w:rPr>
          <w:lang w:val="sr-Latn-ME"/>
        </w:rPr>
        <w:t xml:space="preserve">1: </w:t>
      </w:r>
      <w:r w:rsidR="00D52D94" w:rsidRPr="00B35962">
        <w:rPr>
          <w:lang w:val="sr-Latn-ME"/>
        </w:rPr>
        <w:t>P</w:t>
      </w:r>
      <w:r w:rsidR="00823423" w:rsidRPr="00B35962">
        <w:rPr>
          <w:lang w:val="sr-Latn-ME"/>
        </w:rPr>
        <w:t xml:space="preserve">ovećanje </w:t>
      </w:r>
      <w:r w:rsidR="00D52D94" w:rsidRPr="00B35962">
        <w:rPr>
          <w:lang w:val="sr-Latn-ME"/>
        </w:rPr>
        <w:t>kapacitet</w:t>
      </w:r>
      <w:r w:rsidR="00627AD2" w:rsidRPr="00B35962">
        <w:rPr>
          <w:lang w:val="sr-Latn-ME"/>
        </w:rPr>
        <w:t>a</w:t>
      </w:r>
      <w:r w:rsidR="00D52D94" w:rsidRPr="00B35962">
        <w:rPr>
          <w:lang w:val="sr-Latn-ME"/>
        </w:rPr>
        <w:t xml:space="preserve"> u </w:t>
      </w:r>
      <w:r w:rsidR="00B41E40" w:rsidRPr="00B35962">
        <w:rPr>
          <w:lang w:val="sr-Latn-ME"/>
        </w:rPr>
        <w:t xml:space="preserve">javnim </w:t>
      </w:r>
      <w:r w:rsidR="00D52D94" w:rsidRPr="00B35962">
        <w:rPr>
          <w:lang w:val="sr-Latn-ME"/>
        </w:rPr>
        <w:t>predškolskim ustanovama</w:t>
      </w:r>
    </w:p>
    <w:p w14:paraId="5B73A4DC" w14:textId="1EEB7A26" w:rsidR="00414824" w:rsidRPr="00B35962" w:rsidRDefault="00D131EB" w:rsidP="00075DEC">
      <w:pPr>
        <w:pStyle w:val="ListParagraph"/>
        <w:numPr>
          <w:ilvl w:val="0"/>
          <w:numId w:val="2"/>
        </w:numPr>
        <w:ind w:left="1170"/>
        <w:rPr>
          <w:lang w:val="sr-Latn-ME"/>
        </w:rPr>
      </w:pPr>
      <w:r w:rsidRPr="00B35962">
        <w:rPr>
          <w:lang w:val="sr-Latn-ME"/>
        </w:rPr>
        <w:t xml:space="preserve">Ključno mjerilo </w:t>
      </w:r>
      <w:r w:rsidR="00441EE3" w:rsidRPr="00B35962">
        <w:rPr>
          <w:lang w:val="sr-Latn-ME"/>
        </w:rPr>
        <w:t>1.</w:t>
      </w:r>
      <w:r w:rsidR="008578CB" w:rsidRPr="00B35962">
        <w:rPr>
          <w:lang w:val="sr-Latn-ME"/>
        </w:rPr>
        <w:t>2</w:t>
      </w:r>
      <w:r w:rsidR="00414824" w:rsidRPr="00B35962">
        <w:rPr>
          <w:lang w:val="sr-Latn-ME"/>
        </w:rPr>
        <w:t>: Povećanje kapacitet</w:t>
      </w:r>
      <w:r w:rsidR="00627AD2" w:rsidRPr="00B35962">
        <w:rPr>
          <w:lang w:val="sr-Latn-ME"/>
        </w:rPr>
        <w:t>a</w:t>
      </w:r>
      <w:r w:rsidR="00414824" w:rsidRPr="00B35962">
        <w:rPr>
          <w:lang w:val="sr-Latn-ME"/>
        </w:rPr>
        <w:t xml:space="preserve"> kroz adaptaciju javnih lokalnih prostora</w:t>
      </w:r>
    </w:p>
    <w:p w14:paraId="561B88D1" w14:textId="475884B1" w:rsidR="00B43C1B" w:rsidRPr="00B35962" w:rsidRDefault="00D131EB" w:rsidP="00075DEC">
      <w:pPr>
        <w:pStyle w:val="ListParagraph"/>
        <w:numPr>
          <w:ilvl w:val="0"/>
          <w:numId w:val="2"/>
        </w:numPr>
        <w:ind w:left="1170"/>
        <w:rPr>
          <w:lang w:val="sr-Latn-ME"/>
        </w:rPr>
      </w:pPr>
      <w:r w:rsidRPr="00B35962">
        <w:rPr>
          <w:lang w:val="sr-Latn-ME"/>
        </w:rPr>
        <w:t xml:space="preserve">Ključno mjerilo </w:t>
      </w:r>
      <w:r w:rsidR="00C86867" w:rsidRPr="00B35962">
        <w:rPr>
          <w:lang w:val="sr-Latn-ME"/>
        </w:rPr>
        <w:t>1.</w:t>
      </w:r>
      <w:r w:rsidR="00E00A18" w:rsidRPr="00B35962">
        <w:rPr>
          <w:lang w:val="sr-Latn-ME"/>
        </w:rPr>
        <w:t>3</w:t>
      </w:r>
      <w:r w:rsidR="00C86867" w:rsidRPr="00B35962">
        <w:rPr>
          <w:lang w:val="sr-Latn-ME"/>
        </w:rPr>
        <w:t>: Izraditi dugoročni plan širenja kapaciteta</w:t>
      </w:r>
      <w:r w:rsidR="00765C23" w:rsidRPr="00B35962">
        <w:rPr>
          <w:lang w:val="sr-Latn-ME"/>
        </w:rPr>
        <w:t>, koji će uključiti i inovativne, društveno odgovorne opcije</w:t>
      </w:r>
    </w:p>
    <w:p w14:paraId="795C8F44" w14:textId="251F0156" w:rsidR="003A6126" w:rsidRPr="00B35962" w:rsidRDefault="00D131EB" w:rsidP="00075DEC">
      <w:pPr>
        <w:pStyle w:val="ListParagraph"/>
        <w:numPr>
          <w:ilvl w:val="0"/>
          <w:numId w:val="2"/>
        </w:numPr>
        <w:ind w:left="1170"/>
        <w:rPr>
          <w:lang w:val="sr-Latn-ME"/>
        </w:rPr>
      </w:pPr>
      <w:r w:rsidRPr="00B35962">
        <w:rPr>
          <w:lang w:val="sr-Latn-ME"/>
        </w:rPr>
        <w:lastRenderedPageBreak/>
        <w:t xml:space="preserve">Ključno mjerilo </w:t>
      </w:r>
      <w:r w:rsidR="003A6126" w:rsidRPr="00B35962">
        <w:rPr>
          <w:lang w:val="sr-Latn-ME"/>
        </w:rPr>
        <w:t>1.</w:t>
      </w:r>
      <w:r w:rsidR="00E00A18" w:rsidRPr="00B35962">
        <w:rPr>
          <w:lang w:val="sr-Latn-ME"/>
        </w:rPr>
        <w:t>4</w:t>
      </w:r>
      <w:r w:rsidR="003A6126" w:rsidRPr="00B35962">
        <w:rPr>
          <w:lang w:val="sr-Latn-ME"/>
        </w:rPr>
        <w:t xml:space="preserve">: Jačati svijest javnosti o značaju uključivanja </w:t>
      </w:r>
      <w:r w:rsidR="00354802" w:rsidRPr="00B35962">
        <w:rPr>
          <w:lang w:val="sr-Latn-ME"/>
        </w:rPr>
        <w:t>dje</w:t>
      </w:r>
      <w:r w:rsidR="003A6126" w:rsidRPr="00B35962">
        <w:rPr>
          <w:lang w:val="sr-Latn-ME"/>
        </w:rPr>
        <w:t>ce u programe ranog i predškolskog učenja</w:t>
      </w:r>
    </w:p>
    <w:p w14:paraId="6EF11FA2" w14:textId="77777777" w:rsidR="007C3A96" w:rsidRPr="00B35962" w:rsidRDefault="007C3A96" w:rsidP="00D52D94">
      <w:pPr>
        <w:rPr>
          <w:lang w:val="sr-Latn-ME"/>
        </w:rPr>
      </w:pPr>
    </w:p>
    <w:p w14:paraId="3357747A" w14:textId="3DC570CE" w:rsidR="00515BE8" w:rsidRPr="00B35962" w:rsidRDefault="007C3A96" w:rsidP="007C3A96">
      <w:pPr>
        <w:rPr>
          <w:lang w:val="sr-Latn-ME"/>
        </w:rPr>
      </w:pPr>
      <w:r w:rsidRPr="00B35962">
        <w:rPr>
          <w:lang w:val="sr-Latn-ME"/>
        </w:rPr>
        <w:t xml:space="preserve">U tabeli 3 su pregledno prikazani indikatori pomoću kojih se prati ostvarenje </w:t>
      </w:r>
      <w:r w:rsidR="00E00A18" w:rsidRPr="00B35962">
        <w:rPr>
          <w:lang w:val="sr-Latn-ME"/>
        </w:rPr>
        <w:t xml:space="preserve">specifičnih </w:t>
      </w:r>
      <w:r w:rsidRPr="00B35962">
        <w:rPr>
          <w:lang w:val="sr-Latn-ME"/>
        </w:rPr>
        <w:t>operativnih ciljeva 1.1 do 1.</w:t>
      </w:r>
      <w:r w:rsidR="00E00A18" w:rsidRPr="00B35962">
        <w:rPr>
          <w:lang w:val="sr-Latn-ME"/>
        </w:rPr>
        <w:t>4</w:t>
      </w:r>
      <w:r w:rsidRPr="00B35962">
        <w:rPr>
          <w:lang w:val="sr-Latn-ME"/>
        </w:rPr>
        <w:t>.</w:t>
      </w:r>
    </w:p>
    <w:p w14:paraId="3D1C3214" w14:textId="77777777" w:rsidR="00640A64" w:rsidRPr="00B35962" w:rsidRDefault="00640A64" w:rsidP="00640A64">
      <w:pPr>
        <w:ind w:firstLine="0"/>
        <w:rPr>
          <w:lang w:val="sr-Latn-ME"/>
        </w:rPr>
      </w:pPr>
    </w:p>
    <w:p w14:paraId="7DBA0739" w14:textId="51AAE8AE" w:rsidR="007C3A96" w:rsidRPr="00B35962" w:rsidRDefault="007C3A96" w:rsidP="007C3A96">
      <w:pPr>
        <w:pStyle w:val="Caption"/>
        <w:keepNext/>
        <w:ind w:firstLine="0"/>
        <w:rPr>
          <w:i w:val="0"/>
          <w:iCs w:val="0"/>
          <w:color w:val="auto"/>
          <w:sz w:val="24"/>
          <w:szCs w:val="24"/>
          <w:lang w:val="sr-Latn-ME"/>
        </w:rPr>
      </w:pPr>
      <w:r w:rsidRPr="00B35962">
        <w:rPr>
          <w:i w:val="0"/>
          <w:iCs w:val="0"/>
          <w:color w:val="auto"/>
          <w:sz w:val="24"/>
          <w:szCs w:val="24"/>
          <w:lang w:val="sr-Latn-ME"/>
        </w:rPr>
        <w:t xml:space="preserve">Tabela </w:t>
      </w:r>
      <w:r w:rsidRPr="00B35962">
        <w:rPr>
          <w:i w:val="0"/>
          <w:iCs w:val="0"/>
          <w:color w:val="auto"/>
          <w:sz w:val="24"/>
          <w:szCs w:val="24"/>
          <w:lang w:val="sr-Latn-ME"/>
        </w:rPr>
        <w:fldChar w:fldCharType="begin"/>
      </w:r>
      <w:r w:rsidRPr="00B35962">
        <w:rPr>
          <w:i w:val="0"/>
          <w:iCs w:val="0"/>
          <w:color w:val="auto"/>
          <w:sz w:val="24"/>
          <w:szCs w:val="24"/>
          <w:lang w:val="sr-Latn-ME"/>
        </w:rPr>
        <w:instrText xml:space="preserve"> SEQ Tabela \* ARABIC </w:instrText>
      </w:r>
      <w:r w:rsidRPr="00B35962">
        <w:rPr>
          <w:i w:val="0"/>
          <w:iCs w:val="0"/>
          <w:color w:val="auto"/>
          <w:sz w:val="24"/>
          <w:szCs w:val="24"/>
          <w:lang w:val="sr-Latn-ME"/>
        </w:rPr>
        <w:fldChar w:fldCharType="separate"/>
      </w:r>
      <w:r w:rsidR="0054592B" w:rsidRPr="00B35962">
        <w:rPr>
          <w:i w:val="0"/>
          <w:iCs w:val="0"/>
          <w:noProof/>
          <w:color w:val="auto"/>
          <w:sz w:val="24"/>
          <w:szCs w:val="24"/>
          <w:lang w:val="sr-Latn-ME"/>
        </w:rPr>
        <w:t>3</w:t>
      </w:r>
      <w:r w:rsidRPr="00B35962">
        <w:rPr>
          <w:i w:val="0"/>
          <w:iCs w:val="0"/>
          <w:color w:val="auto"/>
          <w:sz w:val="24"/>
          <w:szCs w:val="24"/>
          <w:lang w:val="sr-Latn-ME"/>
        </w:rPr>
        <w:fldChar w:fldCharType="end"/>
      </w:r>
      <w:r w:rsidRPr="00B35962">
        <w:rPr>
          <w:i w:val="0"/>
          <w:iCs w:val="0"/>
          <w:color w:val="auto"/>
          <w:sz w:val="24"/>
          <w:szCs w:val="24"/>
          <w:lang w:val="sr-Latn-ME"/>
        </w:rPr>
        <w:t xml:space="preserve">. Indikatori za praćenje </w:t>
      </w:r>
      <w:r w:rsidR="00D131EB" w:rsidRPr="00B35962">
        <w:rPr>
          <w:i w:val="0"/>
          <w:color w:val="auto"/>
          <w:sz w:val="24"/>
          <w:szCs w:val="24"/>
          <w:lang w:val="sr-Latn-ME"/>
        </w:rPr>
        <w:t>ključnih mjerila</w:t>
      </w:r>
      <w:r w:rsidR="00D131EB" w:rsidRPr="00B35962">
        <w:rPr>
          <w:color w:val="auto"/>
          <w:lang w:val="sr-Latn-ME"/>
        </w:rPr>
        <w:t xml:space="preserve"> </w:t>
      </w:r>
      <w:r w:rsidRPr="00B35962">
        <w:rPr>
          <w:i w:val="0"/>
          <w:iCs w:val="0"/>
          <w:color w:val="auto"/>
          <w:sz w:val="24"/>
          <w:szCs w:val="24"/>
          <w:lang w:val="sr-Latn-ME"/>
        </w:rPr>
        <w:t>1.1-1.</w:t>
      </w:r>
      <w:r w:rsidR="00E00A18" w:rsidRPr="00B35962">
        <w:rPr>
          <w:i w:val="0"/>
          <w:iCs w:val="0"/>
          <w:color w:val="auto"/>
          <w:sz w:val="24"/>
          <w:szCs w:val="24"/>
          <w:lang w:val="sr-Latn-ME"/>
        </w:rPr>
        <w:t>4</w:t>
      </w:r>
    </w:p>
    <w:tbl>
      <w:tblPr>
        <w:tblStyle w:val="TableGrid0"/>
        <w:tblW w:w="96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48"/>
        <w:gridCol w:w="2448"/>
        <w:gridCol w:w="1584"/>
        <w:gridCol w:w="1584"/>
        <w:gridCol w:w="1584"/>
      </w:tblGrid>
      <w:tr w:rsidR="00D33188" w:rsidRPr="00B35962" w14:paraId="2EA065E6" w14:textId="77777777" w:rsidTr="00936B91">
        <w:tc>
          <w:tcPr>
            <w:tcW w:w="2448" w:type="dxa"/>
          </w:tcPr>
          <w:p w14:paraId="64B40D5E" w14:textId="2CC60D7B" w:rsidR="00D33188" w:rsidRPr="00B35962" w:rsidRDefault="00D131EB" w:rsidP="00B156B6">
            <w:pPr>
              <w:ind w:firstLine="0"/>
              <w:rPr>
                <w:lang w:val="sr-Latn-ME"/>
              </w:rPr>
            </w:pPr>
            <w:r w:rsidRPr="00B35962">
              <w:rPr>
                <w:lang w:val="sr-Latn-ME"/>
              </w:rPr>
              <w:t>Ključna mjerila</w:t>
            </w:r>
          </w:p>
        </w:tc>
        <w:tc>
          <w:tcPr>
            <w:tcW w:w="2448" w:type="dxa"/>
          </w:tcPr>
          <w:p w14:paraId="6A71AC22" w14:textId="77777777" w:rsidR="00D33188" w:rsidRPr="00B35962" w:rsidRDefault="00D33188" w:rsidP="00B156B6">
            <w:pPr>
              <w:ind w:firstLine="0"/>
              <w:rPr>
                <w:lang w:val="sr-Latn-ME"/>
              </w:rPr>
            </w:pPr>
            <w:r w:rsidRPr="00B35962">
              <w:rPr>
                <w:lang w:val="sr-Latn-ME"/>
              </w:rPr>
              <w:t>Indikator</w:t>
            </w:r>
            <w:r w:rsidR="00EE49B4" w:rsidRPr="00B35962">
              <w:rPr>
                <w:lang w:val="sr-Latn-ME"/>
              </w:rPr>
              <w:t xml:space="preserve"> (izvor)</w:t>
            </w:r>
          </w:p>
        </w:tc>
        <w:tc>
          <w:tcPr>
            <w:tcW w:w="1584" w:type="dxa"/>
          </w:tcPr>
          <w:p w14:paraId="25E57E27" w14:textId="77777777" w:rsidR="00D33188" w:rsidRPr="00B35962" w:rsidRDefault="00D33188" w:rsidP="00B156B6">
            <w:pPr>
              <w:ind w:firstLine="0"/>
              <w:rPr>
                <w:lang w:val="sr-Latn-ME"/>
              </w:rPr>
            </w:pPr>
            <w:r w:rsidRPr="00B35962">
              <w:rPr>
                <w:lang w:val="sr-Latn-ME"/>
              </w:rPr>
              <w:t>Sadašnja vrijednost 2020</w:t>
            </w:r>
          </w:p>
        </w:tc>
        <w:tc>
          <w:tcPr>
            <w:tcW w:w="1584" w:type="dxa"/>
          </w:tcPr>
          <w:p w14:paraId="702563EC" w14:textId="77777777" w:rsidR="00D33188" w:rsidRPr="00B35962" w:rsidRDefault="00D33188" w:rsidP="00B156B6">
            <w:pPr>
              <w:ind w:firstLine="0"/>
              <w:rPr>
                <w:lang w:val="sr-Latn-ME"/>
              </w:rPr>
            </w:pPr>
            <w:r w:rsidRPr="00B35962">
              <w:rPr>
                <w:lang w:val="sr-Latn-ME"/>
              </w:rPr>
              <w:t>Ciljna vrijednost 2022</w:t>
            </w:r>
          </w:p>
        </w:tc>
        <w:tc>
          <w:tcPr>
            <w:tcW w:w="1584" w:type="dxa"/>
          </w:tcPr>
          <w:p w14:paraId="6577590E" w14:textId="77777777" w:rsidR="00D33188" w:rsidRPr="00B35962" w:rsidRDefault="00D33188" w:rsidP="00A16F75">
            <w:pPr>
              <w:ind w:firstLine="0"/>
              <w:rPr>
                <w:lang w:val="sr-Latn-ME"/>
              </w:rPr>
            </w:pPr>
            <w:r w:rsidRPr="00B35962">
              <w:rPr>
                <w:lang w:val="sr-Latn-ME"/>
              </w:rPr>
              <w:t>Ciljna vrijednost 202</w:t>
            </w:r>
            <w:r w:rsidR="00A16F75" w:rsidRPr="00B35962">
              <w:rPr>
                <w:lang w:val="sr-Latn-ME"/>
              </w:rPr>
              <w:t>5</w:t>
            </w:r>
          </w:p>
        </w:tc>
      </w:tr>
      <w:tr w:rsidR="00D33188" w:rsidRPr="00B35962" w14:paraId="7E77F32C" w14:textId="77777777" w:rsidTr="00936B91">
        <w:tc>
          <w:tcPr>
            <w:tcW w:w="2448" w:type="dxa"/>
          </w:tcPr>
          <w:p w14:paraId="5A71ED0A" w14:textId="77777777" w:rsidR="00D33188" w:rsidRPr="00B35962" w:rsidRDefault="00D33188" w:rsidP="00566A90">
            <w:pPr>
              <w:ind w:firstLine="0"/>
              <w:rPr>
                <w:lang w:val="sr-Latn-ME"/>
              </w:rPr>
            </w:pPr>
            <w:r w:rsidRPr="00B35962">
              <w:rPr>
                <w:lang w:val="sr-Latn-ME"/>
              </w:rPr>
              <w:t>1.1. Povećanje kapacitet u javnim predškolskim ustanovama</w:t>
            </w:r>
          </w:p>
        </w:tc>
        <w:tc>
          <w:tcPr>
            <w:tcW w:w="2448" w:type="dxa"/>
          </w:tcPr>
          <w:p w14:paraId="5F9F7338" w14:textId="77777777" w:rsidR="00D33188" w:rsidRPr="00B35962" w:rsidRDefault="00183C64" w:rsidP="00566A90">
            <w:pPr>
              <w:ind w:firstLine="0"/>
              <w:rPr>
                <w:lang w:val="sr-Latn-ME"/>
              </w:rPr>
            </w:pPr>
            <w:r w:rsidRPr="00B35962">
              <w:rPr>
                <w:lang w:val="sr-Latn-ME"/>
              </w:rPr>
              <w:t xml:space="preserve">1.1.1 </w:t>
            </w:r>
            <w:r w:rsidR="00D33188" w:rsidRPr="00B35962">
              <w:rPr>
                <w:lang w:val="sr-Latn-ME"/>
              </w:rPr>
              <w:t>Ukupna nova površina u javnim PU (m</w:t>
            </w:r>
            <w:r w:rsidR="00D33188" w:rsidRPr="00B35962">
              <w:rPr>
                <w:vertAlign w:val="superscript"/>
                <w:lang w:val="sr-Latn-ME"/>
              </w:rPr>
              <w:t>2</w:t>
            </w:r>
            <w:r w:rsidR="00D33188" w:rsidRPr="00B35962">
              <w:rPr>
                <w:lang w:val="sr-Latn-ME"/>
              </w:rPr>
              <w:t>)</w:t>
            </w:r>
            <w:r w:rsidR="00EE49B4" w:rsidRPr="00B35962">
              <w:rPr>
                <w:lang w:val="sr-Latn-ME"/>
              </w:rPr>
              <w:t xml:space="preserve"> (MEIS)</w:t>
            </w:r>
          </w:p>
        </w:tc>
        <w:tc>
          <w:tcPr>
            <w:tcW w:w="1584" w:type="dxa"/>
          </w:tcPr>
          <w:p w14:paraId="03141C57" w14:textId="77777777" w:rsidR="00D33188" w:rsidRPr="00B35962" w:rsidRDefault="00D33188" w:rsidP="00640A64">
            <w:pPr>
              <w:ind w:firstLine="0"/>
              <w:rPr>
                <w:lang w:val="sr-Latn-ME"/>
              </w:rPr>
            </w:pPr>
            <w:r w:rsidRPr="00B35962">
              <w:rPr>
                <w:lang w:val="sr-Latn-ME"/>
              </w:rPr>
              <w:t>0</w:t>
            </w:r>
          </w:p>
        </w:tc>
        <w:tc>
          <w:tcPr>
            <w:tcW w:w="1584" w:type="dxa"/>
          </w:tcPr>
          <w:p w14:paraId="358FE5C9" w14:textId="77777777" w:rsidR="00D33188" w:rsidRPr="00B35962" w:rsidRDefault="00D33188" w:rsidP="00640A64">
            <w:pPr>
              <w:ind w:firstLine="0"/>
              <w:rPr>
                <w:lang w:val="sr-Latn-ME"/>
              </w:rPr>
            </w:pPr>
            <w:r w:rsidRPr="00B35962">
              <w:rPr>
                <w:lang w:val="sr-Latn-ME"/>
              </w:rPr>
              <w:t>6000</w:t>
            </w:r>
          </w:p>
        </w:tc>
        <w:tc>
          <w:tcPr>
            <w:tcW w:w="1584" w:type="dxa"/>
          </w:tcPr>
          <w:p w14:paraId="6C6F21FE" w14:textId="77777777" w:rsidR="00D33188" w:rsidRPr="00B35962" w:rsidRDefault="00D33188" w:rsidP="00640A64">
            <w:pPr>
              <w:ind w:firstLine="0"/>
              <w:rPr>
                <w:lang w:val="sr-Latn-ME"/>
              </w:rPr>
            </w:pPr>
            <w:r w:rsidRPr="00B35962">
              <w:rPr>
                <w:lang w:val="sr-Latn-ME"/>
              </w:rPr>
              <w:t xml:space="preserve"> 13000</w:t>
            </w:r>
          </w:p>
        </w:tc>
      </w:tr>
      <w:tr w:rsidR="00E93620" w:rsidRPr="00B35962" w14:paraId="0FC6A688" w14:textId="77777777" w:rsidTr="00936B91">
        <w:tc>
          <w:tcPr>
            <w:tcW w:w="2448" w:type="dxa"/>
          </w:tcPr>
          <w:p w14:paraId="5AB8E062" w14:textId="77777777" w:rsidR="00E93620" w:rsidRPr="00B35962" w:rsidRDefault="00E93620" w:rsidP="00566A90">
            <w:pPr>
              <w:ind w:firstLine="0"/>
              <w:rPr>
                <w:lang w:val="sr-Latn-ME"/>
              </w:rPr>
            </w:pPr>
            <w:r w:rsidRPr="00B35962">
              <w:rPr>
                <w:lang w:val="sr-Latn-ME"/>
              </w:rPr>
              <w:t>1.2. Povećanje kapaciteta kroz adaptaciju javnih lokalnih prostora</w:t>
            </w:r>
          </w:p>
        </w:tc>
        <w:tc>
          <w:tcPr>
            <w:tcW w:w="2448" w:type="dxa"/>
          </w:tcPr>
          <w:p w14:paraId="0185041F" w14:textId="77777777" w:rsidR="00E93620" w:rsidRPr="00B35962" w:rsidRDefault="00183C64" w:rsidP="00566A90">
            <w:pPr>
              <w:ind w:firstLine="0"/>
              <w:rPr>
                <w:lang w:val="sr-Latn-ME"/>
              </w:rPr>
            </w:pPr>
            <w:r w:rsidRPr="00B35962">
              <w:rPr>
                <w:lang w:val="sr-Latn-ME"/>
              </w:rPr>
              <w:t xml:space="preserve">1.2.1 </w:t>
            </w:r>
            <w:r w:rsidR="00E93620" w:rsidRPr="00B35962">
              <w:rPr>
                <w:lang w:val="sr-Latn-ME"/>
              </w:rPr>
              <w:t>Ukupna površina u novim adaptiranim prostorima (m</w:t>
            </w:r>
            <w:r w:rsidR="00E93620" w:rsidRPr="00B35962">
              <w:rPr>
                <w:vertAlign w:val="superscript"/>
                <w:lang w:val="sr-Latn-ME"/>
              </w:rPr>
              <w:t>2</w:t>
            </w:r>
            <w:r w:rsidR="00E93620" w:rsidRPr="00B35962">
              <w:rPr>
                <w:lang w:val="sr-Latn-ME"/>
              </w:rPr>
              <w:t>)</w:t>
            </w:r>
            <w:r w:rsidR="00EE49B4" w:rsidRPr="00B35962">
              <w:rPr>
                <w:lang w:val="sr-Latn-ME"/>
              </w:rPr>
              <w:t xml:space="preserve"> (MEIS)</w:t>
            </w:r>
          </w:p>
        </w:tc>
        <w:tc>
          <w:tcPr>
            <w:tcW w:w="1584" w:type="dxa"/>
          </w:tcPr>
          <w:p w14:paraId="66FBB7AE" w14:textId="77777777" w:rsidR="00E93620" w:rsidRPr="00B35962" w:rsidRDefault="00E93620" w:rsidP="00D81280">
            <w:pPr>
              <w:ind w:firstLine="0"/>
              <w:rPr>
                <w:lang w:val="sr-Latn-ME"/>
              </w:rPr>
            </w:pPr>
            <w:r w:rsidRPr="00B35962">
              <w:rPr>
                <w:lang w:val="sr-Latn-ME"/>
              </w:rPr>
              <w:t>0</w:t>
            </w:r>
          </w:p>
        </w:tc>
        <w:tc>
          <w:tcPr>
            <w:tcW w:w="1584" w:type="dxa"/>
          </w:tcPr>
          <w:p w14:paraId="61C284AC" w14:textId="77777777" w:rsidR="00E93620" w:rsidRPr="00B35962" w:rsidRDefault="00300DA9" w:rsidP="00D81280">
            <w:pPr>
              <w:ind w:firstLine="0"/>
              <w:rPr>
                <w:lang w:val="sr-Latn-ME"/>
              </w:rPr>
            </w:pPr>
            <w:r w:rsidRPr="00B35962">
              <w:rPr>
                <w:lang w:val="sr-Latn-ME"/>
              </w:rPr>
              <w:t>500</w:t>
            </w:r>
            <w:r w:rsidR="00E93620" w:rsidRPr="00B35962">
              <w:rPr>
                <w:lang w:val="sr-Latn-ME"/>
              </w:rPr>
              <w:t xml:space="preserve"> m2</w:t>
            </w:r>
          </w:p>
        </w:tc>
        <w:tc>
          <w:tcPr>
            <w:tcW w:w="1584" w:type="dxa"/>
          </w:tcPr>
          <w:p w14:paraId="7E68A674" w14:textId="77777777" w:rsidR="00E93620" w:rsidRPr="00B35962" w:rsidRDefault="00300DA9" w:rsidP="00D81280">
            <w:pPr>
              <w:ind w:firstLine="0"/>
              <w:rPr>
                <w:lang w:val="sr-Latn-ME"/>
              </w:rPr>
            </w:pPr>
            <w:r w:rsidRPr="00B35962">
              <w:rPr>
                <w:lang w:val="sr-Latn-ME"/>
              </w:rPr>
              <w:t>1500</w:t>
            </w:r>
            <w:r w:rsidR="00E93620" w:rsidRPr="00B35962">
              <w:rPr>
                <w:lang w:val="sr-Latn-ME"/>
              </w:rPr>
              <w:t xml:space="preserve"> m2</w:t>
            </w:r>
          </w:p>
        </w:tc>
      </w:tr>
      <w:tr w:rsidR="00C86867" w:rsidRPr="00B35962" w14:paraId="1233C896" w14:textId="77777777" w:rsidTr="00936B91">
        <w:tc>
          <w:tcPr>
            <w:tcW w:w="2448" w:type="dxa"/>
          </w:tcPr>
          <w:p w14:paraId="50A24FB3" w14:textId="77777777" w:rsidR="00C86867" w:rsidRPr="00B35962" w:rsidRDefault="00C86867" w:rsidP="005F0508">
            <w:pPr>
              <w:ind w:firstLine="0"/>
              <w:rPr>
                <w:lang w:val="sr-Latn-ME"/>
              </w:rPr>
            </w:pPr>
            <w:r w:rsidRPr="00B35962">
              <w:rPr>
                <w:lang w:val="sr-Latn-ME"/>
              </w:rPr>
              <w:t>1.</w:t>
            </w:r>
            <w:r w:rsidR="005F0508" w:rsidRPr="00B35962">
              <w:rPr>
                <w:lang w:val="sr-Latn-ME"/>
              </w:rPr>
              <w:t>3</w:t>
            </w:r>
            <w:r w:rsidRPr="00B35962">
              <w:rPr>
                <w:lang w:val="sr-Latn-ME"/>
              </w:rPr>
              <w:t>. Izraditi dugoročni plan širenja kapaciteta</w:t>
            </w:r>
            <w:r w:rsidR="00FC1958" w:rsidRPr="00B35962">
              <w:rPr>
                <w:lang w:val="sr-Latn-ME"/>
              </w:rPr>
              <w:t xml:space="preserve"> </w:t>
            </w:r>
          </w:p>
        </w:tc>
        <w:tc>
          <w:tcPr>
            <w:tcW w:w="2448" w:type="dxa"/>
          </w:tcPr>
          <w:p w14:paraId="7DD85440" w14:textId="77777777" w:rsidR="00C86867" w:rsidRPr="00B35962" w:rsidRDefault="00C86867" w:rsidP="00566A90">
            <w:pPr>
              <w:ind w:firstLine="0"/>
              <w:rPr>
                <w:lang w:val="sr-Latn-ME"/>
              </w:rPr>
            </w:pPr>
            <w:r w:rsidRPr="00B35962">
              <w:rPr>
                <w:lang w:val="sr-Latn-ME"/>
              </w:rPr>
              <w:t>1.4.1. Usvojen dugoročni plan širenja kapaciteta</w:t>
            </w:r>
          </w:p>
        </w:tc>
        <w:tc>
          <w:tcPr>
            <w:tcW w:w="1584" w:type="dxa"/>
          </w:tcPr>
          <w:p w14:paraId="6F250D5D" w14:textId="77777777" w:rsidR="00C86867" w:rsidRPr="00B35962" w:rsidRDefault="00C86867" w:rsidP="00D81280">
            <w:pPr>
              <w:ind w:firstLine="0"/>
              <w:rPr>
                <w:lang w:val="sr-Latn-ME"/>
              </w:rPr>
            </w:pPr>
            <w:r w:rsidRPr="00B35962">
              <w:rPr>
                <w:lang w:val="sr-Latn-ME"/>
              </w:rPr>
              <w:t>Ne</w:t>
            </w:r>
          </w:p>
        </w:tc>
        <w:tc>
          <w:tcPr>
            <w:tcW w:w="1584" w:type="dxa"/>
          </w:tcPr>
          <w:p w14:paraId="7B7E9B33" w14:textId="77777777" w:rsidR="00C86867" w:rsidRPr="00B35962" w:rsidRDefault="00C86867" w:rsidP="00D81280">
            <w:pPr>
              <w:ind w:firstLine="0"/>
              <w:rPr>
                <w:lang w:val="sr-Latn-ME"/>
              </w:rPr>
            </w:pPr>
            <w:r w:rsidRPr="00B35962">
              <w:rPr>
                <w:lang w:val="sr-Latn-ME"/>
              </w:rPr>
              <w:t>Ne</w:t>
            </w:r>
          </w:p>
        </w:tc>
        <w:tc>
          <w:tcPr>
            <w:tcW w:w="1584" w:type="dxa"/>
          </w:tcPr>
          <w:p w14:paraId="4314DB74" w14:textId="77777777" w:rsidR="00C86867" w:rsidRPr="00B35962" w:rsidRDefault="00C86867" w:rsidP="00D81280">
            <w:pPr>
              <w:ind w:firstLine="0"/>
              <w:rPr>
                <w:lang w:val="sr-Latn-ME"/>
              </w:rPr>
            </w:pPr>
            <w:r w:rsidRPr="00B35962">
              <w:rPr>
                <w:lang w:val="sr-Latn-ME"/>
              </w:rPr>
              <w:t>Da</w:t>
            </w:r>
          </w:p>
        </w:tc>
      </w:tr>
      <w:tr w:rsidR="003A6126" w:rsidRPr="00B35962" w14:paraId="1D9CC5D1" w14:textId="77777777" w:rsidTr="00936B91">
        <w:tc>
          <w:tcPr>
            <w:tcW w:w="2448" w:type="dxa"/>
          </w:tcPr>
          <w:p w14:paraId="67A2D4FE" w14:textId="77777777" w:rsidR="003A6126" w:rsidRPr="00B35962" w:rsidRDefault="003A6126" w:rsidP="005F0508">
            <w:pPr>
              <w:ind w:firstLine="0"/>
              <w:rPr>
                <w:lang w:val="sr-Latn-ME"/>
              </w:rPr>
            </w:pPr>
            <w:r w:rsidRPr="00B35962">
              <w:rPr>
                <w:lang w:val="sr-Latn-ME"/>
              </w:rPr>
              <w:t>1.</w:t>
            </w:r>
            <w:r w:rsidR="005F0508" w:rsidRPr="00B35962">
              <w:rPr>
                <w:lang w:val="sr-Latn-ME"/>
              </w:rPr>
              <w:t>4</w:t>
            </w:r>
            <w:r w:rsidRPr="00B35962">
              <w:rPr>
                <w:lang w:val="sr-Latn-ME"/>
              </w:rPr>
              <w:t xml:space="preserve">. Jačati svijest javnosti o značaju uključivanja </w:t>
            </w:r>
            <w:r w:rsidR="00354802" w:rsidRPr="00B35962">
              <w:rPr>
                <w:lang w:val="sr-Latn-ME"/>
              </w:rPr>
              <w:t>dje</w:t>
            </w:r>
            <w:r w:rsidRPr="00B35962">
              <w:rPr>
                <w:lang w:val="sr-Latn-ME"/>
              </w:rPr>
              <w:t>ce u programe ranog i predškolskog učenja</w:t>
            </w:r>
          </w:p>
        </w:tc>
        <w:tc>
          <w:tcPr>
            <w:tcW w:w="2448" w:type="dxa"/>
          </w:tcPr>
          <w:p w14:paraId="6CD1FE72" w14:textId="77777777" w:rsidR="003A6126" w:rsidRPr="00B35962" w:rsidRDefault="003A6126" w:rsidP="00566A90">
            <w:pPr>
              <w:ind w:firstLine="0"/>
              <w:rPr>
                <w:lang w:val="sr-Latn-ME"/>
              </w:rPr>
            </w:pPr>
            <w:r w:rsidRPr="00B35962">
              <w:rPr>
                <w:lang w:val="sr-Latn-ME"/>
              </w:rPr>
              <w:t xml:space="preserve">1.5.1. Kampanja za podizanje svesti o značaju uključivanja </w:t>
            </w:r>
            <w:r w:rsidR="00354802" w:rsidRPr="00B35962">
              <w:rPr>
                <w:lang w:val="sr-Latn-ME"/>
              </w:rPr>
              <w:t>dje</w:t>
            </w:r>
            <w:r w:rsidRPr="00B35962">
              <w:rPr>
                <w:lang w:val="sr-Latn-ME"/>
              </w:rPr>
              <w:t>ce u programe ranog i predškolskog učenja je realizovana</w:t>
            </w:r>
          </w:p>
        </w:tc>
        <w:tc>
          <w:tcPr>
            <w:tcW w:w="1584" w:type="dxa"/>
          </w:tcPr>
          <w:p w14:paraId="4F1B4403" w14:textId="77777777" w:rsidR="003A6126" w:rsidRPr="00B35962" w:rsidRDefault="003A6126" w:rsidP="00D81280">
            <w:pPr>
              <w:ind w:firstLine="0"/>
              <w:rPr>
                <w:lang w:val="sr-Latn-ME"/>
              </w:rPr>
            </w:pPr>
            <w:r w:rsidRPr="00B35962">
              <w:rPr>
                <w:lang w:val="sr-Latn-ME"/>
              </w:rPr>
              <w:t>Da</w:t>
            </w:r>
          </w:p>
        </w:tc>
        <w:tc>
          <w:tcPr>
            <w:tcW w:w="1584" w:type="dxa"/>
          </w:tcPr>
          <w:p w14:paraId="640D16CE" w14:textId="77777777" w:rsidR="003A6126" w:rsidRPr="00B35962" w:rsidRDefault="003A6126" w:rsidP="00D81280">
            <w:pPr>
              <w:ind w:firstLine="0"/>
              <w:rPr>
                <w:lang w:val="sr-Latn-ME"/>
              </w:rPr>
            </w:pPr>
            <w:r w:rsidRPr="00B35962">
              <w:rPr>
                <w:lang w:val="sr-Latn-ME"/>
              </w:rPr>
              <w:t>Da</w:t>
            </w:r>
          </w:p>
        </w:tc>
        <w:tc>
          <w:tcPr>
            <w:tcW w:w="1584" w:type="dxa"/>
          </w:tcPr>
          <w:p w14:paraId="6530D65E" w14:textId="77777777" w:rsidR="003A6126" w:rsidRPr="00B35962" w:rsidRDefault="003A6126" w:rsidP="00D81280">
            <w:pPr>
              <w:ind w:firstLine="0"/>
              <w:rPr>
                <w:lang w:val="sr-Latn-ME"/>
              </w:rPr>
            </w:pPr>
            <w:r w:rsidRPr="00B35962">
              <w:rPr>
                <w:lang w:val="sr-Latn-ME"/>
              </w:rPr>
              <w:t>Da</w:t>
            </w:r>
          </w:p>
        </w:tc>
      </w:tr>
    </w:tbl>
    <w:p w14:paraId="225DAB75" w14:textId="77777777" w:rsidR="00A5310D" w:rsidRPr="00B35962" w:rsidRDefault="00A5310D" w:rsidP="00A5310D">
      <w:pPr>
        <w:ind w:firstLine="0"/>
        <w:rPr>
          <w:b/>
          <w:lang w:val="sr-Latn-ME"/>
        </w:rPr>
      </w:pPr>
    </w:p>
    <w:p w14:paraId="7E877ABF" w14:textId="7A9D5884" w:rsidR="00441EE3" w:rsidRPr="00B35962" w:rsidRDefault="00D131EB" w:rsidP="00A5310D">
      <w:pPr>
        <w:ind w:firstLine="0"/>
        <w:rPr>
          <w:b/>
          <w:color w:val="0070C0"/>
          <w:lang w:val="sr-Latn-ME"/>
        </w:rPr>
      </w:pPr>
      <w:r w:rsidRPr="00B35962">
        <w:rPr>
          <w:b/>
          <w:color w:val="0070C0"/>
          <w:lang w:val="sr-Latn-ME"/>
        </w:rPr>
        <w:t>O</w:t>
      </w:r>
      <w:r w:rsidR="00E00A18" w:rsidRPr="00B35962">
        <w:rPr>
          <w:b/>
          <w:color w:val="0070C0"/>
          <w:lang w:val="sr-Latn-ME"/>
        </w:rPr>
        <w:t>perativni</w:t>
      </w:r>
      <w:r w:rsidR="00441EE3" w:rsidRPr="00B35962">
        <w:rPr>
          <w:b/>
          <w:color w:val="0070C0"/>
          <w:lang w:val="sr-Latn-ME"/>
        </w:rPr>
        <w:t xml:space="preserve"> cilj 2: </w:t>
      </w:r>
      <w:r w:rsidR="009C54B5" w:rsidRPr="00B35962">
        <w:rPr>
          <w:b/>
          <w:color w:val="0070C0"/>
          <w:lang w:val="sr-Latn-ME"/>
        </w:rPr>
        <w:t xml:space="preserve">Unapređenje </w:t>
      </w:r>
      <w:r w:rsidR="00A91CB6" w:rsidRPr="00B35962">
        <w:rPr>
          <w:b/>
          <w:color w:val="0070C0"/>
          <w:lang w:val="sr-Latn-ME"/>
        </w:rPr>
        <w:t xml:space="preserve">i </w:t>
      </w:r>
      <w:r w:rsidR="00F23D87" w:rsidRPr="00B35962">
        <w:rPr>
          <w:b/>
          <w:color w:val="0070C0"/>
          <w:lang w:val="sr-Latn-ME"/>
        </w:rPr>
        <w:t>obezbjeđivanje</w:t>
      </w:r>
      <w:r w:rsidR="00A91CB6" w:rsidRPr="00B35962">
        <w:rPr>
          <w:b/>
          <w:color w:val="0070C0"/>
          <w:lang w:val="sr-Latn-ME"/>
        </w:rPr>
        <w:t xml:space="preserve"> </w:t>
      </w:r>
      <w:r w:rsidR="009C54B5" w:rsidRPr="00B35962">
        <w:rPr>
          <w:b/>
          <w:color w:val="0070C0"/>
          <w:lang w:val="sr-Latn-ME"/>
        </w:rPr>
        <w:t>kvaliteta PVO</w:t>
      </w:r>
    </w:p>
    <w:p w14:paraId="2E7CEA06" w14:textId="00F79BCC" w:rsidR="00441EE3" w:rsidRPr="00B35962" w:rsidRDefault="00441EE3" w:rsidP="00350CFC">
      <w:pPr>
        <w:ind w:firstLine="0"/>
        <w:rPr>
          <w:lang w:val="sr-Latn-ME"/>
        </w:rPr>
      </w:pPr>
      <w:r w:rsidRPr="00B35962">
        <w:rPr>
          <w:lang w:val="sr-Latn-ME"/>
        </w:rPr>
        <w:tab/>
      </w:r>
      <w:r w:rsidR="004B3182" w:rsidRPr="00B35962">
        <w:rPr>
          <w:lang w:val="sr-Latn-ME"/>
        </w:rPr>
        <w:t xml:space="preserve">Drugi </w:t>
      </w:r>
      <w:r w:rsidR="00E00A18" w:rsidRPr="00B35962">
        <w:rPr>
          <w:lang w:val="sr-Latn-ME"/>
        </w:rPr>
        <w:t>opšti operativni</w:t>
      </w:r>
      <w:r w:rsidRPr="00B35962">
        <w:rPr>
          <w:lang w:val="sr-Latn-ME"/>
        </w:rPr>
        <w:t xml:space="preserve"> cilj </w:t>
      </w:r>
      <w:r w:rsidR="00E00A18" w:rsidRPr="00B35962">
        <w:rPr>
          <w:lang w:val="sr-Latn-ME"/>
        </w:rPr>
        <w:t xml:space="preserve">se </w:t>
      </w:r>
      <w:r w:rsidRPr="00B35962">
        <w:rPr>
          <w:lang w:val="sr-Latn-ME"/>
        </w:rPr>
        <w:t>odnosi</w:t>
      </w:r>
      <w:r w:rsidR="0004010A" w:rsidRPr="00B35962">
        <w:rPr>
          <w:lang w:val="sr-Latn-ME"/>
        </w:rPr>
        <w:t xml:space="preserve"> </w:t>
      </w:r>
      <w:r w:rsidRPr="00B35962">
        <w:rPr>
          <w:lang w:val="sr-Latn-ME"/>
        </w:rPr>
        <w:t xml:space="preserve">na </w:t>
      </w:r>
      <w:r w:rsidR="004B3182" w:rsidRPr="00B35962">
        <w:rPr>
          <w:lang w:val="sr-Latn-ME"/>
        </w:rPr>
        <w:t>unapređenje kvaliteta predškolskog vaspitanja i obrazovanja</w:t>
      </w:r>
      <w:r w:rsidR="0035418D" w:rsidRPr="00B35962">
        <w:rPr>
          <w:lang w:val="sr-Latn-ME"/>
        </w:rPr>
        <w:t xml:space="preserve">. </w:t>
      </w:r>
      <w:r w:rsidR="00C277A9" w:rsidRPr="00B35962">
        <w:rPr>
          <w:lang w:val="sr-Latn-ME"/>
        </w:rPr>
        <w:t xml:space="preserve">Analiza postojećeg stanja je ukazala da postoji potreba da se kvalitet PVO značajno unaprijedi u narednom periodu u skladu sa EU okvirom za visokokvalitetni PVO. Pored toga, osnovna misija PVO </w:t>
      </w:r>
      <w:r w:rsidR="002B6FE7" w:rsidRPr="00B35962">
        <w:rPr>
          <w:lang w:val="sr-Latn-ME"/>
        </w:rPr>
        <w:t xml:space="preserve">u Crnoj Gori jeste podrška ranom razvoju djece zbog čega pitanje </w:t>
      </w:r>
      <w:r w:rsidR="00A507A9" w:rsidRPr="00B35962">
        <w:rPr>
          <w:lang w:val="sr-Latn-ME"/>
        </w:rPr>
        <w:t>unapređenja</w:t>
      </w:r>
      <w:r w:rsidR="002B6FE7" w:rsidRPr="00B35962">
        <w:rPr>
          <w:lang w:val="sr-Latn-ME"/>
        </w:rPr>
        <w:t xml:space="preserve"> kvalitet</w:t>
      </w:r>
      <w:r w:rsidR="0004010A" w:rsidRPr="00B35962">
        <w:rPr>
          <w:lang w:val="sr-Latn-ME"/>
        </w:rPr>
        <w:t>a</w:t>
      </w:r>
      <w:r w:rsidR="002B6FE7" w:rsidRPr="00B35962">
        <w:rPr>
          <w:lang w:val="sr-Latn-ME"/>
        </w:rPr>
        <w:t xml:space="preserve"> treba da bud</w:t>
      </w:r>
      <w:r w:rsidR="0004010A" w:rsidRPr="00B35962">
        <w:rPr>
          <w:lang w:val="sr-Latn-ME"/>
        </w:rPr>
        <w:t>e</w:t>
      </w:r>
      <w:r w:rsidR="00277099" w:rsidRPr="00B35962">
        <w:rPr>
          <w:lang w:val="sr-Latn-ME"/>
        </w:rPr>
        <w:t xml:space="preserve"> u fokusu u periodu 2021</w:t>
      </w:r>
      <w:r w:rsidR="0004010A" w:rsidRPr="00B35962">
        <w:rPr>
          <w:lang w:val="sr-Latn-ME"/>
        </w:rPr>
        <w:t>-</w:t>
      </w:r>
      <w:r w:rsidR="002B6FE7" w:rsidRPr="00B35962">
        <w:rPr>
          <w:lang w:val="sr-Latn-ME"/>
        </w:rPr>
        <w:t>202</w:t>
      </w:r>
      <w:r w:rsidR="00A16F75" w:rsidRPr="00B35962">
        <w:rPr>
          <w:lang w:val="sr-Latn-ME"/>
        </w:rPr>
        <w:t>5</w:t>
      </w:r>
      <w:r w:rsidR="00C277A9" w:rsidRPr="00B35962">
        <w:rPr>
          <w:lang w:val="sr-Latn-ME"/>
        </w:rPr>
        <w:t>.</w:t>
      </w:r>
    </w:p>
    <w:p w14:paraId="092AACBE" w14:textId="77777777" w:rsidR="00566A90" w:rsidRPr="00B35962" w:rsidRDefault="00C277A9" w:rsidP="00441EE3">
      <w:pPr>
        <w:ind w:firstLine="0"/>
        <w:rPr>
          <w:lang w:val="sr-Latn-ME"/>
        </w:rPr>
      </w:pPr>
      <w:r w:rsidRPr="00B35962">
        <w:rPr>
          <w:lang w:val="sr-Latn-ME"/>
        </w:rPr>
        <w:tab/>
      </w:r>
    </w:p>
    <w:p w14:paraId="4531B038" w14:textId="77F7BB9A" w:rsidR="00C277A9" w:rsidRPr="00B35962" w:rsidRDefault="00C277A9" w:rsidP="00566A90">
      <w:pPr>
        <w:rPr>
          <w:lang w:val="sr-Latn-ME"/>
        </w:rPr>
      </w:pPr>
      <w:r w:rsidRPr="00B35962">
        <w:rPr>
          <w:lang w:val="sr-Latn-ME"/>
        </w:rPr>
        <w:t xml:space="preserve">Analiza trenutnog stanja je ukazala na ključne prepreke kada je u pitanju sadašnji kvalitet PVO u Crnoj Gori: (a) </w:t>
      </w:r>
      <w:r w:rsidR="00406816" w:rsidRPr="00B35962">
        <w:rPr>
          <w:lang w:val="sr-Latn-ME"/>
        </w:rPr>
        <w:t>nedovoljan broj vaspitača</w:t>
      </w:r>
      <w:r w:rsidR="0004010A" w:rsidRPr="00B35962">
        <w:rPr>
          <w:lang w:val="sr-Latn-ME"/>
        </w:rPr>
        <w:t>,</w:t>
      </w:r>
      <w:r w:rsidR="00540A76" w:rsidRPr="00B35962">
        <w:rPr>
          <w:lang w:val="sr-Latn-ME"/>
        </w:rPr>
        <w:t xml:space="preserve"> posl</w:t>
      </w:r>
      <w:r w:rsidR="0004010A" w:rsidRPr="00B35962">
        <w:rPr>
          <w:lang w:val="sr-Latn-ME"/>
        </w:rPr>
        <w:t>j</w:t>
      </w:r>
      <w:r w:rsidR="00540A76" w:rsidRPr="00B35962">
        <w:rPr>
          <w:lang w:val="sr-Latn-ME"/>
        </w:rPr>
        <w:t>edično</w:t>
      </w:r>
      <w:r w:rsidR="0004010A" w:rsidRPr="00B35962">
        <w:rPr>
          <w:lang w:val="sr-Latn-ME"/>
        </w:rPr>
        <w:t>,</w:t>
      </w:r>
      <w:r w:rsidR="00540A76" w:rsidRPr="00B35962">
        <w:rPr>
          <w:lang w:val="sr-Latn-ME"/>
        </w:rPr>
        <w:t xml:space="preserve"> </w:t>
      </w:r>
      <w:r w:rsidRPr="00B35962">
        <w:rPr>
          <w:lang w:val="sr-Latn-ME"/>
        </w:rPr>
        <w:t xml:space="preserve">prevelike vaspitne grupe </w:t>
      </w:r>
      <w:r w:rsidR="00A507A9" w:rsidRPr="00B35962">
        <w:rPr>
          <w:lang w:val="sr-Latn-ME"/>
        </w:rPr>
        <w:t>i previsok broj d</w:t>
      </w:r>
      <w:r w:rsidR="00A428F6" w:rsidRPr="00B35962">
        <w:rPr>
          <w:lang w:val="sr-Latn-ME"/>
        </w:rPr>
        <w:t>j</w:t>
      </w:r>
      <w:r w:rsidR="00A507A9" w:rsidRPr="00B35962">
        <w:rPr>
          <w:lang w:val="sr-Latn-ME"/>
        </w:rPr>
        <w:t>ece po vaspitaču</w:t>
      </w:r>
      <w:r w:rsidR="0004010A" w:rsidRPr="00B35962">
        <w:rPr>
          <w:lang w:val="sr-Latn-ME"/>
        </w:rPr>
        <w:t>,</w:t>
      </w:r>
      <w:r w:rsidR="00A507A9" w:rsidRPr="00B35962">
        <w:rPr>
          <w:lang w:val="sr-Latn-ME"/>
        </w:rPr>
        <w:t xml:space="preserve"> </w:t>
      </w:r>
      <w:r w:rsidR="0004010A" w:rsidRPr="00B35962">
        <w:rPr>
          <w:lang w:val="sr-Latn-ME"/>
        </w:rPr>
        <w:t xml:space="preserve">što </w:t>
      </w:r>
      <w:r w:rsidRPr="00B35962">
        <w:rPr>
          <w:lang w:val="sr-Latn-ME"/>
        </w:rPr>
        <w:t xml:space="preserve">otežava </w:t>
      </w:r>
      <w:r w:rsidR="00A507A9" w:rsidRPr="00B35962">
        <w:rPr>
          <w:lang w:val="sr-Latn-ME"/>
        </w:rPr>
        <w:t xml:space="preserve">pružanje </w:t>
      </w:r>
      <w:r w:rsidRPr="00B35962">
        <w:rPr>
          <w:lang w:val="sr-Latn-ME"/>
        </w:rPr>
        <w:t>kvalitetn</w:t>
      </w:r>
      <w:r w:rsidR="00787CBD" w:rsidRPr="00B35962">
        <w:rPr>
          <w:lang w:val="sr-Latn-ME"/>
        </w:rPr>
        <w:t>og</w:t>
      </w:r>
      <w:r w:rsidRPr="00B35962">
        <w:rPr>
          <w:lang w:val="sr-Latn-ME"/>
        </w:rPr>
        <w:t xml:space="preserve"> rad</w:t>
      </w:r>
      <w:r w:rsidR="00787CBD" w:rsidRPr="00B35962">
        <w:rPr>
          <w:lang w:val="sr-Latn-ME"/>
        </w:rPr>
        <w:t>a</w:t>
      </w:r>
      <w:r w:rsidRPr="00B35962">
        <w:rPr>
          <w:lang w:val="sr-Latn-ME"/>
        </w:rPr>
        <w:t xml:space="preserve">, (b) kvalitet postojećeg programa PVO nije usklađen sa EU okvirom, (c) </w:t>
      </w:r>
      <w:r w:rsidR="00765C23" w:rsidRPr="00B35962">
        <w:rPr>
          <w:lang w:val="sr-Latn-ME"/>
        </w:rPr>
        <w:t xml:space="preserve">inicijalno obrazovanje i </w:t>
      </w:r>
      <w:r w:rsidRPr="00B35962">
        <w:rPr>
          <w:lang w:val="sr-Latn-ME"/>
        </w:rPr>
        <w:t xml:space="preserve">profesionalni razvoj </w:t>
      </w:r>
      <w:r w:rsidR="009C3985" w:rsidRPr="00B35962">
        <w:rPr>
          <w:lang w:val="sr-Latn-ME"/>
        </w:rPr>
        <w:t>zaposlenih ni</w:t>
      </w:r>
      <w:r w:rsidR="0004010A" w:rsidRPr="00B35962">
        <w:rPr>
          <w:lang w:val="sr-Latn-ME"/>
        </w:rPr>
        <w:t>je</w:t>
      </w:r>
      <w:r w:rsidR="00A507A9" w:rsidRPr="00B35962">
        <w:rPr>
          <w:lang w:val="sr-Latn-ME"/>
        </w:rPr>
        <w:t>su</w:t>
      </w:r>
      <w:r w:rsidR="009C3985" w:rsidRPr="00B35962">
        <w:rPr>
          <w:lang w:val="sr-Latn-ME"/>
        </w:rPr>
        <w:t xml:space="preserve"> usklađen</w:t>
      </w:r>
      <w:r w:rsidR="00A507A9" w:rsidRPr="00B35962">
        <w:rPr>
          <w:lang w:val="sr-Latn-ME"/>
        </w:rPr>
        <w:t>i</w:t>
      </w:r>
      <w:r w:rsidR="009C3985" w:rsidRPr="00B35962">
        <w:rPr>
          <w:lang w:val="sr-Latn-ME"/>
        </w:rPr>
        <w:t xml:space="preserve"> sa EU okvirom</w:t>
      </w:r>
      <w:r w:rsidR="00A507A9" w:rsidRPr="00B35962">
        <w:rPr>
          <w:lang w:val="sr-Latn-ME"/>
        </w:rPr>
        <w:t>, a ni</w:t>
      </w:r>
      <w:r w:rsidR="0004010A" w:rsidRPr="00B35962">
        <w:rPr>
          <w:lang w:val="sr-Latn-ME"/>
        </w:rPr>
        <w:t>je</w:t>
      </w:r>
      <w:r w:rsidR="00A507A9" w:rsidRPr="00B35962">
        <w:rPr>
          <w:lang w:val="sr-Latn-ME"/>
        </w:rPr>
        <w:t>su ni međusobno dovoljno usklađeni</w:t>
      </w:r>
      <w:r w:rsidR="009C3985" w:rsidRPr="00B35962">
        <w:rPr>
          <w:lang w:val="sr-Latn-ME"/>
        </w:rPr>
        <w:t>,</w:t>
      </w:r>
      <w:r w:rsidRPr="00B35962">
        <w:rPr>
          <w:lang w:val="sr-Latn-ME"/>
        </w:rPr>
        <w:t xml:space="preserve"> </w:t>
      </w:r>
      <w:r w:rsidR="009C3985" w:rsidRPr="00B35962">
        <w:rPr>
          <w:lang w:val="sr-Latn-ME"/>
        </w:rPr>
        <w:t xml:space="preserve">(d) pružanje podrške roditeljima u stvaranju podsticajnog okruženja za rani razvoj nije dovoljno razvijen, </w:t>
      </w:r>
      <w:r w:rsidR="00787CBD" w:rsidRPr="00B35962">
        <w:rPr>
          <w:lang w:val="sr-Latn-ME"/>
        </w:rPr>
        <w:t xml:space="preserve">i </w:t>
      </w:r>
      <w:r w:rsidR="009C3985" w:rsidRPr="00B35962">
        <w:rPr>
          <w:lang w:val="sr-Latn-ME"/>
        </w:rPr>
        <w:t xml:space="preserve">(e) sistem </w:t>
      </w:r>
      <w:r w:rsidR="00F23D87" w:rsidRPr="00B35962">
        <w:rPr>
          <w:lang w:val="sr-Latn-ME"/>
        </w:rPr>
        <w:t>obezbjeđivanja</w:t>
      </w:r>
      <w:r w:rsidR="009C3985" w:rsidRPr="00B35962">
        <w:rPr>
          <w:lang w:val="sr-Latn-ME"/>
        </w:rPr>
        <w:t xml:space="preserve"> kvaliteta je nedovoljno usmjeren na unapređivanje kvaliteta, a više na nadzor</w:t>
      </w:r>
      <w:r w:rsidR="00025176" w:rsidRPr="00B35962">
        <w:rPr>
          <w:lang w:val="sr-Latn-ME"/>
        </w:rPr>
        <w:t>.</w:t>
      </w:r>
    </w:p>
    <w:p w14:paraId="690CF41C" w14:textId="299E800A" w:rsidR="007C3A96" w:rsidRPr="00B35962" w:rsidRDefault="007C3A96" w:rsidP="007C3A96">
      <w:pPr>
        <w:pStyle w:val="Caption"/>
        <w:keepNext/>
        <w:ind w:firstLine="0"/>
        <w:rPr>
          <w:i w:val="0"/>
          <w:iCs w:val="0"/>
          <w:color w:val="auto"/>
          <w:sz w:val="24"/>
          <w:szCs w:val="24"/>
          <w:lang w:val="sr-Latn-ME"/>
        </w:rPr>
      </w:pPr>
      <w:r w:rsidRPr="00B35962">
        <w:rPr>
          <w:i w:val="0"/>
          <w:iCs w:val="0"/>
          <w:color w:val="auto"/>
          <w:sz w:val="24"/>
          <w:szCs w:val="24"/>
          <w:lang w:val="sr-Latn-ME"/>
        </w:rPr>
        <w:lastRenderedPageBreak/>
        <w:t xml:space="preserve">Tabela </w:t>
      </w:r>
      <w:r w:rsidRPr="00B35962">
        <w:rPr>
          <w:i w:val="0"/>
          <w:iCs w:val="0"/>
          <w:color w:val="auto"/>
          <w:sz w:val="24"/>
          <w:szCs w:val="24"/>
          <w:lang w:val="sr-Latn-ME"/>
        </w:rPr>
        <w:fldChar w:fldCharType="begin"/>
      </w:r>
      <w:r w:rsidRPr="00B35962">
        <w:rPr>
          <w:i w:val="0"/>
          <w:iCs w:val="0"/>
          <w:color w:val="auto"/>
          <w:sz w:val="24"/>
          <w:szCs w:val="24"/>
          <w:lang w:val="sr-Latn-ME"/>
        </w:rPr>
        <w:instrText xml:space="preserve"> SEQ Tabela \* ARABIC </w:instrText>
      </w:r>
      <w:r w:rsidRPr="00B35962">
        <w:rPr>
          <w:i w:val="0"/>
          <w:iCs w:val="0"/>
          <w:color w:val="auto"/>
          <w:sz w:val="24"/>
          <w:szCs w:val="24"/>
          <w:lang w:val="sr-Latn-ME"/>
        </w:rPr>
        <w:fldChar w:fldCharType="separate"/>
      </w:r>
      <w:r w:rsidR="0054592B" w:rsidRPr="00B35962">
        <w:rPr>
          <w:i w:val="0"/>
          <w:iCs w:val="0"/>
          <w:noProof/>
          <w:color w:val="auto"/>
          <w:sz w:val="24"/>
          <w:szCs w:val="24"/>
          <w:lang w:val="sr-Latn-ME"/>
        </w:rPr>
        <w:t>4</w:t>
      </w:r>
      <w:r w:rsidRPr="00B35962">
        <w:rPr>
          <w:i w:val="0"/>
          <w:iCs w:val="0"/>
          <w:color w:val="auto"/>
          <w:sz w:val="24"/>
          <w:szCs w:val="24"/>
          <w:lang w:val="sr-Latn-ME"/>
        </w:rPr>
        <w:fldChar w:fldCharType="end"/>
      </w:r>
      <w:r w:rsidRPr="00B35962">
        <w:rPr>
          <w:i w:val="0"/>
          <w:iCs w:val="0"/>
          <w:color w:val="auto"/>
          <w:sz w:val="24"/>
          <w:szCs w:val="24"/>
          <w:lang w:val="sr-Latn-ME"/>
        </w:rPr>
        <w:t xml:space="preserve">. Indikatori za praćenje </w:t>
      </w:r>
      <w:r w:rsidR="000A1516" w:rsidRPr="00B35962">
        <w:rPr>
          <w:i w:val="0"/>
          <w:iCs w:val="0"/>
          <w:color w:val="auto"/>
          <w:sz w:val="24"/>
          <w:szCs w:val="24"/>
          <w:lang w:val="sr-Latn-ME"/>
        </w:rPr>
        <w:t xml:space="preserve">operativnog </w:t>
      </w:r>
      <w:r w:rsidRPr="00B35962">
        <w:rPr>
          <w:i w:val="0"/>
          <w:iCs w:val="0"/>
          <w:color w:val="auto"/>
          <w:sz w:val="24"/>
          <w:szCs w:val="24"/>
          <w:lang w:val="sr-Latn-ME"/>
        </w:rPr>
        <w:t>cilja 2</w:t>
      </w:r>
    </w:p>
    <w:tbl>
      <w:tblPr>
        <w:tblStyle w:val="TableGrid0"/>
        <w:tblW w:w="96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48"/>
        <w:gridCol w:w="2448"/>
        <w:gridCol w:w="1584"/>
        <w:gridCol w:w="1584"/>
        <w:gridCol w:w="1584"/>
      </w:tblGrid>
      <w:tr w:rsidR="007C3A96" w:rsidRPr="00B35962" w14:paraId="3A52321A" w14:textId="77777777" w:rsidTr="00936B91">
        <w:tc>
          <w:tcPr>
            <w:tcW w:w="2448" w:type="dxa"/>
            <w:shd w:val="clear" w:color="auto" w:fill="auto"/>
          </w:tcPr>
          <w:p w14:paraId="30FDCAFC" w14:textId="5F16017D" w:rsidR="007C3A96" w:rsidRPr="00B35962" w:rsidRDefault="00D131EB" w:rsidP="004B1FD4">
            <w:pPr>
              <w:ind w:firstLine="0"/>
              <w:rPr>
                <w:lang w:val="sr-Latn-ME"/>
              </w:rPr>
            </w:pPr>
            <w:r w:rsidRPr="00B35962">
              <w:rPr>
                <w:lang w:val="sr-Latn-ME"/>
              </w:rPr>
              <w:t>O</w:t>
            </w:r>
            <w:r w:rsidR="000A1516" w:rsidRPr="00B35962">
              <w:rPr>
                <w:lang w:val="sr-Latn-ME"/>
              </w:rPr>
              <w:t xml:space="preserve">perativni </w:t>
            </w:r>
            <w:r w:rsidR="007C3A96" w:rsidRPr="00B35962">
              <w:rPr>
                <w:lang w:val="sr-Latn-ME"/>
              </w:rPr>
              <w:t xml:space="preserve"> cilj</w:t>
            </w:r>
          </w:p>
        </w:tc>
        <w:tc>
          <w:tcPr>
            <w:tcW w:w="2448" w:type="dxa"/>
            <w:shd w:val="clear" w:color="auto" w:fill="auto"/>
          </w:tcPr>
          <w:p w14:paraId="13610635" w14:textId="77777777" w:rsidR="007C3A96" w:rsidRPr="00B35962" w:rsidRDefault="007C3A96" w:rsidP="004B1FD4">
            <w:pPr>
              <w:ind w:firstLine="0"/>
              <w:rPr>
                <w:lang w:val="sr-Latn-ME"/>
              </w:rPr>
            </w:pPr>
            <w:r w:rsidRPr="00B35962">
              <w:rPr>
                <w:lang w:val="sr-Latn-ME"/>
              </w:rPr>
              <w:t>Indikator</w:t>
            </w:r>
          </w:p>
        </w:tc>
        <w:tc>
          <w:tcPr>
            <w:tcW w:w="1584" w:type="dxa"/>
            <w:shd w:val="clear" w:color="auto" w:fill="auto"/>
          </w:tcPr>
          <w:p w14:paraId="0C37DEDF" w14:textId="77777777" w:rsidR="007C3A96" w:rsidRPr="00B35962" w:rsidRDefault="007C3A96" w:rsidP="004B1FD4">
            <w:pPr>
              <w:ind w:firstLine="0"/>
              <w:rPr>
                <w:lang w:val="sr-Latn-ME"/>
              </w:rPr>
            </w:pPr>
            <w:r w:rsidRPr="00B35962">
              <w:rPr>
                <w:lang w:val="sr-Latn-ME"/>
              </w:rPr>
              <w:t>Sadašnja vrijednost 2020</w:t>
            </w:r>
          </w:p>
        </w:tc>
        <w:tc>
          <w:tcPr>
            <w:tcW w:w="1584" w:type="dxa"/>
            <w:shd w:val="clear" w:color="auto" w:fill="auto"/>
          </w:tcPr>
          <w:p w14:paraId="566DCCA7" w14:textId="77777777" w:rsidR="007C3A96" w:rsidRPr="00B35962" w:rsidRDefault="007C3A96" w:rsidP="004B1FD4">
            <w:pPr>
              <w:ind w:firstLine="0"/>
              <w:rPr>
                <w:lang w:val="sr-Latn-ME"/>
              </w:rPr>
            </w:pPr>
            <w:r w:rsidRPr="00B35962">
              <w:rPr>
                <w:lang w:val="sr-Latn-ME"/>
              </w:rPr>
              <w:t>Ciljna vrijednost 2022</w:t>
            </w:r>
          </w:p>
        </w:tc>
        <w:tc>
          <w:tcPr>
            <w:tcW w:w="1584" w:type="dxa"/>
            <w:shd w:val="clear" w:color="auto" w:fill="auto"/>
          </w:tcPr>
          <w:p w14:paraId="4D5112FC" w14:textId="77777777" w:rsidR="007C3A96" w:rsidRPr="00B35962" w:rsidRDefault="007C3A96" w:rsidP="00A16F75">
            <w:pPr>
              <w:ind w:firstLine="0"/>
              <w:rPr>
                <w:lang w:val="sr-Latn-ME"/>
              </w:rPr>
            </w:pPr>
            <w:r w:rsidRPr="00B35962">
              <w:rPr>
                <w:lang w:val="sr-Latn-ME"/>
              </w:rPr>
              <w:t>Ciljna vrijednost 202</w:t>
            </w:r>
            <w:r w:rsidR="00A16F75" w:rsidRPr="00B35962">
              <w:rPr>
                <w:lang w:val="sr-Latn-ME"/>
              </w:rPr>
              <w:t>5</w:t>
            </w:r>
          </w:p>
        </w:tc>
      </w:tr>
      <w:tr w:rsidR="00BC334D" w:rsidRPr="00B35962" w14:paraId="77168D87" w14:textId="77777777" w:rsidTr="00936B91">
        <w:tc>
          <w:tcPr>
            <w:tcW w:w="2448" w:type="dxa"/>
            <w:vMerge w:val="restart"/>
            <w:shd w:val="clear" w:color="auto" w:fill="auto"/>
          </w:tcPr>
          <w:p w14:paraId="7E58E024" w14:textId="77777777" w:rsidR="00BC334D" w:rsidRPr="00B35962" w:rsidRDefault="00BC334D" w:rsidP="00566A90">
            <w:pPr>
              <w:ind w:firstLine="0"/>
              <w:rPr>
                <w:lang w:val="sr-Latn-ME"/>
              </w:rPr>
            </w:pPr>
            <w:r w:rsidRPr="00B35962">
              <w:rPr>
                <w:lang w:val="sr-Latn-ME"/>
              </w:rPr>
              <w:t>2. Unapređenje i obezbjeđivanje kvaliteta PVO</w:t>
            </w:r>
          </w:p>
          <w:p w14:paraId="329BB6F8" w14:textId="77777777" w:rsidR="00BC334D" w:rsidRPr="00B35962" w:rsidRDefault="00BC334D" w:rsidP="00566A90">
            <w:pPr>
              <w:rPr>
                <w:lang w:val="sr-Latn-ME"/>
              </w:rPr>
            </w:pPr>
          </w:p>
        </w:tc>
        <w:tc>
          <w:tcPr>
            <w:tcW w:w="2448" w:type="dxa"/>
            <w:shd w:val="clear" w:color="auto" w:fill="auto"/>
          </w:tcPr>
          <w:p w14:paraId="1AC72588" w14:textId="77777777" w:rsidR="00BC334D" w:rsidRPr="00B35962" w:rsidRDefault="00BC334D" w:rsidP="00566A90">
            <w:pPr>
              <w:ind w:firstLine="0"/>
              <w:rPr>
                <w:lang w:val="sr-Latn-ME"/>
              </w:rPr>
            </w:pPr>
            <w:r w:rsidRPr="00B35962">
              <w:rPr>
                <w:lang w:val="sr-Latn-ME"/>
              </w:rPr>
              <w:t>2.1 Broj javnih PU u kojima je prosječna veličina vaspitnih grupa do 26 djece po vaspitnoj grupi (MONSTAT)</w:t>
            </w:r>
          </w:p>
        </w:tc>
        <w:tc>
          <w:tcPr>
            <w:tcW w:w="1584" w:type="dxa"/>
            <w:shd w:val="clear" w:color="auto" w:fill="auto"/>
          </w:tcPr>
          <w:p w14:paraId="64F79949" w14:textId="77777777" w:rsidR="00BC334D" w:rsidRPr="00B35962" w:rsidRDefault="00BC334D" w:rsidP="004B1FD4">
            <w:pPr>
              <w:ind w:firstLine="0"/>
              <w:rPr>
                <w:lang w:val="sr-Latn-ME"/>
              </w:rPr>
            </w:pPr>
            <w:r w:rsidRPr="00B35962">
              <w:rPr>
                <w:lang w:val="sr-Latn-ME"/>
              </w:rPr>
              <w:t>10</w:t>
            </w:r>
          </w:p>
        </w:tc>
        <w:tc>
          <w:tcPr>
            <w:tcW w:w="1584" w:type="dxa"/>
            <w:shd w:val="clear" w:color="auto" w:fill="auto"/>
          </w:tcPr>
          <w:p w14:paraId="09C07F48" w14:textId="77777777" w:rsidR="00BC334D" w:rsidRPr="00B35962" w:rsidRDefault="00BC334D" w:rsidP="004B1FD4">
            <w:pPr>
              <w:ind w:firstLine="0"/>
              <w:rPr>
                <w:lang w:val="sr-Latn-ME"/>
              </w:rPr>
            </w:pPr>
            <w:r w:rsidRPr="00B35962">
              <w:rPr>
                <w:lang w:val="sr-Latn-ME"/>
              </w:rPr>
              <w:t>14</w:t>
            </w:r>
          </w:p>
        </w:tc>
        <w:tc>
          <w:tcPr>
            <w:tcW w:w="1584" w:type="dxa"/>
            <w:shd w:val="clear" w:color="auto" w:fill="auto"/>
          </w:tcPr>
          <w:p w14:paraId="38DFA700" w14:textId="77777777" w:rsidR="00BC334D" w:rsidRPr="00B35962" w:rsidRDefault="00BC334D" w:rsidP="004B1FD4">
            <w:pPr>
              <w:ind w:firstLine="0"/>
              <w:rPr>
                <w:lang w:val="sr-Latn-ME"/>
              </w:rPr>
            </w:pPr>
            <w:r w:rsidRPr="00B35962">
              <w:rPr>
                <w:lang w:val="sr-Latn-ME"/>
              </w:rPr>
              <w:t xml:space="preserve"> 18</w:t>
            </w:r>
          </w:p>
        </w:tc>
      </w:tr>
      <w:tr w:rsidR="00BC334D" w:rsidRPr="00B35962" w14:paraId="435071E6" w14:textId="77777777" w:rsidTr="00936B91">
        <w:tc>
          <w:tcPr>
            <w:tcW w:w="2448" w:type="dxa"/>
            <w:vMerge/>
            <w:shd w:val="clear" w:color="auto" w:fill="auto"/>
          </w:tcPr>
          <w:p w14:paraId="37406EC7" w14:textId="77777777" w:rsidR="00BC334D" w:rsidRPr="00B35962" w:rsidRDefault="00BC334D" w:rsidP="00566A90">
            <w:pPr>
              <w:ind w:firstLine="0"/>
              <w:rPr>
                <w:lang w:val="sr-Latn-ME"/>
              </w:rPr>
            </w:pPr>
          </w:p>
        </w:tc>
        <w:tc>
          <w:tcPr>
            <w:tcW w:w="2448" w:type="dxa"/>
            <w:shd w:val="clear" w:color="auto" w:fill="auto"/>
          </w:tcPr>
          <w:p w14:paraId="3DE69026" w14:textId="77777777" w:rsidR="00BC334D" w:rsidRPr="00B35962" w:rsidRDefault="00BC334D" w:rsidP="00566A90">
            <w:pPr>
              <w:ind w:firstLine="0"/>
              <w:rPr>
                <w:lang w:val="sr-Latn-ME"/>
              </w:rPr>
            </w:pPr>
            <w:r w:rsidRPr="00B35962">
              <w:rPr>
                <w:lang w:val="sr-Latn-ME"/>
              </w:rPr>
              <w:t>2.2 Novi plan i program PVO i novi model profesionalnog usavršavanja su usaglašeni sa EU okvirom (MP)</w:t>
            </w:r>
          </w:p>
        </w:tc>
        <w:tc>
          <w:tcPr>
            <w:tcW w:w="1584" w:type="dxa"/>
            <w:shd w:val="clear" w:color="auto" w:fill="auto"/>
          </w:tcPr>
          <w:p w14:paraId="5134E310" w14:textId="77777777" w:rsidR="00BC334D" w:rsidRPr="00B35962" w:rsidRDefault="00BC334D" w:rsidP="00842D41">
            <w:pPr>
              <w:ind w:firstLine="0"/>
              <w:rPr>
                <w:lang w:val="sr-Latn-ME"/>
              </w:rPr>
            </w:pPr>
            <w:r w:rsidRPr="00B35962">
              <w:rPr>
                <w:lang w:val="sr-Latn-ME"/>
              </w:rPr>
              <w:t>Ne</w:t>
            </w:r>
          </w:p>
        </w:tc>
        <w:tc>
          <w:tcPr>
            <w:tcW w:w="1584" w:type="dxa"/>
            <w:shd w:val="clear" w:color="auto" w:fill="auto"/>
          </w:tcPr>
          <w:p w14:paraId="74F7ADCF" w14:textId="77777777" w:rsidR="00BC334D" w:rsidRPr="00B35962" w:rsidRDefault="00BC334D" w:rsidP="00842D41">
            <w:pPr>
              <w:ind w:firstLine="0"/>
              <w:rPr>
                <w:lang w:val="sr-Latn-ME"/>
              </w:rPr>
            </w:pPr>
            <w:r w:rsidRPr="00B35962">
              <w:rPr>
                <w:lang w:val="sr-Latn-ME"/>
              </w:rPr>
              <w:t>Ne</w:t>
            </w:r>
          </w:p>
        </w:tc>
        <w:tc>
          <w:tcPr>
            <w:tcW w:w="1584" w:type="dxa"/>
            <w:shd w:val="clear" w:color="auto" w:fill="auto"/>
          </w:tcPr>
          <w:p w14:paraId="5CD3C599" w14:textId="77777777" w:rsidR="00BC334D" w:rsidRPr="00B35962" w:rsidRDefault="00BC334D" w:rsidP="00842D41">
            <w:pPr>
              <w:ind w:firstLine="0"/>
              <w:rPr>
                <w:lang w:val="sr-Latn-ME"/>
              </w:rPr>
            </w:pPr>
            <w:r w:rsidRPr="00B35962">
              <w:rPr>
                <w:lang w:val="sr-Latn-ME"/>
              </w:rPr>
              <w:t>Da</w:t>
            </w:r>
          </w:p>
        </w:tc>
      </w:tr>
    </w:tbl>
    <w:p w14:paraId="002E4CF1" w14:textId="24123F20" w:rsidR="00441EE3" w:rsidRPr="00B35962" w:rsidRDefault="00441EE3" w:rsidP="00441EE3">
      <w:pPr>
        <w:rPr>
          <w:lang w:val="sr-Latn-ME"/>
        </w:rPr>
      </w:pPr>
      <w:r w:rsidRPr="00B35962">
        <w:rPr>
          <w:lang w:val="sr-Latn-ME"/>
        </w:rPr>
        <w:t xml:space="preserve">Da bi se </w:t>
      </w:r>
      <w:r w:rsidR="00025176" w:rsidRPr="00B35962">
        <w:rPr>
          <w:lang w:val="sr-Latn-ME"/>
        </w:rPr>
        <w:t xml:space="preserve">u narednom periodu unaprijedio kvalitet PVO </w:t>
      </w:r>
      <w:r w:rsidRPr="00B35962">
        <w:rPr>
          <w:lang w:val="sr-Latn-ME"/>
        </w:rPr>
        <w:t>potrebno je da se realizuju sl</w:t>
      </w:r>
      <w:r w:rsidR="00D131EB" w:rsidRPr="00B35962">
        <w:rPr>
          <w:lang w:val="sr-Latn-ME"/>
        </w:rPr>
        <w:t>j</w:t>
      </w:r>
      <w:r w:rsidRPr="00B35962">
        <w:rPr>
          <w:lang w:val="sr-Latn-ME"/>
        </w:rPr>
        <w:t>edeć</w:t>
      </w:r>
      <w:r w:rsidR="00D131EB" w:rsidRPr="00B35962">
        <w:rPr>
          <w:lang w:val="sr-Latn-ME"/>
        </w:rPr>
        <w:t>a ključna mjerila</w:t>
      </w:r>
      <w:r w:rsidRPr="00B35962">
        <w:rPr>
          <w:lang w:val="sr-Latn-ME"/>
        </w:rPr>
        <w:t>:</w:t>
      </w:r>
    </w:p>
    <w:p w14:paraId="0B4A5880" w14:textId="63F6934A" w:rsidR="009832ED" w:rsidRPr="00B35962" w:rsidRDefault="00D131EB" w:rsidP="00441EE3">
      <w:pPr>
        <w:pStyle w:val="ListParagraph"/>
        <w:numPr>
          <w:ilvl w:val="0"/>
          <w:numId w:val="2"/>
        </w:numPr>
        <w:ind w:left="1170"/>
        <w:rPr>
          <w:lang w:val="sr-Latn-ME"/>
        </w:rPr>
      </w:pPr>
      <w:r w:rsidRPr="00B35962">
        <w:rPr>
          <w:lang w:val="sr-Latn-ME"/>
        </w:rPr>
        <w:t xml:space="preserve">Ključno mjerilo </w:t>
      </w:r>
      <w:r w:rsidR="00025176" w:rsidRPr="00B35962">
        <w:rPr>
          <w:lang w:val="sr-Latn-ME"/>
        </w:rPr>
        <w:t>2.</w:t>
      </w:r>
      <w:r w:rsidR="00441EE3" w:rsidRPr="00B35962">
        <w:rPr>
          <w:lang w:val="sr-Latn-ME"/>
        </w:rPr>
        <w:t xml:space="preserve">1: </w:t>
      </w:r>
      <w:r w:rsidR="009832ED" w:rsidRPr="00B35962">
        <w:rPr>
          <w:lang w:val="sr-Latn-ME"/>
        </w:rPr>
        <w:t>Smanjivanje veličine vaspitnih grupa</w:t>
      </w:r>
    </w:p>
    <w:p w14:paraId="3E31DAA7" w14:textId="56146544" w:rsidR="00441EE3" w:rsidRPr="00B35962" w:rsidRDefault="00D131EB" w:rsidP="00441EE3">
      <w:pPr>
        <w:pStyle w:val="ListParagraph"/>
        <w:numPr>
          <w:ilvl w:val="0"/>
          <w:numId w:val="2"/>
        </w:numPr>
        <w:ind w:left="1170"/>
        <w:rPr>
          <w:lang w:val="sr-Latn-ME"/>
        </w:rPr>
      </w:pPr>
      <w:r w:rsidRPr="00B35962">
        <w:rPr>
          <w:lang w:val="sr-Latn-ME"/>
        </w:rPr>
        <w:t xml:space="preserve">Ključno mjerilo </w:t>
      </w:r>
      <w:r w:rsidR="009832ED" w:rsidRPr="00B35962">
        <w:rPr>
          <w:lang w:val="sr-Latn-ME"/>
        </w:rPr>
        <w:t xml:space="preserve">2.2: </w:t>
      </w:r>
      <w:r w:rsidR="006B02F9" w:rsidRPr="00B35962">
        <w:rPr>
          <w:lang w:val="sr-Latn-ME"/>
        </w:rPr>
        <w:t>Razvoj i primjena osavremenjenog Plana i programa PVO</w:t>
      </w:r>
    </w:p>
    <w:p w14:paraId="199E0AB5" w14:textId="03BF8049" w:rsidR="00441EE3" w:rsidRPr="00B35962" w:rsidRDefault="00D131EB" w:rsidP="00441EE3">
      <w:pPr>
        <w:pStyle w:val="ListParagraph"/>
        <w:numPr>
          <w:ilvl w:val="0"/>
          <w:numId w:val="2"/>
        </w:numPr>
        <w:ind w:left="1170"/>
        <w:rPr>
          <w:lang w:val="sr-Latn-ME"/>
        </w:rPr>
      </w:pPr>
      <w:r w:rsidRPr="00B35962">
        <w:rPr>
          <w:lang w:val="sr-Latn-ME"/>
        </w:rPr>
        <w:t xml:space="preserve">Ključno mjerilo </w:t>
      </w:r>
      <w:r w:rsidR="00025176" w:rsidRPr="00B35962">
        <w:rPr>
          <w:lang w:val="sr-Latn-ME"/>
        </w:rPr>
        <w:t>2.</w:t>
      </w:r>
      <w:r w:rsidR="009832ED" w:rsidRPr="00B35962">
        <w:rPr>
          <w:lang w:val="sr-Latn-ME"/>
        </w:rPr>
        <w:t>3</w:t>
      </w:r>
      <w:r w:rsidR="00441EE3" w:rsidRPr="00B35962">
        <w:rPr>
          <w:lang w:val="sr-Latn-ME"/>
        </w:rPr>
        <w:t xml:space="preserve">: </w:t>
      </w:r>
      <w:r w:rsidR="009832ED" w:rsidRPr="00B35962">
        <w:rPr>
          <w:lang w:val="sr-Latn-ME"/>
        </w:rPr>
        <w:t>Uskladiti postojeći sistem profesionalnog razvoja sa EU okvirom</w:t>
      </w:r>
    </w:p>
    <w:p w14:paraId="5F0D8856" w14:textId="068E5171" w:rsidR="003B6CCE" w:rsidRPr="00B35962" w:rsidRDefault="00D131EB" w:rsidP="00441EE3">
      <w:pPr>
        <w:pStyle w:val="ListParagraph"/>
        <w:numPr>
          <w:ilvl w:val="0"/>
          <w:numId w:val="2"/>
        </w:numPr>
        <w:ind w:left="1170"/>
        <w:rPr>
          <w:lang w:val="sr-Latn-ME"/>
        </w:rPr>
      </w:pPr>
      <w:r w:rsidRPr="00B35962">
        <w:rPr>
          <w:lang w:val="sr-Latn-ME"/>
        </w:rPr>
        <w:t xml:space="preserve">Ključno mjerilo </w:t>
      </w:r>
      <w:r w:rsidR="003B6CCE" w:rsidRPr="00B35962">
        <w:rPr>
          <w:lang w:val="sr-Latn-ME"/>
        </w:rPr>
        <w:t>2.4: Unaprijediti sadržaj i praksu inicijalnog obrazovanja</w:t>
      </w:r>
    </w:p>
    <w:p w14:paraId="25342921" w14:textId="39EC03B7" w:rsidR="00441EE3" w:rsidRPr="00B35962" w:rsidRDefault="00D131EB" w:rsidP="00441EE3">
      <w:pPr>
        <w:pStyle w:val="ListParagraph"/>
        <w:numPr>
          <w:ilvl w:val="0"/>
          <w:numId w:val="2"/>
        </w:numPr>
        <w:ind w:left="1170"/>
        <w:rPr>
          <w:lang w:val="sr-Latn-ME"/>
        </w:rPr>
      </w:pPr>
      <w:r w:rsidRPr="00B35962">
        <w:rPr>
          <w:lang w:val="sr-Latn-ME"/>
        </w:rPr>
        <w:t xml:space="preserve">Ključno mjerilo </w:t>
      </w:r>
      <w:r w:rsidR="00025176" w:rsidRPr="00B35962">
        <w:rPr>
          <w:lang w:val="sr-Latn-ME"/>
        </w:rPr>
        <w:t>2.</w:t>
      </w:r>
      <w:r w:rsidR="003B6CCE" w:rsidRPr="00B35962">
        <w:rPr>
          <w:lang w:val="sr-Latn-ME"/>
        </w:rPr>
        <w:t>5</w:t>
      </w:r>
      <w:r w:rsidR="00441EE3" w:rsidRPr="00B35962">
        <w:rPr>
          <w:lang w:val="sr-Latn-ME"/>
        </w:rPr>
        <w:t xml:space="preserve">: </w:t>
      </w:r>
      <w:r w:rsidR="009832ED" w:rsidRPr="00B35962">
        <w:rPr>
          <w:lang w:val="sr-Latn-ME"/>
        </w:rPr>
        <w:t xml:space="preserve">Unaprijediti postojeći sistem </w:t>
      </w:r>
      <w:r w:rsidR="00DE64AC" w:rsidRPr="00B35962">
        <w:rPr>
          <w:lang w:val="sr-Latn-ME"/>
        </w:rPr>
        <w:t>obezb</w:t>
      </w:r>
      <w:r w:rsidR="00566A90" w:rsidRPr="00B35962">
        <w:rPr>
          <w:lang w:val="sr-Latn-ME"/>
        </w:rPr>
        <w:t>j</w:t>
      </w:r>
      <w:r w:rsidR="00DE64AC" w:rsidRPr="00B35962">
        <w:rPr>
          <w:lang w:val="sr-Latn-ME"/>
        </w:rPr>
        <w:t>eđivanj</w:t>
      </w:r>
      <w:r w:rsidR="009832ED" w:rsidRPr="00B35962">
        <w:rPr>
          <w:lang w:val="sr-Latn-ME"/>
        </w:rPr>
        <w:t>a kvaliteta</w:t>
      </w:r>
    </w:p>
    <w:p w14:paraId="5D1AA151" w14:textId="4C1E3CE2" w:rsidR="009832ED" w:rsidRPr="00B35962" w:rsidRDefault="00D131EB" w:rsidP="00441EE3">
      <w:pPr>
        <w:pStyle w:val="ListParagraph"/>
        <w:numPr>
          <w:ilvl w:val="0"/>
          <w:numId w:val="2"/>
        </w:numPr>
        <w:ind w:left="1170"/>
        <w:rPr>
          <w:lang w:val="sr-Latn-ME"/>
        </w:rPr>
      </w:pPr>
      <w:r w:rsidRPr="00B35962">
        <w:rPr>
          <w:lang w:val="sr-Latn-ME"/>
        </w:rPr>
        <w:t xml:space="preserve">Ključno mjerilo </w:t>
      </w:r>
      <w:r w:rsidR="009832ED" w:rsidRPr="00B35962">
        <w:rPr>
          <w:lang w:val="sr-Latn-ME"/>
        </w:rPr>
        <w:t>2.</w:t>
      </w:r>
      <w:r w:rsidR="003B6CCE" w:rsidRPr="00B35962">
        <w:rPr>
          <w:lang w:val="sr-Latn-ME"/>
        </w:rPr>
        <w:t>6</w:t>
      </w:r>
      <w:r w:rsidR="009832ED" w:rsidRPr="00B35962">
        <w:rPr>
          <w:lang w:val="sr-Latn-ME"/>
        </w:rPr>
        <w:t>: Jačanje podrške roditeljima i porodicama</w:t>
      </w:r>
    </w:p>
    <w:p w14:paraId="61AB8175" w14:textId="35D6B9A0" w:rsidR="00C8150A" w:rsidRPr="00B35962" w:rsidRDefault="00D131EB" w:rsidP="00441EE3">
      <w:pPr>
        <w:pStyle w:val="ListParagraph"/>
        <w:numPr>
          <w:ilvl w:val="0"/>
          <w:numId w:val="2"/>
        </w:numPr>
        <w:ind w:left="1170"/>
        <w:rPr>
          <w:lang w:val="sr-Latn-ME"/>
        </w:rPr>
      </w:pPr>
      <w:r w:rsidRPr="00B35962">
        <w:rPr>
          <w:lang w:val="sr-Latn-ME"/>
        </w:rPr>
        <w:t xml:space="preserve">Ključno mjerilo </w:t>
      </w:r>
      <w:r w:rsidR="00C8150A" w:rsidRPr="00B35962">
        <w:rPr>
          <w:lang w:val="sr-Latn-ME"/>
        </w:rPr>
        <w:t>2.</w:t>
      </w:r>
      <w:r w:rsidR="003B6CCE" w:rsidRPr="00B35962">
        <w:rPr>
          <w:lang w:val="sr-Latn-ME"/>
        </w:rPr>
        <w:t>7</w:t>
      </w:r>
      <w:r w:rsidR="00C8150A" w:rsidRPr="00B35962">
        <w:rPr>
          <w:lang w:val="sr-Latn-ME"/>
        </w:rPr>
        <w:t xml:space="preserve">: </w:t>
      </w:r>
      <w:r w:rsidR="0071472D" w:rsidRPr="00B35962">
        <w:rPr>
          <w:lang w:val="sr-Latn-ME"/>
        </w:rPr>
        <w:t>Revizija režima rada i unapređenje kvaliteta ishrane u predškolskim ustanovama</w:t>
      </w:r>
    </w:p>
    <w:p w14:paraId="0B9247F7" w14:textId="2B03A315" w:rsidR="008A7296" w:rsidRPr="00B35962" w:rsidRDefault="00D131EB" w:rsidP="00441EE3">
      <w:pPr>
        <w:pStyle w:val="ListParagraph"/>
        <w:numPr>
          <w:ilvl w:val="0"/>
          <w:numId w:val="2"/>
        </w:numPr>
        <w:ind w:left="1170"/>
        <w:rPr>
          <w:lang w:val="sr-Latn-ME"/>
        </w:rPr>
      </w:pPr>
      <w:r w:rsidRPr="00B35962">
        <w:rPr>
          <w:lang w:val="sr-Latn-ME"/>
        </w:rPr>
        <w:t xml:space="preserve">Ključno mjerilo </w:t>
      </w:r>
      <w:r w:rsidR="008A7296" w:rsidRPr="00B35962">
        <w:rPr>
          <w:lang w:val="sr-Latn-ME"/>
        </w:rPr>
        <w:t>2.8: Uvezati i učiniti održivim aktivnosti prelaza u osnovnu školu</w:t>
      </w:r>
    </w:p>
    <w:p w14:paraId="05DF75C6" w14:textId="77777777" w:rsidR="00C041A1" w:rsidRPr="00B35962" w:rsidRDefault="00C041A1" w:rsidP="00C041A1">
      <w:pPr>
        <w:rPr>
          <w:lang w:val="sr-Latn-ME"/>
        </w:rPr>
      </w:pPr>
    </w:p>
    <w:p w14:paraId="68B5D264" w14:textId="5A47C2EB" w:rsidR="00C041A1" w:rsidRPr="00B35962" w:rsidRDefault="00C041A1" w:rsidP="00C041A1">
      <w:pPr>
        <w:rPr>
          <w:lang w:val="sr-Latn-ME"/>
        </w:rPr>
      </w:pPr>
      <w:r w:rsidRPr="00B35962">
        <w:rPr>
          <w:lang w:val="sr-Latn-ME"/>
        </w:rPr>
        <w:t xml:space="preserve">U tabeli 5 su pregledno prikazani indikatori pomoću kojih se prati ostvarenje </w:t>
      </w:r>
      <w:r w:rsidR="000A1516" w:rsidRPr="00B35962">
        <w:rPr>
          <w:lang w:val="sr-Latn-ME"/>
        </w:rPr>
        <w:t xml:space="preserve">specifičnih </w:t>
      </w:r>
      <w:r w:rsidRPr="00B35962">
        <w:rPr>
          <w:lang w:val="sr-Latn-ME"/>
        </w:rPr>
        <w:t>operativnih ciljeva 2.1 do 2.</w:t>
      </w:r>
      <w:r w:rsidR="000A1516" w:rsidRPr="00B35962">
        <w:rPr>
          <w:lang w:val="sr-Latn-ME"/>
        </w:rPr>
        <w:t>8</w:t>
      </w:r>
      <w:r w:rsidRPr="00B35962">
        <w:rPr>
          <w:lang w:val="sr-Latn-ME"/>
        </w:rPr>
        <w:t>.</w:t>
      </w:r>
    </w:p>
    <w:p w14:paraId="22553FA4" w14:textId="77777777" w:rsidR="00E22744" w:rsidRPr="00B35962" w:rsidRDefault="00E22744" w:rsidP="00C041A1">
      <w:pPr>
        <w:rPr>
          <w:lang w:val="sr-Latn-ME"/>
        </w:rPr>
      </w:pPr>
    </w:p>
    <w:p w14:paraId="3B772CFA" w14:textId="60D74ABD" w:rsidR="00C041A1" w:rsidRPr="00B35962" w:rsidRDefault="00C041A1" w:rsidP="00C041A1">
      <w:pPr>
        <w:pStyle w:val="Caption"/>
        <w:keepNext/>
        <w:ind w:firstLine="0"/>
        <w:rPr>
          <w:i w:val="0"/>
          <w:iCs w:val="0"/>
          <w:color w:val="auto"/>
          <w:sz w:val="24"/>
          <w:szCs w:val="24"/>
          <w:lang w:val="sr-Latn-ME"/>
        </w:rPr>
      </w:pPr>
      <w:r w:rsidRPr="00B35962">
        <w:rPr>
          <w:i w:val="0"/>
          <w:iCs w:val="0"/>
          <w:color w:val="auto"/>
          <w:sz w:val="24"/>
          <w:szCs w:val="24"/>
          <w:lang w:val="sr-Latn-ME"/>
        </w:rPr>
        <w:t xml:space="preserve">Tabela </w:t>
      </w:r>
      <w:r w:rsidRPr="00B35962">
        <w:rPr>
          <w:i w:val="0"/>
          <w:iCs w:val="0"/>
          <w:color w:val="auto"/>
          <w:sz w:val="24"/>
          <w:szCs w:val="24"/>
          <w:lang w:val="sr-Latn-ME"/>
        </w:rPr>
        <w:fldChar w:fldCharType="begin"/>
      </w:r>
      <w:r w:rsidRPr="00B35962">
        <w:rPr>
          <w:i w:val="0"/>
          <w:iCs w:val="0"/>
          <w:color w:val="auto"/>
          <w:sz w:val="24"/>
          <w:szCs w:val="24"/>
          <w:lang w:val="sr-Latn-ME"/>
        </w:rPr>
        <w:instrText xml:space="preserve"> SEQ Tabela \* ARABIC </w:instrText>
      </w:r>
      <w:r w:rsidRPr="00B35962">
        <w:rPr>
          <w:i w:val="0"/>
          <w:iCs w:val="0"/>
          <w:color w:val="auto"/>
          <w:sz w:val="24"/>
          <w:szCs w:val="24"/>
          <w:lang w:val="sr-Latn-ME"/>
        </w:rPr>
        <w:fldChar w:fldCharType="separate"/>
      </w:r>
      <w:r w:rsidR="0054592B" w:rsidRPr="00B35962">
        <w:rPr>
          <w:i w:val="0"/>
          <w:iCs w:val="0"/>
          <w:noProof/>
          <w:color w:val="auto"/>
          <w:sz w:val="24"/>
          <w:szCs w:val="24"/>
          <w:lang w:val="sr-Latn-ME"/>
        </w:rPr>
        <w:t>5</w:t>
      </w:r>
      <w:r w:rsidRPr="00B35962">
        <w:rPr>
          <w:i w:val="0"/>
          <w:iCs w:val="0"/>
          <w:color w:val="auto"/>
          <w:sz w:val="24"/>
          <w:szCs w:val="24"/>
          <w:lang w:val="sr-Latn-ME"/>
        </w:rPr>
        <w:fldChar w:fldCharType="end"/>
      </w:r>
      <w:r w:rsidRPr="00B35962">
        <w:rPr>
          <w:i w:val="0"/>
          <w:iCs w:val="0"/>
          <w:color w:val="auto"/>
          <w:sz w:val="24"/>
          <w:szCs w:val="24"/>
          <w:lang w:val="sr-Latn-ME"/>
        </w:rPr>
        <w:t>. Indikatori za praćenje operativnih ciljeva 2.1</w:t>
      </w:r>
      <w:r w:rsidR="00406816" w:rsidRPr="00B35962">
        <w:rPr>
          <w:i w:val="0"/>
          <w:iCs w:val="0"/>
          <w:color w:val="auto"/>
          <w:sz w:val="24"/>
          <w:szCs w:val="24"/>
          <w:lang w:val="sr-Latn-ME"/>
        </w:rPr>
        <w:t xml:space="preserve"> </w:t>
      </w:r>
      <w:r w:rsidRPr="00B35962">
        <w:rPr>
          <w:i w:val="0"/>
          <w:iCs w:val="0"/>
          <w:color w:val="auto"/>
          <w:sz w:val="24"/>
          <w:szCs w:val="24"/>
          <w:lang w:val="sr-Latn-ME"/>
        </w:rPr>
        <w:t>-</w:t>
      </w:r>
      <w:r w:rsidR="00406816" w:rsidRPr="00B35962">
        <w:rPr>
          <w:i w:val="0"/>
          <w:iCs w:val="0"/>
          <w:color w:val="auto"/>
          <w:sz w:val="24"/>
          <w:szCs w:val="24"/>
          <w:lang w:val="sr-Latn-ME"/>
        </w:rPr>
        <w:t xml:space="preserve"> </w:t>
      </w:r>
      <w:r w:rsidRPr="00B35962">
        <w:rPr>
          <w:i w:val="0"/>
          <w:iCs w:val="0"/>
          <w:color w:val="auto"/>
          <w:sz w:val="24"/>
          <w:szCs w:val="24"/>
          <w:lang w:val="sr-Latn-ME"/>
        </w:rPr>
        <w:t>2.5</w:t>
      </w:r>
    </w:p>
    <w:tbl>
      <w:tblPr>
        <w:tblStyle w:val="TableGrid0"/>
        <w:tblW w:w="96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48"/>
        <w:gridCol w:w="2448"/>
        <w:gridCol w:w="1584"/>
        <w:gridCol w:w="1584"/>
        <w:gridCol w:w="1584"/>
      </w:tblGrid>
      <w:tr w:rsidR="00D33188" w:rsidRPr="00B35962" w14:paraId="38609AC2" w14:textId="77777777" w:rsidTr="00936B91">
        <w:tc>
          <w:tcPr>
            <w:tcW w:w="2448" w:type="dxa"/>
          </w:tcPr>
          <w:p w14:paraId="660547B6" w14:textId="77777777" w:rsidR="00C041A1" w:rsidRPr="00B35962" w:rsidRDefault="00C041A1" w:rsidP="00D52C82">
            <w:pPr>
              <w:ind w:firstLine="0"/>
              <w:rPr>
                <w:lang w:val="sr-Latn-ME"/>
              </w:rPr>
            </w:pPr>
          </w:p>
          <w:p w14:paraId="739D0999" w14:textId="04B35CC1" w:rsidR="00D33188" w:rsidRPr="00B35962" w:rsidRDefault="00D131EB" w:rsidP="00D131EB">
            <w:pPr>
              <w:ind w:firstLine="0"/>
              <w:rPr>
                <w:lang w:val="sr-Latn-ME"/>
              </w:rPr>
            </w:pPr>
            <w:r w:rsidRPr="00B35962">
              <w:rPr>
                <w:lang w:val="sr-Latn-ME"/>
              </w:rPr>
              <w:t>Ključna mjerila</w:t>
            </w:r>
          </w:p>
        </w:tc>
        <w:tc>
          <w:tcPr>
            <w:tcW w:w="2448" w:type="dxa"/>
          </w:tcPr>
          <w:p w14:paraId="6A8635C7" w14:textId="77777777" w:rsidR="00D33188" w:rsidRPr="00B35962" w:rsidRDefault="00D33188" w:rsidP="00D52C82">
            <w:pPr>
              <w:ind w:firstLine="0"/>
              <w:rPr>
                <w:lang w:val="sr-Latn-ME"/>
              </w:rPr>
            </w:pPr>
            <w:r w:rsidRPr="00B35962">
              <w:rPr>
                <w:lang w:val="sr-Latn-ME"/>
              </w:rPr>
              <w:t>Indikator</w:t>
            </w:r>
          </w:p>
        </w:tc>
        <w:tc>
          <w:tcPr>
            <w:tcW w:w="1584" w:type="dxa"/>
          </w:tcPr>
          <w:p w14:paraId="39CA1598" w14:textId="77777777" w:rsidR="00D33188" w:rsidRPr="00B35962" w:rsidRDefault="00D33188" w:rsidP="00D52C82">
            <w:pPr>
              <w:ind w:firstLine="0"/>
              <w:rPr>
                <w:lang w:val="sr-Latn-ME"/>
              </w:rPr>
            </w:pPr>
            <w:r w:rsidRPr="00B35962">
              <w:rPr>
                <w:lang w:val="sr-Latn-ME"/>
              </w:rPr>
              <w:t>Sadašnja vrijednost 2020</w:t>
            </w:r>
          </w:p>
        </w:tc>
        <w:tc>
          <w:tcPr>
            <w:tcW w:w="1584" w:type="dxa"/>
          </w:tcPr>
          <w:p w14:paraId="18AB3D31" w14:textId="77777777" w:rsidR="00D33188" w:rsidRPr="00B35962" w:rsidRDefault="00D33188" w:rsidP="00D52C82">
            <w:pPr>
              <w:ind w:firstLine="0"/>
              <w:rPr>
                <w:lang w:val="sr-Latn-ME"/>
              </w:rPr>
            </w:pPr>
            <w:r w:rsidRPr="00B35962">
              <w:rPr>
                <w:lang w:val="sr-Latn-ME"/>
              </w:rPr>
              <w:t>Ciljna vrijednost 2022</w:t>
            </w:r>
          </w:p>
        </w:tc>
        <w:tc>
          <w:tcPr>
            <w:tcW w:w="1584" w:type="dxa"/>
          </w:tcPr>
          <w:p w14:paraId="7C573386" w14:textId="77777777" w:rsidR="00D33188" w:rsidRPr="00B35962" w:rsidRDefault="00D33188" w:rsidP="00A16F75">
            <w:pPr>
              <w:ind w:firstLine="0"/>
              <w:rPr>
                <w:lang w:val="sr-Latn-ME"/>
              </w:rPr>
            </w:pPr>
            <w:r w:rsidRPr="00B35962">
              <w:rPr>
                <w:lang w:val="sr-Latn-ME"/>
              </w:rPr>
              <w:t>Ciljna vrijednost 202</w:t>
            </w:r>
            <w:r w:rsidR="00A16F75" w:rsidRPr="00B35962">
              <w:rPr>
                <w:lang w:val="sr-Latn-ME"/>
              </w:rPr>
              <w:t>5</w:t>
            </w:r>
          </w:p>
        </w:tc>
      </w:tr>
      <w:tr w:rsidR="00D33188" w:rsidRPr="00B35962" w14:paraId="144E41D7" w14:textId="77777777" w:rsidTr="00936B91">
        <w:tc>
          <w:tcPr>
            <w:tcW w:w="2448" w:type="dxa"/>
          </w:tcPr>
          <w:p w14:paraId="6D1DE0B6" w14:textId="77777777" w:rsidR="00D33188" w:rsidRPr="00B35962" w:rsidRDefault="00D52C82" w:rsidP="00566A90">
            <w:pPr>
              <w:ind w:firstLine="0"/>
              <w:rPr>
                <w:lang w:val="sr-Latn-ME"/>
              </w:rPr>
            </w:pPr>
            <w:r w:rsidRPr="00B35962">
              <w:rPr>
                <w:lang w:val="sr-Latn-ME"/>
              </w:rPr>
              <w:t>2.1. Smanjivanje veličine vaspitinih grupa</w:t>
            </w:r>
          </w:p>
        </w:tc>
        <w:tc>
          <w:tcPr>
            <w:tcW w:w="2448" w:type="dxa"/>
          </w:tcPr>
          <w:p w14:paraId="2E4296F6" w14:textId="77777777" w:rsidR="00D33188" w:rsidRPr="00B35962" w:rsidRDefault="00183C64" w:rsidP="00566A90">
            <w:pPr>
              <w:ind w:firstLine="0"/>
              <w:rPr>
                <w:lang w:val="sr-Latn-ME"/>
              </w:rPr>
            </w:pPr>
            <w:r w:rsidRPr="00B35962">
              <w:rPr>
                <w:lang w:val="sr-Latn-ME"/>
              </w:rPr>
              <w:t xml:space="preserve">2.1.1 </w:t>
            </w:r>
            <w:r w:rsidR="00D33188" w:rsidRPr="00B35962">
              <w:rPr>
                <w:lang w:val="sr-Latn-ME"/>
              </w:rPr>
              <w:t>Prosječna veličina vaspitnih grupa</w:t>
            </w:r>
            <w:r w:rsidR="00E22744" w:rsidRPr="00B35962">
              <w:rPr>
                <w:lang w:val="sr-Latn-ME"/>
              </w:rPr>
              <w:t xml:space="preserve"> (MONSTAT)</w:t>
            </w:r>
          </w:p>
        </w:tc>
        <w:tc>
          <w:tcPr>
            <w:tcW w:w="1584" w:type="dxa"/>
          </w:tcPr>
          <w:p w14:paraId="4BA6241F" w14:textId="77777777" w:rsidR="00D33188" w:rsidRPr="00B35962" w:rsidRDefault="00D33188" w:rsidP="00D52C82">
            <w:pPr>
              <w:ind w:firstLine="0"/>
              <w:rPr>
                <w:lang w:val="sr-Latn-ME"/>
              </w:rPr>
            </w:pPr>
            <w:r w:rsidRPr="00B35962">
              <w:rPr>
                <w:lang w:val="sr-Latn-ME"/>
              </w:rPr>
              <w:t>32</w:t>
            </w:r>
          </w:p>
        </w:tc>
        <w:tc>
          <w:tcPr>
            <w:tcW w:w="1584" w:type="dxa"/>
          </w:tcPr>
          <w:p w14:paraId="3FC4A16A" w14:textId="77777777" w:rsidR="00D33188" w:rsidRPr="00B35962" w:rsidRDefault="00D33188" w:rsidP="00D52C82">
            <w:pPr>
              <w:ind w:firstLine="0"/>
              <w:rPr>
                <w:lang w:val="sr-Latn-ME"/>
              </w:rPr>
            </w:pPr>
            <w:r w:rsidRPr="00B35962">
              <w:rPr>
                <w:lang w:val="sr-Latn-ME"/>
              </w:rPr>
              <w:t>30</w:t>
            </w:r>
          </w:p>
          <w:p w14:paraId="7571256A" w14:textId="77777777" w:rsidR="00D33188" w:rsidRPr="00B35962" w:rsidRDefault="00D33188" w:rsidP="00D52C82">
            <w:pPr>
              <w:ind w:firstLine="0"/>
              <w:rPr>
                <w:lang w:val="sr-Latn-ME"/>
              </w:rPr>
            </w:pPr>
          </w:p>
        </w:tc>
        <w:tc>
          <w:tcPr>
            <w:tcW w:w="1584" w:type="dxa"/>
          </w:tcPr>
          <w:p w14:paraId="10B53F68" w14:textId="77777777" w:rsidR="00D33188" w:rsidRPr="00B35962" w:rsidRDefault="00D33188" w:rsidP="00AC05F7">
            <w:pPr>
              <w:tabs>
                <w:tab w:val="center" w:pos="1029"/>
              </w:tabs>
              <w:ind w:firstLine="0"/>
              <w:rPr>
                <w:lang w:val="sr-Latn-ME"/>
              </w:rPr>
            </w:pPr>
            <w:r w:rsidRPr="00B35962">
              <w:rPr>
                <w:lang w:val="sr-Latn-ME"/>
              </w:rPr>
              <w:t xml:space="preserve"> 26</w:t>
            </w:r>
            <w:r w:rsidRPr="00B35962">
              <w:rPr>
                <w:lang w:val="sr-Latn-ME"/>
              </w:rPr>
              <w:tab/>
            </w:r>
          </w:p>
        </w:tc>
      </w:tr>
      <w:tr w:rsidR="00D52C82" w:rsidRPr="00B35962" w14:paraId="48AA766A" w14:textId="77777777" w:rsidTr="00936B91">
        <w:tc>
          <w:tcPr>
            <w:tcW w:w="2448" w:type="dxa"/>
          </w:tcPr>
          <w:p w14:paraId="19408C68" w14:textId="77777777" w:rsidR="00D52C82" w:rsidRPr="00B35962" w:rsidRDefault="00D52C82" w:rsidP="00566A90">
            <w:pPr>
              <w:ind w:firstLine="0"/>
              <w:rPr>
                <w:lang w:val="sr-Latn-ME"/>
              </w:rPr>
            </w:pPr>
            <w:r w:rsidRPr="00B35962">
              <w:rPr>
                <w:lang w:val="sr-Latn-ME"/>
              </w:rPr>
              <w:t xml:space="preserve">2.2. </w:t>
            </w:r>
            <w:r w:rsidR="00D31D81" w:rsidRPr="00B35962">
              <w:rPr>
                <w:lang w:val="sr-Latn-ME"/>
              </w:rPr>
              <w:t xml:space="preserve">Razvoj i primjena </w:t>
            </w:r>
            <w:r w:rsidR="008A28A4" w:rsidRPr="00B35962">
              <w:rPr>
                <w:lang w:val="sr-Latn-ME"/>
              </w:rPr>
              <w:t>osavremenjenog Plana i programa PVO</w:t>
            </w:r>
          </w:p>
        </w:tc>
        <w:tc>
          <w:tcPr>
            <w:tcW w:w="2448" w:type="dxa"/>
          </w:tcPr>
          <w:p w14:paraId="5C572734" w14:textId="77777777" w:rsidR="00D52C82" w:rsidRPr="00B35962" w:rsidRDefault="00783759" w:rsidP="00566A90">
            <w:pPr>
              <w:ind w:firstLine="0"/>
              <w:rPr>
                <w:lang w:val="sr-Latn-ME"/>
              </w:rPr>
            </w:pPr>
            <w:r w:rsidRPr="00B35962">
              <w:rPr>
                <w:lang w:val="sr-Latn-ME"/>
              </w:rPr>
              <w:t xml:space="preserve">2.2.1 Osavremenjeni Plan i program PVO razvijen, usvojen i </w:t>
            </w:r>
            <w:r w:rsidRPr="00B35962">
              <w:rPr>
                <w:lang w:val="sr-Latn-ME"/>
              </w:rPr>
              <w:lastRenderedPageBreak/>
              <w:t>primjenjuje se (MP i ZzŠ)</w:t>
            </w:r>
          </w:p>
        </w:tc>
        <w:tc>
          <w:tcPr>
            <w:tcW w:w="1584" w:type="dxa"/>
          </w:tcPr>
          <w:p w14:paraId="1687E34A" w14:textId="77777777" w:rsidR="00D52C82" w:rsidRPr="00B35962" w:rsidRDefault="00D52C82" w:rsidP="00D52C82">
            <w:pPr>
              <w:ind w:firstLine="0"/>
              <w:rPr>
                <w:lang w:val="sr-Latn-ME"/>
              </w:rPr>
            </w:pPr>
            <w:r w:rsidRPr="00B35962">
              <w:rPr>
                <w:lang w:val="sr-Latn-ME"/>
              </w:rPr>
              <w:lastRenderedPageBreak/>
              <w:t>Ne</w:t>
            </w:r>
          </w:p>
        </w:tc>
        <w:tc>
          <w:tcPr>
            <w:tcW w:w="1584" w:type="dxa"/>
          </w:tcPr>
          <w:p w14:paraId="762748D9" w14:textId="77777777" w:rsidR="00D52C82" w:rsidRPr="00B35962" w:rsidRDefault="00D52C82" w:rsidP="00D52C82">
            <w:pPr>
              <w:ind w:firstLine="0"/>
              <w:rPr>
                <w:lang w:val="sr-Latn-ME"/>
              </w:rPr>
            </w:pPr>
            <w:r w:rsidRPr="00B35962">
              <w:rPr>
                <w:lang w:val="sr-Latn-ME"/>
              </w:rPr>
              <w:t>Ne</w:t>
            </w:r>
          </w:p>
          <w:p w14:paraId="5C22AB29" w14:textId="77777777" w:rsidR="00D52C82" w:rsidRPr="00B35962" w:rsidRDefault="00D52C82" w:rsidP="00D52C82">
            <w:pPr>
              <w:ind w:firstLine="0"/>
              <w:rPr>
                <w:lang w:val="sr-Latn-ME"/>
              </w:rPr>
            </w:pPr>
          </w:p>
        </w:tc>
        <w:tc>
          <w:tcPr>
            <w:tcW w:w="1584" w:type="dxa"/>
          </w:tcPr>
          <w:p w14:paraId="390D2753" w14:textId="77777777" w:rsidR="00D52C82" w:rsidRPr="00B35962" w:rsidRDefault="00D52C82" w:rsidP="00D52C82">
            <w:pPr>
              <w:tabs>
                <w:tab w:val="center" w:pos="1029"/>
              </w:tabs>
              <w:ind w:firstLine="0"/>
              <w:rPr>
                <w:lang w:val="sr-Latn-ME"/>
              </w:rPr>
            </w:pPr>
            <w:r w:rsidRPr="00B35962">
              <w:rPr>
                <w:lang w:val="sr-Latn-ME"/>
              </w:rPr>
              <w:t xml:space="preserve"> Da</w:t>
            </w:r>
          </w:p>
        </w:tc>
      </w:tr>
      <w:tr w:rsidR="0043669F" w:rsidRPr="00B35962" w14:paraId="2AED89BD" w14:textId="77777777" w:rsidTr="00936B91">
        <w:tc>
          <w:tcPr>
            <w:tcW w:w="2448" w:type="dxa"/>
          </w:tcPr>
          <w:p w14:paraId="4E8DA37D" w14:textId="77777777" w:rsidR="0043669F" w:rsidRPr="00B35962" w:rsidRDefault="0043669F" w:rsidP="00566A90">
            <w:pPr>
              <w:ind w:firstLine="0"/>
              <w:rPr>
                <w:lang w:val="sr-Latn-ME"/>
              </w:rPr>
            </w:pPr>
            <w:r w:rsidRPr="00B35962">
              <w:rPr>
                <w:lang w:val="sr-Latn-ME"/>
              </w:rPr>
              <w:t>2.3. Uskladiti postojeći sistem profesionalnog razvoja sa EU okvirom</w:t>
            </w:r>
          </w:p>
        </w:tc>
        <w:tc>
          <w:tcPr>
            <w:tcW w:w="2448" w:type="dxa"/>
          </w:tcPr>
          <w:p w14:paraId="2AC5CA3A" w14:textId="77777777" w:rsidR="0043669F" w:rsidRPr="00B35962" w:rsidRDefault="00183C64" w:rsidP="00566A90">
            <w:pPr>
              <w:ind w:firstLine="0"/>
              <w:rPr>
                <w:lang w:val="sr-Latn-ME"/>
              </w:rPr>
            </w:pPr>
            <w:r w:rsidRPr="00B35962">
              <w:rPr>
                <w:lang w:val="sr-Latn-ME"/>
              </w:rPr>
              <w:t xml:space="preserve">2.3.1 </w:t>
            </w:r>
            <w:r w:rsidR="0043669F" w:rsidRPr="00B35962">
              <w:rPr>
                <w:lang w:val="sr-Latn-ME"/>
              </w:rPr>
              <w:t>Sistem profesionalnog razvoja je usklađen sa EU okvirom, pilotiran i usvojen</w:t>
            </w:r>
            <w:r w:rsidR="00E22744" w:rsidRPr="00B35962">
              <w:rPr>
                <w:lang w:val="sr-Latn-ME"/>
              </w:rPr>
              <w:t xml:space="preserve"> (MP</w:t>
            </w:r>
            <w:r w:rsidR="00783759" w:rsidRPr="00B35962">
              <w:rPr>
                <w:lang w:val="sr-Latn-ME"/>
              </w:rPr>
              <w:t xml:space="preserve"> i ZzŠ</w:t>
            </w:r>
            <w:r w:rsidR="00E22744" w:rsidRPr="00B35962">
              <w:rPr>
                <w:lang w:val="sr-Latn-ME"/>
              </w:rPr>
              <w:t>)</w:t>
            </w:r>
            <w:r w:rsidR="0043669F" w:rsidRPr="00B35962">
              <w:rPr>
                <w:lang w:val="sr-Latn-ME"/>
              </w:rPr>
              <w:t xml:space="preserve"> </w:t>
            </w:r>
          </w:p>
        </w:tc>
        <w:tc>
          <w:tcPr>
            <w:tcW w:w="1584" w:type="dxa"/>
          </w:tcPr>
          <w:p w14:paraId="00EBE86B" w14:textId="77777777" w:rsidR="0043669F" w:rsidRPr="00B35962" w:rsidRDefault="0043669F" w:rsidP="00D52C82">
            <w:pPr>
              <w:ind w:firstLine="0"/>
              <w:rPr>
                <w:lang w:val="sr-Latn-ME"/>
              </w:rPr>
            </w:pPr>
            <w:r w:rsidRPr="00B35962">
              <w:rPr>
                <w:lang w:val="sr-Latn-ME"/>
              </w:rPr>
              <w:t>Ne</w:t>
            </w:r>
          </w:p>
        </w:tc>
        <w:tc>
          <w:tcPr>
            <w:tcW w:w="1584" w:type="dxa"/>
          </w:tcPr>
          <w:p w14:paraId="75400013" w14:textId="77777777" w:rsidR="0043669F" w:rsidRPr="00B35962" w:rsidRDefault="0043669F" w:rsidP="00D52C82">
            <w:pPr>
              <w:ind w:firstLine="0"/>
              <w:rPr>
                <w:lang w:val="sr-Latn-ME"/>
              </w:rPr>
            </w:pPr>
            <w:r w:rsidRPr="00B35962">
              <w:rPr>
                <w:lang w:val="sr-Latn-ME"/>
              </w:rPr>
              <w:t>Ne</w:t>
            </w:r>
          </w:p>
          <w:p w14:paraId="334FC361" w14:textId="77777777" w:rsidR="0043669F" w:rsidRPr="00B35962" w:rsidRDefault="0043669F" w:rsidP="00D52C82">
            <w:pPr>
              <w:ind w:firstLine="0"/>
              <w:rPr>
                <w:lang w:val="sr-Latn-ME"/>
              </w:rPr>
            </w:pPr>
          </w:p>
        </w:tc>
        <w:tc>
          <w:tcPr>
            <w:tcW w:w="1584" w:type="dxa"/>
          </w:tcPr>
          <w:p w14:paraId="1607239A" w14:textId="77777777" w:rsidR="0043669F" w:rsidRPr="00B35962" w:rsidRDefault="0043669F" w:rsidP="00D52C82">
            <w:pPr>
              <w:tabs>
                <w:tab w:val="center" w:pos="1029"/>
              </w:tabs>
              <w:ind w:firstLine="0"/>
              <w:rPr>
                <w:lang w:val="sr-Latn-ME"/>
              </w:rPr>
            </w:pPr>
            <w:r w:rsidRPr="00B35962">
              <w:rPr>
                <w:lang w:val="sr-Latn-ME"/>
              </w:rPr>
              <w:t xml:space="preserve"> Da</w:t>
            </w:r>
          </w:p>
        </w:tc>
      </w:tr>
      <w:tr w:rsidR="004A342C" w:rsidRPr="00B35962" w14:paraId="2B1B37DC" w14:textId="77777777" w:rsidTr="00936B91">
        <w:tc>
          <w:tcPr>
            <w:tcW w:w="2448" w:type="dxa"/>
          </w:tcPr>
          <w:p w14:paraId="75C9D360" w14:textId="77777777" w:rsidR="004A342C" w:rsidRPr="00B35962" w:rsidRDefault="004A342C" w:rsidP="00566A90">
            <w:pPr>
              <w:ind w:firstLine="0"/>
              <w:rPr>
                <w:lang w:val="sr-Latn-ME"/>
              </w:rPr>
            </w:pPr>
            <w:r w:rsidRPr="00B35962">
              <w:rPr>
                <w:lang w:val="sr-Latn-ME"/>
              </w:rPr>
              <w:t>2.4. Unaprijediti sadržaj i praksu inicijalnog obrazovanja</w:t>
            </w:r>
          </w:p>
        </w:tc>
        <w:tc>
          <w:tcPr>
            <w:tcW w:w="2448" w:type="dxa"/>
          </w:tcPr>
          <w:p w14:paraId="5ABF0129" w14:textId="77777777" w:rsidR="004A342C" w:rsidRPr="00B35962" w:rsidRDefault="004A342C" w:rsidP="00566A90">
            <w:pPr>
              <w:ind w:firstLine="0"/>
              <w:rPr>
                <w:lang w:val="sr-Latn-ME"/>
              </w:rPr>
            </w:pPr>
            <w:r w:rsidRPr="00B35962">
              <w:rPr>
                <w:lang w:val="sr-Latn-ME"/>
              </w:rPr>
              <w:t>2.4.1 Novi program inicijalnog obrazovanja je akreditovan</w:t>
            </w:r>
          </w:p>
        </w:tc>
        <w:tc>
          <w:tcPr>
            <w:tcW w:w="1584" w:type="dxa"/>
          </w:tcPr>
          <w:p w14:paraId="6C9C6253" w14:textId="77777777" w:rsidR="004A342C" w:rsidRPr="00B35962" w:rsidRDefault="004A342C" w:rsidP="00D52C82">
            <w:pPr>
              <w:ind w:firstLine="0"/>
              <w:rPr>
                <w:lang w:val="sr-Latn-ME"/>
              </w:rPr>
            </w:pPr>
            <w:r w:rsidRPr="00B35962">
              <w:rPr>
                <w:lang w:val="sr-Latn-ME"/>
              </w:rPr>
              <w:t>Ne</w:t>
            </w:r>
          </w:p>
        </w:tc>
        <w:tc>
          <w:tcPr>
            <w:tcW w:w="1584" w:type="dxa"/>
          </w:tcPr>
          <w:p w14:paraId="46750197" w14:textId="77777777" w:rsidR="004A342C" w:rsidRPr="00B35962" w:rsidRDefault="004A342C" w:rsidP="00D52C82">
            <w:pPr>
              <w:ind w:firstLine="0"/>
              <w:rPr>
                <w:lang w:val="sr-Latn-ME"/>
              </w:rPr>
            </w:pPr>
            <w:r w:rsidRPr="00B35962">
              <w:rPr>
                <w:lang w:val="sr-Latn-ME"/>
              </w:rPr>
              <w:t>Ne</w:t>
            </w:r>
          </w:p>
        </w:tc>
        <w:tc>
          <w:tcPr>
            <w:tcW w:w="1584" w:type="dxa"/>
          </w:tcPr>
          <w:p w14:paraId="11CAC604" w14:textId="77777777" w:rsidR="004A342C" w:rsidRPr="00B35962" w:rsidRDefault="004A342C" w:rsidP="00D52C82">
            <w:pPr>
              <w:tabs>
                <w:tab w:val="center" w:pos="1029"/>
              </w:tabs>
              <w:ind w:firstLine="0"/>
              <w:rPr>
                <w:lang w:val="sr-Latn-ME"/>
              </w:rPr>
            </w:pPr>
            <w:r w:rsidRPr="00B35962">
              <w:rPr>
                <w:lang w:val="sr-Latn-ME"/>
              </w:rPr>
              <w:t>Da</w:t>
            </w:r>
          </w:p>
        </w:tc>
      </w:tr>
      <w:tr w:rsidR="0043669F" w:rsidRPr="00B35962" w14:paraId="59D8C315" w14:textId="77777777" w:rsidTr="00936B91">
        <w:tc>
          <w:tcPr>
            <w:tcW w:w="2448" w:type="dxa"/>
          </w:tcPr>
          <w:p w14:paraId="4E3AB36F" w14:textId="77777777" w:rsidR="0043669F" w:rsidRPr="00B35962" w:rsidRDefault="0043669F" w:rsidP="00566A90">
            <w:pPr>
              <w:ind w:firstLine="0"/>
              <w:rPr>
                <w:lang w:val="sr-Latn-ME"/>
              </w:rPr>
            </w:pPr>
            <w:r w:rsidRPr="00B35962">
              <w:rPr>
                <w:lang w:val="sr-Latn-ME"/>
              </w:rPr>
              <w:t>2.</w:t>
            </w:r>
            <w:r w:rsidR="004A342C" w:rsidRPr="00B35962">
              <w:rPr>
                <w:lang w:val="sr-Latn-ME"/>
              </w:rPr>
              <w:t>5</w:t>
            </w:r>
            <w:r w:rsidRPr="00B35962">
              <w:rPr>
                <w:lang w:val="sr-Latn-ME"/>
              </w:rPr>
              <w:t xml:space="preserve">. Unaprijediti postojeći sistem </w:t>
            </w:r>
            <w:r w:rsidR="00DE64AC" w:rsidRPr="00B35962">
              <w:rPr>
                <w:lang w:val="sr-Latn-ME"/>
              </w:rPr>
              <w:t>obezb</w:t>
            </w:r>
            <w:r w:rsidR="00566A90" w:rsidRPr="00B35962">
              <w:rPr>
                <w:lang w:val="sr-Latn-ME"/>
              </w:rPr>
              <w:t>j</w:t>
            </w:r>
            <w:r w:rsidR="00DE64AC" w:rsidRPr="00B35962">
              <w:rPr>
                <w:lang w:val="sr-Latn-ME"/>
              </w:rPr>
              <w:t>eđivanj</w:t>
            </w:r>
            <w:r w:rsidRPr="00B35962">
              <w:rPr>
                <w:lang w:val="sr-Latn-ME"/>
              </w:rPr>
              <w:t>a kvaliteta</w:t>
            </w:r>
          </w:p>
        </w:tc>
        <w:tc>
          <w:tcPr>
            <w:tcW w:w="2448" w:type="dxa"/>
          </w:tcPr>
          <w:p w14:paraId="3D029239" w14:textId="77777777" w:rsidR="0043669F" w:rsidRPr="00B35962" w:rsidRDefault="00183C64" w:rsidP="00566A90">
            <w:pPr>
              <w:ind w:firstLine="0"/>
              <w:rPr>
                <w:lang w:val="sr-Latn-ME"/>
              </w:rPr>
            </w:pPr>
            <w:r w:rsidRPr="00B35962">
              <w:rPr>
                <w:lang w:val="sr-Latn-ME"/>
              </w:rPr>
              <w:t>2.</w:t>
            </w:r>
            <w:r w:rsidR="004A342C" w:rsidRPr="00B35962">
              <w:rPr>
                <w:lang w:val="sr-Latn-ME"/>
              </w:rPr>
              <w:t>5</w:t>
            </w:r>
            <w:r w:rsidRPr="00B35962">
              <w:rPr>
                <w:lang w:val="sr-Latn-ME"/>
              </w:rPr>
              <w:t xml:space="preserve">.1 </w:t>
            </w:r>
            <w:r w:rsidR="0043669F" w:rsidRPr="00B35962">
              <w:rPr>
                <w:lang w:val="sr-Latn-ME"/>
              </w:rPr>
              <w:t xml:space="preserve">Cjeloviti, koherentan, djelotvoran i efikasan sistem </w:t>
            </w:r>
            <w:r w:rsidR="00F23D87" w:rsidRPr="00B35962">
              <w:rPr>
                <w:lang w:val="sr-Latn-ME"/>
              </w:rPr>
              <w:t>obezbjeđivanja</w:t>
            </w:r>
            <w:r w:rsidR="0043669F" w:rsidRPr="00B35962">
              <w:rPr>
                <w:lang w:val="sr-Latn-ME"/>
              </w:rPr>
              <w:t xml:space="preserve"> kvaliteta je uspostavljen </w:t>
            </w:r>
            <w:r w:rsidR="00E22744" w:rsidRPr="00B35962">
              <w:rPr>
                <w:lang w:val="sr-Latn-ME"/>
              </w:rPr>
              <w:t>(MP</w:t>
            </w:r>
            <w:r w:rsidR="00783759" w:rsidRPr="00B35962">
              <w:rPr>
                <w:lang w:val="sr-Latn-ME"/>
              </w:rPr>
              <w:t xml:space="preserve"> i ZzŠ</w:t>
            </w:r>
            <w:r w:rsidR="00E22744" w:rsidRPr="00B35962">
              <w:rPr>
                <w:lang w:val="sr-Latn-ME"/>
              </w:rPr>
              <w:t>)</w:t>
            </w:r>
          </w:p>
        </w:tc>
        <w:tc>
          <w:tcPr>
            <w:tcW w:w="1584" w:type="dxa"/>
          </w:tcPr>
          <w:p w14:paraId="26B079F0" w14:textId="77777777" w:rsidR="0043669F" w:rsidRPr="00B35962" w:rsidRDefault="0043669F" w:rsidP="00D52C82">
            <w:pPr>
              <w:ind w:firstLine="0"/>
              <w:rPr>
                <w:lang w:val="sr-Latn-ME"/>
              </w:rPr>
            </w:pPr>
            <w:r w:rsidRPr="00B35962">
              <w:rPr>
                <w:lang w:val="sr-Latn-ME"/>
              </w:rPr>
              <w:t>Ne</w:t>
            </w:r>
          </w:p>
        </w:tc>
        <w:tc>
          <w:tcPr>
            <w:tcW w:w="1584" w:type="dxa"/>
          </w:tcPr>
          <w:p w14:paraId="5B42AEDF" w14:textId="77777777" w:rsidR="0043669F" w:rsidRPr="00B35962" w:rsidRDefault="0043669F" w:rsidP="00D52C82">
            <w:pPr>
              <w:ind w:firstLine="0"/>
              <w:rPr>
                <w:lang w:val="sr-Latn-ME"/>
              </w:rPr>
            </w:pPr>
            <w:r w:rsidRPr="00B35962">
              <w:rPr>
                <w:lang w:val="sr-Latn-ME"/>
              </w:rPr>
              <w:t>Ne</w:t>
            </w:r>
          </w:p>
          <w:p w14:paraId="283B942E" w14:textId="77777777" w:rsidR="0043669F" w:rsidRPr="00B35962" w:rsidRDefault="0043669F" w:rsidP="00D52C82">
            <w:pPr>
              <w:ind w:firstLine="0"/>
              <w:rPr>
                <w:lang w:val="sr-Latn-ME"/>
              </w:rPr>
            </w:pPr>
          </w:p>
        </w:tc>
        <w:tc>
          <w:tcPr>
            <w:tcW w:w="1584" w:type="dxa"/>
          </w:tcPr>
          <w:p w14:paraId="10B06329" w14:textId="77777777" w:rsidR="0043669F" w:rsidRPr="00B35962" w:rsidRDefault="0043669F" w:rsidP="00D52C82">
            <w:pPr>
              <w:tabs>
                <w:tab w:val="center" w:pos="1029"/>
              </w:tabs>
              <w:ind w:firstLine="0"/>
              <w:rPr>
                <w:lang w:val="sr-Latn-ME"/>
              </w:rPr>
            </w:pPr>
            <w:r w:rsidRPr="00B35962">
              <w:rPr>
                <w:lang w:val="sr-Latn-ME"/>
              </w:rPr>
              <w:t xml:space="preserve"> Da</w:t>
            </w:r>
          </w:p>
        </w:tc>
      </w:tr>
      <w:tr w:rsidR="0043669F" w:rsidRPr="00B35962" w14:paraId="77D0710C" w14:textId="77777777" w:rsidTr="00936B91">
        <w:tc>
          <w:tcPr>
            <w:tcW w:w="2448" w:type="dxa"/>
          </w:tcPr>
          <w:p w14:paraId="6BC0D664" w14:textId="77777777" w:rsidR="0043669F" w:rsidRPr="00B35962" w:rsidRDefault="0043669F" w:rsidP="00566A90">
            <w:pPr>
              <w:ind w:firstLine="0"/>
              <w:rPr>
                <w:lang w:val="sr-Latn-ME"/>
              </w:rPr>
            </w:pPr>
            <w:r w:rsidRPr="00B35962">
              <w:rPr>
                <w:lang w:val="sr-Latn-ME"/>
              </w:rPr>
              <w:t>2.</w:t>
            </w:r>
            <w:r w:rsidR="004A342C" w:rsidRPr="00B35962">
              <w:rPr>
                <w:lang w:val="sr-Latn-ME"/>
              </w:rPr>
              <w:t>6</w:t>
            </w:r>
            <w:r w:rsidRPr="00B35962">
              <w:rPr>
                <w:lang w:val="sr-Latn-ME"/>
              </w:rPr>
              <w:t>. Jačanje podrške roditeljima i porodicama</w:t>
            </w:r>
          </w:p>
        </w:tc>
        <w:tc>
          <w:tcPr>
            <w:tcW w:w="2448" w:type="dxa"/>
          </w:tcPr>
          <w:p w14:paraId="5FEDAB65" w14:textId="77777777" w:rsidR="0043669F" w:rsidRPr="00B35962" w:rsidRDefault="00183C64" w:rsidP="00566A90">
            <w:pPr>
              <w:ind w:firstLine="0"/>
              <w:rPr>
                <w:lang w:val="sr-Latn-ME"/>
              </w:rPr>
            </w:pPr>
            <w:r w:rsidRPr="00B35962">
              <w:rPr>
                <w:lang w:val="sr-Latn-ME"/>
              </w:rPr>
              <w:t>2.</w:t>
            </w:r>
            <w:r w:rsidR="004A342C" w:rsidRPr="00B35962">
              <w:rPr>
                <w:lang w:val="sr-Latn-ME"/>
              </w:rPr>
              <w:t>6</w:t>
            </w:r>
            <w:r w:rsidRPr="00B35962">
              <w:rPr>
                <w:lang w:val="sr-Latn-ME"/>
              </w:rPr>
              <w:t xml:space="preserve">.1 </w:t>
            </w:r>
            <w:r w:rsidR="0043669F" w:rsidRPr="00B35962">
              <w:rPr>
                <w:lang w:val="sr-Latn-ME"/>
              </w:rPr>
              <w:t>Razviti, pilotirati i usvojiti program pružanja podrške roditeljima djece predškolskog uzrasta</w:t>
            </w:r>
            <w:r w:rsidR="00E22744" w:rsidRPr="00B35962">
              <w:rPr>
                <w:lang w:val="sr-Latn-ME"/>
              </w:rPr>
              <w:t xml:space="preserve"> (MP</w:t>
            </w:r>
            <w:r w:rsidR="00783759" w:rsidRPr="00B35962">
              <w:rPr>
                <w:lang w:val="sr-Latn-ME"/>
              </w:rPr>
              <w:t xml:space="preserve"> i ZzŠ</w:t>
            </w:r>
            <w:r w:rsidR="00E22744" w:rsidRPr="00B35962">
              <w:rPr>
                <w:lang w:val="sr-Latn-ME"/>
              </w:rPr>
              <w:t>)</w:t>
            </w:r>
          </w:p>
        </w:tc>
        <w:tc>
          <w:tcPr>
            <w:tcW w:w="1584" w:type="dxa"/>
          </w:tcPr>
          <w:p w14:paraId="3BD51F47" w14:textId="77777777" w:rsidR="0043669F" w:rsidRPr="00B35962" w:rsidRDefault="0043669F" w:rsidP="00D52C82">
            <w:pPr>
              <w:ind w:firstLine="0"/>
              <w:rPr>
                <w:lang w:val="sr-Latn-ME"/>
              </w:rPr>
            </w:pPr>
            <w:r w:rsidRPr="00B35962">
              <w:rPr>
                <w:lang w:val="sr-Latn-ME"/>
              </w:rPr>
              <w:t>Ne</w:t>
            </w:r>
          </w:p>
        </w:tc>
        <w:tc>
          <w:tcPr>
            <w:tcW w:w="1584" w:type="dxa"/>
          </w:tcPr>
          <w:p w14:paraId="7A1DBB9C" w14:textId="77777777" w:rsidR="0043669F" w:rsidRPr="00B35962" w:rsidRDefault="0043669F" w:rsidP="00D52C82">
            <w:pPr>
              <w:ind w:firstLine="0"/>
              <w:rPr>
                <w:lang w:val="sr-Latn-ME"/>
              </w:rPr>
            </w:pPr>
            <w:r w:rsidRPr="00B35962">
              <w:rPr>
                <w:lang w:val="sr-Latn-ME"/>
              </w:rPr>
              <w:t>Ne</w:t>
            </w:r>
          </w:p>
          <w:p w14:paraId="61B34130" w14:textId="77777777" w:rsidR="0043669F" w:rsidRPr="00B35962" w:rsidRDefault="0043669F" w:rsidP="00D52C82">
            <w:pPr>
              <w:ind w:firstLine="0"/>
              <w:rPr>
                <w:lang w:val="sr-Latn-ME"/>
              </w:rPr>
            </w:pPr>
          </w:p>
        </w:tc>
        <w:tc>
          <w:tcPr>
            <w:tcW w:w="1584" w:type="dxa"/>
          </w:tcPr>
          <w:p w14:paraId="34D8AF78" w14:textId="77777777" w:rsidR="0043669F" w:rsidRPr="00B35962" w:rsidRDefault="0043669F" w:rsidP="00D52C82">
            <w:pPr>
              <w:tabs>
                <w:tab w:val="center" w:pos="1029"/>
              </w:tabs>
              <w:ind w:firstLine="0"/>
              <w:rPr>
                <w:lang w:val="sr-Latn-ME"/>
              </w:rPr>
            </w:pPr>
            <w:r w:rsidRPr="00B35962">
              <w:rPr>
                <w:lang w:val="sr-Latn-ME"/>
              </w:rPr>
              <w:t xml:space="preserve"> Da</w:t>
            </w:r>
          </w:p>
        </w:tc>
      </w:tr>
      <w:tr w:rsidR="00C8150A" w:rsidRPr="00B35962" w14:paraId="3AA59438" w14:textId="77777777" w:rsidTr="00936B91">
        <w:tc>
          <w:tcPr>
            <w:tcW w:w="2448" w:type="dxa"/>
          </w:tcPr>
          <w:p w14:paraId="128DCD20" w14:textId="77777777" w:rsidR="00C8150A" w:rsidRPr="00B35962" w:rsidRDefault="00C8150A" w:rsidP="00566A90">
            <w:pPr>
              <w:ind w:firstLine="0"/>
              <w:rPr>
                <w:lang w:val="sr-Latn-ME"/>
              </w:rPr>
            </w:pPr>
            <w:bookmarkStart w:id="15" w:name="_Hlk42428401"/>
            <w:r w:rsidRPr="00B35962">
              <w:rPr>
                <w:lang w:val="sr-Latn-ME"/>
              </w:rPr>
              <w:t>2.</w:t>
            </w:r>
            <w:r w:rsidR="004A342C" w:rsidRPr="00B35962">
              <w:rPr>
                <w:lang w:val="sr-Latn-ME"/>
              </w:rPr>
              <w:t>7</w:t>
            </w:r>
            <w:r w:rsidRPr="00B35962">
              <w:rPr>
                <w:lang w:val="sr-Latn-ME"/>
              </w:rPr>
              <w:t xml:space="preserve">. </w:t>
            </w:r>
            <w:r w:rsidR="0071472D" w:rsidRPr="00B35962">
              <w:rPr>
                <w:lang w:val="sr-Latn-ME"/>
              </w:rPr>
              <w:t>Revizija režima rada i unapređenje kvaliteta ishrane u predškolskim ustanovama</w:t>
            </w:r>
            <w:bookmarkEnd w:id="15"/>
          </w:p>
        </w:tc>
        <w:tc>
          <w:tcPr>
            <w:tcW w:w="2448" w:type="dxa"/>
          </w:tcPr>
          <w:p w14:paraId="65031087" w14:textId="77777777" w:rsidR="00C8150A" w:rsidRPr="00B35962" w:rsidRDefault="00C8150A" w:rsidP="00566A90">
            <w:pPr>
              <w:ind w:firstLine="0"/>
              <w:rPr>
                <w:lang w:val="sr-Latn-ME"/>
              </w:rPr>
            </w:pPr>
            <w:r w:rsidRPr="00B35962">
              <w:rPr>
                <w:lang w:val="sr-Latn-ME"/>
              </w:rPr>
              <w:t>2.</w:t>
            </w:r>
            <w:r w:rsidR="004A342C" w:rsidRPr="00B35962">
              <w:rPr>
                <w:lang w:val="sr-Latn-ME"/>
              </w:rPr>
              <w:t>7</w:t>
            </w:r>
            <w:r w:rsidRPr="00B35962">
              <w:rPr>
                <w:lang w:val="sr-Latn-ME"/>
              </w:rPr>
              <w:t xml:space="preserve">.1. </w:t>
            </w:r>
            <w:r w:rsidR="00E02C28" w:rsidRPr="00B35962">
              <w:rPr>
                <w:lang w:val="sr-Latn-ME"/>
              </w:rPr>
              <w:t>Broj ustanova koje uvele novi režim rada i zadovoljavaju standarde ishrane u predškolskim ustanovama po nacionalnim Smjernicama Instituta za javno zdravlje (MP)</w:t>
            </w:r>
          </w:p>
        </w:tc>
        <w:tc>
          <w:tcPr>
            <w:tcW w:w="1584" w:type="dxa"/>
          </w:tcPr>
          <w:p w14:paraId="419DE4F5" w14:textId="77777777" w:rsidR="00C8150A" w:rsidRPr="00B35962" w:rsidRDefault="00C8150A" w:rsidP="008D7304">
            <w:pPr>
              <w:ind w:firstLine="0"/>
              <w:rPr>
                <w:lang w:val="sr-Latn-ME"/>
              </w:rPr>
            </w:pPr>
            <w:r w:rsidRPr="00B35962">
              <w:rPr>
                <w:lang w:val="sr-Latn-ME"/>
              </w:rPr>
              <w:t>0</w:t>
            </w:r>
          </w:p>
        </w:tc>
        <w:tc>
          <w:tcPr>
            <w:tcW w:w="1584" w:type="dxa"/>
          </w:tcPr>
          <w:p w14:paraId="616563A4" w14:textId="77777777" w:rsidR="00C8150A" w:rsidRPr="00B35962" w:rsidRDefault="00C8150A" w:rsidP="008D7304">
            <w:pPr>
              <w:ind w:firstLine="0"/>
              <w:rPr>
                <w:lang w:val="sr-Latn-ME"/>
              </w:rPr>
            </w:pPr>
            <w:r w:rsidRPr="00B35962">
              <w:rPr>
                <w:lang w:val="sr-Latn-ME"/>
              </w:rPr>
              <w:t>10</w:t>
            </w:r>
          </w:p>
        </w:tc>
        <w:tc>
          <w:tcPr>
            <w:tcW w:w="1584" w:type="dxa"/>
          </w:tcPr>
          <w:p w14:paraId="09AC8637" w14:textId="77777777" w:rsidR="00C8150A" w:rsidRPr="00B35962" w:rsidRDefault="00C8150A" w:rsidP="008D7304">
            <w:pPr>
              <w:tabs>
                <w:tab w:val="center" w:pos="1029"/>
              </w:tabs>
              <w:ind w:firstLine="0"/>
              <w:rPr>
                <w:lang w:val="sr-Latn-ME"/>
              </w:rPr>
            </w:pPr>
            <w:r w:rsidRPr="00B35962">
              <w:rPr>
                <w:lang w:val="sr-Latn-ME"/>
              </w:rPr>
              <w:t>18</w:t>
            </w:r>
          </w:p>
        </w:tc>
      </w:tr>
      <w:tr w:rsidR="008A7296" w:rsidRPr="00B35962" w14:paraId="707B63B4" w14:textId="77777777" w:rsidTr="00936B91">
        <w:tc>
          <w:tcPr>
            <w:tcW w:w="2448" w:type="dxa"/>
          </w:tcPr>
          <w:p w14:paraId="7D33F092" w14:textId="77777777" w:rsidR="008A7296" w:rsidRPr="00B35962" w:rsidRDefault="008A7296" w:rsidP="00566A90">
            <w:pPr>
              <w:ind w:firstLine="0"/>
              <w:rPr>
                <w:lang w:val="sr-Latn-ME"/>
              </w:rPr>
            </w:pPr>
            <w:r w:rsidRPr="00B35962">
              <w:rPr>
                <w:lang w:val="sr-Latn-ME"/>
              </w:rPr>
              <w:t>2.8. Uvezati i učiniti održivim aktivnosti prelaza u osnovnu školu</w:t>
            </w:r>
          </w:p>
        </w:tc>
        <w:tc>
          <w:tcPr>
            <w:tcW w:w="2448" w:type="dxa"/>
          </w:tcPr>
          <w:p w14:paraId="4CA11523" w14:textId="77777777" w:rsidR="008A7296" w:rsidRPr="00B35962" w:rsidRDefault="008C4C6C" w:rsidP="00566A90">
            <w:pPr>
              <w:ind w:firstLine="0"/>
              <w:rPr>
                <w:lang w:val="sr-Latn-ME"/>
              </w:rPr>
            </w:pPr>
            <w:r w:rsidRPr="00B35962">
              <w:rPr>
                <w:lang w:val="sr-Latn-ME"/>
              </w:rPr>
              <w:t xml:space="preserve">2.8.1. </w:t>
            </w:r>
            <w:r w:rsidR="000441DC" w:rsidRPr="00B35962">
              <w:rPr>
                <w:lang w:val="sr-Latn-ME"/>
              </w:rPr>
              <w:t>Program podrške prelasku djece iz vrtića u osnovnu školu je razvijen i usvojen</w:t>
            </w:r>
          </w:p>
        </w:tc>
        <w:tc>
          <w:tcPr>
            <w:tcW w:w="1584" w:type="dxa"/>
          </w:tcPr>
          <w:p w14:paraId="5AB4C28B" w14:textId="77777777" w:rsidR="008A7296" w:rsidRPr="00B35962" w:rsidRDefault="000441DC" w:rsidP="008D7304">
            <w:pPr>
              <w:ind w:firstLine="0"/>
              <w:rPr>
                <w:lang w:val="sr-Latn-ME"/>
              </w:rPr>
            </w:pPr>
            <w:r w:rsidRPr="00B35962">
              <w:rPr>
                <w:lang w:val="sr-Latn-ME"/>
              </w:rPr>
              <w:t>Ne</w:t>
            </w:r>
          </w:p>
        </w:tc>
        <w:tc>
          <w:tcPr>
            <w:tcW w:w="1584" w:type="dxa"/>
          </w:tcPr>
          <w:p w14:paraId="63983EBD" w14:textId="77777777" w:rsidR="008A7296" w:rsidRPr="00B35962" w:rsidRDefault="000441DC" w:rsidP="008D7304">
            <w:pPr>
              <w:ind w:firstLine="0"/>
              <w:rPr>
                <w:lang w:val="sr-Latn-ME"/>
              </w:rPr>
            </w:pPr>
            <w:r w:rsidRPr="00B35962">
              <w:rPr>
                <w:lang w:val="sr-Latn-ME"/>
              </w:rPr>
              <w:t>Da</w:t>
            </w:r>
          </w:p>
        </w:tc>
        <w:tc>
          <w:tcPr>
            <w:tcW w:w="1584" w:type="dxa"/>
          </w:tcPr>
          <w:p w14:paraId="62ABB63E" w14:textId="77777777" w:rsidR="008A7296" w:rsidRPr="00B35962" w:rsidRDefault="000441DC" w:rsidP="008D7304">
            <w:pPr>
              <w:tabs>
                <w:tab w:val="center" w:pos="1029"/>
              </w:tabs>
              <w:ind w:firstLine="0"/>
              <w:rPr>
                <w:lang w:val="sr-Latn-ME"/>
              </w:rPr>
            </w:pPr>
            <w:r w:rsidRPr="00B35962">
              <w:rPr>
                <w:lang w:val="sr-Latn-ME"/>
              </w:rPr>
              <w:t>Da</w:t>
            </w:r>
          </w:p>
        </w:tc>
      </w:tr>
    </w:tbl>
    <w:p w14:paraId="48ACE1E8" w14:textId="77777777" w:rsidR="00A5310D" w:rsidRPr="00B35962" w:rsidRDefault="00A5310D" w:rsidP="00A5310D">
      <w:pPr>
        <w:ind w:firstLine="0"/>
        <w:rPr>
          <w:b/>
          <w:lang w:val="sr-Latn-ME"/>
        </w:rPr>
      </w:pPr>
    </w:p>
    <w:p w14:paraId="2B636251" w14:textId="0A11023D" w:rsidR="00D11BB1" w:rsidRPr="00B35962" w:rsidRDefault="00D131EB" w:rsidP="00A5310D">
      <w:pPr>
        <w:ind w:firstLine="0"/>
        <w:rPr>
          <w:b/>
          <w:color w:val="0070C0"/>
          <w:lang w:val="sr-Latn-ME"/>
        </w:rPr>
      </w:pPr>
      <w:r w:rsidRPr="00B35962">
        <w:rPr>
          <w:b/>
          <w:color w:val="0070C0"/>
          <w:lang w:val="sr-Latn-ME"/>
        </w:rPr>
        <w:t>O</w:t>
      </w:r>
      <w:r w:rsidR="000A1516" w:rsidRPr="00B35962">
        <w:rPr>
          <w:b/>
          <w:color w:val="0070C0"/>
          <w:lang w:val="sr-Latn-ME"/>
        </w:rPr>
        <w:t xml:space="preserve">perativni </w:t>
      </w:r>
      <w:r w:rsidR="00D11BB1" w:rsidRPr="00B35962">
        <w:rPr>
          <w:b/>
          <w:color w:val="0070C0"/>
          <w:lang w:val="sr-Latn-ME"/>
        </w:rPr>
        <w:t xml:space="preserve"> cilj 3: </w:t>
      </w:r>
      <w:bookmarkStart w:id="16" w:name="_Hlk41114264"/>
      <w:r w:rsidR="00DF2443" w:rsidRPr="00B35962">
        <w:rPr>
          <w:b/>
          <w:color w:val="0070C0"/>
          <w:lang w:val="sr-Latn-ME"/>
        </w:rPr>
        <w:t>Unapređenje</w:t>
      </w:r>
      <w:r w:rsidR="00D11BB1" w:rsidRPr="00B35962">
        <w:rPr>
          <w:b/>
          <w:color w:val="0070C0"/>
          <w:lang w:val="sr-Latn-ME"/>
        </w:rPr>
        <w:t xml:space="preserve"> </w:t>
      </w:r>
      <w:r w:rsidR="00134D9D" w:rsidRPr="00B35962">
        <w:rPr>
          <w:b/>
          <w:color w:val="0070C0"/>
          <w:lang w:val="sr-Latn-ME"/>
        </w:rPr>
        <w:t>šansi za rani razvoj djece iz osjetljivih grupa</w:t>
      </w:r>
      <w:bookmarkEnd w:id="16"/>
    </w:p>
    <w:p w14:paraId="1EBF7985" w14:textId="37960CEB" w:rsidR="005E433D" w:rsidRPr="00B35962" w:rsidRDefault="00D11BB1" w:rsidP="00350CFC">
      <w:pPr>
        <w:ind w:firstLine="0"/>
        <w:rPr>
          <w:lang w:val="sr-Latn-ME"/>
        </w:rPr>
      </w:pPr>
      <w:r w:rsidRPr="00B35962">
        <w:rPr>
          <w:lang w:val="sr-Latn-ME"/>
        </w:rPr>
        <w:tab/>
      </w:r>
      <w:r w:rsidR="008B4E83" w:rsidRPr="00B35962">
        <w:rPr>
          <w:lang w:val="sr-Latn-ME"/>
        </w:rPr>
        <w:t xml:space="preserve">Treći </w:t>
      </w:r>
      <w:r w:rsidR="000A1516" w:rsidRPr="00B35962">
        <w:rPr>
          <w:lang w:val="sr-Latn-ME"/>
        </w:rPr>
        <w:t xml:space="preserve">opšti operativni </w:t>
      </w:r>
      <w:r w:rsidR="008B4E83" w:rsidRPr="00B35962">
        <w:rPr>
          <w:lang w:val="sr-Latn-ME"/>
        </w:rPr>
        <w:t xml:space="preserve">cilj </w:t>
      </w:r>
      <w:r w:rsidR="000A1516" w:rsidRPr="00B35962">
        <w:rPr>
          <w:lang w:val="sr-Latn-ME"/>
        </w:rPr>
        <w:t>se</w:t>
      </w:r>
      <w:r w:rsidR="008B4E83" w:rsidRPr="00B35962">
        <w:rPr>
          <w:lang w:val="sr-Latn-ME"/>
        </w:rPr>
        <w:t xml:space="preserve"> odnosi</w:t>
      </w:r>
      <w:r w:rsidR="0004010A" w:rsidRPr="00B35962">
        <w:rPr>
          <w:lang w:val="sr-Latn-ME"/>
        </w:rPr>
        <w:t xml:space="preserve"> </w:t>
      </w:r>
      <w:r w:rsidR="008B4E83" w:rsidRPr="00B35962">
        <w:rPr>
          <w:lang w:val="sr-Latn-ME"/>
        </w:rPr>
        <w:t>na unapređenje pravednosti PVO u pogledu dostupnosti i kvaliteta podrške ranom razvoju</w:t>
      </w:r>
      <w:r w:rsidR="0004010A" w:rsidRPr="00B35962">
        <w:rPr>
          <w:lang w:val="sr-Latn-ME"/>
        </w:rPr>
        <w:t>,</w:t>
      </w:r>
      <w:r w:rsidR="008B4E83" w:rsidRPr="00B35962">
        <w:rPr>
          <w:lang w:val="sr-Latn-ME"/>
        </w:rPr>
        <w:t xml:space="preserve"> koji se obezbjeđuje za djecu iz osjetljivih grupa</w:t>
      </w:r>
      <w:r w:rsidR="0004010A" w:rsidRPr="00B35962">
        <w:rPr>
          <w:lang w:val="sr-Latn-ME"/>
        </w:rPr>
        <w:t>,</w:t>
      </w:r>
      <w:r w:rsidR="008B4E83" w:rsidRPr="00B35962">
        <w:rPr>
          <w:lang w:val="sr-Latn-ME"/>
        </w:rPr>
        <w:t xml:space="preserve"> čime bi sistem PVO postao inkluzivniji. </w:t>
      </w:r>
      <w:r w:rsidR="005E433D" w:rsidRPr="00B35962">
        <w:rPr>
          <w:lang w:val="sr-Latn-ME"/>
        </w:rPr>
        <w:t xml:space="preserve">Trećim </w:t>
      </w:r>
      <w:r w:rsidR="000A1516" w:rsidRPr="00B35962">
        <w:rPr>
          <w:lang w:val="sr-Latn-ME"/>
        </w:rPr>
        <w:t xml:space="preserve">opštim operativnim </w:t>
      </w:r>
      <w:r w:rsidR="005E433D" w:rsidRPr="00B35962">
        <w:rPr>
          <w:lang w:val="sr-Latn-ME"/>
        </w:rPr>
        <w:t xml:space="preserve">ciljem se planira da se do </w:t>
      </w:r>
      <w:r w:rsidR="00A8355C" w:rsidRPr="00B35962">
        <w:rPr>
          <w:lang w:val="sr-Latn-ME"/>
        </w:rPr>
        <w:t>202</w:t>
      </w:r>
      <w:r w:rsidR="000A1516" w:rsidRPr="00B35962">
        <w:rPr>
          <w:lang w:val="sr-Latn-ME"/>
        </w:rPr>
        <w:t>5</w:t>
      </w:r>
      <w:r w:rsidR="00A8355C" w:rsidRPr="00B35962">
        <w:rPr>
          <w:lang w:val="sr-Latn-ME"/>
        </w:rPr>
        <w:t>. godine unaprijedi postojeći sistem za pružanje podrške za rani razvoj djece iz osjetljivih grupa kroz pružanje podrške roditeljima i kroz veću uključenost u kvalitetne programe PVO</w:t>
      </w:r>
      <w:r w:rsidR="0004010A" w:rsidRPr="00B35962">
        <w:rPr>
          <w:lang w:val="sr-Latn-ME"/>
        </w:rPr>
        <w:t>,</w:t>
      </w:r>
      <w:r w:rsidR="00A8355C" w:rsidRPr="00B35962">
        <w:rPr>
          <w:lang w:val="sr-Latn-ME"/>
        </w:rPr>
        <w:t xml:space="preserve"> kako bi se </w:t>
      </w:r>
      <w:r w:rsidR="00A8355C" w:rsidRPr="00B35962">
        <w:rPr>
          <w:lang w:val="sr-Latn-ME"/>
        </w:rPr>
        <w:lastRenderedPageBreak/>
        <w:t>povećao indeks ranog razvoja (ECDI) djece iz najsiromašnijih porodica sa 76 na 85, a djece iz romskih naselja sa 77 na 85.</w:t>
      </w:r>
    </w:p>
    <w:p w14:paraId="08BE150E" w14:textId="77777777" w:rsidR="000A1516" w:rsidRPr="00B35962" w:rsidRDefault="000A1516" w:rsidP="002E2B22">
      <w:pPr>
        <w:rPr>
          <w:lang w:val="sr-Latn-ME"/>
        </w:rPr>
      </w:pPr>
    </w:p>
    <w:p w14:paraId="32A5B0B8" w14:textId="360F5AF5" w:rsidR="00C041A1" w:rsidRPr="00B35962" w:rsidRDefault="00C041A1" w:rsidP="00C041A1">
      <w:pPr>
        <w:pStyle w:val="Caption"/>
        <w:keepNext/>
        <w:ind w:firstLine="0"/>
        <w:rPr>
          <w:i w:val="0"/>
          <w:iCs w:val="0"/>
          <w:color w:val="auto"/>
          <w:sz w:val="24"/>
          <w:szCs w:val="24"/>
          <w:lang w:val="sr-Latn-ME"/>
        </w:rPr>
      </w:pPr>
      <w:r w:rsidRPr="00B35962">
        <w:rPr>
          <w:i w:val="0"/>
          <w:iCs w:val="0"/>
          <w:color w:val="auto"/>
          <w:sz w:val="24"/>
          <w:szCs w:val="24"/>
          <w:lang w:val="sr-Latn-ME"/>
        </w:rPr>
        <w:t xml:space="preserve">Tabela </w:t>
      </w:r>
      <w:r w:rsidRPr="00B35962">
        <w:rPr>
          <w:i w:val="0"/>
          <w:iCs w:val="0"/>
          <w:color w:val="auto"/>
          <w:sz w:val="24"/>
          <w:szCs w:val="24"/>
          <w:lang w:val="sr-Latn-ME"/>
        </w:rPr>
        <w:fldChar w:fldCharType="begin"/>
      </w:r>
      <w:r w:rsidRPr="00B35962">
        <w:rPr>
          <w:i w:val="0"/>
          <w:iCs w:val="0"/>
          <w:color w:val="auto"/>
          <w:sz w:val="24"/>
          <w:szCs w:val="24"/>
          <w:lang w:val="sr-Latn-ME"/>
        </w:rPr>
        <w:instrText xml:space="preserve"> SEQ Tabela \* ARABIC </w:instrText>
      </w:r>
      <w:r w:rsidRPr="00B35962">
        <w:rPr>
          <w:i w:val="0"/>
          <w:iCs w:val="0"/>
          <w:color w:val="auto"/>
          <w:sz w:val="24"/>
          <w:szCs w:val="24"/>
          <w:lang w:val="sr-Latn-ME"/>
        </w:rPr>
        <w:fldChar w:fldCharType="separate"/>
      </w:r>
      <w:r w:rsidR="0054592B" w:rsidRPr="00B35962">
        <w:rPr>
          <w:i w:val="0"/>
          <w:iCs w:val="0"/>
          <w:noProof/>
          <w:color w:val="auto"/>
          <w:sz w:val="24"/>
          <w:szCs w:val="24"/>
          <w:lang w:val="sr-Latn-ME"/>
        </w:rPr>
        <w:t>6</w:t>
      </w:r>
      <w:r w:rsidRPr="00B35962">
        <w:rPr>
          <w:i w:val="0"/>
          <w:iCs w:val="0"/>
          <w:color w:val="auto"/>
          <w:sz w:val="24"/>
          <w:szCs w:val="24"/>
          <w:lang w:val="sr-Latn-ME"/>
        </w:rPr>
        <w:fldChar w:fldCharType="end"/>
      </w:r>
      <w:r w:rsidRPr="00B35962">
        <w:rPr>
          <w:i w:val="0"/>
          <w:iCs w:val="0"/>
          <w:color w:val="auto"/>
          <w:sz w:val="24"/>
          <w:szCs w:val="24"/>
          <w:lang w:val="sr-Latn-ME"/>
        </w:rPr>
        <w:t xml:space="preserve">. Indikatori za praćenje </w:t>
      </w:r>
      <w:r w:rsidR="000A1516" w:rsidRPr="00B35962">
        <w:rPr>
          <w:i w:val="0"/>
          <w:iCs w:val="0"/>
          <w:color w:val="auto"/>
          <w:sz w:val="24"/>
          <w:szCs w:val="24"/>
          <w:lang w:val="sr-Latn-ME"/>
        </w:rPr>
        <w:t xml:space="preserve">operativnog </w:t>
      </w:r>
      <w:r w:rsidRPr="00B35962">
        <w:rPr>
          <w:i w:val="0"/>
          <w:iCs w:val="0"/>
          <w:color w:val="auto"/>
          <w:sz w:val="24"/>
          <w:szCs w:val="24"/>
          <w:lang w:val="sr-Latn-ME"/>
        </w:rPr>
        <w:t>cilja 3</w:t>
      </w:r>
    </w:p>
    <w:tbl>
      <w:tblPr>
        <w:tblStyle w:val="TableGrid0"/>
        <w:tblW w:w="96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48"/>
        <w:gridCol w:w="2448"/>
        <w:gridCol w:w="1584"/>
        <w:gridCol w:w="1584"/>
        <w:gridCol w:w="1584"/>
      </w:tblGrid>
      <w:tr w:rsidR="00C041A1" w:rsidRPr="00B35962" w14:paraId="1E094763" w14:textId="77777777" w:rsidTr="00936B91">
        <w:tc>
          <w:tcPr>
            <w:tcW w:w="2448" w:type="dxa"/>
          </w:tcPr>
          <w:p w14:paraId="19794EAD" w14:textId="3FD1B9E4" w:rsidR="00C041A1" w:rsidRPr="00B35962" w:rsidRDefault="00D131EB" w:rsidP="004B1FD4">
            <w:pPr>
              <w:ind w:firstLine="0"/>
              <w:rPr>
                <w:lang w:val="sr-Latn-ME"/>
              </w:rPr>
            </w:pPr>
            <w:r w:rsidRPr="00B35962">
              <w:rPr>
                <w:lang w:val="sr-Latn-ME"/>
              </w:rPr>
              <w:t>O</w:t>
            </w:r>
            <w:r w:rsidR="000A1516" w:rsidRPr="00B35962">
              <w:rPr>
                <w:lang w:val="sr-Latn-ME"/>
              </w:rPr>
              <w:t xml:space="preserve">perativni </w:t>
            </w:r>
            <w:r w:rsidR="00C041A1" w:rsidRPr="00B35962">
              <w:rPr>
                <w:lang w:val="sr-Latn-ME"/>
              </w:rPr>
              <w:t>cilj</w:t>
            </w:r>
          </w:p>
        </w:tc>
        <w:tc>
          <w:tcPr>
            <w:tcW w:w="2448" w:type="dxa"/>
          </w:tcPr>
          <w:p w14:paraId="5DCBEF6E" w14:textId="77777777" w:rsidR="00C041A1" w:rsidRPr="00B35962" w:rsidRDefault="00C041A1" w:rsidP="004B1FD4">
            <w:pPr>
              <w:ind w:firstLine="0"/>
              <w:rPr>
                <w:lang w:val="sr-Latn-ME"/>
              </w:rPr>
            </w:pPr>
            <w:r w:rsidRPr="00B35962">
              <w:rPr>
                <w:lang w:val="sr-Latn-ME"/>
              </w:rPr>
              <w:t>Indikator</w:t>
            </w:r>
          </w:p>
        </w:tc>
        <w:tc>
          <w:tcPr>
            <w:tcW w:w="1584" w:type="dxa"/>
          </w:tcPr>
          <w:p w14:paraId="73AD2BB8" w14:textId="77777777" w:rsidR="00C041A1" w:rsidRPr="00B35962" w:rsidRDefault="00C041A1" w:rsidP="004B1FD4">
            <w:pPr>
              <w:ind w:firstLine="0"/>
              <w:rPr>
                <w:lang w:val="sr-Latn-ME"/>
              </w:rPr>
            </w:pPr>
            <w:r w:rsidRPr="00B35962">
              <w:rPr>
                <w:lang w:val="sr-Latn-ME"/>
              </w:rPr>
              <w:t>Sadašnja vrijednost 2020</w:t>
            </w:r>
          </w:p>
        </w:tc>
        <w:tc>
          <w:tcPr>
            <w:tcW w:w="1584" w:type="dxa"/>
          </w:tcPr>
          <w:p w14:paraId="55732D1A" w14:textId="77777777" w:rsidR="00C041A1" w:rsidRPr="00B35962" w:rsidRDefault="00C041A1" w:rsidP="004B1FD4">
            <w:pPr>
              <w:ind w:firstLine="0"/>
              <w:rPr>
                <w:lang w:val="sr-Latn-ME"/>
              </w:rPr>
            </w:pPr>
            <w:r w:rsidRPr="00B35962">
              <w:rPr>
                <w:lang w:val="sr-Latn-ME"/>
              </w:rPr>
              <w:t>Ciljna vrijednost 2022</w:t>
            </w:r>
          </w:p>
        </w:tc>
        <w:tc>
          <w:tcPr>
            <w:tcW w:w="1584" w:type="dxa"/>
          </w:tcPr>
          <w:p w14:paraId="3E9610A4" w14:textId="77777777" w:rsidR="00C041A1" w:rsidRPr="00B35962" w:rsidRDefault="00C041A1" w:rsidP="00A16F75">
            <w:pPr>
              <w:ind w:firstLine="0"/>
              <w:rPr>
                <w:lang w:val="sr-Latn-ME"/>
              </w:rPr>
            </w:pPr>
            <w:r w:rsidRPr="00B35962">
              <w:rPr>
                <w:lang w:val="sr-Latn-ME"/>
              </w:rPr>
              <w:t>Ciljna vrijednost 202</w:t>
            </w:r>
            <w:r w:rsidR="00A16F75" w:rsidRPr="00B35962">
              <w:rPr>
                <w:lang w:val="sr-Latn-ME"/>
              </w:rPr>
              <w:t>5</w:t>
            </w:r>
          </w:p>
        </w:tc>
      </w:tr>
      <w:tr w:rsidR="00C041A1" w:rsidRPr="00B35962" w14:paraId="29491600" w14:textId="77777777" w:rsidTr="00936B91">
        <w:tc>
          <w:tcPr>
            <w:tcW w:w="2448" w:type="dxa"/>
          </w:tcPr>
          <w:p w14:paraId="65045257" w14:textId="77777777" w:rsidR="00C041A1" w:rsidRPr="00B35962" w:rsidRDefault="00881CA3" w:rsidP="00566A90">
            <w:pPr>
              <w:ind w:firstLine="0"/>
              <w:rPr>
                <w:lang w:val="sr-Latn-ME"/>
              </w:rPr>
            </w:pPr>
            <w:r w:rsidRPr="00B35962">
              <w:rPr>
                <w:lang w:val="sr-Latn-ME"/>
              </w:rPr>
              <w:t>3</w:t>
            </w:r>
            <w:r w:rsidR="00C041A1" w:rsidRPr="00B35962">
              <w:rPr>
                <w:lang w:val="sr-Latn-ME"/>
              </w:rPr>
              <w:t xml:space="preserve">. </w:t>
            </w:r>
            <w:r w:rsidR="00A8355C" w:rsidRPr="00B35962">
              <w:rPr>
                <w:lang w:val="sr-Latn-ME"/>
              </w:rPr>
              <w:t>Unapređenje šansi za rani razvoj djece iz osjetljivih grupa</w:t>
            </w:r>
          </w:p>
        </w:tc>
        <w:tc>
          <w:tcPr>
            <w:tcW w:w="2448" w:type="dxa"/>
          </w:tcPr>
          <w:p w14:paraId="71D7C857" w14:textId="77777777" w:rsidR="00C041A1" w:rsidRPr="00B35962" w:rsidRDefault="00881CA3" w:rsidP="00566A90">
            <w:pPr>
              <w:ind w:firstLine="0"/>
              <w:rPr>
                <w:lang w:val="sr-Latn-ME"/>
              </w:rPr>
            </w:pPr>
            <w:r w:rsidRPr="00B35962">
              <w:rPr>
                <w:lang w:val="sr-Latn-ME"/>
              </w:rPr>
              <w:t>3</w:t>
            </w:r>
            <w:r w:rsidR="00C041A1" w:rsidRPr="00B35962">
              <w:rPr>
                <w:lang w:val="sr-Latn-ME"/>
              </w:rPr>
              <w:t xml:space="preserve">.1 </w:t>
            </w:r>
            <w:r w:rsidR="00A8355C" w:rsidRPr="00B35962">
              <w:rPr>
                <w:lang w:val="sr-Latn-ME"/>
              </w:rPr>
              <w:t xml:space="preserve">ECDI </w:t>
            </w:r>
            <w:r w:rsidR="002972DA" w:rsidRPr="00B35962">
              <w:rPr>
                <w:lang w:val="sr-Latn-ME"/>
              </w:rPr>
              <w:t>indeks djece iz donjeg kvintila prema materijalnom status</w:t>
            </w:r>
            <w:r w:rsidR="00A8355C" w:rsidRPr="00B35962">
              <w:rPr>
                <w:lang w:val="sr-Latn-ME"/>
              </w:rPr>
              <w:t>u</w:t>
            </w:r>
            <w:r w:rsidR="00E22744" w:rsidRPr="00B35962">
              <w:rPr>
                <w:lang w:val="sr-Latn-ME"/>
              </w:rPr>
              <w:t xml:space="preserve"> (MICS)</w:t>
            </w:r>
          </w:p>
        </w:tc>
        <w:tc>
          <w:tcPr>
            <w:tcW w:w="1584" w:type="dxa"/>
          </w:tcPr>
          <w:p w14:paraId="7E2DB1A8" w14:textId="77777777" w:rsidR="00C041A1" w:rsidRPr="00B35962" w:rsidRDefault="00A8355C" w:rsidP="004B1FD4">
            <w:pPr>
              <w:ind w:firstLine="0"/>
              <w:rPr>
                <w:lang w:val="sr-Latn-ME"/>
              </w:rPr>
            </w:pPr>
            <w:r w:rsidRPr="00B35962">
              <w:rPr>
                <w:lang w:val="sr-Latn-ME"/>
              </w:rPr>
              <w:t>76</w:t>
            </w:r>
          </w:p>
        </w:tc>
        <w:tc>
          <w:tcPr>
            <w:tcW w:w="1584" w:type="dxa"/>
          </w:tcPr>
          <w:p w14:paraId="3A056435" w14:textId="77777777" w:rsidR="00C041A1" w:rsidRPr="00B35962" w:rsidRDefault="00A8355C" w:rsidP="004B1FD4">
            <w:pPr>
              <w:ind w:firstLine="0"/>
              <w:rPr>
                <w:lang w:val="sr-Latn-ME"/>
              </w:rPr>
            </w:pPr>
            <w:r w:rsidRPr="00B35962">
              <w:rPr>
                <w:lang w:val="sr-Latn-ME"/>
              </w:rPr>
              <w:t>-</w:t>
            </w:r>
          </w:p>
        </w:tc>
        <w:tc>
          <w:tcPr>
            <w:tcW w:w="1584" w:type="dxa"/>
          </w:tcPr>
          <w:p w14:paraId="7BE20790" w14:textId="77777777" w:rsidR="00C041A1" w:rsidRPr="00B35962" w:rsidRDefault="00A8355C" w:rsidP="004B1FD4">
            <w:pPr>
              <w:ind w:firstLine="0"/>
              <w:rPr>
                <w:lang w:val="sr-Latn-ME"/>
              </w:rPr>
            </w:pPr>
            <w:r w:rsidRPr="00B35962">
              <w:rPr>
                <w:lang w:val="sr-Latn-ME"/>
              </w:rPr>
              <w:t>85</w:t>
            </w:r>
          </w:p>
        </w:tc>
      </w:tr>
    </w:tbl>
    <w:p w14:paraId="73DDCD0C" w14:textId="798B8E7A" w:rsidR="00D11BB1" w:rsidRPr="00B35962" w:rsidRDefault="008B4E83" w:rsidP="00906187">
      <w:pPr>
        <w:rPr>
          <w:lang w:val="sr-Latn-ME"/>
        </w:rPr>
      </w:pPr>
      <w:r w:rsidRPr="00B35962">
        <w:rPr>
          <w:lang w:val="sr-Latn-ME"/>
        </w:rPr>
        <w:t xml:space="preserve">Analiza postojećeg stanja je pokazala da </w:t>
      </w:r>
      <w:r w:rsidR="0004010A" w:rsidRPr="00B35962">
        <w:rPr>
          <w:lang w:val="sr-Latn-ME"/>
        </w:rPr>
        <w:t xml:space="preserve">su </w:t>
      </w:r>
      <w:r w:rsidRPr="00B35962">
        <w:rPr>
          <w:lang w:val="sr-Latn-ME"/>
        </w:rPr>
        <w:t xml:space="preserve">djeca iz osjetljivih grupa </w:t>
      </w:r>
      <w:r w:rsidR="00C73C06" w:rsidRPr="00B35962">
        <w:rPr>
          <w:lang w:val="sr-Latn-ME"/>
        </w:rPr>
        <w:t>(djeca koja žive u udaljenim ruralnim naseljima, djeca koja žive u uslovima siromaštva</w:t>
      </w:r>
      <w:r w:rsidR="003C05A3" w:rsidRPr="00B35962">
        <w:rPr>
          <w:rStyle w:val="FootnoteReference"/>
          <w:lang w:val="sr-Latn-ME"/>
        </w:rPr>
        <w:footnoteReference w:id="19"/>
      </w:r>
      <w:r w:rsidR="00C73C06" w:rsidRPr="00B35962">
        <w:rPr>
          <w:lang w:val="sr-Latn-ME"/>
        </w:rPr>
        <w:t>, djeca iz RE zajednica i djeca sa posebnim</w:t>
      </w:r>
      <w:r w:rsidR="00DE1B11">
        <w:rPr>
          <w:lang w:val="sr-Latn-ME"/>
        </w:rPr>
        <w:t xml:space="preserve"> obrazovnim</w:t>
      </w:r>
      <w:r w:rsidR="00350CFC">
        <w:rPr>
          <w:lang w:val="sr-Latn-ME"/>
        </w:rPr>
        <w:t xml:space="preserve"> potrebama)</w:t>
      </w:r>
      <w:r w:rsidRPr="00B35962">
        <w:rPr>
          <w:lang w:val="sr-Latn-ME"/>
        </w:rPr>
        <w:t xml:space="preserve"> u manjoj mjeri uključena u PVO i da postoji jaz u pogledu indeksa ranog razvoja u odnosu na drugu djecu u Crnoj Gori</w:t>
      </w:r>
      <w:r w:rsidR="00914417" w:rsidRPr="00B35962">
        <w:rPr>
          <w:lang w:val="sr-Latn-ME"/>
        </w:rPr>
        <w:t xml:space="preserve">. </w:t>
      </w:r>
      <w:r w:rsidR="00A3111B" w:rsidRPr="00B35962">
        <w:rPr>
          <w:lang w:val="sr-Latn-ME"/>
        </w:rPr>
        <w:t xml:space="preserve">Dva ključna </w:t>
      </w:r>
      <w:r w:rsidR="00914417" w:rsidRPr="00B35962">
        <w:rPr>
          <w:lang w:val="sr-Latn-ME"/>
        </w:rPr>
        <w:t>razlo</w:t>
      </w:r>
      <w:r w:rsidR="00A3111B" w:rsidRPr="00B35962">
        <w:rPr>
          <w:lang w:val="sr-Latn-ME"/>
        </w:rPr>
        <w:t>ga</w:t>
      </w:r>
      <w:r w:rsidR="00914417" w:rsidRPr="00B35962">
        <w:rPr>
          <w:lang w:val="sr-Latn-ME"/>
        </w:rPr>
        <w:t xml:space="preserve"> za niži stepen ukl</w:t>
      </w:r>
      <w:r w:rsidR="00906187" w:rsidRPr="00B35962">
        <w:rPr>
          <w:lang w:val="sr-Latn-ME"/>
        </w:rPr>
        <w:t xml:space="preserve">jučenosti u PVO i za slabije šanse za rani razvoj potencijala </w:t>
      </w:r>
      <w:r w:rsidR="00A3111B" w:rsidRPr="00B35962">
        <w:rPr>
          <w:lang w:val="sr-Latn-ME"/>
        </w:rPr>
        <w:t>djece  povezan</w:t>
      </w:r>
      <w:r w:rsidR="0004010A" w:rsidRPr="00B35962">
        <w:rPr>
          <w:lang w:val="sr-Latn-ME"/>
        </w:rPr>
        <w:t>a</w:t>
      </w:r>
      <w:r w:rsidR="00A3111B" w:rsidRPr="00B35962">
        <w:rPr>
          <w:lang w:val="sr-Latn-ME"/>
        </w:rPr>
        <w:t xml:space="preserve"> </w:t>
      </w:r>
      <w:r w:rsidR="0004010A" w:rsidRPr="00B35962">
        <w:rPr>
          <w:lang w:val="sr-Latn-ME"/>
        </w:rPr>
        <w:t xml:space="preserve">su </w:t>
      </w:r>
      <w:r w:rsidR="00A3111B" w:rsidRPr="00B35962">
        <w:rPr>
          <w:lang w:val="sr-Latn-ME"/>
        </w:rPr>
        <w:t>sa</w:t>
      </w:r>
      <w:r w:rsidR="00906187" w:rsidRPr="00B35962">
        <w:rPr>
          <w:lang w:val="sr-Latn-ME"/>
        </w:rPr>
        <w:t>: (a)</w:t>
      </w:r>
      <w:r w:rsidR="00D11BB1" w:rsidRPr="00B35962">
        <w:rPr>
          <w:lang w:val="sr-Latn-ME"/>
        </w:rPr>
        <w:t xml:space="preserve"> </w:t>
      </w:r>
      <w:r w:rsidR="00C73C06" w:rsidRPr="00B35962">
        <w:rPr>
          <w:lang w:val="sr-Latn-ME"/>
        </w:rPr>
        <w:t xml:space="preserve">niža </w:t>
      </w:r>
      <w:r w:rsidR="005862A7" w:rsidRPr="00B35962">
        <w:rPr>
          <w:lang w:val="sr-Latn-ME"/>
        </w:rPr>
        <w:t xml:space="preserve">dostupnost </w:t>
      </w:r>
      <w:r w:rsidR="00C73C06" w:rsidRPr="00B35962">
        <w:rPr>
          <w:lang w:val="sr-Latn-ME"/>
        </w:rPr>
        <w:t>kvalitetn</w:t>
      </w:r>
      <w:r w:rsidR="005862A7" w:rsidRPr="00B35962">
        <w:rPr>
          <w:lang w:val="sr-Latn-ME"/>
        </w:rPr>
        <w:t>ih</w:t>
      </w:r>
      <w:r w:rsidR="00C73C06" w:rsidRPr="00B35962">
        <w:rPr>
          <w:lang w:val="sr-Latn-ME"/>
        </w:rPr>
        <w:t xml:space="preserve"> program</w:t>
      </w:r>
      <w:r w:rsidR="005862A7" w:rsidRPr="00B35962">
        <w:rPr>
          <w:lang w:val="sr-Latn-ME"/>
        </w:rPr>
        <w:t>a</w:t>
      </w:r>
      <w:r w:rsidR="00C73C06" w:rsidRPr="00B35962">
        <w:rPr>
          <w:lang w:val="sr-Latn-ME"/>
        </w:rPr>
        <w:t xml:space="preserve"> PVO</w:t>
      </w:r>
      <w:r w:rsidR="005862A7" w:rsidRPr="00B35962">
        <w:rPr>
          <w:lang w:val="sr-Latn-ME"/>
        </w:rPr>
        <w:t xml:space="preserve"> za djecu iz osjetljivih grupa</w:t>
      </w:r>
      <w:r w:rsidR="00C73C06" w:rsidRPr="00B35962">
        <w:rPr>
          <w:lang w:val="sr-Latn-ME"/>
        </w:rPr>
        <w:t xml:space="preserve">, </w:t>
      </w:r>
      <w:r w:rsidR="00A3111B" w:rsidRPr="00B35962">
        <w:rPr>
          <w:lang w:val="sr-Latn-ME"/>
        </w:rPr>
        <w:t>(b) nedovoljn</w:t>
      </w:r>
      <w:r w:rsidR="00934C04" w:rsidRPr="00B35962">
        <w:rPr>
          <w:lang w:val="sr-Latn-ME"/>
        </w:rPr>
        <w:t>a dostupnost podsticajnih materijala i sadržaja koji podstiču rani razvoj djece (npr. igračke, knjige itd.) i (c)</w:t>
      </w:r>
      <w:r w:rsidR="00A3111B" w:rsidRPr="00B35962">
        <w:rPr>
          <w:lang w:val="sr-Latn-ME"/>
        </w:rPr>
        <w:t xml:space="preserve"> </w:t>
      </w:r>
      <w:r w:rsidR="00934C04" w:rsidRPr="00B35962">
        <w:rPr>
          <w:lang w:val="sr-Latn-ME"/>
        </w:rPr>
        <w:t>nedovoljno podsticajne roditeljske prakse</w:t>
      </w:r>
      <w:r w:rsidR="003B134D" w:rsidRPr="00B35962">
        <w:rPr>
          <w:lang w:val="sr-Latn-ME"/>
        </w:rPr>
        <w:t>.</w:t>
      </w:r>
      <w:r w:rsidR="00D11BB1" w:rsidRPr="00B35962">
        <w:rPr>
          <w:lang w:val="sr-Latn-ME"/>
        </w:rPr>
        <w:t xml:space="preserve"> </w:t>
      </w:r>
    </w:p>
    <w:p w14:paraId="426F813F" w14:textId="77777777" w:rsidR="00406816" w:rsidRPr="00B35962" w:rsidRDefault="00406816" w:rsidP="00D11BB1">
      <w:pPr>
        <w:rPr>
          <w:lang w:val="sr-Latn-ME"/>
        </w:rPr>
      </w:pPr>
    </w:p>
    <w:p w14:paraId="1F103767" w14:textId="5EEA5FC7" w:rsidR="00D11BB1" w:rsidRPr="00B35962" w:rsidRDefault="00D11BB1" w:rsidP="00D11BB1">
      <w:pPr>
        <w:rPr>
          <w:lang w:val="sr-Latn-ME"/>
        </w:rPr>
      </w:pPr>
      <w:r w:rsidRPr="00B35962">
        <w:rPr>
          <w:lang w:val="sr-Latn-ME"/>
        </w:rPr>
        <w:t>Da bi se u narednom periodu unaprijedi</w:t>
      </w:r>
      <w:r w:rsidR="00934C04" w:rsidRPr="00B35962">
        <w:rPr>
          <w:lang w:val="sr-Latn-ME"/>
        </w:rPr>
        <w:t xml:space="preserve">le prilike za rani razvoj potencijala za djecu iz osjetljivih grupa </w:t>
      </w:r>
      <w:r w:rsidRPr="00B35962">
        <w:rPr>
          <w:lang w:val="sr-Latn-ME"/>
        </w:rPr>
        <w:t>potrebno je da se realizuju sl</w:t>
      </w:r>
      <w:r w:rsidR="0004010A" w:rsidRPr="00B35962">
        <w:rPr>
          <w:lang w:val="sr-Latn-ME"/>
        </w:rPr>
        <w:t>j</w:t>
      </w:r>
      <w:r w:rsidR="00D131EB" w:rsidRPr="00B35962">
        <w:rPr>
          <w:lang w:val="sr-Latn-ME"/>
        </w:rPr>
        <w:t>edeća ključna mjerila</w:t>
      </w:r>
      <w:r w:rsidRPr="00B35962">
        <w:rPr>
          <w:lang w:val="sr-Latn-ME"/>
        </w:rPr>
        <w:t>:</w:t>
      </w:r>
    </w:p>
    <w:p w14:paraId="4C2A2F94" w14:textId="26D02B92" w:rsidR="00E2057A" w:rsidRPr="00B35962" w:rsidRDefault="00D131EB" w:rsidP="00566A90">
      <w:pPr>
        <w:pStyle w:val="ListParagraph"/>
        <w:numPr>
          <w:ilvl w:val="0"/>
          <w:numId w:val="2"/>
        </w:numPr>
        <w:ind w:left="1170"/>
        <w:rPr>
          <w:lang w:val="sr-Latn-ME"/>
        </w:rPr>
      </w:pPr>
      <w:r w:rsidRPr="00B35962">
        <w:rPr>
          <w:lang w:val="sr-Latn-ME"/>
        </w:rPr>
        <w:t xml:space="preserve">Ključno mjerilo </w:t>
      </w:r>
      <w:r w:rsidR="00E2057A" w:rsidRPr="00B35962">
        <w:rPr>
          <w:lang w:val="sr-Latn-ME"/>
        </w:rPr>
        <w:t>3.1: Povećanje uključenosti djece iz osjetljivih grupa u PVO</w:t>
      </w:r>
      <w:r w:rsidR="00566A90" w:rsidRPr="00B35962">
        <w:rPr>
          <w:lang w:val="sr-Latn-ME"/>
        </w:rPr>
        <w:t xml:space="preserve"> uz jačanje dostupnosti i kvaliteta usluge rane podrške</w:t>
      </w:r>
    </w:p>
    <w:p w14:paraId="09700D59" w14:textId="2D471AA6" w:rsidR="00E2057A" w:rsidRPr="00B35962" w:rsidRDefault="00D131EB" w:rsidP="00566A90">
      <w:pPr>
        <w:pStyle w:val="ListParagraph"/>
        <w:numPr>
          <w:ilvl w:val="0"/>
          <w:numId w:val="2"/>
        </w:numPr>
        <w:ind w:left="1170"/>
        <w:rPr>
          <w:lang w:val="sr-Latn-ME"/>
        </w:rPr>
      </w:pPr>
      <w:r w:rsidRPr="00B35962">
        <w:rPr>
          <w:lang w:val="sr-Latn-ME"/>
        </w:rPr>
        <w:t xml:space="preserve">Ključno mjerilo </w:t>
      </w:r>
      <w:r w:rsidR="00914417" w:rsidRPr="00B35962">
        <w:rPr>
          <w:lang w:val="sr-Latn-ME"/>
        </w:rPr>
        <w:t>3</w:t>
      </w:r>
      <w:r w:rsidR="00D11BB1" w:rsidRPr="00B35962">
        <w:rPr>
          <w:lang w:val="sr-Latn-ME"/>
        </w:rPr>
        <w:t>.</w:t>
      </w:r>
      <w:r w:rsidR="00E2057A" w:rsidRPr="00B35962">
        <w:rPr>
          <w:lang w:val="sr-Latn-ME"/>
        </w:rPr>
        <w:t>2</w:t>
      </w:r>
      <w:r w:rsidR="00D11BB1" w:rsidRPr="00B35962">
        <w:rPr>
          <w:lang w:val="sr-Latn-ME"/>
        </w:rPr>
        <w:t xml:space="preserve">: </w:t>
      </w:r>
      <w:r w:rsidR="00934C04" w:rsidRPr="00B35962">
        <w:rPr>
          <w:lang w:val="sr-Latn-ME"/>
        </w:rPr>
        <w:t>Širenje i jačanje interaktivnih službi</w:t>
      </w:r>
    </w:p>
    <w:p w14:paraId="2ABCB4DF" w14:textId="67397456" w:rsidR="00D11BB1" w:rsidRPr="00B35962" w:rsidRDefault="00D131EB" w:rsidP="00566A90">
      <w:pPr>
        <w:pStyle w:val="ListParagraph"/>
        <w:numPr>
          <w:ilvl w:val="0"/>
          <w:numId w:val="2"/>
        </w:numPr>
        <w:ind w:left="1170"/>
        <w:rPr>
          <w:lang w:val="sr-Latn-ME"/>
        </w:rPr>
      </w:pPr>
      <w:r w:rsidRPr="00B35962">
        <w:rPr>
          <w:lang w:val="sr-Latn-ME"/>
        </w:rPr>
        <w:t xml:space="preserve">Ključno mjerilo </w:t>
      </w:r>
      <w:r w:rsidR="00914417" w:rsidRPr="00B35962">
        <w:rPr>
          <w:lang w:val="sr-Latn-ME"/>
        </w:rPr>
        <w:t>3</w:t>
      </w:r>
      <w:r w:rsidR="00D11BB1" w:rsidRPr="00B35962">
        <w:rPr>
          <w:lang w:val="sr-Latn-ME"/>
        </w:rPr>
        <w:t>.</w:t>
      </w:r>
      <w:r w:rsidR="00E2057A" w:rsidRPr="00B35962">
        <w:rPr>
          <w:lang w:val="sr-Latn-ME"/>
        </w:rPr>
        <w:t>3</w:t>
      </w:r>
      <w:r w:rsidR="00D11BB1" w:rsidRPr="00B35962">
        <w:rPr>
          <w:lang w:val="sr-Latn-ME"/>
        </w:rPr>
        <w:t xml:space="preserve">: </w:t>
      </w:r>
      <w:r w:rsidR="007A0A70" w:rsidRPr="00B35962">
        <w:rPr>
          <w:lang w:val="sr-Latn-ME"/>
        </w:rPr>
        <w:t xml:space="preserve">Unaprijediti podršku </w:t>
      </w:r>
      <w:r w:rsidR="00BC334D" w:rsidRPr="00B35962">
        <w:rPr>
          <w:lang w:val="sr-Latn-ME"/>
        </w:rPr>
        <w:t xml:space="preserve">djeci i </w:t>
      </w:r>
      <w:r w:rsidR="007A0A70" w:rsidRPr="00B35962">
        <w:rPr>
          <w:lang w:val="sr-Latn-ME"/>
        </w:rPr>
        <w:t xml:space="preserve">roditeljima iz osjetljivih grupa u </w:t>
      </w:r>
      <w:r w:rsidR="00F23D87" w:rsidRPr="00B35962">
        <w:rPr>
          <w:lang w:val="sr-Latn-ME"/>
        </w:rPr>
        <w:t>obezbjeđivanju</w:t>
      </w:r>
      <w:r w:rsidR="007A0A70" w:rsidRPr="00B35962">
        <w:rPr>
          <w:lang w:val="sr-Latn-ME"/>
        </w:rPr>
        <w:t xml:space="preserve"> podsticajnijih uslova za rani razvoj u porodičnom</w:t>
      </w:r>
      <w:r w:rsidR="00BC334D" w:rsidRPr="00B35962">
        <w:rPr>
          <w:lang w:val="sr-Latn-ME"/>
        </w:rPr>
        <w:t xml:space="preserve"> i lokalnom</w:t>
      </w:r>
      <w:r w:rsidR="007A0A70" w:rsidRPr="00B35962">
        <w:rPr>
          <w:lang w:val="sr-Latn-ME"/>
        </w:rPr>
        <w:t xml:space="preserve"> okruženju</w:t>
      </w:r>
      <w:r w:rsidR="00F23D87" w:rsidRPr="00B35962">
        <w:rPr>
          <w:i/>
          <w:lang w:val="sr-Latn-ME"/>
        </w:rPr>
        <w:t xml:space="preserve">, </w:t>
      </w:r>
      <w:r w:rsidR="00F23D87" w:rsidRPr="00B35962">
        <w:rPr>
          <w:lang w:val="sr-Latn-ME"/>
        </w:rPr>
        <w:t>dostupnosti i kvaliteta usluge rane podrške</w:t>
      </w:r>
    </w:p>
    <w:p w14:paraId="2473A8ED" w14:textId="77777777" w:rsidR="00441EE3" w:rsidRPr="00B35962" w:rsidRDefault="00441EE3" w:rsidP="00D52D94">
      <w:pPr>
        <w:rPr>
          <w:lang w:val="sr-Latn-ME"/>
        </w:rPr>
      </w:pPr>
    </w:p>
    <w:p w14:paraId="042464BE" w14:textId="531D10F9" w:rsidR="00DD4B10" w:rsidRPr="00B35962" w:rsidRDefault="00DD4B10" w:rsidP="00DD4B10">
      <w:pPr>
        <w:rPr>
          <w:lang w:val="sr-Latn-ME"/>
        </w:rPr>
      </w:pPr>
      <w:r w:rsidRPr="00B35962">
        <w:rPr>
          <w:lang w:val="sr-Latn-ME"/>
        </w:rPr>
        <w:t xml:space="preserve">U tabeli 7 su pregledno prikazani indikatori pomoću kojih se prati ostvarenje </w:t>
      </w:r>
      <w:r w:rsidR="00D131EB" w:rsidRPr="00B35962">
        <w:rPr>
          <w:lang w:val="sr-Latn-ME"/>
        </w:rPr>
        <w:t xml:space="preserve">ključnih mjerila </w:t>
      </w:r>
      <w:r w:rsidRPr="00B35962">
        <w:rPr>
          <w:lang w:val="sr-Latn-ME"/>
        </w:rPr>
        <w:t>3.1 do 3.</w:t>
      </w:r>
      <w:r w:rsidR="000A1516" w:rsidRPr="00B35962">
        <w:rPr>
          <w:lang w:val="sr-Latn-ME"/>
        </w:rPr>
        <w:t>3</w:t>
      </w:r>
      <w:r w:rsidRPr="00B35962">
        <w:rPr>
          <w:lang w:val="sr-Latn-ME"/>
        </w:rPr>
        <w:t>.</w:t>
      </w:r>
    </w:p>
    <w:p w14:paraId="03397BEF" w14:textId="77777777" w:rsidR="00E2057A" w:rsidRPr="00B35962" w:rsidRDefault="00E2057A" w:rsidP="00E2057A">
      <w:pPr>
        <w:ind w:firstLine="0"/>
        <w:rPr>
          <w:lang w:val="sr-Latn-ME"/>
        </w:rPr>
      </w:pPr>
    </w:p>
    <w:p w14:paraId="4F54280F" w14:textId="09FDE7F7" w:rsidR="0054592B" w:rsidRPr="00B35962" w:rsidRDefault="0054592B" w:rsidP="0054592B">
      <w:pPr>
        <w:pStyle w:val="Caption"/>
        <w:keepNext/>
        <w:ind w:firstLine="0"/>
        <w:rPr>
          <w:i w:val="0"/>
          <w:iCs w:val="0"/>
          <w:color w:val="auto"/>
          <w:sz w:val="24"/>
          <w:szCs w:val="24"/>
          <w:lang w:val="sr-Latn-ME"/>
        </w:rPr>
      </w:pPr>
      <w:r w:rsidRPr="00B35962">
        <w:rPr>
          <w:i w:val="0"/>
          <w:iCs w:val="0"/>
          <w:color w:val="auto"/>
          <w:sz w:val="24"/>
          <w:szCs w:val="24"/>
          <w:lang w:val="sr-Latn-ME"/>
        </w:rPr>
        <w:t xml:space="preserve">Tabela </w:t>
      </w:r>
      <w:r w:rsidRPr="00B35962">
        <w:rPr>
          <w:i w:val="0"/>
          <w:iCs w:val="0"/>
          <w:color w:val="auto"/>
          <w:sz w:val="24"/>
          <w:szCs w:val="24"/>
          <w:lang w:val="sr-Latn-ME"/>
        </w:rPr>
        <w:fldChar w:fldCharType="begin"/>
      </w:r>
      <w:r w:rsidRPr="00B35962">
        <w:rPr>
          <w:i w:val="0"/>
          <w:iCs w:val="0"/>
          <w:color w:val="auto"/>
          <w:sz w:val="24"/>
          <w:szCs w:val="24"/>
          <w:lang w:val="sr-Latn-ME"/>
        </w:rPr>
        <w:instrText xml:space="preserve"> SEQ Tabela \* ARABIC </w:instrText>
      </w:r>
      <w:r w:rsidRPr="00B35962">
        <w:rPr>
          <w:i w:val="0"/>
          <w:iCs w:val="0"/>
          <w:color w:val="auto"/>
          <w:sz w:val="24"/>
          <w:szCs w:val="24"/>
          <w:lang w:val="sr-Latn-ME"/>
        </w:rPr>
        <w:fldChar w:fldCharType="separate"/>
      </w:r>
      <w:r w:rsidRPr="00B35962">
        <w:rPr>
          <w:i w:val="0"/>
          <w:iCs w:val="0"/>
          <w:noProof/>
          <w:color w:val="auto"/>
          <w:sz w:val="24"/>
          <w:szCs w:val="24"/>
          <w:lang w:val="sr-Latn-ME"/>
        </w:rPr>
        <w:t>7</w:t>
      </w:r>
      <w:r w:rsidRPr="00B35962">
        <w:rPr>
          <w:i w:val="0"/>
          <w:iCs w:val="0"/>
          <w:color w:val="auto"/>
          <w:sz w:val="24"/>
          <w:szCs w:val="24"/>
          <w:lang w:val="sr-Latn-ME"/>
        </w:rPr>
        <w:fldChar w:fldCharType="end"/>
      </w:r>
      <w:r w:rsidRPr="00B35962">
        <w:rPr>
          <w:i w:val="0"/>
          <w:iCs w:val="0"/>
          <w:color w:val="auto"/>
          <w:sz w:val="24"/>
          <w:szCs w:val="24"/>
          <w:lang w:val="sr-Latn-ME"/>
        </w:rPr>
        <w:t xml:space="preserve">. Indikatori za praćenje </w:t>
      </w:r>
      <w:r w:rsidR="00D131EB" w:rsidRPr="00B35962">
        <w:rPr>
          <w:i w:val="0"/>
          <w:color w:val="auto"/>
          <w:sz w:val="24"/>
          <w:szCs w:val="24"/>
          <w:lang w:val="sr-Latn-ME"/>
        </w:rPr>
        <w:t>ključnih mjerila</w:t>
      </w:r>
      <w:r w:rsidR="00D131EB" w:rsidRPr="00B35962">
        <w:rPr>
          <w:color w:val="auto"/>
          <w:lang w:val="sr-Latn-ME"/>
        </w:rPr>
        <w:t xml:space="preserve"> </w:t>
      </w:r>
      <w:r w:rsidRPr="00B35962">
        <w:rPr>
          <w:i w:val="0"/>
          <w:iCs w:val="0"/>
          <w:color w:val="auto"/>
          <w:sz w:val="24"/>
          <w:szCs w:val="24"/>
          <w:lang w:val="sr-Latn-ME"/>
        </w:rPr>
        <w:t>3.1-3.</w:t>
      </w:r>
      <w:r w:rsidR="000A1516" w:rsidRPr="00B35962">
        <w:rPr>
          <w:i w:val="0"/>
          <w:iCs w:val="0"/>
          <w:color w:val="auto"/>
          <w:sz w:val="24"/>
          <w:szCs w:val="24"/>
          <w:lang w:val="sr-Latn-ME"/>
        </w:rPr>
        <w:t>3.</w:t>
      </w:r>
    </w:p>
    <w:tbl>
      <w:tblPr>
        <w:tblStyle w:val="TableGrid0"/>
        <w:tblW w:w="96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48"/>
        <w:gridCol w:w="2448"/>
        <w:gridCol w:w="1584"/>
        <w:gridCol w:w="1584"/>
        <w:gridCol w:w="1584"/>
      </w:tblGrid>
      <w:tr w:rsidR="00E2057A" w:rsidRPr="00B35962" w14:paraId="1ABBB3C5" w14:textId="77777777" w:rsidTr="00936B91">
        <w:tc>
          <w:tcPr>
            <w:tcW w:w="2448" w:type="dxa"/>
          </w:tcPr>
          <w:p w14:paraId="6A91B60B" w14:textId="4BB33F26" w:rsidR="00E2057A" w:rsidRPr="00B35962" w:rsidRDefault="00D131EB" w:rsidP="00D131EB">
            <w:pPr>
              <w:ind w:firstLine="0"/>
              <w:rPr>
                <w:lang w:val="sr-Latn-ME"/>
              </w:rPr>
            </w:pPr>
            <w:r w:rsidRPr="00B35962">
              <w:rPr>
                <w:lang w:val="sr-Latn-ME"/>
              </w:rPr>
              <w:t>Ključna mjerila</w:t>
            </w:r>
          </w:p>
        </w:tc>
        <w:tc>
          <w:tcPr>
            <w:tcW w:w="2448" w:type="dxa"/>
          </w:tcPr>
          <w:p w14:paraId="7301B8BB" w14:textId="77777777" w:rsidR="00E2057A" w:rsidRPr="00B35962" w:rsidRDefault="00E2057A" w:rsidP="009E2114">
            <w:pPr>
              <w:ind w:firstLine="0"/>
              <w:rPr>
                <w:lang w:val="sr-Latn-ME"/>
              </w:rPr>
            </w:pPr>
            <w:r w:rsidRPr="00B35962">
              <w:rPr>
                <w:lang w:val="sr-Latn-ME"/>
              </w:rPr>
              <w:t>Indikator</w:t>
            </w:r>
          </w:p>
        </w:tc>
        <w:tc>
          <w:tcPr>
            <w:tcW w:w="1584" w:type="dxa"/>
          </w:tcPr>
          <w:p w14:paraId="2418DDFD" w14:textId="77777777" w:rsidR="00E2057A" w:rsidRPr="00B35962" w:rsidRDefault="00E2057A" w:rsidP="009E2114">
            <w:pPr>
              <w:ind w:firstLine="0"/>
              <w:rPr>
                <w:lang w:val="sr-Latn-ME"/>
              </w:rPr>
            </w:pPr>
            <w:r w:rsidRPr="00B35962">
              <w:rPr>
                <w:lang w:val="sr-Latn-ME"/>
              </w:rPr>
              <w:t>Sadašnja vrijednost 2020</w:t>
            </w:r>
          </w:p>
        </w:tc>
        <w:tc>
          <w:tcPr>
            <w:tcW w:w="1584" w:type="dxa"/>
          </w:tcPr>
          <w:p w14:paraId="6908F6B8" w14:textId="77777777" w:rsidR="00E2057A" w:rsidRPr="00B35962" w:rsidRDefault="00E2057A" w:rsidP="009E2114">
            <w:pPr>
              <w:ind w:firstLine="0"/>
              <w:rPr>
                <w:lang w:val="sr-Latn-ME"/>
              </w:rPr>
            </w:pPr>
            <w:r w:rsidRPr="00B35962">
              <w:rPr>
                <w:lang w:val="sr-Latn-ME"/>
              </w:rPr>
              <w:t>Ciljna vrijednost 2022</w:t>
            </w:r>
          </w:p>
        </w:tc>
        <w:tc>
          <w:tcPr>
            <w:tcW w:w="1584" w:type="dxa"/>
          </w:tcPr>
          <w:p w14:paraId="17EDD972" w14:textId="77777777" w:rsidR="00E2057A" w:rsidRPr="00B35962" w:rsidRDefault="00E2057A" w:rsidP="00A16F75">
            <w:pPr>
              <w:ind w:firstLine="0"/>
              <w:rPr>
                <w:lang w:val="sr-Latn-ME"/>
              </w:rPr>
            </w:pPr>
            <w:r w:rsidRPr="00B35962">
              <w:rPr>
                <w:lang w:val="sr-Latn-ME"/>
              </w:rPr>
              <w:t>Ciljna vrijednost 202</w:t>
            </w:r>
            <w:r w:rsidR="00A16F75" w:rsidRPr="00B35962">
              <w:rPr>
                <w:lang w:val="sr-Latn-ME"/>
              </w:rPr>
              <w:t>5</w:t>
            </w:r>
          </w:p>
        </w:tc>
      </w:tr>
      <w:tr w:rsidR="00BC334D" w:rsidRPr="00B35962" w14:paraId="04EEBAA9" w14:textId="77777777" w:rsidTr="00936B91">
        <w:tc>
          <w:tcPr>
            <w:tcW w:w="2448" w:type="dxa"/>
            <w:vMerge w:val="restart"/>
          </w:tcPr>
          <w:p w14:paraId="2DEC5FBD" w14:textId="77777777" w:rsidR="00BC334D" w:rsidRPr="00B35962" w:rsidRDefault="00BC334D" w:rsidP="00566A90">
            <w:pPr>
              <w:ind w:firstLine="0"/>
              <w:rPr>
                <w:lang w:val="sr-Latn-ME"/>
              </w:rPr>
            </w:pPr>
            <w:r w:rsidRPr="00B35962">
              <w:rPr>
                <w:lang w:val="sr-Latn-ME"/>
              </w:rPr>
              <w:t xml:space="preserve">3.1. Povećanje uključenosti djece iz </w:t>
            </w:r>
            <w:r w:rsidRPr="00B35962">
              <w:rPr>
                <w:lang w:val="sr-Latn-ME"/>
              </w:rPr>
              <w:lastRenderedPageBreak/>
              <w:t>osjetljivih grupa u PVO</w:t>
            </w:r>
          </w:p>
          <w:p w14:paraId="6021A0F6" w14:textId="77777777" w:rsidR="00BC334D" w:rsidRPr="00B35962" w:rsidRDefault="00BC334D" w:rsidP="00566A90">
            <w:pPr>
              <w:rPr>
                <w:lang w:val="sr-Latn-ME"/>
              </w:rPr>
            </w:pPr>
          </w:p>
        </w:tc>
        <w:tc>
          <w:tcPr>
            <w:tcW w:w="2448" w:type="dxa"/>
          </w:tcPr>
          <w:p w14:paraId="0528EC44" w14:textId="77777777" w:rsidR="00BC334D" w:rsidRPr="00B35962" w:rsidRDefault="00BC334D" w:rsidP="00CD3D3E">
            <w:pPr>
              <w:ind w:firstLine="0"/>
              <w:rPr>
                <w:lang w:val="sr-Latn-ME"/>
              </w:rPr>
            </w:pPr>
            <w:r w:rsidRPr="00B35962">
              <w:rPr>
                <w:lang w:val="sr-Latn-ME"/>
              </w:rPr>
              <w:lastRenderedPageBreak/>
              <w:t xml:space="preserve">3.1.1 Uključenost djece 3-6 godina iz </w:t>
            </w:r>
            <w:r w:rsidRPr="00B35962">
              <w:rPr>
                <w:lang w:val="sr-Latn-ME"/>
              </w:rPr>
              <w:lastRenderedPageBreak/>
              <w:t>20% najsiromašnijih porodica u PVO (MICS)</w:t>
            </w:r>
          </w:p>
        </w:tc>
        <w:tc>
          <w:tcPr>
            <w:tcW w:w="1584" w:type="dxa"/>
          </w:tcPr>
          <w:p w14:paraId="0DFC9997" w14:textId="77777777" w:rsidR="00BC334D" w:rsidRPr="00B35962" w:rsidRDefault="00BC334D" w:rsidP="009E2114">
            <w:pPr>
              <w:ind w:firstLine="0"/>
              <w:rPr>
                <w:lang w:val="sr-Latn-ME"/>
              </w:rPr>
            </w:pPr>
            <w:r w:rsidRPr="00B35962">
              <w:rPr>
                <w:lang w:val="sr-Latn-ME"/>
              </w:rPr>
              <w:lastRenderedPageBreak/>
              <w:t>18%</w:t>
            </w:r>
          </w:p>
        </w:tc>
        <w:tc>
          <w:tcPr>
            <w:tcW w:w="1584" w:type="dxa"/>
          </w:tcPr>
          <w:p w14:paraId="2E9CE1C4" w14:textId="77777777" w:rsidR="00BC334D" w:rsidRPr="00B35962" w:rsidRDefault="00BC334D" w:rsidP="009E2114">
            <w:pPr>
              <w:ind w:firstLine="0"/>
              <w:rPr>
                <w:lang w:val="sr-Latn-ME"/>
              </w:rPr>
            </w:pPr>
            <w:r w:rsidRPr="00B35962">
              <w:rPr>
                <w:lang w:val="sr-Latn-ME"/>
              </w:rPr>
              <w:t>-</w:t>
            </w:r>
          </w:p>
        </w:tc>
        <w:tc>
          <w:tcPr>
            <w:tcW w:w="1584" w:type="dxa"/>
          </w:tcPr>
          <w:p w14:paraId="538DE09D" w14:textId="77777777" w:rsidR="00BC334D" w:rsidRPr="00B35962" w:rsidRDefault="00BC334D" w:rsidP="009E2114">
            <w:pPr>
              <w:tabs>
                <w:tab w:val="center" w:pos="1029"/>
              </w:tabs>
              <w:ind w:firstLine="0"/>
              <w:rPr>
                <w:lang w:val="sr-Latn-ME"/>
              </w:rPr>
            </w:pPr>
            <w:r w:rsidRPr="00B35962">
              <w:rPr>
                <w:lang w:val="sr-Latn-ME"/>
              </w:rPr>
              <w:t xml:space="preserve"> 40%</w:t>
            </w:r>
            <w:r w:rsidRPr="00B35962">
              <w:rPr>
                <w:lang w:val="sr-Latn-ME"/>
              </w:rPr>
              <w:tab/>
            </w:r>
          </w:p>
        </w:tc>
      </w:tr>
      <w:tr w:rsidR="00BC334D" w:rsidRPr="00B35962" w14:paraId="5EC5FB31" w14:textId="77777777" w:rsidTr="00936B91">
        <w:tc>
          <w:tcPr>
            <w:tcW w:w="2448" w:type="dxa"/>
            <w:vMerge/>
          </w:tcPr>
          <w:p w14:paraId="557B8DC8" w14:textId="77777777" w:rsidR="00BC334D" w:rsidRPr="00B35962" w:rsidRDefault="00BC334D" w:rsidP="00566A90">
            <w:pPr>
              <w:ind w:firstLine="0"/>
              <w:rPr>
                <w:lang w:val="sr-Latn-ME"/>
              </w:rPr>
            </w:pPr>
          </w:p>
        </w:tc>
        <w:tc>
          <w:tcPr>
            <w:tcW w:w="2448" w:type="dxa"/>
          </w:tcPr>
          <w:p w14:paraId="7FFB07D2" w14:textId="77777777" w:rsidR="00BC334D" w:rsidRPr="00B35962" w:rsidRDefault="00BC334D" w:rsidP="00CD3D3E">
            <w:pPr>
              <w:ind w:firstLine="0"/>
              <w:rPr>
                <w:lang w:val="sr-Latn-ME"/>
              </w:rPr>
            </w:pPr>
            <w:bookmarkStart w:id="17" w:name="_Hlk43394072"/>
            <w:r w:rsidRPr="00B35962">
              <w:rPr>
                <w:lang w:val="sr-Latn-ME"/>
              </w:rPr>
              <w:t>3.1.2 Uključenost djece 3-6 godina iz ruralnih sredina u PVO (MICS)</w:t>
            </w:r>
            <w:bookmarkEnd w:id="17"/>
          </w:p>
        </w:tc>
        <w:tc>
          <w:tcPr>
            <w:tcW w:w="1584" w:type="dxa"/>
          </w:tcPr>
          <w:p w14:paraId="5C67FF25" w14:textId="77777777" w:rsidR="00BC334D" w:rsidRPr="00B35962" w:rsidRDefault="00BC334D" w:rsidP="00D26D0C">
            <w:pPr>
              <w:ind w:firstLine="0"/>
              <w:rPr>
                <w:lang w:val="sr-Latn-ME"/>
              </w:rPr>
            </w:pPr>
            <w:r w:rsidRPr="00B35962">
              <w:rPr>
                <w:lang w:val="sr-Latn-ME"/>
              </w:rPr>
              <w:t>35%</w:t>
            </w:r>
          </w:p>
        </w:tc>
        <w:tc>
          <w:tcPr>
            <w:tcW w:w="1584" w:type="dxa"/>
          </w:tcPr>
          <w:p w14:paraId="1CB41206" w14:textId="77777777" w:rsidR="00BC334D" w:rsidRPr="00B35962" w:rsidRDefault="00BC334D" w:rsidP="00D26D0C">
            <w:pPr>
              <w:ind w:firstLine="0"/>
              <w:rPr>
                <w:lang w:val="sr-Latn-ME"/>
              </w:rPr>
            </w:pPr>
            <w:r w:rsidRPr="00B35962">
              <w:rPr>
                <w:lang w:val="sr-Latn-ME"/>
              </w:rPr>
              <w:t>-</w:t>
            </w:r>
          </w:p>
        </w:tc>
        <w:tc>
          <w:tcPr>
            <w:tcW w:w="1584" w:type="dxa"/>
          </w:tcPr>
          <w:p w14:paraId="43243304" w14:textId="77777777" w:rsidR="00BC334D" w:rsidRPr="00B35962" w:rsidRDefault="00BC334D" w:rsidP="00D26D0C">
            <w:pPr>
              <w:tabs>
                <w:tab w:val="center" w:pos="1029"/>
              </w:tabs>
              <w:ind w:firstLine="0"/>
              <w:rPr>
                <w:lang w:val="sr-Latn-ME"/>
              </w:rPr>
            </w:pPr>
            <w:r w:rsidRPr="00B35962">
              <w:rPr>
                <w:lang w:val="sr-Latn-ME"/>
              </w:rPr>
              <w:t xml:space="preserve"> 45%</w:t>
            </w:r>
            <w:r w:rsidRPr="00B35962">
              <w:rPr>
                <w:lang w:val="sr-Latn-ME"/>
              </w:rPr>
              <w:tab/>
            </w:r>
          </w:p>
        </w:tc>
      </w:tr>
      <w:tr w:rsidR="00D26D0C" w:rsidRPr="00B35962" w14:paraId="6C4AACF3" w14:textId="77777777" w:rsidTr="00936B91">
        <w:tc>
          <w:tcPr>
            <w:tcW w:w="2448" w:type="dxa"/>
          </w:tcPr>
          <w:p w14:paraId="6C425F5D" w14:textId="77777777" w:rsidR="00D26D0C" w:rsidRPr="00B35962" w:rsidRDefault="00D26D0C" w:rsidP="00566A90">
            <w:pPr>
              <w:ind w:firstLine="0"/>
              <w:rPr>
                <w:lang w:val="sr-Latn-ME"/>
              </w:rPr>
            </w:pPr>
            <w:r w:rsidRPr="00B35962">
              <w:rPr>
                <w:lang w:val="sr-Latn-ME"/>
              </w:rPr>
              <w:t>3.2. Širenje i jačanje interaktivnih službi</w:t>
            </w:r>
          </w:p>
        </w:tc>
        <w:tc>
          <w:tcPr>
            <w:tcW w:w="2448" w:type="dxa"/>
          </w:tcPr>
          <w:p w14:paraId="49516773" w14:textId="77777777" w:rsidR="00D26D0C" w:rsidRPr="00B35962" w:rsidRDefault="00D26D0C" w:rsidP="00CD3D3E">
            <w:pPr>
              <w:ind w:firstLine="0"/>
              <w:rPr>
                <w:lang w:val="sr-Latn-ME"/>
              </w:rPr>
            </w:pPr>
            <w:r w:rsidRPr="00B35962">
              <w:rPr>
                <w:lang w:val="sr-Latn-ME"/>
              </w:rPr>
              <w:t xml:space="preserve">3.2.1 Broj djece koja su uključena u rad interaktivnih službi (MEIS) </w:t>
            </w:r>
          </w:p>
        </w:tc>
        <w:tc>
          <w:tcPr>
            <w:tcW w:w="1584" w:type="dxa"/>
          </w:tcPr>
          <w:p w14:paraId="52FA7993" w14:textId="77777777" w:rsidR="00D26D0C" w:rsidRPr="00B35962" w:rsidRDefault="00007FCF" w:rsidP="00D26D0C">
            <w:pPr>
              <w:ind w:firstLine="0"/>
              <w:rPr>
                <w:lang w:val="sr-Latn-ME"/>
              </w:rPr>
            </w:pPr>
            <w:r w:rsidRPr="00B35962">
              <w:rPr>
                <w:lang w:val="sr-Latn-ME"/>
              </w:rPr>
              <w:t>210</w:t>
            </w:r>
          </w:p>
        </w:tc>
        <w:tc>
          <w:tcPr>
            <w:tcW w:w="1584" w:type="dxa"/>
          </w:tcPr>
          <w:p w14:paraId="6E16CB39" w14:textId="77777777" w:rsidR="00D26D0C" w:rsidRPr="00B35962" w:rsidRDefault="00007FCF" w:rsidP="00D26D0C">
            <w:pPr>
              <w:ind w:firstLine="0"/>
              <w:rPr>
                <w:lang w:val="sr-Latn-ME"/>
              </w:rPr>
            </w:pPr>
            <w:r w:rsidRPr="00B35962">
              <w:rPr>
                <w:lang w:val="sr-Latn-ME"/>
              </w:rPr>
              <w:t>250</w:t>
            </w:r>
          </w:p>
          <w:p w14:paraId="7B7F4D34" w14:textId="77777777" w:rsidR="00D26D0C" w:rsidRPr="00B35962" w:rsidRDefault="00D26D0C" w:rsidP="00D26D0C">
            <w:pPr>
              <w:ind w:firstLine="0"/>
              <w:rPr>
                <w:lang w:val="sr-Latn-ME"/>
              </w:rPr>
            </w:pPr>
          </w:p>
        </w:tc>
        <w:tc>
          <w:tcPr>
            <w:tcW w:w="1584" w:type="dxa"/>
          </w:tcPr>
          <w:p w14:paraId="5DC1BBB3" w14:textId="77777777" w:rsidR="00D26D0C" w:rsidRPr="00B35962" w:rsidRDefault="00D26D0C" w:rsidP="00D26D0C">
            <w:pPr>
              <w:tabs>
                <w:tab w:val="center" w:pos="1029"/>
              </w:tabs>
              <w:ind w:firstLine="0"/>
              <w:rPr>
                <w:lang w:val="sr-Latn-ME"/>
              </w:rPr>
            </w:pPr>
            <w:r w:rsidRPr="00B35962">
              <w:rPr>
                <w:lang w:val="sr-Latn-ME"/>
              </w:rPr>
              <w:t xml:space="preserve"> </w:t>
            </w:r>
            <w:r w:rsidR="00007FCF" w:rsidRPr="00B35962">
              <w:rPr>
                <w:lang w:val="sr-Latn-ME"/>
              </w:rPr>
              <w:t>3</w:t>
            </w:r>
            <w:r w:rsidR="00B66772" w:rsidRPr="00B35962">
              <w:rPr>
                <w:lang w:val="sr-Latn-ME"/>
              </w:rPr>
              <w:t>2</w:t>
            </w:r>
            <w:r w:rsidR="00DF1417" w:rsidRPr="00B35962">
              <w:rPr>
                <w:lang w:val="sr-Latn-ME"/>
              </w:rPr>
              <w:t>0</w:t>
            </w:r>
            <w:r w:rsidRPr="00B35962">
              <w:rPr>
                <w:lang w:val="sr-Latn-ME"/>
              </w:rPr>
              <w:tab/>
            </w:r>
          </w:p>
        </w:tc>
      </w:tr>
      <w:tr w:rsidR="00D26D0C" w:rsidRPr="00B35962" w14:paraId="6BD372E1" w14:textId="77777777" w:rsidTr="00936B91">
        <w:tc>
          <w:tcPr>
            <w:tcW w:w="2448" w:type="dxa"/>
          </w:tcPr>
          <w:p w14:paraId="07D9C7D6" w14:textId="77777777" w:rsidR="00D26D0C" w:rsidRPr="00B35962" w:rsidRDefault="00D26D0C" w:rsidP="00566A90">
            <w:pPr>
              <w:ind w:firstLine="0"/>
              <w:rPr>
                <w:lang w:val="sr-Latn-ME"/>
              </w:rPr>
            </w:pPr>
            <w:r w:rsidRPr="00B35962">
              <w:rPr>
                <w:lang w:val="sr-Latn-ME"/>
              </w:rPr>
              <w:t xml:space="preserve">3.3. Unaprijediti podršku </w:t>
            </w:r>
            <w:r w:rsidR="00BC334D" w:rsidRPr="00B35962">
              <w:rPr>
                <w:lang w:val="sr-Latn-ME"/>
              </w:rPr>
              <w:t xml:space="preserve">djeci i </w:t>
            </w:r>
            <w:r w:rsidRPr="00B35962">
              <w:rPr>
                <w:lang w:val="sr-Latn-ME"/>
              </w:rPr>
              <w:t xml:space="preserve">roditeljima u </w:t>
            </w:r>
            <w:r w:rsidR="00F23D87" w:rsidRPr="00B35962">
              <w:rPr>
                <w:lang w:val="sr-Latn-ME"/>
              </w:rPr>
              <w:t>obezbjeđivanju</w:t>
            </w:r>
            <w:r w:rsidRPr="00B35962">
              <w:rPr>
                <w:lang w:val="sr-Latn-ME"/>
              </w:rPr>
              <w:t xml:space="preserve"> podsticajnijih uslova za rani razvoj u porodičnom </w:t>
            </w:r>
            <w:r w:rsidR="00BC334D" w:rsidRPr="00B35962">
              <w:rPr>
                <w:lang w:val="sr-Latn-ME"/>
              </w:rPr>
              <w:t xml:space="preserve">i lokalnom </w:t>
            </w:r>
            <w:r w:rsidRPr="00B35962">
              <w:rPr>
                <w:lang w:val="sr-Latn-ME"/>
              </w:rPr>
              <w:t>okruženju</w:t>
            </w:r>
          </w:p>
        </w:tc>
        <w:tc>
          <w:tcPr>
            <w:tcW w:w="2448" w:type="dxa"/>
          </w:tcPr>
          <w:p w14:paraId="48D42366" w14:textId="77777777" w:rsidR="00D26D0C" w:rsidRPr="00B35962" w:rsidRDefault="00D26D0C" w:rsidP="00CD3D3E">
            <w:pPr>
              <w:ind w:firstLine="0"/>
              <w:rPr>
                <w:lang w:val="sr-Latn-ME"/>
              </w:rPr>
            </w:pPr>
            <w:r w:rsidRPr="00B35962">
              <w:rPr>
                <w:lang w:val="sr-Latn-ME"/>
              </w:rPr>
              <w:t xml:space="preserve">3.3.1  Procenat djece </w:t>
            </w:r>
            <w:r w:rsidR="00816539" w:rsidRPr="00B35962">
              <w:rPr>
                <w:lang w:val="sr-Latn-ME"/>
              </w:rPr>
              <w:t xml:space="preserve">3-6 godina </w:t>
            </w:r>
            <w:r w:rsidRPr="00B35962">
              <w:rPr>
                <w:lang w:val="sr-Latn-ME"/>
              </w:rPr>
              <w:t>u grupi 20% sa najnižim materijalnim statusom sa kojom odrasli članovi porodice učestvuju u četiri ili više razvojno podsticajnih aktivnosti (MICS)</w:t>
            </w:r>
          </w:p>
        </w:tc>
        <w:tc>
          <w:tcPr>
            <w:tcW w:w="1584" w:type="dxa"/>
          </w:tcPr>
          <w:p w14:paraId="0D5EE4E9" w14:textId="77777777" w:rsidR="00D26D0C" w:rsidRPr="00B35962" w:rsidRDefault="00D26D0C" w:rsidP="00D26D0C">
            <w:pPr>
              <w:ind w:firstLine="0"/>
              <w:rPr>
                <w:lang w:val="sr-Latn-ME"/>
              </w:rPr>
            </w:pPr>
            <w:r w:rsidRPr="00B35962">
              <w:rPr>
                <w:lang w:val="sr-Latn-ME"/>
              </w:rPr>
              <w:t>69%</w:t>
            </w:r>
          </w:p>
        </w:tc>
        <w:tc>
          <w:tcPr>
            <w:tcW w:w="1584" w:type="dxa"/>
          </w:tcPr>
          <w:p w14:paraId="0C8084DB" w14:textId="77777777" w:rsidR="00D26D0C" w:rsidRPr="00B35962" w:rsidRDefault="00D26D0C" w:rsidP="00D26D0C">
            <w:pPr>
              <w:ind w:firstLine="0"/>
              <w:rPr>
                <w:lang w:val="sr-Latn-ME"/>
              </w:rPr>
            </w:pPr>
            <w:r w:rsidRPr="00B35962">
              <w:rPr>
                <w:lang w:val="sr-Latn-ME"/>
              </w:rPr>
              <w:t>-</w:t>
            </w:r>
          </w:p>
        </w:tc>
        <w:tc>
          <w:tcPr>
            <w:tcW w:w="1584" w:type="dxa"/>
          </w:tcPr>
          <w:p w14:paraId="3975809A" w14:textId="77777777" w:rsidR="00D26D0C" w:rsidRPr="00B35962" w:rsidRDefault="00D26D0C" w:rsidP="00D26D0C">
            <w:pPr>
              <w:tabs>
                <w:tab w:val="center" w:pos="1029"/>
              </w:tabs>
              <w:ind w:firstLine="0"/>
              <w:rPr>
                <w:lang w:val="sr-Latn-ME"/>
              </w:rPr>
            </w:pPr>
            <w:r w:rsidRPr="00B35962">
              <w:rPr>
                <w:lang w:val="sr-Latn-ME"/>
              </w:rPr>
              <w:t xml:space="preserve"> 80%</w:t>
            </w:r>
            <w:r w:rsidRPr="00B35962">
              <w:rPr>
                <w:lang w:val="sr-Latn-ME"/>
              </w:rPr>
              <w:tab/>
            </w:r>
          </w:p>
        </w:tc>
      </w:tr>
    </w:tbl>
    <w:p w14:paraId="29EB00E6" w14:textId="77777777" w:rsidR="00B25F68" w:rsidRPr="00B35962" w:rsidRDefault="00B25F68" w:rsidP="00B25F68">
      <w:pPr>
        <w:ind w:firstLine="0"/>
        <w:rPr>
          <w:lang w:val="sr-Latn-ME"/>
        </w:rPr>
      </w:pPr>
    </w:p>
    <w:p w14:paraId="378E4568" w14:textId="77777777" w:rsidR="00B25F68" w:rsidRPr="00B35962" w:rsidRDefault="00B25F68" w:rsidP="00C77D7E">
      <w:pPr>
        <w:ind w:firstLine="0"/>
        <w:rPr>
          <w:lang w:val="sr-Latn-ME"/>
        </w:rPr>
      </w:pPr>
    </w:p>
    <w:p w14:paraId="6809760E" w14:textId="77777777" w:rsidR="0050420C" w:rsidRPr="00B35962" w:rsidRDefault="0050420C" w:rsidP="00C77D7E">
      <w:pPr>
        <w:ind w:firstLine="0"/>
        <w:rPr>
          <w:lang w:val="sr-Latn-ME"/>
        </w:rPr>
      </w:pPr>
    </w:p>
    <w:p w14:paraId="4E02D7AB" w14:textId="77777777" w:rsidR="006B7669" w:rsidRPr="00B35962" w:rsidRDefault="00C60C9D" w:rsidP="00C77D7E">
      <w:pPr>
        <w:ind w:firstLine="0"/>
        <w:rPr>
          <w:lang w:val="sr-Latn-ME"/>
        </w:rPr>
      </w:pPr>
      <w:r w:rsidRPr="00B35962">
        <w:rPr>
          <w:lang w:val="sr-Latn-ME"/>
        </w:rPr>
        <w:t xml:space="preserve">   </w:t>
      </w:r>
      <w:r w:rsidR="006B7669" w:rsidRPr="00B35962">
        <w:rPr>
          <w:lang w:val="sr-Latn-ME"/>
        </w:rPr>
        <w:br w:type="page"/>
      </w:r>
    </w:p>
    <w:p w14:paraId="5E189A21" w14:textId="77777777" w:rsidR="006B7669" w:rsidRPr="00B35962" w:rsidRDefault="006B7669" w:rsidP="006B7669">
      <w:pPr>
        <w:pStyle w:val="Heading1"/>
        <w:rPr>
          <w:rFonts w:cs="Times New Roman"/>
          <w:color w:val="0070C0"/>
          <w:lang w:val="sr-Latn-ME"/>
        </w:rPr>
      </w:pPr>
      <w:bookmarkStart w:id="18" w:name="_Toc55295095"/>
      <w:r w:rsidRPr="00B35962">
        <w:rPr>
          <w:rFonts w:cs="Times New Roman"/>
          <w:color w:val="0070C0"/>
          <w:lang w:val="sr-Latn-ME"/>
        </w:rPr>
        <w:lastRenderedPageBreak/>
        <w:t>4. Ključne aktivnosti za sprovođenje operativnih ciljeva</w:t>
      </w:r>
      <w:bookmarkEnd w:id="18"/>
    </w:p>
    <w:p w14:paraId="70DDCA1D" w14:textId="77777777" w:rsidR="006B7669" w:rsidRPr="00B35962" w:rsidRDefault="007F56F3" w:rsidP="006B7669">
      <w:pPr>
        <w:spacing w:after="160"/>
        <w:ind w:firstLine="0"/>
        <w:rPr>
          <w:lang w:val="sr-Latn-ME"/>
        </w:rPr>
      </w:pPr>
      <w:r w:rsidRPr="00B35962">
        <w:rPr>
          <w:lang w:val="sr-Latn-ME"/>
        </w:rPr>
        <w:tab/>
        <w:t>U ovom poglavlju biće riječi o glavnim pravcima djelovanja i ključnim aktivnostima koje je potrebno realizovati u narednom periodu kako bi se ostvarili operativni ciljevi koji su definisani u prethodnom poglavlju.</w:t>
      </w:r>
    </w:p>
    <w:p w14:paraId="079FAA7B" w14:textId="2AA59638" w:rsidR="009E2114" w:rsidRPr="00B35962" w:rsidRDefault="00D131EB" w:rsidP="00A5310D">
      <w:pPr>
        <w:ind w:firstLine="0"/>
        <w:rPr>
          <w:b/>
          <w:color w:val="0070C0"/>
          <w:lang w:val="sr-Latn-ME"/>
        </w:rPr>
      </w:pPr>
      <w:r w:rsidRPr="00B35962">
        <w:rPr>
          <w:b/>
          <w:color w:val="0070C0"/>
          <w:lang w:val="sr-Latn-ME"/>
        </w:rPr>
        <w:t>O</w:t>
      </w:r>
      <w:r w:rsidR="000A1516" w:rsidRPr="00B35962">
        <w:rPr>
          <w:b/>
          <w:color w:val="0070C0"/>
          <w:lang w:val="sr-Latn-ME"/>
        </w:rPr>
        <w:t xml:space="preserve">perativni </w:t>
      </w:r>
      <w:r w:rsidR="009E2114" w:rsidRPr="00B35962">
        <w:rPr>
          <w:b/>
          <w:color w:val="0070C0"/>
          <w:lang w:val="sr-Latn-ME"/>
        </w:rPr>
        <w:t xml:space="preserve"> cilj 1: </w:t>
      </w:r>
      <w:r w:rsidR="00177B93" w:rsidRPr="00B35962">
        <w:rPr>
          <w:b/>
          <w:color w:val="0070C0"/>
          <w:lang w:val="sr-Latn-ME"/>
        </w:rPr>
        <w:t>Povećanje obuhvata djece PVO</w:t>
      </w:r>
    </w:p>
    <w:p w14:paraId="135BF28C" w14:textId="2D549585"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1.1: Povećanje kapacitet</w:t>
      </w:r>
      <w:r w:rsidR="0004010A" w:rsidRPr="00B35962">
        <w:rPr>
          <w:i/>
          <w:lang w:val="sr-Latn-ME"/>
        </w:rPr>
        <w:t>a</w:t>
      </w:r>
      <w:r w:rsidR="009E2114" w:rsidRPr="00B35962">
        <w:rPr>
          <w:i/>
          <w:lang w:val="sr-Latn-ME"/>
        </w:rPr>
        <w:t xml:space="preserve"> u javnim predškolskim ustanovama</w:t>
      </w:r>
    </w:p>
    <w:p w14:paraId="4974B1BC" w14:textId="77777777" w:rsidR="009E2114" w:rsidRPr="00B35962" w:rsidRDefault="009E2114" w:rsidP="009E2114">
      <w:pPr>
        <w:rPr>
          <w:lang w:val="sr-Latn-ME"/>
        </w:rPr>
      </w:pPr>
      <w:r w:rsidRPr="00B35962">
        <w:rPr>
          <w:lang w:val="sr-Latn-ME"/>
        </w:rPr>
        <w:t xml:space="preserve">Povećanje kapaciteta u javnim predškolskim ustanovama </w:t>
      </w:r>
      <w:r w:rsidR="0004010A" w:rsidRPr="00B35962">
        <w:rPr>
          <w:lang w:val="sr-Latn-ME"/>
        </w:rPr>
        <w:t xml:space="preserve">biće </w:t>
      </w:r>
      <w:r w:rsidRPr="00B35962">
        <w:rPr>
          <w:lang w:val="sr-Latn-ME"/>
        </w:rPr>
        <w:t xml:space="preserve"> ostvaren</w:t>
      </w:r>
      <w:r w:rsidR="0004010A" w:rsidRPr="00B35962">
        <w:rPr>
          <w:lang w:val="sr-Latn-ME"/>
        </w:rPr>
        <w:t>o</w:t>
      </w:r>
      <w:r w:rsidRPr="00B35962">
        <w:rPr>
          <w:lang w:val="sr-Latn-ME"/>
        </w:rPr>
        <w:t xml:space="preserve"> na sl</w:t>
      </w:r>
      <w:r w:rsidR="0004010A" w:rsidRPr="00B35962">
        <w:rPr>
          <w:lang w:val="sr-Latn-ME"/>
        </w:rPr>
        <w:t>j</w:t>
      </w:r>
      <w:r w:rsidRPr="00B35962">
        <w:rPr>
          <w:lang w:val="sr-Latn-ME"/>
        </w:rPr>
        <w:t>edeće načine:</w:t>
      </w:r>
    </w:p>
    <w:p w14:paraId="1CD36113" w14:textId="4934944E" w:rsidR="009E2114" w:rsidRPr="00B35962" w:rsidRDefault="009E2114" w:rsidP="009E2114">
      <w:pPr>
        <w:pStyle w:val="ListParagraph"/>
        <w:numPr>
          <w:ilvl w:val="0"/>
          <w:numId w:val="3"/>
        </w:numPr>
        <w:rPr>
          <w:lang w:val="sr-Latn-ME"/>
        </w:rPr>
      </w:pPr>
      <w:r w:rsidRPr="00B35962">
        <w:rPr>
          <w:lang w:val="sr-Latn-ME"/>
        </w:rPr>
        <w:t>Izgradnja novih objekata – u opštinama (npr. Podgorica</w:t>
      </w:r>
      <w:r w:rsidR="00142083" w:rsidRPr="00B35962">
        <w:rPr>
          <w:lang w:val="sr-Latn-ME"/>
        </w:rPr>
        <w:t>, Bar itd.</w:t>
      </w:r>
      <w:r w:rsidRPr="00B35962">
        <w:rPr>
          <w:lang w:val="sr-Latn-ME"/>
        </w:rPr>
        <w:t xml:space="preserve">) u kojima postoji veliki broj djece koja nisu uključena u PVO i u kojima postoji stabilan trend u pogledu broja djece (zbog većeg broja živorođene djece i/ili zbog velike stope doseljavanja) </w:t>
      </w:r>
      <w:r w:rsidR="00A32928" w:rsidRPr="00B35962">
        <w:rPr>
          <w:lang w:val="sr-Latn-ME"/>
        </w:rPr>
        <w:t>problem kapaciteta će biti rješavan kroz izgradnju novih objekata u naseljima tamo gdje oni ne postoje</w:t>
      </w:r>
      <w:r w:rsidR="000B2FA8" w:rsidRPr="00B35962">
        <w:rPr>
          <w:rStyle w:val="FootnoteReference"/>
          <w:lang w:val="sr-Latn-ME"/>
        </w:rPr>
        <w:footnoteReference w:id="20"/>
      </w:r>
      <w:r w:rsidRPr="00B35962">
        <w:rPr>
          <w:lang w:val="sr-Latn-ME"/>
        </w:rPr>
        <w:t>.</w:t>
      </w:r>
    </w:p>
    <w:p w14:paraId="743FDF54" w14:textId="77777777" w:rsidR="00D31116" w:rsidRPr="00B35962" w:rsidRDefault="009E2114" w:rsidP="005E38E2">
      <w:pPr>
        <w:pStyle w:val="ListParagraph"/>
        <w:numPr>
          <w:ilvl w:val="0"/>
          <w:numId w:val="3"/>
        </w:numPr>
        <w:rPr>
          <w:lang w:val="sr-Latn-ME"/>
        </w:rPr>
      </w:pPr>
      <w:r w:rsidRPr="00B35962">
        <w:rPr>
          <w:lang w:val="sr-Latn-ME"/>
        </w:rPr>
        <w:t>Proširenje kapaciteta postojećih objekata – u naseljima gdje već postoji objekti PU i gdje postoje mogućnosti kapaciteti će biti prošireni kroz dogradnju, nadogradnju ili rekonstrukciju (</w:t>
      </w:r>
      <w:r w:rsidR="007E3A64" w:rsidRPr="00B35962">
        <w:rPr>
          <w:lang w:val="sr-Latn-ME"/>
        </w:rPr>
        <w:t xml:space="preserve">djelimičnu </w:t>
      </w:r>
      <w:r w:rsidRPr="00B35962">
        <w:rPr>
          <w:lang w:val="sr-Latn-ME"/>
        </w:rPr>
        <w:t>ili potpunu) postojećih objekata PU.</w:t>
      </w:r>
    </w:p>
    <w:p w14:paraId="0E8C7914" w14:textId="5B75AC27"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1.2: Povećanje kapaciteta kroz adaptaciju javnih lokalnih prostora</w:t>
      </w:r>
    </w:p>
    <w:p w14:paraId="3E0D9DC7" w14:textId="77777777" w:rsidR="009E2114" w:rsidRPr="00B35962" w:rsidRDefault="009E2114" w:rsidP="009E2114">
      <w:pPr>
        <w:rPr>
          <w:lang w:val="sr-Latn-ME"/>
        </w:rPr>
      </w:pPr>
      <w:r w:rsidRPr="00B35962">
        <w:rPr>
          <w:lang w:val="sr-Latn-ME"/>
        </w:rPr>
        <w:t xml:space="preserve">Doprinos širenju kapaciteta PVO će biti ostvaren na osnovu širenja postojećih kapaciteta PVO kroz adaptaciju prostora u javnim ustanovama (npr. resursni centri, osnovne škole itd.) u naseljima u kojima postoji potražnja za uslugama PU, a ne postoje dovoljni kapaciteti u postojećim PU. </w:t>
      </w:r>
      <w:r w:rsidR="00C43173" w:rsidRPr="00B35962">
        <w:rPr>
          <w:lang w:val="sr-Latn-ME"/>
        </w:rPr>
        <w:t>Prilikom adaptacije takvih prostora za potrebe PVO treba voditi računa da ti prostori budu usklađeni sa standardima i normama koje važe u sektoru PVO.</w:t>
      </w:r>
    </w:p>
    <w:p w14:paraId="6F60F554" w14:textId="3DE2DA36" w:rsidR="00C86867"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C86867" w:rsidRPr="00B35962">
        <w:rPr>
          <w:i/>
          <w:lang w:val="sr-Latn-ME"/>
        </w:rPr>
        <w:t>1.</w:t>
      </w:r>
      <w:r w:rsidR="005F0508" w:rsidRPr="00B35962">
        <w:rPr>
          <w:i/>
          <w:lang w:val="sr-Latn-ME"/>
        </w:rPr>
        <w:t>3</w:t>
      </w:r>
      <w:r w:rsidR="00C86867" w:rsidRPr="00B35962">
        <w:rPr>
          <w:i/>
          <w:lang w:val="sr-Latn-ME"/>
        </w:rPr>
        <w:t xml:space="preserve">: </w:t>
      </w:r>
      <w:r w:rsidR="000839CC" w:rsidRPr="00B35962">
        <w:rPr>
          <w:i/>
          <w:lang w:val="sr-Latn-ME"/>
        </w:rPr>
        <w:t>Izraditi dugoročni plan širenja kapaciteta, koji će uključiti i inovativne, društveno odgovorne opcije</w:t>
      </w:r>
    </w:p>
    <w:p w14:paraId="75B09B29" w14:textId="591BE297" w:rsidR="00FA4D12" w:rsidRPr="00B35962" w:rsidRDefault="00C86867" w:rsidP="001318E4">
      <w:pPr>
        <w:rPr>
          <w:lang w:val="sr-Latn-ME"/>
        </w:rPr>
      </w:pPr>
      <w:r w:rsidRPr="00B35962">
        <w:rPr>
          <w:lang w:val="sr-Latn-ME"/>
        </w:rPr>
        <w:t>Širenje kapaciteta koje će biti realizovan</w:t>
      </w:r>
      <w:r w:rsidR="0004010A" w:rsidRPr="00B35962">
        <w:rPr>
          <w:lang w:val="sr-Latn-ME"/>
        </w:rPr>
        <w:t>o</w:t>
      </w:r>
      <w:r w:rsidRPr="00B35962">
        <w:rPr>
          <w:lang w:val="sr-Latn-ME"/>
        </w:rPr>
        <w:t xml:space="preserve"> u periodu do 202</w:t>
      </w:r>
      <w:r w:rsidR="00D70D59" w:rsidRPr="00B35962">
        <w:rPr>
          <w:lang w:val="sr-Latn-ME"/>
        </w:rPr>
        <w:t>5</w:t>
      </w:r>
      <w:r w:rsidRPr="00B35962">
        <w:rPr>
          <w:lang w:val="sr-Latn-ME"/>
        </w:rPr>
        <w:t>. godine neće biti dovoljan da obezb</w:t>
      </w:r>
      <w:r w:rsidR="00F23D87" w:rsidRPr="00B35962">
        <w:rPr>
          <w:lang w:val="sr-Latn-ME"/>
        </w:rPr>
        <w:t>ij</w:t>
      </w:r>
      <w:r w:rsidRPr="00B35962">
        <w:rPr>
          <w:lang w:val="sr-Latn-ME"/>
        </w:rPr>
        <w:t xml:space="preserve">edi </w:t>
      </w:r>
      <w:r w:rsidR="007175CD" w:rsidRPr="00B35962">
        <w:rPr>
          <w:lang w:val="sr-Latn-ME"/>
        </w:rPr>
        <w:t xml:space="preserve">ostvarenje obuhvata PVO koji bi bio na nivou EU zemalja uz poštovanje zakonskih normi o veličini grupa. </w:t>
      </w:r>
      <w:r w:rsidR="00FA4D12" w:rsidRPr="00B35962">
        <w:rPr>
          <w:lang w:val="sr-Latn-ME"/>
        </w:rPr>
        <w:t>Iz tog razloga</w:t>
      </w:r>
      <w:r w:rsidR="007175CD" w:rsidRPr="00B35962">
        <w:rPr>
          <w:lang w:val="sr-Latn-ME"/>
        </w:rPr>
        <w:t xml:space="preserve"> postoji potreba da se izradi sistematična i dugoročna analiza potrebnih kapaciteta za period nakon 202</w:t>
      </w:r>
      <w:r w:rsidR="00AB1025" w:rsidRPr="00B35962">
        <w:rPr>
          <w:lang w:val="sr-Latn-ME"/>
        </w:rPr>
        <w:t>5</w:t>
      </w:r>
      <w:r w:rsidR="007175CD" w:rsidRPr="00B35962">
        <w:rPr>
          <w:lang w:val="sr-Latn-ME"/>
        </w:rPr>
        <w:t>. godine kako bi se  sl</w:t>
      </w:r>
      <w:r w:rsidR="00926B54" w:rsidRPr="00B35962">
        <w:rPr>
          <w:lang w:val="sr-Latn-ME"/>
        </w:rPr>
        <w:t>j</w:t>
      </w:r>
      <w:r w:rsidR="007175CD" w:rsidRPr="00B35962">
        <w:rPr>
          <w:lang w:val="sr-Latn-ME"/>
        </w:rPr>
        <w:t xml:space="preserve">edeći period strateškog planiranja </w:t>
      </w:r>
      <w:r w:rsidR="007175CD" w:rsidRPr="00B35962">
        <w:rPr>
          <w:lang w:val="sr-Latn-ME"/>
        </w:rPr>
        <w:lastRenderedPageBreak/>
        <w:t xml:space="preserve">zasnovao na takvoj analizi. </w:t>
      </w:r>
      <w:r w:rsidR="00B501A8" w:rsidRPr="00B35962">
        <w:rPr>
          <w:lang w:val="sr-Latn-ME"/>
        </w:rPr>
        <w:t>On</w:t>
      </w:r>
      <w:r w:rsidR="00926B54" w:rsidRPr="00B35962">
        <w:rPr>
          <w:lang w:val="sr-Latn-ME"/>
        </w:rPr>
        <w:t>a</w:t>
      </w:r>
      <w:r w:rsidR="00B501A8" w:rsidRPr="00B35962">
        <w:rPr>
          <w:lang w:val="sr-Latn-ME"/>
        </w:rPr>
        <w:t xml:space="preserve"> treba da se oslanja na ranije razvijeni mehanizam za izradu lokalnih planova implementacije shodno regionalnim i lokalnim specifičnostima.</w:t>
      </w:r>
    </w:p>
    <w:p w14:paraId="133D79A5" w14:textId="77777777" w:rsidR="00566A90" w:rsidRPr="00B35962" w:rsidRDefault="00566A90" w:rsidP="001318E4">
      <w:pPr>
        <w:rPr>
          <w:lang w:val="sr-Latn-ME"/>
        </w:rPr>
      </w:pPr>
    </w:p>
    <w:p w14:paraId="38706B42" w14:textId="77777777" w:rsidR="00B14A2C" w:rsidRPr="00B35962" w:rsidRDefault="007175CD" w:rsidP="001318E4">
      <w:pPr>
        <w:rPr>
          <w:lang w:val="sr-Latn-ME"/>
        </w:rPr>
      </w:pPr>
      <w:r w:rsidRPr="00B35962">
        <w:rPr>
          <w:lang w:val="sr-Latn-ME"/>
        </w:rPr>
        <w:t xml:space="preserve">Tokom izrade analize  </w:t>
      </w:r>
      <w:r w:rsidR="00E53275" w:rsidRPr="00B35962">
        <w:rPr>
          <w:lang w:val="sr-Latn-ME"/>
        </w:rPr>
        <w:t>posebnu pažnju</w:t>
      </w:r>
      <w:r w:rsidR="00926B54" w:rsidRPr="00B35962">
        <w:rPr>
          <w:lang w:val="sr-Latn-ME"/>
        </w:rPr>
        <w:t xml:space="preserve"> treba</w:t>
      </w:r>
      <w:r w:rsidR="00E53275" w:rsidRPr="00B35962">
        <w:rPr>
          <w:lang w:val="sr-Latn-ME"/>
        </w:rPr>
        <w:t xml:space="preserve"> posvetiti potencijalnoj saradnji sa privatnim sektorom u pogledu proširenja kapaciteta </w:t>
      </w:r>
      <w:r w:rsidR="005E50D2" w:rsidRPr="00B35962">
        <w:rPr>
          <w:lang w:val="sr-Latn-ME"/>
        </w:rPr>
        <w:t>za pružanje usluga PVO</w:t>
      </w:r>
      <w:r w:rsidR="00436F16" w:rsidRPr="00B35962">
        <w:rPr>
          <w:lang w:val="sr-Latn-ME"/>
        </w:rPr>
        <w:t xml:space="preserve"> u njihovim objektima</w:t>
      </w:r>
      <w:r w:rsidR="00A6781C" w:rsidRPr="00B35962">
        <w:rPr>
          <w:lang w:val="sr-Latn-ME"/>
        </w:rPr>
        <w:t xml:space="preserve"> i da </w:t>
      </w:r>
      <w:r w:rsidR="005E50D2" w:rsidRPr="00B35962">
        <w:rPr>
          <w:lang w:val="sr-Latn-ME"/>
        </w:rPr>
        <w:t xml:space="preserve">se </w:t>
      </w:r>
      <w:r w:rsidR="00A6781C" w:rsidRPr="00B35962">
        <w:rPr>
          <w:lang w:val="sr-Latn-ME"/>
        </w:rPr>
        <w:t xml:space="preserve">na osnovu toga </w:t>
      </w:r>
      <w:r w:rsidR="005E50D2" w:rsidRPr="00B35962">
        <w:rPr>
          <w:lang w:val="sr-Latn-ME"/>
        </w:rPr>
        <w:t>proc</w:t>
      </w:r>
      <w:r w:rsidR="00926B54" w:rsidRPr="00B35962">
        <w:rPr>
          <w:lang w:val="sr-Latn-ME"/>
        </w:rPr>
        <w:t>i</w:t>
      </w:r>
      <w:r w:rsidR="005E50D2" w:rsidRPr="00B35962">
        <w:rPr>
          <w:lang w:val="sr-Latn-ME"/>
        </w:rPr>
        <w:t>jen</w:t>
      </w:r>
      <w:r w:rsidR="00926B54" w:rsidRPr="00B35962">
        <w:rPr>
          <w:lang w:val="sr-Latn-ME"/>
        </w:rPr>
        <w:t>e</w:t>
      </w:r>
      <w:r w:rsidR="005E50D2" w:rsidRPr="00B35962">
        <w:rPr>
          <w:lang w:val="sr-Latn-ME"/>
        </w:rPr>
        <w:t xml:space="preserve"> izvodljivost i konkretni modaliteti </w:t>
      </w:r>
      <w:r w:rsidR="00A6781C" w:rsidRPr="00B35962">
        <w:rPr>
          <w:lang w:val="sr-Latn-ME"/>
        </w:rPr>
        <w:t>saradnje sa privatnim sektorom koji bi bili optimalni</w:t>
      </w:r>
      <w:r w:rsidR="00E53275" w:rsidRPr="00B35962">
        <w:rPr>
          <w:lang w:val="sr-Latn-ME"/>
        </w:rPr>
        <w:t xml:space="preserve">. </w:t>
      </w:r>
    </w:p>
    <w:p w14:paraId="4BCFA548" w14:textId="77777777" w:rsidR="00566A90" w:rsidRPr="00B35962" w:rsidRDefault="00566A90" w:rsidP="001318E4">
      <w:pPr>
        <w:rPr>
          <w:lang w:val="sr-Latn-ME"/>
        </w:rPr>
      </w:pPr>
    </w:p>
    <w:p w14:paraId="7804A0FB" w14:textId="6673A786" w:rsidR="00C86867" w:rsidRPr="00B35962" w:rsidRDefault="00FA4D12" w:rsidP="001318E4">
      <w:pPr>
        <w:rPr>
          <w:lang w:val="sr-Latn-ME"/>
        </w:rPr>
      </w:pPr>
      <w:r w:rsidRPr="00B35962">
        <w:rPr>
          <w:lang w:val="sr-Latn-ME"/>
        </w:rPr>
        <w:t xml:space="preserve">Na osnovu analize treba da se izradi </w:t>
      </w:r>
      <w:r w:rsidR="00E53275" w:rsidRPr="00B35962">
        <w:rPr>
          <w:lang w:val="sr-Latn-ME"/>
        </w:rPr>
        <w:t xml:space="preserve">srednjoročni </w:t>
      </w:r>
      <w:r w:rsidRPr="00B35962">
        <w:rPr>
          <w:lang w:val="sr-Latn-ME"/>
        </w:rPr>
        <w:t xml:space="preserve">plan za širenje kapaciteta </w:t>
      </w:r>
      <w:r w:rsidR="00832B84" w:rsidRPr="00B35962">
        <w:rPr>
          <w:lang w:val="sr-Latn-ME"/>
        </w:rPr>
        <w:t>PVO koji će definisati opcije za širenje kapaciteta (izgradnja novih objekata, adaptacija postojećih objekata, adaptacija lokalnih prostora</w:t>
      </w:r>
      <w:r w:rsidR="003901DA" w:rsidRPr="00B35962">
        <w:rPr>
          <w:lang w:val="sr-Latn-ME"/>
        </w:rPr>
        <w:t xml:space="preserve"> i druge opcije koje se u analizi pokažu realističnim</w:t>
      </w:r>
      <w:r w:rsidR="00832B84" w:rsidRPr="00B35962">
        <w:rPr>
          <w:lang w:val="sr-Latn-ME"/>
        </w:rPr>
        <w:t xml:space="preserve">) </w:t>
      </w:r>
      <w:r w:rsidR="00E53275" w:rsidRPr="00B35962">
        <w:rPr>
          <w:lang w:val="sr-Latn-ME"/>
        </w:rPr>
        <w:t xml:space="preserve">i </w:t>
      </w:r>
      <w:r w:rsidR="00832B84" w:rsidRPr="00B35962">
        <w:rPr>
          <w:lang w:val="sr-Latn-ME"/>
        </w:rPr>
        <w:t xml:space="preserve">koji bi se sprovodio u </w:t>
      </w:r>
      <w:r w:rsidRPr="00B35962">
        <w:rPr>
          <w:lang w:val="sr-Latn-ME"/>
        </w:rPr>
        <w:t>period</w:t>
      </w:r>
      <w:r w:rsidR="00832B84" w:rsidRPr="00B35962">
        <w:rPr>
          <w:lang w:val="sr-Latn-ME"/>
        </w:rPr>
        <w:t>u</w:t>
      </w:r>
      <w:r w:rsidR="00D70D59" w:rsidRPr="00B35962">
        <w:rPr>
          <w:lang w:val="sr-Latn-ME"/>
        </w:rPr>
        <w:t xml:space="preserve"> 2026</w:t>
      </w:r>
      <w:r w:rsidR="00926B54" w:rsidRPr="00B35962">
        <w:rPr>
          <w:lang w:val="sr-Latn-ME"/>
        </w:rPr>
        <w:t>-</w:t>
      </w:r>
      <w:r w:rsidRPr="00B35962">
        <w:rPr>
          <w:lang w:val="sr-Latn-ME"/>
        </w:rPr>
        <w:t>20</w:t>
      </w:r>
      <w:r w:rsidR="000A1516" w:rsidRPr="00B35962">
        <w:rPr>
          <w:lang w:val="sr-Latn-ME"/>
        </w:rPr>
        <w:t>30</w:t>
      </w:r>
      <w:r w:rsidR="00CB11C2" w:rsidRPr="00B35962">
        <w:rPr>
          <w:lang w:val="sr-Latn-ME"/>
        </w:rPr>
        <w:t>.</w:t>
      </w:r>
      <w:r w:rsidR="00832B84" w:rsidRPr="00B35962">
        <w:rPr>
          <w:lang w:val="sr-Latn-ME"/>
        </w:rPr>
        <w:t xml:space="preserve"> </w:t>
      </w:r>
      <w:r w:rsidR="007175CD" w:rsidRPr="00B35962">
        <w:rPr>
          <w:lang w:val="sr-Latn-ME"/>
        </w:rPr>
        <w:t xml:space="preserve">  </w:t>
      </w:r>
      <w:r w:rsidR="00C86867" w:rsidRPr="00B35962">
        <w:rPr>
          <w:lang w:val="sr-Latn-ME"/>
        </w:rPr>
        <w:t xml:space="preserve">  </w:t>
      </w:r>
    </w:p>
    <w:p w14:paraId="64A0B79D" w14:textId="288B6EFC" w:rsidR="000942DA"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0942DA" w:rsidRPr="00B35962">
        <w:rPr>
          <w:i/>
          <w:lang w:val="sr-Latn-ME"/>
        </w:rPr>
        <w:t>1.</w:t>
      </w:r>
      <w:r w:rsidR="005F0508" w:rsidRPr="00B35962">
        <w:rPr>
          <w:i/>
          <w:lang w:val="sr-Latn-ME"/>
        </w:rPr>
        <w:t>4</w:t>
      </w:r>
      <w:r w:rsidR="000942DA" w:rsidRPr="00B35962">
        <w:rPr>
          <w:i/>
          <w:lang w:val="sr-Latn-ME"/>
        </w:rPr>
        <w:t>: Jačati svijest javnosti o značaju uključ</w:t>
      </w:r>
      <w:r w:rsidR="00D70D59" w:rsidRPr="00B35962">
        <w:rPr>
          <w:i/>
          <w:lang w:val="sr-Latn-ME"/>
        </w:rPr>
        <w:t>i</w:t>
      </w:r>
      <w:r w:rsidR="000942DA" w:rsidRPr="00B35962">
        <w:rPr>
          <w:i/>
          <w:lang w:val="sr-Latn-ME"/>
        </w:rPr>
        <w:t xml:space="preserve">vanja </w:t>
      </w:r>
      <w:r w:rsidR="00354802" w:rsidRPr="00B35962">
        <w:rPr>
          <w:i/>
          <w:lang w:val="sr-Latn-ME"/>
        </w:rPr>
        <w:t>dje</w:t>
      </w:r>
      <w:r w:rsidR="000942DA" w:rsidRPr="00B35962">
        <w:rPr>
          <w:i/>
          <w:lang w:val="sr-Latn-ME"/>
        </w:rPr>
        <w:t>ce u programe ranog i predškolskog učenja</w:t>
      </w:r>
    </w:p>
    <w:p w14:paraId="04B0FAC0" w14:textId="77777777" w:rsidR="000942DA" w:rsidRPr="00B35962" w:rsidRDefault="000942DA" w:rsidP="001318E4">
      <w:pPr>
        <w:rPr>
          <w:lang w:val="sr-Latn-ME"/>
        </w:rPr>
      </w:pPr>
      <w:r w:rsidRPr="00B35962">
        <w:rPr>
          <w:lang w:val="sr-Latn-ME"/>
        </w:rPr>
        <w:t xml:space="preserve">Cijeneći da je potrebno omogućiti svakom </w:t>
      </w:r>
      <w:r w:rsidR="00354802" w:rsidRPr="00B35962">
        <w:rPr>
          <w:lang w:val="sr-Latn-ME"/>
        </w:rPr>
        <w:t>dje</w:t>
      </w:r>
      <w:r w:rsidRPr="00B35962">
        <w:rPr>
          <w:lang w:val="sr-Latn-ME"/>
        </w:rPr>
        <w:t xml:space="preserve">tetu jednake šanse, te da su </w:t>
      </w:r>
      <w:r w:rsidR="005E50D2" w:rsidRPr="00B35962">
        <w:rPr>
          <w:lang w:val="sr-Latn-ME"/>
        </w:rPr>
        <w:t>brojne kampanje i rad u zajednici već dali dobre rezultate</w:t>
      </w:r>
      <w:r w:rsidR="00926B54" w:rsidRPr="00B35962">
        <w:rPr>
          <w:lang w:val="sr-Latn-ME"/>
        </w:rPr>
        <w:t>,</w:t>
      </w:r>
      <w:r w:rsidR="005E50D2" w:rsidRPr="00B35962">
        <w:rPr>
          <w:lang w:val="sr-Latn-ME"/>
        </w:rPr>
        <w:t xml:space="preserve"> te aktivnosti treba održati i pojačati u narednom periodu</w:t>
      </w:r>
      <w:r w:rsidRPr="00B35962">
        <w:rPr>
          <w:lang w:val="sr-Latn-ME"/>
        </w:rPr>
        <w:t>.</w:t>
      </w:r>
    </w:p>
    <w:p w14:paraId="14903CC4" w14:textId="77777777" w:rsidR="00566A90" w:rsidRPr="00B35962" w:rsidRDefault="00566A90" w:rsidP="001318E4">
      <w:pPr>
        <w:rPr>
          <w:lang w:val="sr-Latn-ME"/>
        </w:rPr>
      </w:pPr>
    </w:p>
    <w:p w14:paraId="7C77FAB3" w14:textId="77777777" w:rsidR="000942DA" w:rsidRPr="00B35962" w:rsidRDefault="000942DA" w:rsidP="001318E4">
      <w:pPr>
        <w:rPr>
          <w:lang w:val="sr-Latn-ME"/>
        </w:rPr>
      </w:pPr>
      <w:r w:rsidRPr="00B35962">
        <w:rPr>
          <w:lang w:val="sr-Latn-ME"/>
        </w:rPr>
        <w:t>Kampanje treba da  su situacione, ciljne, za</w:t>
      </w:r>
      <w:r w:rsidR="004E143D" w:rsidRPr="00B35962">
        <w:rPr>
          <w:lang w:val="sr-Latn-ME"/>
        </w:rPr>
        <w:t>s</w:t>
      </w:r>
      <w:r w:rsidRPr="00B35962">
        <w:rPr>
          <w:lang w:val="sr-Latn-ME"/>
        </w:rPr>
        <w:t>novane na procjen</w:t>
      </w:r>
      <w:r w:rsidR="00926B54" w:rsidRPr="00B35962">
        <w:rPr>
          <w:lang w:val="sr-Latn-ME"/>
        </w:rPr>
        <w:t>i</w:t>
      </w:r>
      <w:r w:rsidRPr="00B35962">
        <w:rPr>
          <w:lang w:val="sr-Latn-ME"/>
        </w:rPr>
        <w:t xml:space="preserve"> kon</w:t>
      </w:r>
      <w:r w:rsidR="004E143D" w:rsidRPr="00B35962">
        <w:rPr>
          <w:lang w:val="sr-Latn-ME"/>
        </w:rPr>
        <w:t>t</w:t>
      </w:r>
      <w:r w:rsidRPr="00B35962">
        <w:rPr>
          <w:lang w:val="sr-Latn-ME"/>
        </w:rPr>
        <w:t>eksta i potreba u lokalnoj zajednici.</w:t>
      </w:r>
    </w:p>
    <w:p w14:paraId="21D99A84" w14:textId="77777777" w:rsidR="00D70D59" w:rsidRPr="00B35962" w:rsidRDefault="00D70D59" w:rsidP="001318E4">
      <w:pPr>
        <w:rPr>
          <w:lang w:val="sr-Latn-ME"/>
        </w:rPr>
      </w:pPr>
    </w:p>
    <w:p w14:paraId="569933B0" w14:textId="77777777" w:rsidR="000A48D0" w:rsidRPr="00B35962" w:rsidRDefault="000A48D0" w:rsidP="000A48D0">
      <w:pPr>
        <w:rPr>
          <w:lang w:val="sr-Latn-ME"/>
        </w:rPr>
      </w:pPr>
      <w:r w:rsidRPr="00B35962">
        <w:rPr>
          <w:lang w:val="sr-Latn-ME"/>
        </w:rPr>
        <w:t xml:space="preserve">Važno je promovisati profesiju vaspitača i uticati </w:t>
      </w:r>
      <w:r>
        <w:rPr>
          <w:lang w:val="sr-Latn-ME"/>
        </w:rPr>
        <w:t xml:space="preserve">kako </w:t>
      </w:r>
      <w:r w:rsidRPr="00B35962">
        <w:rPr>
          <w:lang w:val="sr-Latn-ME"/>
        </w:rPr>
        <w:t>na porast zainteresovanih u odnosu na ovu struku</w:t>
      </w:r>
      <w:r>
        <w:rPr>
          <w:lang w:val="sr-Latn-ME"/>
        </w:rPr>
        <w:t xml:space="preserve"> u svim djelovima Crne Gore, ali i u pogledu kvaliteta kandidata</w:t>
      </w:r>
      <w:r w:rsidRPr="00B35962">
        <w:rPr>
          <w:lang w:val="sr-Latn-ME"/>
        </w:rPr>
        <w:t>.</w:t>
      </w:r>
    </w:p>
    <w:p w14:paraId="6D63B0D5" w14:textId="77777777" w:rsidR="00566A90" w:rsidRPr="00B35962" w:rsidRDefault="00566A90" w:rsidP="001318E4">
      <w:pPr>
        <w:rPr>
          <w:lang w:val="sr-Latn-ME"/>
        </w:rPr>
      </w:pPr>
    </w:p>
    <w:p w14:paraId="2483C0C2" w14:textId="77777777" w:rsidR="000942DA" w:rsidRPr="00B35962" w:rsidRDefault="000942DA" w:rsidP="001318E4">
      <w:pPr>
        <w:rPr>
          <w:lang w:val="sr-Latn-ME"/>
        </w:rPr>
      </w:pPr>
      <w:r w:rsidRPr="00B35962">
        <w:rPr>
          <w:lang w:val="sr-Latn-ME"/>
        </w:rPr>
        <w:t>Promotivnost ove razvojne dobi treba da bude prisutna i kroz dalje sajmove u lokalnim zajednicima, ciljane aktivnosti samih vrtića, stalno pris</w:t>
      </w:r>
      <w:r w:rsidR="004E143D" w:rsidRPr="00B35962">
        <w:rPr>
          <w:lang w:val="sr-Latn-ME"/>
        </w:rPr>
        <w:t>u</w:t>
      </w:r>
      <w:r w:rsidRPr="00B35962">
        <w:rPr>
          <w:lang w:val="sr-Latn-ME"/>
        </w:rPr>
        <w:t>tne tematske, afirmativne medijske sadržaje.</w:t>
      </w:r>
    </w:p>
    <w:p w14:paraId="6D86A32C" w14:textId="77777777" w:rsidR="00D70D59" w:rsidRPr="00B35962" w:rsidRDefault="00D70D59" w:rsidP="001318E4">
      <w:pPr>
        <w:rPr>
          <w:lang w:val="sr-Latn-ME"/>
        </w:rPr>
      </w:pPr>
    </w:p>
    <w:p w14:paraId="612EC0E0" w14:textId="2C459A54" w:rsidR="009E2114" w:rsidRPr="00B35962" w:rsidRDefault="00D131EB" w:rsidP="00A5310D">
      <w:pPr>
        <w:ind w:firstLine="0"/>
        <w:rPr>
          <w:b/>
          <w:color w:val="0070C0"/>
          <w:lang w:val="sr-Latn-ME"/>
        </w:rPr>
      </w:pPr>
      <w:r w:rsidRPr="00B35962">
        <w:rPr>
          <w:b/>
          <w:color w:val="0070C0"/>
          <w:lang w:val="sr-Latn-ME"/>
        </w:rPr>
        <w:t>O</w:t>
      </w:r>
      <w:r w:rsidR="000A1516" w:rsidRPr="00B35962">
        <w:rPr>
          <w:b/>
          <w:color w:val="0070C0"/>
          <w:lang w:val="sr-Latn-ME"/>
        </w:rPr>
        <w:t xml:space="preserve">perativni </w:t>
      </w:r>
      <w:r w:rsidR="009E2114" w:rsidRPr="00B35962">
        <w:rPr>
          <w:b/>
          <w:color w:val="0070C0"/>
          <w:lang w:val="sr-Latn-ME"/>
        </w:rPr>
        <w:t xml:space="preserve"> cilj 2: Unapređenje i </w:t>
      </w:r>
      <w:r w:rsidR="00F23D87" w:rsidRPr="00B35962">
        <w:rPr>
          <w:b/>
          <w:color w:val="0070C0"/>
          <w:lang w:val="sr-Latn-ME"/>
        </w:rPr>
        <w:t>obezbjeđivanje</w:t>
      </w:r>
      <w:r w:rsidR="009E2114" w:rsidRPr="00B35962">
        <w:rPr>
          <w:b/>
          <w:color w:val="0070C0"/>
          <w:lang w:val="sr-Latn-ME"/>
        </w:rPr>
        <w:t xml:space="preserve"> kvaliteta PVO</w:t>
      </w:r>
    </w:p>
    <w:p w14:paraId="59AA2ECF" w14:textId="5A0CE355"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2.1: Smanjivanje veličine vaspitnih grupa</w:t>
      </w:r>
    </w:p>
    <w:p w14:paraId="70D2A871" w14:textId="77777777" w:rsidR="00181946" w:rsidRPr="00B35962" w:rsidRDefault="009E2114" w:rsidP="009E2114">
      <w:pPr>
        <w:rPr>
          <w:lang w:val="sr-Latn-ME"/>
        </w:rPr>
      </w:pPr>
      <w:r w:rsidRPr="00B35962">
        <w:rPr>
          <w:lang w:val="sr-Latn-ME"/>
        </w:rPr>
        <w:t>Analiza postojećeg stanja je ukazala da je u mnogim javnim PU (uglavnom u urbanim sredinama) prosječna veličina vaspitnih grupa veća nego što je propisano. Da bi se obezb</w:t>
      </w:r>
      <w:r w:rsidR="00F23D87" w:rsidRPr="00B35962">
        <w:rPr>
          <w:lang w:val="sr-Latn-ME"/>
        </w:rPr>
        <w:t>ij</w:t>
      </w:r>
      <w:r w:rsidRPr="00B35962">
        <w:rPr>
          <w:lang w:val="sr-Latn-ME"/>
        </w:rPr>
        <w:t xml:space="preserve">edili adekvatni uslovi za visokokvalitetno PVO neophodno je da se veličina vaspitnih grupa smanji. Širenje kapaciteta PVO koje je planirano u okviru strateškog cilja 1 će biti glavni način da se ostvari ovaj operativni cilj. Pored toga, treba podržati javne PU u traganju za dodatnim načinima za smanjivanje veličine vaspitnih grupa (npr. kroz drugačiju organizaciju rada). </w:t>
      </w:r>
    </w:p>
    <w:p w14:paraId="5C94F0CF" w14:textId="77777777" w:rsidR="00566A90" w:rsidRPr="00B35962" w:rsidRDefault="00566A90" w:rsidP="009E2114">
      <w:pPr>
        <w:rPr>
          <w:lang w:val="sr-Latn-ME"/>
        </w:rPr>
      </w:pPr>
    </w:p>
    <w:p w14:paraId="58E7157B" w14:textId="77777777" w:rsidR="009E2114" w:rsidRPr="00B35962" w:rsidRDefault="009E2114" w:rsidP="009E2114">
      <w:pPr>
        <w:rPr>
          <w:lang w:val="sr-Latn-ME"/>
        </w:rPr>
      </w:pPr>
      <w:r w:rsidRPr="00B35962">
        <w:rPr>
          <w:lang w:val="sr-Latn-ME"/>
        </w:rPr>
        <w:lastRenderedPageBreak/>
        <w:t>Potreba da se u narednom periodu umanji prosječna veličina vaspitnih grupa u mnogim PU je povezana i sa povećanjem broja vaspitača. Pri tome, zapošljavanje novih vaspitača je ograničeno postojanjem odgovarajućeg kadra koji je kvalitetno obrazovan za posao vaspitača i finansijskih mogućnosti u budžetu</w:t>
      </w:r>
      <w:r w:rsidR="00B14A2C" w:rsidRPr="00B35962">
        <w:rPr>
          <w:lang w:val="sr-Latn-ME"/>
        </w:rPr>
        <w:t xml:space="preserve">. </w:t>
      </w:r>
      <w:r w:rsidRPr="00B35962">
        <w:rPr>
          <w:lang w:val="sr-Latn-ME"/>
        </w:rPr>
        <w:t xml:space="preserve">Iz tog razloga ostvarenje ovog operativnog cilja zahtjeva dobru analizu postojećeg stanja, ograničenja i mogućnosti i formulisanje realističnog plana za povećanje broja zaposlenih u PVO. </w:t>
      </w:r>
      <w:r w:rsidR="00181946" w:rsidRPr="00B35962">
        <w:rPr>
          <w:lang w:val="sr-Latn-ME"/>
        </w:rPr>
        <w:t xml:space="preserve">U okviru plana za povećanje vaspitača i stručnih saradnika treba da bude razmotreni uslovi za rad u PU kako bi se </w:t>
      </w:r>
      <w:r w:rsidR="000D58E5" w:rsidRPr="00B35962">
        <w:rPr>
          <w:lang w:val="sr-Latn-ME"/>
        </w:rPr>
        <w:t xml:space="preserve">eventualno </w:t>
      </w:r>
      <w:r w:rsidR="00181946" w:rsidRPr="00B35962">
        <w:rPr>
          <w:lang w:val="sr-Latn-ME"/>
        </w:rPr>
        <w:t xml:space="preserve">omogućilo da </w:t>
      </w:r>
      <w:r w:rsidR="00CB11C2" w:rsidRPr="00B35962">
        <w:rPr>
          <w:lang w:val="sr-Latn-ME"/>
        </w:rPr>
        <w:t xml:space="preserve">diplomirani stručnjaci </w:t>
      </w:r>
      <w:r w:rsidR="00181946" w:rsidRPr="00B35962">
        <w:rPr>
          <w:lang w:val="sr-Latn-ME"/>
        </w:rPr>
        <w:t>koji su stekli srodne kvalifikacije mogu pod određenim uslovima da se zaposle u PU.</w:t>
      </w:r>
      <w:r w:rsidR="00D70D59" w:rsidRPr="00B35962">
        <w:rPr>
          <w:lang w:val="sr-Latn-ME"/>
        </w:rPr>
        <w:t xml:space="preserve"> Takođe, same ustanove imaju ulogu u promovisanju struke.</w:t>
      </w:r>
    </w:p>
    <w:p w14:paraId="342FF92F" w14:textId="211B92D9"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 xml:space="preserve">2.2: </w:t>
      </w:r>
      <w:r w:rsidR="006B02F9" w:rsidRPr="00B35962">
        <w:rPr>
          <w:i/>
          <w:lang w:val="sr-Latn-ME"/>
        </w:rPr>
        <w:t>Razvoj i primjena osavremenjenog Plana i programa PVO</w:t>
      </w:r>
    </w:p>
    <w:p w14:paraId="2F775053" w14:textId="77777777" w:rsidR="009E2114" w:rsidRPr="00B35962" w:rsidRDefault="009E2114" w:rsidP="009E2114">
      <w:pPr>
        <w:rPr>
          <w:lang w:val="sr-Latn-ME"/>
        </w:rPr>
      </w:pPr>
      <w:r w:rsidRPr="00B35962">
        <w:rPr>
          <w:lang w:val="sr-Latn-ME"/>
        </w:rPr>
        <w:t xml:space="preserve">Analiza postojećeg stanja je ukazala na potrebu da se unaprijedi kvalitet PVO kako bi djeca u Crnoj Gori imala podsticajnije uslove za rani razvoj i za razvoj svojih potencijala. Pored toga, postojeći kvalitet PVO treba uskladiti sa EU okvirom za visokokvalitetno PVO kako bi djeca u Crnoj Gori imala iste šanse za rani razvoj i razvoj svojih potencijala kao njihovi vršnjaci u drugim EU zemljama. Konačno, u prethodnom periodu </w:t>
      </w:r>
      <w:r w:rsidR="006B02F9" w:rsidRPr="00B35962">
        <w:rPr>
          <w:lang w:val="sr-Latn-ME"/>
        </w:rPr>
        <w:t>je</w:t>
      </w:r>
      <w:r w:rsidRPr="00B35962">
        <w:rPr>
          <w:lang w:val="sr-Latn-ME"/>
        </w:rPr>
        <w:t xml:space="preserve"> razvijen</w:t>
      </w:r>
      <w:r w:rsidR="003F3F30" w:rsidRPr="00B35962">
        <w:rPr>
          <w:lang w:val="sr-Latn-ME"/>
        </w:rPr>
        <w:t xml:space="preserve"> niz inovativnih</w:t>
      </w:r>
      <w:r w:rsidRPr="00B35962">
        <w:rPr>
          <w:lang w:val="sr-Latn-ME"/>
        </w:rPr>
        <w:t xml:space="preserve"> specifični</w:t>
      </w:r>
      <w:r w:rsidR="003F3F30" w:rsidRPr="00B35962">
        <w:rPr>
          <w:lang w:val="sr-Latn-ME"/>
        </w:rPr>
        <w:t>h</w:t>
      </w:r>
      <w:r w:rsidRPr="00B35962">
        <w:rPr>
          <w:lang w:val="sr-Latn-ME"/>
        </w:rPr>
        <w:t xml:space="preserve"> program</w:t>
      </w:r>
      <w:r w:rsidR="003F3F30" w:rsidRPr="00B35962">
        <w:rPr>
          <w:lang w:val="sr-Latn-ME"/>
        </w:rPr>
        <w:t>a PVO</w:t>
      </w:r>
      <w:r w:rsidRPr="00B35962">
        <w:rPr>
          <w:lang w:val="sr-Latn-ME"/>
        </w:rPr>
        <w:t xml:space="preserve"> (interaktivne službe, trosatni programi) i PU se podstiču da razvijaju posebne programe koji odgovaraju na potrebe djece i roditelja. Diversifikacija programa je važan element za unapređenje kvalitet PVO, ali je on</w:t>
      </w:r>
      <w:r w:rsidR="003F3F30" w:rsidRPr="00B35962">
        <w:rPr>
          <w:lang w:val="sr-Latn-ME"/>
        </w:rPr>
        <w:t>a</w:t>
      </w:r>
      <w:r w:rsidRPr="00B35962">
        <w:rPr>
          <w:lang w:val="sr-Latn-ME"/>
        </w:rPr>
        <w:t>, takođe, povezan sa potrebom da se obezb</w:t>
      </w:r>
      <w:r w:rsidR="00F23D87" w:rsidRPr="00B35962">
        <w:rPr>
          <w:lang w:val="sr-Latn-ME"/>
        </w:rPr>
        <w:t>ij</w:t>
      </w:r>
      <w:r w:rsidRPr="00B35962">
        <w:rPr>
          <w:lang w:val="sr-Latn-ME"/>
        </w:rPr>
        <w:t xml:space="preserve">edi </w:t>
      </w:r>
      <w:r w:rsidR="003F3F30" w:rsidRPr="00B35962">
        <w:rPr>
          <w:lang w:val="sr-Latn-ME"/>
        </w:rPr>
        <w:t xml:space="preserve">koherentnost i </w:t>
      </w:r>
      <w:r w:rsidRPr="00B35962">
        <w:rPr>
          <w:lang w:val="sr-Latn-ME"/>
        </w:rPr>
        <w:t xml:space="preserve">kvalitet različitih programa koji sada postoje i koji će se razvijati u narednom periodu. </w:t>
      </w:r>
      <w:r w:rsidR="003F3F30" w:rsidRPr="00B35962">
        <w:rPr>
          <w:lang w:val="sr-Latn-ME"/>
        </w:rPr>
        <w:t xml:space="preserve">Iz navedenih razloga </w:t>
      </w:r>
      <w:r w:rsidRPr="00B35962">
        <w:rPr>
          <w:lang w:val="sr-Latn-ME"/>
        </w:rPr>
        <w:t xml:space="preserve">potrebno </w:t>
      </w:r>
      <w:r w:rsidR="003F3F30" w:rsidRPr="00B35962">
        <w:rPr>
          <w:lang w:val="sr-Latn-ME"/>
        </w:rPr>
        <w:t xml:space="preserve">je </w:t>
      </w:r>
      <w:r w:rsidRPr="00B35962">
        <w:rPr>
          <w:lang w:val="sr-Latn-ME"/>
        </w:rPr>
        <w:t xml:space="preserve">da se </w:t>
      </w:r>
      <w:r w:rsidR="006B02F9" w:rsidRPr="00B35962">
        <w:rPr>
          <w:lang w:val="sr-Latn-ME"/>
        </w:rPr>
        <w:t xml:space="preserve">razvije novi plan i program PVO koji bi osavremenio postojeći </w:t>
      </w:r>
      <w:r w:rsidR="00D31D81" w:rsidRPr="00B35962">
        <w:rPr>
          <w:lang w:val="sr-Latn-ME"/>
        </w:rPr>
        <w:t xml:space="preserve">plan i </w:t>
      </w:r>
      <w:r w:rsidRPr="00B35962">
        <w:rPr>
          <w:lang w:val="sr-Latn-ME"/>
        </w:rPr>
        <w:t>program.</w:t>
      </w:r>
    </w:p>
    <w:p w14:paraId="0F51483D" w14:textId="77777777" w:rsidR="00566A90" w:rsidRPr="00B35962" w:rsidRDefault="00566A90" w:rsidP="006B02F9">
      <w:pPr>
        <w:rPr>
          <w:lang w:val="sr-Latn-ME"/>
        </w:rPr>
      </w:pPr>
    </w:p>
    <w:p w14:paraId="6003236C" w14:textId="77777777" w:rsidR="00657295" w:rsidRPr="00B35962" w:rsidRDefault="00657295" w:rsidP="00657295">
      <w:pPr>
        <w:rPr>
          <w:lang w:val="sr-Latn-ME"/>
        </w:rPr>
      </w:pPr>
      <w:r>
        <w:rPr>
          <w:lang w:val="sr-Latn-ME"/>
        </w:rPr>
        <w:t>Revidirani</w:t>
      </w:r>
      <w:r w:rsidRPr="00B35962">
        <w:rPr>
          <w:lang w:val="sr-Latn-ME"/>
        </w:rPr>
        <w:t xml:space="preserve"> program treba da bude usklađen sa novim naučnim saznanjima, kao i sa najboljim međunarodnim praksama. Novi plan i program treba da bude orijentisan na najbolji interes djeteta i holistički u smislu da podržava sveukupni razvoj potencijala svakog djeteta. Novi program treba da bude razvijen tako da daje okvir i smjernice da bi u implementaciji bio inovativan, stimulativan, sveobuhvatan, razvojno adekvatan, participativan i inkluzivan. </w:t>
      </w:r>
      <w:r>
        <w:rPr>
          <w:lang w:val="sr-Latn-ME"/>
        </w:rPr>
        <w:t>Novi</w:t>
      </w:r>
      <w:r w:rsidRPr="00B35962">
        <w:rPr>
          <w:lang w:val="sr-Latn-ME"/>
        </w:rPr>
        <w:t xml:space="preserve"> program treba da podrži praktičare da razvijaju i primjenjuju aktivnosti koje su istraživačke, igrovne, fleksibilne, kulturološki prilagodljive, a za djecu iskustvene, uključujuće, razvojne. Novi program treba, takođe, da obezbjeđuje ravnopravnost, univerzalnost, kvalitet, da bude pristupačan, kontekstualan, aktivan i konstruktivan i da nudi sadržaje za programsku orijentaciju ka pozitvnom roditeljstvu. Konačno, novi plan i program treba da obezbijedi okvir za integrisanje specifičnih programa i praksi  koje su razvijene u prethodnom periodu (npr. portfolio, promocije i kampanje, promjena režima rada, promjena ishrane, podrška djeci prilikom prelaska u osnovnu školu). </w:t>
      </w:r>
    </w:p>
    <w:p w14:paraId="7372DFC4" w14:textId="77777777" w:rsidR="00657295" w:rsidRPr="00B35962" w:rsidRDefault="00657295" w:rsidP="00657295">
      <w:pPr>
        <w:rPr>
          <w:lang w:val="sr-Latn-ME"/>
        </w:rPr>
      </w:pPr>
    </w:p>
    <w:p w14:paraId="18FF53DF" w14:textId="77777777" w:rsidR="00657295" w:rsidRPr="00B35962" w:rsidRDefault="00657295" w:rsidP="00657295">
      <w:pPr>
        <w:rPr>
          <w:lang w:val="sr-Latn-ME"/>
        </w:rPr>
      </w:pPr>
      <w:r w:rsidRPr="00B35962">
        <w:rPr>
          <w:lang w:val="sr-Latn-ME"/>
        </w:rPr>
        <w:t xml:space="preserve">Razvoj novog programa bi trebalo da bude završen </w:t>
      </w:r>
      <w:r>
        <w:rPr>
          <w:lang w:val="sr-Latn-ME"/>
        </w:rPr>
        <w:t>u roku koji omogućava da</w:t>
      </w:r>
      <w:r w:rsidRPr="00B35962">
        <w:rPr>
          <w:lang w:val="sr-Latn-ME"/>
        </w:rPr>
        <w:t xml:space="preserve"> </w:t>
      </w:r>
      <w:r>
        <w:rPr>
          <w:lang w:val="sr-Latn-ME"/>
        </w:rPr>
        <w:t xml:space="preserve">se </w:t>
      </w:r>
      <w:r w:rsidRPr="00B35962">
        <w:rPr>
          <w:lang w:val="sr-Latn-ME"/>
        </w:rPr>
        <w:t>pripreme za njegovo pilotiranje realiz</w:t>
      </w:r>
      <w:r>
        <w:rPr>
          <w:lang w:val="sr-Latn-ME"/>
        </w:rPr>
        <w:t>uju</w:t>
      </w:r>
      <w:r w:rsidRPr="00B35962">
        <w:rPr>
          <w:lang w:val="sr-Latn-ME"/>
        </w:rPr>
        <w:t xml:space="preserve"> u 2022. godini. Pripreme obuhvataju (a) identifikaciju i obezbjeđivanje preduslova koje je neophodno ostvariti na nivou PU kako bi one imale kapacitet za implementaciju novog plana i programa i (b) pripremu raznovrsnih oblika podrške koju bi Zavod za školstvo pružao PU tokom implementacije. Na osnovu pripreme za implementaciju </w:t>
      </w:r>
      <w:r w:rsidRPr="00B35962">
        <w:rPr>
          <w:lang w:val="sr-Latn-ME"/>
        </w:rPr>
        <w:lastRenderedPageBreak/>
        <w:t>novog plana i programa ona bi započela u školskoj 2022/23. Tokom školske godine 2022/23 i 2023/24 treba obezbijediti svim PU adekvatnu podršku od strane Zavoda za školstvo, kao i sistematsko praćenje primjene novog plana i programa od strane PU. Na osnovu glavnih nalaza praćenja Zavod za školstvo treba da pripremi plan za unaprijeđenu implementaciju novog plana i programa do kraja 2025. godine.</w:t>
      </w:r>
    </w:p>
    <w:p w14:paraId="48CC96B0" w14:textId="77777777" w:rsidR="00566A90" w:rsidRPr="00B35962" w:rsidRDefault="00566A90" w:rsidP="00F35A14">
      <w:pPr>
        <w:rPr>
          <w:lang w:val="sr-Latn-ME"/>
        </w:rPr>
      </w:pPr>
    </w:p>
    <w:p w14:paraId="6BBDBC32" w14:textId="77777777" w:rsidR="00B501A8" w:rsidRPr="00B35962" w:rsidRDefault="004B68B5" w:rsidP="00F35A14">
      <w:pPr>
        <w:rPr>
          <w:lang w:val="sr-Latn-ME"/>
        </w:rPr>
      </w:pPr>
      <w:r w:rsidRPr="00B35962">
        <w:rPr>
          <w:lang w:val="sr-Latn-ME"/>
        </w:rPr>
        <w:t xml:space="preserve">Konačno, novi </w:t>
      </w:r>
      <w:r w:rsidR="00694063" w:rsidRPr="00B35962">
        <w:rPr>
          <w:lang w:val="sr-Latn-ME"/>
        </w:rPr>
        <w:t xml:space="preserve">plan i program </w:t>
      </w:r>
      <w:r w:rsidRPr="00B35962">
        <w:rPr>
          <w:lang w:val="sr-Latn-ME"/>
        </w:rPr>
        <w:t>i iskustva njegove primjene treba da budu jedan od osnova za dalje unapređivanje programa inicijalnog obrazovanja vaspitača.</w:t>
      </w:r>
    </w:p>
    <w:p w14:paraId="68E9B755" w14:textId="67F7EB8D"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2.3: Uskladiti postojeći sistem profesionalnog razvoja sa EU okvirom</w:t>
      </w:r>
    </w:p>
    <w:p w14:paraId="692B2ABE" w14:textId="77777777" w:rsidR="0066029E" w:rsidRPr="00B35962" w:rsidRDefault="009E2114" w:rsidP="009E2114">
      <w:pPr>
        <w:rPr>
          <w:lang w:val="sr-Latn-ME"/>
        </w:rPr>
      </w:pPr>
      <w:r w:rsidRPr="00B35962">
        <w:rPr>
          <w:lang w:val="sr-Latn-ME"/>
        </w:rPr>
        <w:t>Analiza postojećeg sistema za profesionalno usavršavanje vaspitača</w:t>
      </w:r>
      <w:r w:rsidRPr="00B35962">
        <w:rPr>
          <w:rStyle w:val="FootnoteReference"/>
          <w:lang w:val="sr-Latn-ME"/>
        </w:rPr>
        <w:footnoteReference w:id="21"/>
      </w:r>
      <w:r w:rsidRPr="00B35962">
        <w:rPr>
          <w:lang w:val="sr-Latn-ME"/>
        </w:rPr>
        <w:t xml:space="preserve"> ukazala je na glavne izazove koji postoje u trenutnoj praksi i koji ograničavaju u značajnoj mjeri unapređivanje kvaliteta u PVO. Pored toga, ova analiza daje i dobre smjernice za unapređivanje sistema profesionalnog razvoja vaspitača</w:t>
      </w:r>
      <w:r w:rsidR="00783759" w:rsidRPr="00B35962">
        <w:rPr>
          <w:lang w:val="sr-Latn-ME"/>
        </w:rPr>
        <w:t xml:space="preserve"> i stručnih saradnika</w:t>
      </w:r>
      <w:r w:rsidRPr="00B35962">
        <w:rPr>
          <w:lang w:val="sr-Latn-ME"/>
        </w:rPr>
        <w:t xml:space="preserve"> u PVO</w:t>
      </w:r>
      <w:r w:rsidR="0059437D" w:rsidRPr="00B35962">
        <w:rPr>
          <w:lang w:val="sr-Latn-ME"/>
        </w:rPr>
        <w:t>.</w:t>
      </w:r>
    </w:p>
    <w:p w14:paraId="3813A652" w14:textId="77777777" w:rsidR="00566A90" w:rsidRPr="00B35962" w:rsidRDefault="00566A90" w:rsidP="009E2114">
      <w:pPr>
        <w:rPr>
          <w:lang w:val="sr-Latn-ME"/>
        </w:rPr>
      </w:pPr>
    </w:p>
    <w:p w14:paraId="64E075D2" w14:textId="77777777" w:rsidR="0059437D" w:rsidRPr="00B35962" w:rsidRDefault="009E2114" w:rsidP="009E2114">
      <w:pPr>
        <w:rPr>
          <w:lang w:val="sr-Latn-ME"/>
        </w:rPr>
      </w:pPr>
      <w:r w:rsidRPr="00B35962">
        <w:rPr>
          <w:lang w:val="sr-Latn-ME"/>
        </w:rPr>
        <w:t xml:space="preserve">U skladu sa tim u narednom periodu treba izvršiti reformu sistema profesionalnog razvoja </w:t>
      </w:r>
      <w:r w:rsidR="008E7026" w:rsidRPr="00B35962">
        <w:rPr>
          <w:lang w:val="sr-Latn-ME"/>
        </w:rPr>
        <w:t xml:space="preserve">koji bi integrisao dobre prakse koje su razvije u prethodnom periodu (npr. </w:t>
      </w:r>
      <w:r w:rsidR="005B3CEA" w:rsidRPr="00B35962">
        <w:rPr>
          <w:lang w:val="sr-Latn-ME"/>
        </w:rPr>
        <w:t xml:space="preserve">inovativne programe </w:t>
      </w:r>
      <w:r w:rsidR="0059437D" w:rsidRPr="00B35962">
        <w:rPr>
          <w:lang w:val="sr-Latn-ME"/>
        </w:rPr>
        <w:t>stručnog usavršavanja</w:t>
      </w:r>
      <w:r w:rsidR="005B3CEA" w:rsidRPr="00B35962">
        <w:rPr>
          <w:lang w:val="sr-Latn-ME"/>
        </w:rPr>
        <w:t xml:space="preserve"> koje su razvijene</w:t>
      </w:r>
      <w:r w:rsidR="0059437D" w:rsidRPr="00B35962">
        <w:rPr>
          <w:lang w:val="sr-Latn-ME"/>
        </w:rPr>
        <w:t xml:space="preserve"> u prethodnom periodu</w:t>
      </w:r>
      <w:r w:rsidR="005B3CEA" w:rsidRPr="00B35962">
        <w:rPr>
          <w:lang w:val="sr-Latn-ME"/>
        </w:rPr>
        <w:t xml:space="preserve">, </w:t>
      </w:r>
      <w:r w:rsidR="008E7026" w:rsidRPr="00B35962">
        <w:rPr>
          <w:lang w:val="sr-Latn-ME"/>
        </w:rPr>
        <w:t>sajmovi dobrih praksi) i nove prakse koje mogu da unaprijede kvalitet i efikasnost postojećeg sistema profesionalnog usavršavanja (npr. centri izvrsnosti</w:t>
      </w:r>
      <w:r w:rsidR="00C9011D" w:rsidRPr="00B35962">
        <w:rPr>
          <w:rStyle w:val="FootnoteReference"/>
          <w:lang w:val="sr-Latn-ME"/>
        </w:rPr>
        <w:footnoteReference w:id="22"/>
      </w:r>
      <w:r w:rsidR="008E7026" w:rsidRPr="00B35962">
        <w:rPr>
          <w:lang w:val="sr-Latn-ME"/>
        </w:rPr>
        <w:t xml:space="preserve">, </w:t>
      </w:r>
      <w:r w:rsidR="0059437D" w:rsidRPr="00B35962">
        <w:rPr>
          <w:lang w:val="sr-Latn-ME"/>
        </w:rPr>
        <w:t>vježbaonice, aktivno praktično vođenje</w:t>
      </w:r>
      <w:r w:rsidR="008E7026" w:rsidRPr="00B35962">
        <w:rPr>
          <w:lang w:val="sr-Latn-ME"/>
        </w:rPr>
        <w:t xml:space="preserve">, pružanje savjetodavnih usluga od strane Zavoda za školstvo i sl.). </w:t>
      </w:r>
      <w:r w:rsidR="008E432F" w:rsidRPr="00B35962">
        <w:rPr>
          <w:lang w:val="sr-Latn-ME"/>
        </w:rPr>
        <w:t>Konačno, na osnovu nalaza analize „Kontinuirani profesionalni razvoj vaspitača u Crnoj Gori” treba pilotirati regionalne centre izvrsnosti za obuku nastavnog kadra koji bi bili živa i stalna jezgra inovativnih i savremenih znanja iz različitih oblasti vaspitno-obrazovnog rada koji su do sada razvijani, ili za kojima postoji potreba.</w:t>
      </w:r>
    </w:p>
    <w:p w14:paraId="1214F7EC" w14:textId="77777777" w:rsidR="00566A90" w:rsidRPr="00B35962" w:rsidRDefault="00566A90" w:rsidP="008E432F">
      <w:pPr>
        <w:rPr>
          <w:lang w:val="sr-Latn-ME"/>
        </w:rPr>
      </w:pPr>
    </w:p>
    <w:p w14:paraId="4977CB29" w14:textId="77777777" w:rsidR="00CF18B3" w:rsidRPr="00B35962" w:rsidRDefault="0059437D" w:rsidP="008E432F">
      <w:pPr>
        <w:rPr>
          <w:lang w:val="sr-Latn-ME"/>
        </w:rPr>
      </w:pPr>
      <w:r w:rsidRPr="00B35962">
        <w:rPr>
          <w:lang w:val="sr-Latn-ME"/>
        </w:rPr>
        <w:t>R</w:t>
      </w:r>
      <w:r w:rsidR="008E7026" w:rsidRPr="00B35962">
        <w:rPr>
          <w:lang w:val="sr-Latn-ME"/>
        </w:rPr>
        <w:t xml:space="preserve">eformisani sistem profesionalnog usavršavanja treba da bude </w:t>
      </w:r>
      <w:r w:rsidR="009E2114" w:rsidRPr="00B35962">
        <w:rPr>
          <w:lang w:val="sr-Latn-ME"/>
        </w:rPr>
        <w:t>usklađen sa EU okvirom kako</w:t>
      </w:r>
      <w:r w:rsidR="00926B54" w:rsidRPr="00B35962">
        <w:rPr>
          <w:lang w:val="sr-Latn-ME"/>
        </w:rPr>
        <w:t xml:space="preserve"> bi</w:t>
      </w:r>
      <w:r w:rsidR="009E2114" w:rsidRPr="00B35962">
        <w:rPr>
          <w:lang w:val="sr-Latn-ME"/>
        </w:rPr>
        <w:t xml:space="preserve"> doprin</w:t>
      </w:r>
      <w:r w:rsidRPr="00B35962">
        <w:rPr>
          <w:lang w:val="sr-Latn-ME"/>
        </w:rPr>
        <w:t>osio</w:t>
      </w:r>
      <w:r w:rsidR="009E2114" w:rsidRPr="00B35962">
        <w:rPr>
          <w:lang w:val="sr-Latn-ME"/>
        </w:rPr>
        <w:t xml:space="preserve"> daljem unapređivanju kvaliteta PVO u Crnoj Gori. </w:t>
      </w:r>
      <w:r w:rsidRPr="00B35962">
        <w:rPr>
          <w:lang w:val="sr-Latn-ME"/>
        </w:rPr>
        <w:t>Pored toga, n</w:t>
      </w:r>
      <w:r w:rsidR="00595736" w:rsidRPr="00B35962">
        <w:rPr>
          <w:lang w:val="sr-Latn-ME"/>
        </w:rPr>
        <w:t xml:space="preserve">ovi </w:t>
      </w:r>
      <w:r w:rsidR="009E2114" w:rsidRPr="00B35962">
        <w:rPr>
          <w:lang w:val="sr-Latn-ME"/>
        </w:rPr>
        <w:t xml:space="preserve">sistem profesionalnog usavršavanja u PVO treba da bude usklađen </w:t>
      </w:r>
      <w:r w:rsidR="008E7026" w:rsidRPr="00B35962">
        <w:rPr>
          <w:lang w:val="sr-Latn-ME"/>
        </w:rPr>
        <w:t xml:space="preserve">i </w:t>
      </w:r>
      <w:r w:rsidR="00BE321D" w:rsidRPr="00B35962">
        <w:rPr>
          <w:lang w:val="sr-Latn-ME"/>
        </w:rPr>
        <w:t xml:space="preserve">sa </w:t>
      </w:r>
      <w:r w:rsidR="008E7026" w:rsidRPr="00B35962">
        <w:rPr>
          <w:lang w:val="sr-Latn-ME"/>
        </w:rPr>
        <w:t>novim</w:t>
      </w:r>
      <w:r w:rsidR="009E2114" w:rsidRPr="00B35962">
        <w:rPr>
          <w:lang w:val="sr-Latn-ME"/>
        </w:rPr>
        <w:t xml:space="preserve"> </w:t>
      </w:r>
      <w:r w:rsidR="00D31D81" w:rsidRPr="00B35962">
        <w:rPr>
          <w:lang w:val="sr-Latn-ME"/>
        </w:rPr>
        <w:t>plan</w:t>
      </w:r>
      <w:r w:rsidR="008E7026" w:rsidRPr="00B35962">
        <w:rPr>
          <w:lang w:val="sr-Latn-ME"/>
        </w:rPr>
        <w:t>om</w:t>
      </w:r>
      <w:r w:rsidR="00D31D81" w:rsidRPr="00B35962">
        <w:rPr>
          <w:lang w:val="sr-Latn-ME"/>
        </w:rPr>
        <w:t xml:space="preserve"> i </w:t>
      </w:r>
      <w:r w:rsidR="009E2114" w:rsidRPr="00B35962">
        <w:rPr>
          <w:lang w:val="sr-Latn-ME"/>
        </w:rPr>
        <w:t>program</w:t>
      </w:r>
      <w:r w:rsidR="008E7026" w:rsidRPr="00B35962">
        <w:rPr>
          <w:lang w:val="sr-Latn-ME"/>
        </w:rPr>
        <w:t>om</w:t>
      </w:r>
      <w:r w:rsidR="009E2114" w:rsidRPr="00B35962">
        <w:rPr>
          <w:lang w:val="sr-Latn-ME"/>
        </w:rPr>
        <w:t xml:space="preserve"> što se </w:t>
      </w:r>
      <w:r w:rsidR="008E7026" w:rsidRPr="00B35962">
        <w:rPr>
          <w:lang w:val="sr-Latn-ME"/>
        </w:rPr>
        <w:t xml:space="preserve">može postići </w:t>
      </w:r>
      <w:r w:rsidR="009E2114" w:rsidRPr="00B35962">
        <w:rPr>
          <w:lang w:val="sr-Latn-ME"/>
        </w:rPr>
        <w:t>usklađivanjem oba dokumenta sa EU okvirom za visokokvalitetno PVO.</w:t>
      </w:r>
      <w:r w:rsidR="00BE321D" w:rsidRPr="00B35962">
        <w:rPr>
          <w:lang w:val="sr-Latn-ME"/>
        </w:rPr>
        <w:t xml:space="preserve"> </w:t>
      </w:r>
      <w:r w:rsidR="00CF18B3" w:rsidRPr="00B35962">
        <w:rPr>
          <w:lang w:val="sr-Latn-ME"/>
        </w:rPr>
        <w:t xml:space="preserve">Takođe, treba da je zasnovan na dokazima, </w:t>
      </w:r>
      <w:r w:rsidR="0023027A" w:rsidRPr="00B35962">
        <w:rPr>
          <w:lang w:val="sr-Latn-ME"/>
        </w:rPr>
        <w:t>naj</w:t>
      </w:r>
      <w:r w:rsidR="00CF18B3" w:rsidRPr="00B35962">
        <w:rPr>
          <w:lang w:val="sr-Latn-ME"/>
        </w:rPr>
        <w:t>b</w:t>
      </w:r>
      <w:r w:rsidR="0023027A" w:rsidRPr="00B35962">
        <w:rPr>
          <w:lang w:val="sr-Latn-ME"/>
        </w:rPr>
        <w:t>o</w:t>
      </w:r>
      <w:r w:rsidR="00CF18B3" w:rsidRPr="00B35962">
        <w:rPr>
          <w:lang w:val="sr-Latn-ME"/>
        </w:rPr>
        <w:t>ljim praksama, provjerenim programima sa rezultatima u primjeni.</w:t>
      </w:r>
    </w:p>
    <w:p w14:paraId="13B9C71A" w14:textId="77777777" w:rsidR="00B501A8" w:rsidRPr="00B35962" w:rsidRDefault="00BE321D" w:rsidP="009E2114">
      <w:pPr>
        <w:rPr>
          <w:lang w:val="sr-Latn-ME"/>
        </w:rPr>
      </w:pPr>
      <w:r w:rsidRPr="00B35962">
        <w:rPr>
          <w:lang w:val="sr-Latn-ME"/>
        </w:rPr>
        <w:t xml:space="preserve">Nakon izrade novog koncepta profesionalnog usavršavanja treba </w:t>
      </w:r>
      <w:r w:rsidR="00F23D87" w:rsidRPr="00B35962">
        <w:rPr>
          <w:lang w:val="sr-Latn-ME"/>
        </w:rPr>
        <w:t>obezbijediti</w:t>
      </w:r>
      <w:r w:rsidRPr="00B35962">
        <w:rPr>
          <w:lang w:val="sr-Latn-ME"/>
        </w:rPr>
        <w:t xml:space="preserve"> uslove za njegovu punu primjenu u PVO (kroz reviziju normativnog okvira, </w:t>
      </w:r>
      <w:r w:rsidR="00F23D87" w:rsidRPr="00B35962">
        <w:rPr>
          <w:lang w:val="sr-Latn-ME"/>
        </w:rPr>
        <w:t>obezbjeđivanje</w:t>
      </w:r>
      <w:r w:rsidRPr="00B35962">
        <w:rPr>
          <w:lang w:val="sr-Latn-ME"/>
        </w:rPr>
        <w:t xml:space="preserve"> potrebnih finansijskih sredstava, obuku kadra itd.).</w:t>
      </w:r>
      <w:r w:rsidR="008E432F" w:rsidRPr="00B35962">
        <w:rPr>
          <w:lang w:val="sr-Latn-ME"/>
        </w:rPr>
        <w:t xml:space="preserve"> Pored toga, p</w:t>
      </w:r>
      <w:r w:rsidR="00B501A8" w:rsidRPr="00B35962">
        <w:rPr>
          <w:lang w:val="sr-Latn-ME"/>
        </w:rPr>
        <w:t xml:space="preserve">otrebno je da </w:t>
      </w:r>
      <w:r w:rsidR="00C9011D" w:rsidRPr="00B35962">
        <w:rPr>
          <w:lang w:val="sr-Latn-ME"/>
        </w:rPr>
        <w:t xml:space="preserve"> vaspitači </w:t>
      </w:r>
      <w:r w:rsidR="00CF18B3" w:rsidRPr="00B35962">
        <w:rPr>
          <w:lang w:val="sr-Latn-ME"/>
        </w:rPr>
        <w:t>koji rad</w:t>
      </w:r>
      <w:r w:rsidR="00926B54" w:rsidRPr="00B35962">
        <w:rPr>
          <w:lang w:val="sr-Latn-ME"/>
        </w:rPr>
        <w:t>e</w:t>
      </w:r>
      <w:r w:rsidR="00CF18B3" w:rsidRPr="00B35962">
        <w:rPr>
          <w:lang w:val="sr-Latn-ME"/>
        </w:rPr>
        <w:t xml:space="preserve"> u prvom razredu osnovne škole</w:t>
      </w:r>
      <w:r w:rsidR="00C9011D" w:rsidRPr="00B35962">
        <w:rPr>
          <w:lang w:val="sr-Latn-ME"/>
        </w:rPr>
        <w:t xml:space="preserve"> budu kontinuirano obučavani za sve ključne novine koje se uvode u PVO</w:t>
      </w:r>
      <w:r w:rsidR="00CF18B3" w:rsidRPr="00B35962">
        <w:rPr>
          <w:lang w:val="sr-Latn-ME"/>
        </w:rPr>
        <w:t>.</w:t>
      </w:r>
    </w:p>
    <w:p w14:paraId="5917F6CD" w14:textId="6983F57D" w:rsidR="00B501A8" w:rsidRPr="00B35962" w:rsidRDefault="00D131EB" w:rsidP="00A5310D">
      <w:pPr>
        <w:spacing w:before="240" w:after="240"/>
        <w:ind w:firstLine="0"/>
        <w:rPr>
          <w:i/>
          <w:lang w:val="sr-Latn-ME"/>
        </w:rPr>
      </w:pPr>
      <w:bookmarkStart w:id="19" w:name="_Hlk44156243"/>
      <w:r w:rsidRPr="00B35962">
        <w:rPr>
          <w:i/>
          <w:lang w:val="sr-Latn-ME"/>
        </w:rPr>
        <w:lastRenderedPageBreak/>
        <w:t>Ključno mjerilo</w:t>
      </w:r>
      <w:r w:rsidRPr="00B35962">
        <w:rPr>
          <w:lang w:val="sr-Latn-ME"/>
        </w:rPr>
        <w:t xml:space="preserve"> </w:t>
      </w:r>
      <w:r w:rsidR="00B501A8" w:rsidRPr="00B35962">
        <w:rPr>
          <w:i/>
          <w:lang w:val="sr-Latn-ME"/>
        </w:rPr>
        <w:t>2.</w:t>
      </w:r>
      <w:r w:rsidR="003B6CCE" w:rsidRPr="00B35962">
        <w:rPr>
          <w:i/>
          <w:lang w:val="sr-Latn-ME"/>
        </w:rPr>
        <w:t>4</w:t>
      </w:r>
      <w:r w:rsidR="00B501A8" w:rsidRPr="00B35962">
        <w:rPr>
          <w:i/>
          <w:lang w:val="sr-Latn-ME"/>
        </w:rPr>
        <w:t xml:space="preserve">: Unaprijediti </w:t>
      </w:r>
      <w:r w:rsidR="0023027A" w:rsidRPr="00B35962">
        <w:rPr>
          <w:i/>
          <w:lang w:val="sr-Latn-ME"/>
        </w:rPr>
        <w:t>sadržaj i praksu inicij</w:t>
      </w:r>
      <w:r w:rsidR="003B6CCE" w:rsidRPr="00B35962">
        <w:rPr>
          <w:i/>
          <w:lang w:val="sr-Latn-ME"/>
        </w:rPr>
        <w:t>a</w:t>
      </w:r>
      <w:r w:rsidR="0023027A" w:rsidRPr="00B35962">
        <w:rPr>
          <w:i/>
          <w:lang w:val="sr-Latn-ME"/>
        </w:rPr>
        <w:t>lnog obrazovanja</w:t>
      </w:r>
    </w:p>
    <w:bookmarkEnd w:id="19"/>
    <w:p w14:paraId="076405D2" w14:textId="77777777" w:rsidR="00B501A8" w:rsidRPr="00B35962" w:rsidRDefault="00595736" w:rsidP="009E2114">
      <w:pPr>
        <w:rPr>
          <w:lang w:val="sr-Latn-ME"/>
        </w:rPr>
      </w:pPr>
      <w:r w:rsidRPr="00B35962">
        <w:rPr>
          <w:lang w:val="sr-Latn-ME"/>
        </w:rPr>
        <w:t xml:space="preserve">Pored toga, </w:t>
      </w:r>
      <w:r w:rsidR="00902C05" w:rsidRPr="00B35962">
        <w:rPr>
          <w:lang w:val="sr-Latn-ME"/>
        </w:rPr>
        <w:t xml:space="preserve">inicijalno obrazovanje vaspitača je jedna od </w:t>
      </w:r>
      <w:r w:rsidR="0059437D" w:rsidRPr="00B35962">
        <w:rPr>
          <w:lang w:val="sr-Latn-ME"/>
        </w:rPr>
        <w:t>važnih</w:t>
      </w:r>
      <w:r w:rsidR="00902C05" w:rsidRPr="00B35962">
        <w:rPr>
          <w:lang w:val="sr-Latn-ME"/>
        </w:rPr>
        <w:t xml:space="preserve"> komponenti </w:t>
      </w:r>
      <w:r w:rsidR="003B6CCE" w:rsidRPr="00B35962">
        <w:rPr>
          <w:lang w:val="sr-Latn-ME"/>
        </w:rPr>
        <w:t xml:space="preserve">kvaliteta PVO i </w:t>
      </w:r>
      <w:r w:rsidR="00902C05" w:rsidRPr="00B35962">
        <w:rPr>
          <w:lang w:val="sr-Latn-ME"/>
        </w:rPr>
        <w:t>profesionalizacije</w:t>
      </w:r>
      <w:r w:rsidR="003B6CCE" w:rsidRPr="00B35962">
        <w:rPr>
          <w:lang w:val="sr-Latn-ME"/>
        </w:rPr>
        <w:t xml:space="preserve"> vaspitačkog poziva</w:t>
      </w:r>
      <w:r w:rsidR="00902C05" w:rsidRPr="00B35962">
        <w:rPr>
          <w:lang w:val="sr-Latn-ME"/>
        </w:rPr>
        <w:t xml:space="preserve">. Iz tog razloga, </w:t>
      </w:r>
      <w:r w:rsidRPr="00B35962">
        <w:rPr>
          <w:lang w:val="sr-Latn-ME"/>
        </w:rPr>
        <w:t xml:space="preserve">nakon finalizacije </w:t>
      </w:r>
      <w:r w:rsidR="00BC1750" w:rsidRPr="00B35962">
        <w:rPr>
          <w:lang w:val="sr-Latn-ME"/>
        </w:rPr>
        <w:t xml:space="preserve">novog javno važećeg plana i programa </w:t>
      </w:r>
      <w:r w:rsidRPr="00B35962">
        <w:rPr>
          <w:lang w:val="sr-Latn-ME"/>
        </w:rPr>
        <w:t xml:space="preserve">potrebno je da se izvrši </w:t>
      </w:r>
      <w:r w:rsidR="00FA6129" w:rsidRPr="00B35962">
        <w:rPr>
          <w:lang w:val="sr-Latn-ME"/>
        </w:rPr>
        <w:t xml:space="preserve">usklađivanje </w:t>
      </w:r>
      <w:r w:rsidR="00786C97" w:rsidRPr="00B35962">
        <w:rPr>
          <w:lang w:val="sr-Latn-ME"/>
        </w:rPr>
        <w:t xml:space="preserve">programa </w:t>
      </w:r>
      <w:r w:rsidRPr="00B35962">
        <w:rPr>
          <w:lang w:val="sr-Latn-ME"/>
        </w:rPr>
        <w:t>inicijalnog obrazovanja vaspitača</w:t>
      </w:r>
      <w:r w:rsidR="00786C97" w:rsidRPr="00B35962">
        <w:rPr>
          <w:lang w:val="sr-Latn-ME"/>
        </w:rPr>
        <w:t xml:space="preserve">, kao i </w:t>
      </w:r>
      <w:r w:rsidR="008E7026" w:rsidRPr="00B35962">
        <w:rPr>
          <w:lang w:val="sr-Latn-ME"/>
        </w:rPr>
        <w:t>sistem</w:t>
      </w:r>
      <w:r w:rsidR="00FA6129" w:rsidRPr="00B35962">
        <w:rPr>
          <w:lang w:val="sr-Latn-ME"/>
        </w:rPr>
        <w:t>a</w:t>
      </w:r>
      <w:r w:rsidR="008E7026" w:rsidRPr="00B35962">
        <w:rPr>
          <w:lang w:val="sr-Latn-ME"/>
        </w:rPr>
        <w:t xml:space="preserve"> za profesionalno usavršavanje</w:t>
      </w:r>
      <w:r w:rsidR="00FA6129" w:rsidRPr="00B35962">
        <w:rPr>
          <w:lang w:val="sr-Latn-ME"/>
        </w:rPr>
        <w:t xml:space="preserve"> vaspitača sa novi</w:t>
      </w:r>
      <w:r w:rsidR="00786C97" w:rsidRPr="00B35962">
        <w:rPr>
          <w:lang w:val="sr-Latn-ME"/>
        </w:rPr>
        <w:t xml:space="preserve">nama koje bude </w:t>
      </w:r>
      <w:r w:rsidR="00BC1750" w:rsidRPr="00B35962">
        <w:rPr>
          <w:lang w:val="sr-Latn-ME"/>
        </w:rPr>
        <w:t>donio</w:t>
      </w:r>
      <w:r w:rsidR="00786C97" w:rsidRPr="00B35962">
        <w:rPr>
          <w:lang w:val="sr-Latn-ME"/>
        </w:rPr>
        <w:t xml:space="preserve"> </w:t>
      </w:r>
      <w:r w:rsidR="00BC1750" w:rsidRPr="00B35962">
        <w:rPr>
          <w:lang w:val="sr-Latn-ME"/>
        </w:rPr>
        <w:t>osavremenjeni plan i program</w:t>
      </w:r>
      <w:r w:rsidR="008E7026" w:rsidRPr="00B35962">
        <w:rPr>
          <w:lang w:val="sr-Latn-ME"/>
        </w:rPr>
        <w:t xml:space="preserve">. </w:t>
      </w:r>
    </w:p>
    <w:p w14:paraId="233FF99F" w14:textId="77777777" w:rsidR="00566A90" w:rsidRPr="00B35962" w:rsidRDefault="00566A90" w:rsidP="009E2114">
      <w:pPr>
        <w:rPr>
          <w:lang w:val="sr-Latn-ME"/>
        </w:rPr>
      </w:pPr>
    </w:p>
    <w:p w14:paraId="6858024E" w14:textId="77777777" w:rsidR="00B501A8" w:rsidRPr="00B35962" w:rsidRDefault="008E7026" w:rsidP="009E2114">
      <w:pPr>
        <w:rPr>
          <w:lang w:val="sr-Latn-ME"/>
        </w:rPr>
      </w:pPr>
      <w:r w:rsidRPr="00B35962">
        <w:rPr>
          <w:lang w:val="sr-Latn-ME"/>
        </w:rPr>
        <w:t>Novi program inicijalnog obrazovanja vaspitača treba da uključi i stručnu praksu koja bi se realizovala u PU</w:t>
      </w:r>
      <w:r w:rsidR="007F5317" w:rsidRPr="00B35962">
        <w:rPr>
          <w:lang w:val="sr-Latn-ME"/>
        </w:rPr>
        <w:t xml:space="preserve"> koje imaju status vježbaonice</w:t>
      </w:r>
      <w:r w:rsidRPr="00B35962">
        <w:rPr>
          <w:lang w:val="sr-Latn-ME"/>
        </w:rPr>
        <w:t xml:space="preserve"> i </w:t>
      </w:r>
      <w:r w:rsidR="009954DB" w:rsidRPr="00B35962">
        <w:rPr>
          <w:lang w:val="sr-Latn-ME"/>
        </w:rPr>
        <w:t xml:space="preserve">uz aktivnu </w:t>
      </w:r>
      <w:r w:rsidRPr="00B35962">
        <w:rPr>
          <w:lang w:val="sr-Latn-ME"/>
        </w:rPr>
        <w:t>men</w:t>
      </w:r>
      <w:r w:rsidR="00B25643" w:rsidRPr="00B35962">
        <w:rPr>
          <w:lang w:val="sr-Latn-ME"/>
        </w:rPr>
        <w:t>torsk</w:t>
      </w:r>
      <w:r w:rsidR="009954DB" w:rsidRPr="00B35962">
        <w:rPr>
          <w:lang w:val="sr-Latn-ME"/>
        </w:rPr>
        <w:t>u</w:t>
      </w:r>
      <w:r w:rsidR="00B25643" w:rsidRPr="00B35962">
        <w:rPr>
          <w:lang w:val="sr-Latn-ME"/>
        </w:rPr>
        <w:t xml:space="preserve"> podršk</w:t>
      </w:r>
      <w:r w:rsidR="009954DB" w:rsidRPr="00B35962">
        <w:rPr>
          <w:lang w:val="sr-Latn-ME"/>
        </w:rPr>
        <w:t>u</w:t>
      </w:r>
      <w:r w:rsidR="00595736" w:rsidRPr="00B35962">
        <w:rPr>
          <w:lang w:val="sr-Latn-ME"/>
        </w:rPr>
        <w:t xml:space="preserve">. </w:t>
      </w:r>
      <w:r w:rsidR="005F6170" w:rsidRPr="00B35962">
        <w:rPr>
          <w:lang w:val="sr-Latn-ME"/>
        </w:rPr>
        <w:t>Pored toga, realizacija stručne prakse treba da bude snažno povezana sa novim konceptom centara izvrsnosti</w:t>
      </w:r>
      <w:r w:rsidR="006D0040" w:rsidRPr="00B35962">
        <w:rPr>
          <w:lang w:val="sr-Latn-ME"/>
        </w:rPr>
        <w:t>,</w:t>
      </w:r>
      <w:r w:rsidR="005F6170" w:rsidRPr="00B35962">
        <w:rPr>
          <w:lang w:val="sr-Latn-ME"/>
        </w:rPr>
        <w:t xml:space="preserve"> i </w:t>
      </w:r>
      <w:r w:rsidR="006D0040" w:rsidRPr="00B35962">
        <w:rPr>
          <w:lang w:val="sr-Latn-ME"/>
        </w:rPr>
        <w:t xml:space="preserve">novim </w:t>
      </w:r>
      <w:r w:rsidR="00B501A8" w:rsidRPr="00B35962">
        <w:rPr>
          <w:lang w:val="sr-Latn-ME"/>
        </w:rPr>
        <w:t xml:space="preserve">programom profesionalnog razvoja i </w:t>
      </w:r>
      <w:r w:rsidR="006D0040" w:rsidRPr="00B35962">
        <w:rPr>
          <w:lang w:val="sr-Latn-ME"/>
        </w:rPr>
        <w:t>osavremenjenim planom i programom</w:t>
      </w:r>
      <w:r w:rsidR="00B501A8" w:rsidRPr="00B35962">
        <w:rPr>
          <w:lang w:val="sr-Latn-ME"/>
        </w:rPr>
        <w:t>.</w:t>
      </w:r>
    </w:p>
    <w:p w14:paraId="135D575C" w14:textId="2E571B2E"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2.</w:t>
      </w:r>
      <w:r w:rsidR="00B501A8" w:rsidRPr="00B35962">
        <w:rPr>
          <w:i/>
          <w:lang w:val="sr-Latn-ME"/>
        </w:rPr>
        <w:t>5</w:t>
      </w:r>
      <w:r w:rsidR="009E2114" w:rsidRPr="00B35962">
        <w:rPr>
          <w:i/>
          <w:lang w:val="sr-Latn-ME"/>
        </w:rPr>
        <w:t xml:space="preserve">: Unaprijediti postojeći sistem </w:t>
      </w:r>
      <w:r w:rsidR="00F23D87" w:rsidRPr="00B35962">
        <w:rPr>
          <w:i/>
          <w:lang w:val="sr-Latn-ME"/>
        </w:rPr>
        <w:t>obezbjeđivanja</w:t>
      </w:r>
      <w:r w:rsidR="009E2114" w:rsidRPr="00B35962">
        <w:rPr>
          <w:i/>
          <w:lang w:val="sr-Latn-ME"/>
        </w:rPr>
        <w:t xml:space="preserve"> kvaliteta</w:t>
      </w:r>
    </w:p>
    <w:p w14:paraId="7EED22E9" w14:textId="77777777" w:rsidR="006B5DC8" w:rsidRPr="00B35962" w:rsidRDefault="009E2114" w:rsidP="009E2114">
      <w:pPr>
        <w:rPr>
          <w:lang w:val="sr-Latn-ME"/>
        </w:rPr>
      </w:pPr>
      <w:r w:rsidRPr="00B35962">
        <w:rPr>
          <w:lang w:val="sr-Latn-ME"/>
        </w:rPr>
        <w:t>Analiza postojećeg stanja je ukazala da je kvalitet usluga u oblasti PVO neujednačen</w:t>
      </w:r>
      <w:r w:rsidR="00926B54" w:rsidRPr="00B35962">
        <w:rPr>
          <w:lang w:val="sr-Latn-ME"/>
        </w:rPr>
        <w:t>,</w:t>
      </w:r>
      <w:r w:rsidRPr="00B35962">
        <w:rPr>
          <w:lang w:val="sr-Latn-ME"/>
        </w:rPr>
        <w:t xml:space="preserve"> </w:t>
      </w:r>
      <w:r w:rsidR="0059437D" w:rsidRPr="00B35962">
        <w:rPr>
          <w:lang w:val="sr-Latn-ME"/>
        </w:rPr>
        <w:t xml:space="preserve">što je </w:t>
      </w:r>
      <w:r w:rsidRPr="00B35962">
        <w:rPr>
          <w:lang w:val="sr-Latn-ME"/>
        </w:rPr>
        <w:t>dobrim d</w:t>
      </w:r>
      <w:r w:rsidR="00926B54" w:rsidRPr="00B35962">
        <w:rPr>
          <w:lang w:val="sr-Latn-ME"/>
        </w:rPr>
        <w:t>i</w:t>
      </w:r>
      <w:r w:rsidRPr="00B35962">
        <w:rPr>
          <w:lang w:val="sr-Latn-ME"/>
        </w:rPr>
        <w:t xml:space="preserve">jelom rezultat činjenice da različite PU funkcionišu u veoma različitim uslovima. </w:t>
      </w:r>
      <w:r w:rsidR="0059437D" w:rsidRPr="00B35962">
        <w:rPr>
          <w:lang w:val="sr-Latn-ME"/>
        </w:rPr>
        <w:t>Ipak, o</w:t>
      </w:r>
      <w:r w:rsidRPr="00B35962">
        <w:rPr>
          <w:lang w:val="sr-Latn-ME"/>
        </w:rPr>
        <w:t xml:space="preserve">vaj nalaz ukazuje na potrebu da se u narednom periodu radi na razvoju djelotvornog sistema za praćenje i </w:t>
      </w:r>
      <w:r w:rsidR="00F23D87" w:rsidRPr="00B35962">
        <w:rPr>
          <w:lang w:val="sr-Latn-ME"/>
        </w:rPr>
        <w:t>obezbjeđivanje</w:t>
      </w:r>
      <w:r w:rsidRPr="00B35962">
        <w:rPr>
          <w:lang w:val="sr-Latn-ME"/>
        </w:rPr>
        <w:t xml:space="preserve"> kvaliteta u PVO</w:t>
      </w:r>
      <w:r w:rsidR="0059437D" w:rsidRPr="00B35962">
        <w:rPr>
          <w:lang w:val="sr-Latn-ME"/>
        </w:rPr>
        <w:t xml:space="preserve"> koji će biti usklađen sa novim planom i programom </w:t>
      </w:r>
      <w:r w:rsidR="006D0040" w:rsidRPr="00B35962">
        <w:rPr>
          <w:lang w:val="sr-Latn-ME"/>
        </w:rPr>
        <w:t xml:space="preserve">PVO </w:t>
      </w:r>
      <w:r w:rsidRPr="00B35962">
        <w:rPr>
          <w:lang w:val="sr-Latn-ME"/>
        </w:rPr>
        <w:t xml:space="preserve">i </w:t>
      </w:r>
      <w:r w:rsidR="0059437D" w:rsidRPr="00B35962">
        <w:rPr>
          <w:lang w:val="sr-Latn-ME"/>
        </w:rPr>
        <w:t xml:space="preserve">inoviranim </w:t>
      </w:r>
      <w:r w:rsidRPr="00B35962">
        <w:rPr>
          <w:lang w:val="sr-Latn-ME"/>
        </w:rPr>
        <w:t>sistem</w:t>
      </w:r>
      <w:r w:rsidR="0059437D" w:rsidRPr="00B35962">
        <w:rPr>
          <w:lang w:val="sr-Latn-ME"/>
        </w:rPr>
        <w:t>om</w:t>
      </w:r>
      <w:r w:rsidRPr="00B35962">
        <w:rPr>
          <w:lang w:val="sr-Latn-ME"/>
        </w:rPr>
        <w:t xml:space="preserve"> profesionalnog </w:t>
      </w:r>
      <w:r w:rsidR="0059437D" w:rsidRPr="00B35962">
        <w:rPr>
          <w:lang w:val="sr-Latn-ME"/>
        </w:rPr>
        <w:t>razvoja</w:t>
      </w:r>
      <w:r w:rsidRPr="00B35962">
        <w:rPr>
          <w:lang w:val="sr-Latn-ME"/>
        </w:rPr>
        <w:t xml:space="preserve">. </w:t>
      </w:r>
    </w:p>
    <w:p w14:paraId="6A613137" w14:textId="77777777" w:rsidR="00566A90" w:rsidRPr="00B35962" w:rsidRDefault="00566A90" w:rsidP="009E2114">
      <w:pPr>
        <w:rPr>
          <w:lang w:val="sr-Latn-ME"/>
        </w:rPr>
      </w:pPr>
    </w:p>
    <w:p w14:paraId="2DA9EC77" w14:textId="77777777" w:rsidR="009E2114" w:rsidRPr="00B35962" w:rsidRDefault="00204739" w:rsidP="009E2114">
      <w:pPr>
        <w:rPr>
          <w:lang w:val="sr-Latn-ME"/>
        </w:rPr>
      </w:pPr>
      <w:r w:rsidRPr="00B35962">
        <w:rPr>
          <w:lang w:val="sr-Latn-ME"/>
        </w:rPr>
        <w:t>N</w:t>
      </w:r>
      <w:r w:rsidR="009E2114" w:rsidRPr="00B35962">
        <w:rPr>
          <w:lang w:val="sr-Latn-ME"/>
        </w:rPr>
        <w:t xml:space="preserve">ovi sistem </w:t>
      </w:r>
      <w:r w:rsidR="00DE64AC" w:rsidRPr="00B35962">
        <w:rPr>
          <w:lang w:val="sr-Latn-ME"/>
        </w:rPr>
        <w:t>obezb</w:t>
      </w:r>
      <w:r w:rsidR="00566A90" w:rsidRPr="00B35962">
        <w:rPr>
          <w:lang w:val="sr-Latn-ME"/>
        </w:rPr>
        <w:t>j</w:t>
      </w:r>
      <w:r w:rsidR="00DE64AC" w:rsidRPr="00B35962">
        <w:rPr>
          <w:lang w:val="sr-Latn-ME"/>
        </w:rPr>
        <w:t>eđivanj</w:t>
      </w:r>
      <w:r w:rsidR="009E2114" w:rsidRPr="00B35962">
        <w:rPr>
          <w:lang w:val="sr-Latn-ME"/>
        </w:rPr>
        <w:t xml:space="preserve">a kvaliteta treba da (a) integriše postojeće mehanizme koji su uspostavljeni u prethodnom periodu (npr. MEIS, školski portal, pedagoški nadzor, sajmovi inovativnih praksi, </w:t>
      </w:r>
      <w:r w:rsidR="000E36CF" w:rsidRPr="00B35962">
        <w:rPr>
          <w:lang w:val="sr-Latn-ME"/>
        </w:rPr>
        <w:t xml:space="preserve">aktivno </w:t>
      </w:r>
      <w:r w:rsidRPr="00B35962">
        <w:rPr>
          <w:lang w:val="sr-Latn-ME"/>
        </w:rPr>
        <w:t xml:space="preserve">praktično vođenje, </w:t>
      </w:r>
      <w:r w:rsidR="009E2114" w:rsidRPr="00B35962">
        <w:rPr>
          <w:lang w:val="sr-Latn-ME"/>
        </w:rPr>
        <w:t>istraživanja itd.) i razvije dodatne mehanizme (npr. centri izvrsnosti</w:t>
      </w:r>
      <w:r w:rsidR="00181946" w:rsidRPr="00B35962">
        <w:rPr>
          <w:lang w:val="sr-Latn-ME"/>
        </w:rPr>
        <w:t xml:space="preserve">, </w:t>
      </w:r>
      <w:r w:rsidR="00B207CC" w:rsidRPr="00B35962">
        <w:rPr>
          <w:lang w:val="sr-Latn-ME"/>
        </w:rPr>
        <w:t xml:space="preserve">vježbaonice, </w:t>
      </w:r>
      <w:r w:rsidR="00181946" w:rsidRPr="00B35962">
        <w:rPr>
          <w:lang w:val="sr-Latn-ME"/>
        </w:rPr>
        <w:t>vaspitači mentori</w:t>
      </w:r>
      <w:r w:rsidR="00B207CC" w:rsidRPr="00B35962">
        <w:rPr>
          <w:lang w:val="sr-Latn-ME"/>
        </w:rPr>
        <w:t>, aktivno praktično vođenje</w:t>
      </w:r>
      <w:r w:rsidR="009E2114" w:rsidRPr="00B35962">
        <w:rPr>
          <w:lang w:val="sr-Latn-ME"/>
        </w:rPr>
        <w:t xml:space="preserve"> itd.) u jedinstven, koherentan, djelotvoran i efikasan sistem, </w:t>
      </w:r>
      <w:r w:rsidR="00F75757" w:rsidRPr="00B35962">
        <w:rPr>
          <w:lang w:val="sr-Latn-ME"/>
        </w:rPr>
        <w:t xml:space="preserve">i </w:t>
      </w:r>
      <w:r w:rsidR="009E2114" w:rsidRPr="00B35962">
        <w:rPr>
          <w:lang w:val="sr-Latn-ME"/>
        </w:rPr>
        <w:t>(b) obezb</w:t>
      </w:r>
      <w:r w:rsidR="00F23D87" w:rsidRPr="00B35962">
        <w:rPr>
          <w:lang w:val="sr-Latn-ME"/>
        </w:rPr>
        <w:t>ij</w:t>
      </w:r>
      <w:r w:rsidR="009E2114" w:rsidRPr="00B35962">
        <w:rPr>
          <w:lang w:val="sr-Latn-ME"/>
        </w:rPr>
        <w:t>edi redovno praćenje kvaliteta na nivou c</w:t>
      </w:r>
      <w:r w:rsidR="00AE623F" w:rsidRPr="00B35962">
        <w:rPr>
          <w:lang w:val="sr-Latn-ME"/>
        </w:rPr>
        <w:t>i</w:t>
      </w:r>
      <w:r w:rsidR="009E2114" w:rsidRPr="00B35962">
        <w:rPr>
          <w:lang w:val="sr-Latn-ME"/>
        </w:rPr>
        <w:t xml:space="preserve">jelog sistema PVO i na nivou pojedinačnih PU i da prije svega bude usmjeren ka </w:t>
      </w:r>
      <w:r w:rsidR="00B207CC" w:rsidRPr="00B35962">
        <w:rPr>
          <w:lang w:val="sr-Latn-ME"/>
        </w:rPr>
        <w:t xml:space="preserve">savjetodavnom radu i </w:t>
      </w:r>
      <w:r w:rsidR="009E2114" w:rsidRPr="00B35962">
        <w:rPr>
          <w:lang w:val="sr-Latn-ME"/>
        </w:rPr>
        <w:t>unapređivanju kvaliteta, a ne</w:t>
      </w:r>
      <w:r w:rsidR="00B207CC" w:rsidRPr="00B35962">
        <w:rPr>
          <w:lang w:val="sr-Latn-ME"/>
        </w:rPr>
        <w:t xml:space="preserve"> ka</w:t>
      </w:r>
      <w:r w:rsidR="009E2114" w:rsidRPr="00B35962">
        <w:rPr>
          <w:lang w:val="sr-Latn-ME"/>
        </w:rPr>
        <w:t xml:space="preserve"> administrativnoj kontroli </w:t>
      </w:r>
      <w:r w:rsidR="00B207CC" w:rsidRPr="00B35962">
        <w:rPr>
          <w:lang w:val="sr-Latn-ME"/>
        </w:rPr>
        <w:t>i u tom smislu je posebno važno osavremeniti postojeći sistem pedagoškog nadzora</w:t>
      </w:r>
      <w:r w:rsidR="00F75757" w:rsidRPr="00B35962">
        <w:rPr>
          <w:lang w:val="sr-Latn-ME"/>
        </w:rPr>
        <w:t>.</w:t>
      </w:r>
    </w:p>
    <w:p w14:paraId="6AE150C4" w14:textId="2B3DF2D5"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2.</w:t>
      </w:r>
      <w:r w:rsidR="00B501A8" w:rsidRPr="00B35962">
        <w:rPr>
          <w:i/>
          <w:lang w:val="sr-Latn-ME"/>
        </w:rPr>
        <w:t>6</w:t>
      </w:r>
      <w:r w:rsidR="009E2114" w:rsidRPr="00B35962">
        <w:rPr>
          <w:i/>
          <w:lang w:val="sr-Latn-ME"/>
        </w:rPr>
        <w:t>: Jačanje podrške roditeljima i porodicama</w:t>
      </w:r>
    </w:p>
    <w:p w14:paraId="60E4709A" w14:textId="77777777" w:rsidR="009E2114" w:rsidRPr="00B35962" w:rsidRDefault="009E2114" w:rsidP="009E2114">
      <w:pPr>
        <w:rPr>
          <w:lang w:val="sr-Latn-ME"/>
        </w:rPr>
      </w:pPr>
      <w:r w:rsidRPr="00B35962">
        <w:rPr>
          <w:lang w:val="sr-Latn-ME"/>
        </w:rPr>
        <w:t xml:space="preserve">Analiza postojećeg stanja je ukazala da postoji potreba da se ojača važna funkcija PVO koja se odnosi na pružanje podrške roditeljima u </w:t>
      </w:r>
      <w:r w:rsidR="00F23D87" w:rsidRPr="00B35962">
        <w:rPr>
          <w:lang w:val="sr-Latn-ME"/>
        </w:rPr>
        <w:t>obezbjeđivanju</w:t>
      </w:r>
      <w:r w:rsidRPr="00B35962">
        <w:rPr>
          <w:lang w:val="sr-Latn-ME"/>
        </w:rPr>
        <w:t xml:space="preserve"> razvojno podsticajnog okruženja u porodici</w:t>
      </w:r>
      <w:r w:rsidR="00436F16" w:rsidRPr="00B35962">
        <w:rPr>
          <w:lang w:val="sr-Latn-ME"/>
        </w:rPr>
        <w:t xml:space="preserve"> </w:t>
      </w:r>
      <w:r w:rsidR="009753CB" w:rsidRPr="00B35962">
        <w:rPr>
          <w:lang w:val="sr-Latn-ME"/>
        </w:rPr>
        <w:t>(uključujući i zdravu iskranu i važnost fizičke aktivnosti)</w:t>
      </w:r>
      <w:r w:rsidR="00926B54" w:rsidRPr="00B35962">
        <w:rPr>
          <w:lang w:val="sr-Latn-ME"/>
        </w:rPr>
        <w:t>,</w:t>
      </w:r>
      <w:r w:rsidR="009753CB" w:rsidRPr="00B35962">
        <w:rPr>
          <w:lang w:val="sr-Latn-ME"/>
        </w:rPr>
        <w:t xml:space="preserve"> </w:t>
      </w:r>
      <w:r w:rsidR="00436F16" w:rsidRPr="00B35962">
        <w:rPr>
          <w:lang w:val="sr-Latn-ME"/>
        </w:rPr>
        <w:t>oslanjajući se na dobra iskustva iz dosadašnje prakse primjene programa Roditeljstvo za cjeloživotno zdravlj</w:t>
      </w:r>
      <w:r w:rsidR="00926B54" w:rsidRPr="00B35962">
        <w:rPr>
          <w:lang w:val="sr-Latn-ME"/>
        </w:rPr>
        <w:t>e</w:t>
      </w:r>
      <w:r w:rsidR="00436F16" w:rsidRPr="00B35962">
        <w:rPr>
          <w:lang w:val="sr-Latn-ME"/>
        </w:rPr>
        <w:t>.</w:t>
      </w:r>
    </w:p>
    <w:p w14:paraId="36C0B876" w14:textId="77777777" w:rsidR="00D70D59" w:rsidRPr="00B35962" w:rsidRDefault="00D70D59" w:rsidP="009E2114">
      <w:pPr>
        <w:rPr>
          <w:lang w:val="sr-Latn-ME"/>
        </w:rPr>
      </w:pPr>
    </w:p>
    <w:p w14:paraId="1A714BA7" w14:textId="77777777" w:rsidR="009E2114" w:rsidRPr="00B35962" w:rsidRDefault="009E2114" w:rsidP="009E2114">
      <w:pPr>
        <w:rPr>
          <w:lang w:val="sr-Latn-ME"/>
        </w:rPr>
      </w:pPr>
      <w:r w:rsidRPr="00B35962">
        <w:rPr>
          <w:lang w:val="sr-Latn-ME"/>
        </w:rPr>
        <w:t>Iz tog razloga postoji potreba da se u sadašnjoj praksi rada PU ojača saradnja sa roditeljima</w:t>
      </w:r>
      <w:r w:rsidR="00050BB5" w:rsidRPr="00B35962">
        <w:rPr>
          <w:lang w:val="sr-Latn-ME"/>
        </w:rPr>
        <w:t xml:space="preserve"> sa posebnim naglaskom na </w:t>
      </w:r>
      <w:r w:rsidRPr="00B35962">
        <w:rPr>
          <w:lang w:val="sr-Latn-ME"/>
        </w:rPr>
        <w:t xml:space="preserve">pružanje podrške roditeljima u </w:t>
      </w:r>
      <w:r w:rsidR="00F23D87" w:rsidRPr="00B35962">
        <w:rPr>
          <w:lang w:val="sr-Latn-ME"/>
        </w:rPr>
        <w:t>obezbjeđivanju</w:t>
      </w:r>
      <w:r w:rsidRPr="00B35962">
        <w:rPr>
          <w:lang w:val="sr-Latn-ME"/>
        </w:rPr>
        <w:t xml:space="preserve"> razvojno adekvatnog </w:t>
      </w:r>
      <w:r w:rsidRPr="00B35962">
        <w:rPr>
          <w:lang w:val="sr-Latn-ME"/>
        </w:rPr>
        <w:lastRenderedPageBreak/>
        <w:t>okruženja za rani razvoj u okviru porodice</w:t>
      </w:r>
      <w:r w:rsidR="00AE623F" w:rsidRPr="00B35962">
        <w:rPr>
          <w:rStyle w:val="FootnoteReference"/>
          <w:lang w:val="sr-Latn-ME"/>
        </w:rPr>
        <w:footnoteReference w:id="23"/>
      </w:r>
      <w:r w:rsidRPr="00B35962">
        <w:rPr>
          <w:lang w:val="sr-Latn-ME"/>
        </w:rPr>
        <w:t>. Ovaj cilj je važan kako u slučaju roditelja čija su djeca uključena u rad PU,  tako i u slučaju roditelja čija djeca ni</w:t>
      </w:r>
      <w:r w:rsidR="00926B54" w:rsidRPr="00B35962">
        <w:rPr>
          <w:lang w:val="sr-Latn-ME"/>
        </w:rPr>
        <w:t>je</w:t>
      </w:r>
      <w:r w:rsidRPr="00B35962">
        <w:rPr>
          <w:lang w:val="sr-Latn-ME"/>
        </w:rPr>
        <w:t xml:space="preserve">su uključena. </w:t>
      </w:r>
      <w:r w:rsidR="002A3069" w:rsidRPr="00B35962">
        <w:rPr>
          <w:lang w:val="sr-Latn-ME"/>
        </w:rPr>
        <w:t>Zbog toga je potrebno uraditi kompilacijski program koji bi imao najširu moguću upotrebu, bio fleksibilan i jednostavan za prilagođavanje u konkretnom ambijentu ili pojedinim ciljnim grupama.</w:t>
      </w:r>
    </w:p>
    <w:p w14:paraId="077015C5" w14:textId="77777777" w:rsidR="00566A90" w:rsidRPr="00B35962" w:rsidRDefault="00566A90" w:rsidP="00F2406C">
      <w:pPr>
        <w:rPr>
          <w:lang w:val="sr-Latn-ME"/>
        </w:rPr>
      </w:pPr>
    </w:p>
    <w:p w14:paraId="71FFE0B5" w14:textId="77777777" w:rsidR="003F19F8" w:rsidRPr="00B35962" w:rsidRDefault="009E2114" w:rsidP="00F2406C">
      <w:pPr>
        <w:rPr>
          <w:lang w:val="sr-Latn-ME"/>
        </w:rPr>
      </w:pPr>
      <w:r w:rsidRPr="00B35962">
        <w:rPr>
          <w:lang w:val="sr-Latn-ME"/>
        </w:rPr>
        <w:t xml:space="preserve">Imajući u vidu da </w:t>
      </w:r>
      <w:r w:rsidR="00F2406C" w:rsidRPr="00B35962">
        <w:rPr>
          <w:lang w:val="sr-Latn-ME"/>
        </w:rPr>
        <w:t xml:space="preserve">jedan broj djece nije uključen u PVO (što je posebno slučaj sa djecom </w:t>
      </w:r>
      <w:r w:rsidRPr="00B35962">
        <w:rPr>
          <w:lang w:val="sr-Latn-ME"/>
        </w:rPr>
        <w:t>jaslenog uzrasta</w:t>
      </w:r>
      <w:r w:rsidR="00F2406C" w:rsidRPr="00B35962">
        <w:rPr>
          <w:lang w:val="sr-Latn-ME"/>
        </w:rPr>
        <w:t>)</w:t>
      </w:r>
      <w:r w:rsidRPr="00B35962">
        <w:rPr>
          <w:lang w:val="sr-Latn-ME"/>
        </w:rPr>
        <w:t xml:space="preserve"> bilo bi od posebne važnosti da se razvije program za pružanj</w:t>
      </w:r>
      <w:r w:rsidR="00926B54" w:rsidRPr="00B35962">
        <w:rPr>
          <w:lang w:val="sr-Latn-ME"/>
        </w:rPr>
        <w:t>e</w:t>
      </w:r>
      <w:r w:rsidRPr="00B35962">
        <w:rPr>
          <w:lang w:val="sr-Latn-ME"/>
        </w:rPr>
        <w:t xml:space="preserve"> podrške roditeljima djece </w:t>
      </w:r>
      <w:r w:rsidR="00F2406C" w:rsidRPr="00B35962">
        <w:rPr>
          <w:lang w:val="sr-Latn-ME"/>
        </w:rPr>
        <w:t>koja ni</w:t>
      </w:r>
      <w:r w:rsidR="00926B54" w:rsidRPr="00B35962">
        <w:rPr>
          <w:lang w:val="sr-Latn-ME"/>
        </w:rPr>
        <w:t>je</w:t>
      </w:r>
      <w:r w:rsidR="00F2406C" w:rsidRPr="00B35962">
        <w:rPr>
          <w:lang w:val="sr-Latn-ME"/>
        </w:rPr>
        <w:t>su uključeni u PVO</w:t>
      </w:r>
      <w:r w:rsidRPr="00B35962">
        <w:rPr>
          <w:lang w:val="sr-Latn-ME"/>
        </w:rPr>
        <w:t>.</w:t>
      </w:r>
      <w:r w:rsidR="00F2406C" w:rsidRPr="00B35962">
        <w:rPr>
          <w:lang w:val="sr-Latn-ME"/>
        </w:rPr>
        <w:t xml:space="preserve"> Jedan od način</w:t>
      </w:r>
      <w:r w:rsidR="00926B54" w:rsidRPr="00B35962">
        <w:rPr>
          <w:lang w:val="sr-Latn-ME"/>
        </w:rPr>
        <w:t>a</w:t>
      </w:r>
      <w:r w:rsidR="00F2406C" w:rsidRPr="00B35962">
        <w:rPr>
          <w:lang w:val="sr-Latn-ME"/>
        </w:rPr>
        <w:t xml:space="preserve"> da se pruži podrška roditeljima čija djeca ni</w:t>
      </w:r>
      <w:r w:rsidR="00926B54" w:rsidRPr="00B35962">
        <w:rPr>
          <w:lang w:val="sr-Latn-ME"/>
        </w:rPr>
        <w:t>je</w:t>
      </w:r>
      <w:r w:rsidR="00F2406C" w:rsidRPr="00B35962">
        <w:rPr>
          <w:lang w:val="sr-Latn-ME"/>
        </w:rPr>
        <w:t>su uključena u PVO</w:t>
      </w:r>
      <w:r w:rsidRPr="00B35962">
        <w:rPr>
          <w:lang w:val="sr-Latn-ME"/>
        </w:rPr>
        <w:t xml:space="preserve"> </w:t>
      </w:r>
      <w:r w:rsidR="00F2406C" w:rsidRPr="00B35962">
        <w:rPr>
          <w:lang w:val="sr-Latn-ME"/>
        </w:rPr>
        <w:t xml:space="preserve">mogu biti kratki programi koje bi realizovale PU, kao i </w:t>
      </w:r>
      <w:r w:rsidRPr="00B35962">
        <w:rPr>
          <w:lang w:val="sr-Latn-ME"/>
        </w:rPr>
        <w:t>kreiranje i produkcij</w:t>
      </w:r>
      <w:r w:rsidR="00F2406C" w:rsidRPr="00B35962">
        <w:rPr>
          <w:lang w:val="sr-Latn-ME"/>
        </w:rPr>
        <w:t>a</w:t>
      </w:r>
      <w:r w:rsidRPr="00B35962">
        <w:rPr>
          <w:lang w:val="sr-Latn-ME"/>
        </w:rPr>
        <w:t xml:space="preserve"> medijskih sadržaja za roditelje i djecu</w:t>
      </w:r>
      <w:r w:rsidR="00F2406C" w:rsidRPr="00B35962">
        <w:rPr>
          <w:lang w:val="sr-Latn-ME"/>
        </w:rPr>
        <w:t>. Osnovni cilj kratkih programa za roditelje i medijskih sadržaja</w:t>
      </w:r>
      <w:r w:rsidR="00926B54" w:rsidRPr="00B35962">
        <w:rPr>
          <w:lang w:val="sr-Latn-ME"/>
        </w:rPr>
        <w:t xml:space="preserve"> jeste</w:t>
      </w:r>
      <w:r w:rsidR="00F2406C" w:rsidRPr="00B35962">
        <w:rPr>
          <w:lang w:val="sr-Latn-ME"/>
        </w:rPr>
        <w:t xml:space="preserve"> je da </w:t>
      </w:r>
      <w:r w:rsidRPr="00B35962">
        <w:rPr>
          <w:lang w:val="sr-Latn-ME"/>
        </w:rPr>
        <w:t>po</w:t>
      </w:r>
      <w:r w:rsidR="00F2406C" w:rsidRPr="00B35962">
        <w:rPr>
          <w:lang w:val="sr-Latn-ME"/>
        </w:rPr>
        <w:t>dignu kapacitete roditelja da obezb</w:t>
      </w:r>
      <w:r w:rsidR="00F23D87" w:rsidRPr="00B35962">
        <w:rPr>
          <w:lang w:val="sr-Latn-ME"/>
        </w:rPr>
        <w:t>ij</w:t>
      </w:r>
      <w:r w:rsidR="00F2406C" w:rsidRPr="00B35962">
        <w:rPr>
          <w:lang w:val="sr-Latn-ME"/>
        </w:rPr>
        <w:t>ede podsticajnije uslove za rani razvoj svoje djece u okviru porodičnog okruženja</w:t>
      </w:r>
      <w:r w:rsidRPr="00B35962">
        <w:rPr>
          <w:lang w:val="sr-Latn-ME"/>
        </w:rPr>
        <w:t xml:space="preserve">. </w:t>
      </w:r>
    </w:p>
    <w:p w14:paraId="005C7E2A" w14:textId="77777777" w:rsidR="00566A90" w:rsidRPr="00B35962" w:rsidRDefault="00566A90" w:rsidP="00F2406C">
      <w:pPr>
        <w:rPr>
          <w:lang w:val="sr-Latn-ME"/>
        </w:rPr>
      </w:pPr>
    </w:p>
    <w:p w14:paraId="7760AEDA" w14:textId="53BB30D0" w:rsidR="00D85DDD" w:rsidRPr="00B35962" w:rsidRDefault="00721817" w:rsidP="00F2406C">
      <w:pPr>
        <w:rPr>
          <w:lang w:val="sr-Latn-ME"/>
        </w:rPr>
      </w:pPr>
      <w:r w:rsidRPr="00B35962">
        <w:rPr>
          <w:lang w:val="sr-Latn-ME"/>
        </w:rPr>
        <w:t>U planiranju te aktivnosti treba koristiti iskustvo koj</w:t>
      </w:r>
      <w:r w:rsidR="00B46C5E" w:rsidRPr="00B35962">
        <w:rPr>
          <w:lang w:val="sr-Latn-ME"/>
        </w:rPr>
        <w:t>e</w:t>
      </w:r>
      <w:r w:rsidRPr="00B35962">
        <w:rPr>
          <w:lang w:val="sr-Latn-ME"/>
        </w:rPr>
        <w:t xml:space="preserve"> je stečeno tokom COVID-19 epidemije</w:t>
      </w:r>
      <w:r w:rsidR="003F19F8" w:rsidRPr="00B35962">
        <w:rPr>
          <w:lang w:val="sr-Latn-ME"/>
        </w:rPr>
        <w:t>, produkciju, mehanizme</w:t>
      </w:r>
      <w:r w:rsidR="00B46C5E" w:rsidRPr="00B35962">
        <w:rPr>
          <w:lang w:val="sr-Latn-ME"/>
        </w:rPr>
        <w:t xml:space="preserve"> i sadržaje koji su razvijeni u tom periodu</w:t>
      </w:r>
      <w:r w:rsidRPr="00B35962">
        <w:rPr>
          <w:lang w:val="sr-Latn-ME"/>
        </w:rPr>
        <w:t xml:space="preserve">. </w:t>
      </w:r>
      <w:r w:rsidR="003F19F8" w:rsidRPr="00B35962">
        <w:rPr>
          <w:lang w:val="sr-Latn-ME"/>
        </w:rPr>
        <w:t xml:space="preserve">Oni su korisni i veoma upotrebljivi za svakodnevan rad, kao podrška u radu interaktivnih službi, za promociju, rad u zajednici, u bolničkim uslovima: nastali materijal, procedure, tehnike rada. </w:t>
      </w:r>
      <w:r w:rsidR="009E2114" w:rsidRPr="00B35962">
        <w:rPr>
          <w:lang w:val="sr-Latn-ME"/>
        </w:rPr>
        <w:t>Pored toga, ovi sadržaji treba da budu okosnica kontinuirane saradnje sa javnim medijskim servisom u Crnoj Gori kako bi se oni učinili dostupnim svima, posebno porodicama čija djeca ni</w:t>
      </w:r>
      <w:r w:rsidR="00D91575" w:rsidRPr="00B35962">
        <w:rPr>
          <w:lang w:val="sr-Latn-ME"/>
        </w:rPr>
        <w:t>je</w:t>
      </w:r>
      <w:r w:rsidR="009E2114" w:rsidRPr="00B35962">
        <w:rPr>
          <w:lang w:val="sr-Latn-ME"/>
        </w:rPr>
        <w:t xml:space="preserve">su uključena u PVO. </w:t>
      </w:r>
      <w:r w:rsidR="0032150B" w:rsidRPr="00B35962">
        <w:rPr>
          <w:lang w:val="sr-Latn-ME"/>
        </w:rPr>
        <w:t>Važno je pomenuti da je digitalizacija obrazovanja jedna od ključnih razvojnih oblasti Ministarstva prosvjete,</w:t>
      </w:r>
      <w:r w:rsidR="00B517F2">
        <w:rPr>
          <w:lang w:val="sr-Latn-ME"/>
        </w:rPr>
        <w:t xml:space="preserve"> kulture, nauke i sporta</w:t>
      </w:r>
      <w:r w:rsidR="0032150B" w:rsidRPr="00B35962">
        <w:rPr>
          <w:lang w:val="sr-Latn-ME"/>
        </w:rPr>
        <w:t xml:space="preserve"> u tom kontekstu i razvoj platforme za učenje na daljinu. Razvoj materijala podrške za roditelje i djecu predškolskog uzrasta biće jedna od aktivnosti </w:t>
      </w:r>
      <w:r w:rsidR="00B517F2">
        <w:rPr>
          <w:lang w:val="sr-Latn-ME"/>
        </w:rPr>
        <w:t>koje slijede</w:t>
      </w:r>
      <w:r w:rsidR="0032150B" w:rsidRPr="00B35962">
        <w:rPr>
          <w:lang w:val="sr-Latn-ME"/>
        </w:rPr>
        <w:t xml:space="preserve">. </w:t>
      </w:r>
    </w:p>
    <w:p w14:paraId="5320D7BC" w14:textId="77777777" w:rsidR="00566A90" w:rsidRPr="00B35962" w:rsidRDefault="00566A90" w:rsidP="009E2114">
      <w:pPr>
        <w:rPr>
          <w:lang w:val="sr-Latn-ME"/>
        </w:rPr>
      </w:pPr>
    </w:p>
    <w:p w14:paraId="2E0116CC" w14:textId="77777777" w:rsidR="009E2114" w:rsidRPr="00B35962" w:rsidRDefault="00D85DDD" w:rsidP="009E2114">
      <w:pPr>
        <w:rPr>
          <w:lang w:val="sr-Latn-ME"/>
        </w:rPr>
      </w:pPr>
      <w:r w:rsidRPr="00B35962">
        <w:rPr>
          <w:lang w:val="sr-Latn-ME"/>
        </w:rPr>
        <w:t>Program rada sa roditeljima treba da bud</w:t>
      </w:r>
      <w:r w:rsidR="00F2406C" w:rsidRPr="00B35962">
        <w:rPr>
          <w:lang w:val="sr-Latn-ME"/>
        </w:rPr>
        <w:t>u</w:t>
      </w:r>
      <w:r w:rsidRPr="00B35962">
        <w:rPr>
          <w:lang w:val="sr-Latn-ME"/>
        </w:rPr>
        <w:t xml:space="preserve"> razvijen</w:t>
      </w:r>
      <w:r w:rsidR="00F2406C" w:rsidRPr="00B35962">
        <w:rPr>
          <w:lang w:val="sr-Latn-ME"/>
        </w:rPr>
        <w:t>i</w:t>
      </w:r>
      <w:r w:rsidRPr="00B35962">
        <w:rPr>
          <w:lang w:val="sr-Latn-ME"/>
        </w:rPr>
        <w:t xml:space="preserve"> u saradnji sa praktičarima i </w:t>
      </w:r>
      <w:r w:rsidR="003F19F8" w:rsidRPr="00B35962">
        <w:rPr>
          <w:lang w:val="sr-Latn-ME"/>
        </w:rPr>
        <w:t>civilnim sektorom</w:t>
      </w:r>
      <w:r w:rsidRPr="00B35962">
        <w:rPr>
          <w:lang w:val="sr-Latn-ME"/>
        </w:rPr>
        <w:t xml:space="preserve"> kako bi bi</w:t>
      </w:r>
      <w:r w:rsidR="00645EF7" w:rsidRPr="00B35962">
        <w:rPr>
          <w:lang w:val="sr-Latn-ME"/>
        </w:rPr>
        <w:t>o</w:t>
      </w:r>
      <w:r w:rsidRPr="00B35962">
        <w:rPr>
          <w:lang w:val="sr-Latn-ME"/>
        </w:rPr>
        <w:t xml:space="preserve"> realistič</w:t>
      </w:r>
      <w:r w:rsidR="00645EF7" w:rsidRPr="00B35962">
        <w:rPr>
          <w:lang w:val="sr-Latn-ME"/>
        </w:rPr>
        <w:t>a</w:t>
      </w:r>
      <w:r w:rsidRPr="00B35962">
        <w:rPr>
          <w:lang w:val="sr-Latn-ME"/>
        </w:rPr>
        <w:t>n i kako bi odgovori</w:t>
      </w:r>
      <w:r w:rsidR="00645EF7" w:rsidRPr="00B35962">
        <w:rPr>
          <w:lang w:val="sr-Latn-ME"/>
        </w:rPr>
        <w:t>o</w:t>
      </w:r>
      <w:r w:rsidRPr="00B35962">
        <w:rPr>
          <w:lang w:val="sr-Latn-ME"/>
        </w:rPr>
        <w:t xml:space="preserve"> na potrebe roditelja. Nakon razvoja programa treba ga pilotirati kako bi bio finalizovan na osnovu nalaza iz pilot studije. Ovaj program treba da se razvija i pilotira zajedno sa novim </w:t>
      </w:r>
      <w:r w:rsidR="00D31D81" w:rsidRPr="00B35962">
        <w:rPr>
          <w:lang w:val="sr-Latn-ME"/>
        </w:rPr>
        <w:t>planom i programom</w:t>
      </w:r>
      <w:r w:rsidR="00F2406C" w:rsidRPr="00B35962">
        <w:rPr>
          <w:lang w:val="sr-Latn-ME"/>
        </w:rPr>
        <w:t xml:space="preserve"> </w:t>
      </w:r>
      <w:r w:rsidR="006D0040" w:rsidRPr="00B35962">
        <w:rPr>
          <w:lang w:val="sr-Latn-ME"/>
        </w:rPr>
        <w:t xml:space="preserve">PVO </w:t>
      </w:r>
      <w:r w:rsidR="00F2406C" w:rsidRPr="00B35962">
        <w:rPr>
          <w:lang w:val="sr-Latn-ME"/>
        </w:rPr>
        <w:t>pošto bi trebalo da bude usklađen sa njim</w:t>
      </w:r>
      <w:r w:rsidRPr="00B35962">
        <w:rPr>
          <w:lang w:val="sr-Latn-ME"/>
        </w:rPr>
        <w:t>.</w:t>
      </w:r>
    </w:p>
    <w:p w14:paraId="7AD45F3B" w14:textId="77777777" w:rsidR="00566A90" w:rsidRPr="00B35962" w:rsidRDefault="00566A90" w:rsidP="00645EF7">
      <w:pPr>
        <w:rPr>
          <w:lang w:val="sr-Latn-ME"/>
        </w:rPr>
      </w:pPr>
    </w:p>
    <w:p w14:paraId="40565371" w14:textId="77777777" w:rsidR="007E3A64" w:rsidRPr="00B35962" w:rsidRDefault="00645EF7" w:rsidP="00645EF7">
      <w:pPr>
        <w:rPr>
          <w:lang w:val="sr-Latn-ME"/>
        </w:rPr>
      </w:pPr>
      <w:r w:rsidRPr="00B35962">
        <w:rPr>
          <w:lang w:val="sr-Latn-ME"/>
        </w:rPr>
        <w:t>U saradnji sa MRSS programi rada sa roditeljima treba da budu prilagođeni i prim</w:t>
      </w:r>
      <w:r w:rsidR="003F19F8" w:rsidRPr="00B35962">
        <w:rPr>
          <w:lang w:val="sr-Latn-ME"/>
        </w:rPr>
        <w:t>ij</w:t>
      </w:r>
      <w:r w:rsidRPr="00B35962">
        <w:rPr>
          <w:lang w:val="sr-Latn-ME"/>
        </w:rPr>
        <w:t>enjeni za hranitelje i djecu koja žive u hraniteljskim porodicama</w:t>
      </w:r>
      <w:r w:rsidR="007B6D4F" w:rsidRPr="00B35962">
        <w:rPr>
          <w:lang w:val="sr-Latn-ME"/>
        </w:rPr>
        <w:t>.</w:t>
      </w:r>
    </w:p>
    <w:p w14:paraId="4ACBFD60" w14:textId="12D03F0E" w:rsidR="00A35036"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A35036" w:rsidRPr="00B35962">
        <w:rPr>
          <w:i/>
          <w:lang w:val="sr-Latn-ME"/>
        </w:rPr>
        <w:t>2.</w:t>
      </w:r>
      <w:r w:rsidR="008A7296" w:rsidRPr="00B35962">
        <w:rPr>
          <w:i/>
          <w:lang w:val="sr-Latn-ME"/>
        </w:rPr>
        <w:t>7</w:t>
      </w:r>
      <w:r w:rsidR="00A35036" w:rsidRPr="00B35962">
        <w:rPr>
          <w:i/>
          <w:lang w:val="sr-Latn-ME"/>
        </w:rPr>
        <w:t xml:space="preserve">: </w:t>
      </w:r>
      <w:r w:rsidR="00ED76DB" w:rsidRPr="00B35962">
        <w:rPr>
          <w:i/>
          <w:lang w:val="sr-Latn-ME"/>
        </w:rPr>
        <w:t>Revizija r</w:t>
      </w:r>
      <w:r w:rsidR="0071472D" w:rsidRPr="00B35962">
        <w:rPr>
          <w:i/>
          <w:lang w:val="sr-Latn-ME"/>
        </w:rPr>
        <w:t>ežima</w:t>
      </w:r>
      <w:r w:rsidR="00ED76DB" w:rsidRPr="00B35962">
        <w:rPr>
          <w:i/>
          <w:lang w:val="sr-Latn-ME"/>
        </w:rPr>
        <w:t xml:space="preserve"> rada i </w:t>
      </w:r>
      <w:r w:rsidR="0071472D" w:rsidRPr="00B35962">
        <w:rPr>
          <w:i/>
          <w:lang w:val="sr-Latn-ME"/>
        </w:rPr>
        <w:t>u</w:t>
      </w:r>
      <w:r w:rsidR="00A35036" w:rsidRPr="00B35962">
        <w:rPr>
          <w:i/>
          <w:lang w:val="sr-Latn-ME"/>
        </w:rPr>
        <w:t>napređenje kvaliteta ishrane u predškolskim ustanovama</w:t>
      </w:r>
    </w:p>
    <w:p w14:paraId="0EC4383A" w14:textId="77777777" w:rsidR="0071472D" w:rsidRPr="00B35962" w:rsidRDefault="0071472D" w:rsidP="009E2114">
      <w:pPr>
        <w:rPr>
          <w:lang w:val="sr-Latn-ME"/>
        </w:rPr>
      </w:pPr>
      <w:r w:rsidRPr="00B35962">
        <w:rPr>
          <w:lang w:val="sr-Latn-ME"/>
        </w:rPr>
        <w:t xml:space="preserve">U </w:t>
      </w:r>
      <w:r w:rsidR="00503F35" w:rsidRPr="00B35962">
        <w:rPr>
          <w:lang w:val="sr-Latn-ME"/>
        </w:rPr>
        <w:t>p</w:t>
      </w:r>
      <w:r w:rsidRPr="00B35962">
        <w:rPr>
          <w:lang w:val="sr-Latn-ME"/>
        </w:rPr>
        <w:t>rethodnom periodu pokrenuta je inicijativa koja treba da obezb</w:t>
      </w:r>
      <w:r w:rsidR="00F23D87" w:rsidRPr="00B35962">
        <w:rPr>
          <w:lang w:val="sr-Latn-ME"/>
        </w:rPr>
        <w:t>ij</w:t>
      </w:r>
      <w:r w:rsidRPr="00B35962">
        <w:rPr>
          <w:lang w:val="sr-Latn-ME"/>
        </w:rPr>
        <w:t>edi prilagođavanje r</w:t>
      </w:r>
      <w:r w:rsidR="00503F35" w:rsidRPr="00B35962">
        <w:rPr>
          <w:lang w:val="sr-Latn-ME"/>
        </w:rPr>
        <w:t>ežima rada u PU</w:t>
      </w:r>
      <w:r w:rsidR="00D91575" w:rsidRPr="00B35962">
        <w:rPr>
          <w:lang w:val="sr-Latn-ME"/>
        </w:rPr>
        <w:t>,</w:t>
      </w:r>
      <w:r w:rsidR="00503F35" w:rsidRPr="00B35962">
        <w:rPr>
          <w:lang w:val="sr-Latn-ME"/>
        </w:rPr>
        <w:t xml:space="preserve"> posebno kada su u pitanju djeca </w:t>
      </w:r>
      <w:r w:rsidR="00470F0A" w:rsidRPr="00B35962">
        <w:rPr>
          <w:lang w:val="sr-Latn-ME"/>
        </w:rPr>
        <w:t xml:space="preserve">koja će naredne godine preći u osnovno obrazovanje. To podrazumijeva fleksibilniji ritam rada za najstariju grupu djece </w:t>
      </w:r>
      <w:r w:rsidR="00D91575" w:rsidRPr="00B35962">
        <w:rPr>
          <w:lang w:val="sr-Latn-ME"/>
        </w:rPr>
        <w:t xml:space="preserve">naročito </w:t>
      </w:r>
      <w:r w:rsidR="00470F0A" w:rsidRPr="00B35962">
        <w:rPr>
          <w:lang w:val="sr-Latn-ME"/>
        </w:rPr>
        <w:t xml:space="preserve"> kada je </w:t>
      </w:r>
      <w:r w:rsidR="00470F0A" w:rsidRPr="00B35962">
        <w:rPr>
          <w:lang w:val="sr-Latn-ME"/>
        </w:rPr>
        <w:lastRenderedPageBreak/>
        <w:t>u pitanju obavezno spavanje</w:t>
      </w:r>
      <w:r w:rsidR="00D91575" w:rsidRPr="00B35962">
        <w:rPr>
          <w:lang w:val="sr-Latn-ME"/>
        </w:rPr>
        <w:t>,</w:t>
      </w:r>
      <w:r w:rsidRPr="00B35962">
        <w:rPr>
          <w:lang w:val="sr-Latn-ME"/>
        </w:rPr>
        <w:t xml:space="preserve"> </w:t>
      </w:r>
      <w:r w:rsidR="00470F0A" w:rsidRPr="00B35962">
        <w:rPr>
          <w:lang w:val="sr-Latn-ME"/>
        </w:rPr>
        <w:t xml:space="preserve">kako bi se </w:t>
      </w:r>
      <w:r w:rsidR="00C43173" w:rsidRPr="00B35962">
        <w:rPr>
          <w:lang w:val="sr-Latn-ME"/>
        </w:rPr>
        <w:t xml:space="preserve">blagovremeno </w:t>
      </w:r>
      <w:r w:rsidR="00470F0A" w:rsidRPr="00B35962">
        <w:rPr>
          <w:lang w:val="sr-Latn-ME"/>
        </w:rPr>
        <w:t>pripremili za drugačiji dnevni ritam koji će imati u okviru osnovnog obrazovanja. Uvođenje novog režima rada treba da bud</w:t>
      </w:r>
      <w:r w:rsidR="00D91575" w:rsidRPr="00B35962">
        <w:rPr>
          <w:lang w:val="sr-Latn-ME"/>
        </w:rPr>
        <w:t>e</w:t>
      </w:r>
      <w:r w:rsidR="00470F0A" w:rsidRPr="00B35962">
        <w:rPr>
          <w:lang w:val="sr-Latn-ME"/>
        </w:rPr>
        <w:t xml:space="preserve"> realizovan </w:t>
      </w:r>
      <w:r w:rsidR="00EE047D" w:rsidRPr="00B35962">
        <w:rPr>
          <w:lang w:val="sr-Latn-ME"/>
        </w:rPr>
        <w:t xml:space="preserve">tako da se prate potrebe djece i </w:t>
      </w:r>
      <w:r w:rsidR="00470F0A" w:rsidRPr="00B35962">
        <w:rPr>
          <w:lang w:val="sr-Latn-ME"/>
        </w:rPr>
        <w:t>u saradnji sa roditeljima</w:t>
      </w:r>
      <w:r w:rsidR="00EE047D" w:rsidRPr="00B35962">
        <w:rPr>
          <w:lang w:val="sr-Latn-ME"/>
        </w:rPr>
        <w:t>. Pored toga, uvođenje novog režima rada</w:t>
      </w:r>
      <w:r w:rsidR="00470F0A" w:rsidRPr="00B35962">
        <w:rPr>
          <w:lang w:val="sr-Latn-ME"/>
        </w:rPr>
        <w:t xml:space="preserve"> treba da bude usklađen</w:t>
      </w:r>
      <w:r w:rsidR="00D91575" w:rsidRPr="00B35962">
        <w:rPr>
          <w:lang w:val="sr-Latn-ME"/>
        </w:rPr>
        <w:t>o</w:t>
      </w:r>
      <w:r w:rsidR="00470F0A" w:rsidRPr="00B35962">
        <w:rPr>
          <w:lang w:val="sr-Latn-ME"/>
        </w:rPr>
        <w:t xml:space="preserve"> </w:t>
      </w:r>
      <w:r w:rsidR="00EE047D" w:rsidRPr="00B35962">
        <w:rPr>
          <w:lang w:val="sr-Latn-ME"/>
        </w:rPr>
        <w:t xml:space="preserve">i </w:t>
      </w:r>
      <w:r w:rsidR="00470F0A" w:rsidRPr="00B35962">
        <w:rPr>
          <w:lang w:val="sr-Latn-ME"/>
        </w:rPr>
        <w:t xml:space="preserve">sa uslovima u kojima vrtići rade (npr. prostorne mogućnosti). </w:t>
      </w:r>
    </w:p>
    <w:p w14:paraId="18ADAF36" w14:textId="77777777" w:rsidR="00566A90" w:rsidRPr="00B35962" w:rsidRDefault="00566A90" w:rsidP="009E2114">
      <w:pPr>
        <w:rPr>
          <w:lang w:val="sr-Latn-ME"/>
        </w:rPr>
      </w:pPr>
    </w:p>
    <w:p w14:paraId="5A276F8D" w14:textId="119E1EEA" w:rsidR="00DF20A6" w:rsidRPr="00B35962" w:rsidRDefault="00470F0A" w:rsidP="009E2114">
      <w:pPr>
        <w:rPr>
          <w:lang w:val="sr-Latn-ME"/>
        </w:rPr>
      </w:pPr>
      <w:r w:rsidRPr="00B35962">
        <w:rPr>
          <w:lang w:val="sr-Latn-ME"/>
        </w:rPr>
        <w:t xml:space="preserve">Pored izmjene režima rada za najstariju djecu važno je da se unaprijedi i kvalitet ishrane u PU. </w:t>
      </w:r>
      <w:r w:rsidR="00DF20A6" w:rsidRPr="00B35962">
        <w:rPr>
          <w:lang w:val="sr-Latn-ME"/>
        </w:rPr>
        <w:t>Analiza jelovnika u predškolskim ustanovama koju je sproveo Institut za javno zdravlje Crne Gore ukazuje na neophodnost unapređenja kvaliteta ishrane u vrtićima kako bi se smanjile stope gojaznosti i prekomjerne tjelesne težine kod dječaka i djevojčica. Ovo je od posebne važnosti za djecu iz osjetljivih grupa, kojima ishrana u vrtićima može biti ključni izvor kvalitet</w:t>
      </w:r>
      <w:r w:rsidR="00984802">
        <w:rPr>
          <w:lang w:val="sr-Latn-ME"/>
        </w:rPr>
        <w:t xml:space="preserve">an izvor </w:t>
      </w:r>
      <w:r w:rsidR="00DF20A6" w:rsidRPr="00B35962">
        <w:rPr>
          <w:lang w:val="sr-Latn-ME"/>
        </w:rPr>
        <w:t>za pravilan rast i razvoj kako bi se smanjile stope zaostajanja izražene (</w:t>
      </w:r>
      <w:r w:rsidR="00DF20A6" w:rsidRPr="00B35962">
        <w:rPr>
          <w:rFonts w:cstheme="minorHAnsi"/>
          <w:lang w:val="sr-Latn-ME"/>
        </w:rPr>
        <w:t>21% romske djece ispod 5 godina starosti zaostaje u rastu, prema MICS 2018</w:t>
      </w:r>
      <w:r w:rsidR="00DF20A6" w:rsidRPr="00B35962">
        <w:rPr>
          <w:lang w:val="sr-Latn-ME"/>
        </w:rPr>
        <w:t xml:space="preserve">). Pored toga, pomenuta analiza je bila osnova i za izradu </w:t>
      </w:r>
      <w:r w:rsidR="001E531B" w:rsidRPr="00B35962">
        <w:rPr>
          <w:lang w:val="sr-Latn-ME"/>
        </w:rPr>
        <w:t>smjernica za unapređenje kvaliteta ishrane u predškolskim ustanovama</w:t>
      </w:r>
      <w:r w:rsidR="00DF20A6" w:rsidRPr="00B35962">
        <w:rPr>
          <w:lang w:val="sr-Latn-ME"/>
        </w:rPr>
        <w:t xml:space="preserve">. </w:t>
      </w:r>
    </w:p>
    <w:p w14:paraId="35EF5242" w14:textId="77777777" w:rsidR="00566A90" w:rsidRPr="00B35962" w:rsidRDefault="00566A90" w:rsidP="00E02C28">
      <w:pPr>
        <w:rPr>
          <w:lang w:val="sr-Latn-ME"/>
        </w:rPr>
      </w:pPr>
    </w:p>
    <w:p w14:paraId="3933863E" w14:textId="77777777" w:rsidR="00ED76DB" w:rsidRPr="00B35962" w:rsidRDefault="00DF20A6" w:rsidP="00E02C28">
      <w:pPr>
        <w:rPr>
          <w:lang w:val="sr-Latn-ME"/>
        </w:rPr>
      </w:pPr>
      <w:r w:rsidRPr="00B35962">
        <w:rPr>
          <w:lang w:val="sr-Latn-ME"/>
        </w:rPr>
        <w:t xml:space="preserve">Iz tih razloga </w:t>
      </w:r>
      <w:r w:rsidR="001E531B" w:rsidRPr="00B35962">
        <w:rPr>
          <w:lang w:val="sr-Latn-ME"/>
        </w:rPr>
        <w:t xml:space="preserve">u narednom periodu </w:t>
      </w:r>
      <w:r w:rsidRPr="00B35962">
        <w:rPr>
          <w:lang w:val="sr-Latn-ME"/>
        </w:rPr>
        <w:t xml:space="preserve">ove smjernice </w:t>
      </w:r>
      <w:r w:rsidR="001E531B" w:rsidRPr="00B35962">
        <w:rPr>
          <w:lang w:val="sr-Latn-ME"/>
        </w:rPr>
        <w:t xml:space="preserve">treba </w:t>
      </w:r>
      <w:r w:rsidRPr="00B35962">
        <w:rPr>
          <w:lang w:val="sr-Latn-ME"/>
        </w:rPr>
        <w:t xml:space="preserve">postupno </w:t>
      </w:r>
      <w:r w:rsidR="001E531B" w:rsidRPr="00B35962">
        <w:rPr>
          <w:lang w:val="sr-Latn-ME"/>
        </w:rPr>
        <w:t>primijeniti u svim predškolskim ustanovama</w:t>
      </w:r>
      <w:r w:rsidR="009347D2" w:rsidRPr="00B35962">
        <w:rPr>
          <w:lang w:val="sr-Latn-ME"/>
        </w:rPr>
        <w:t xml:space="preserve">. U tom cilju PU bi trebalo da analiziraju postojeće prakse i jelovnik i njegovu usklađenost sa smjernicama i da definišu mjere za njihovo usklađivanje sa smjernicama. U cilju pružanja podrške PU u usklađivanju praksi i jelovnika sa smjernicama treba razviti </w:t>
      </w:r>
      <w:r w:rsidR="009347D2" w:rsidRPr="00B35962">
        <w:rPr>
          <w:szCs w:val="24"/>
          <w:lang w:val="sr-Latn-ME"/>
        </w:rPr>
        <w:t>Program za planiranje obroka i izradu jelovnika u čiju izradu i sprovođenje bi bio uključen i Institut za javno zdravlje Crne Gore.</w:t>
      </w:r>
      <w:r w:rsidR="00470F0A" w:rsidRPr="00B35962">
        <w:rPr>
          <w:szCs w:val="24"/>
          <w:lang w:val="sr-Latn-ME"/>
        </w:rPr>
        <w:t xml:space="preserve"> </w:t>
      </w:r>
      <w:r w:rsidRPr="00B35962">
        <w:rPr>
          <w:lang w:val="sr-Latn-ME"/>
        </w:rPr>
        <w:t xml:space="preserve">Pored toga, </w:t>
      </w:r>
      <w:r w:rsidR="00D02C25" w:rsidRPr="00B35962">
        <w:rPr>
          <w:lang w:val="sr-Latn-ME"/>
        </w:rPr>
        <w:t>u sklopu primjene smjernica u PU v</w:t>
      </w:r>
      <w:r w:rsidRPr="00B35962">
        <w:rPr>
          <w:lang w:val="sr-Latn-ME"/>
        </w:rPr>
        <w:t xml:space="preserve">ažno je da se uključe aktivnosti za djecu </w:t>
      </w:r>
      <w:r w:rsidR="00470F0A" w:rsidRPr="00B35962">
        <w:rPr>
          <w:lang w:val="sr-Latn-ME"/>
        </w:rPr>
        <w:t xml:space="preserve">i roditelje </w:t>
      </w:r>
      <w:r w:rsidRPr="00B35962">
        <w:rPr>
          <w:lang w:val="sr-Latn-ME"/>
        </w:rPr>
        <w:t>koje bi promovisale zdrave stilove ishrane.</w:t>
      </w:r>
      <w:r w:rsidR="00D02C25" w:rsidRPr="00B35962">
        <w:rPr>
          <w:lang w:val="sr-Latn-ME"/>
        </w:rPr>
        <w:t xml:space="preserve"> </w:t>
      </w:r>
    </w:p>
    <w:p w14:paraId="08B1D151" w14:textId="309BDD4A" w:rsidR="008A7296"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8A7296" w:rsidRPr="00B35962">
        <w:rPr>
          <w:i/>
          <w:lang w:val="sr-Latn-ME"/>
        </w:rPr>
        <w:t>2.8: Uvezati i učiniti održivim aktivnosti prelaza u osnovnu školu</w:t>
      </w:r>
    </w:p>
    <w:p w14:paraId="28B7CD45" w14:textId="3636FFC1" w:rsidR="008A7296" w:rsidRPr="00B35962" w:rsidRDefault="008A7296" w:rsidP="00667D39">
      <w:pPr>
        <w:rPr>
          <w:lang w:val="sr-Latn-ME"/>
        </w:rPr>
      </w:pPr>
      <w:r w:rsidRPr="00B35962">
        <w:rPr>
          <w:lang w:val="sr-Latn-ME"/>
        </w:rPr>
        <w:t xml:space="preserve">Portfolio </w:t>
      </w:r>
      <w:r w:rsidR="00C27A7D" w:rsidRPr="00B35962">
        <w:rPr>
          <w:lang w:val="sr-Latn-ME"/>
        </w:rPr>
        <w:t xml:space="preserve">sadrži </w:t>
      </w:r>
      <w:r w:rsidR="00DE1B11">
        <w:rPr>
          <w:lang w:val="sr-Latn-ME"/>
        </w:rPr>
        <w:t>informacije o napretku svakog d</w:t>
      </w:r>
      <w:r w:rsidR="00C27A7D" w:rsidRPr="00B35962">
        <w:rPr>
          <w:lang w:val="sr-Latn-ME"/>
        </w:rPr>
        <w:t>jeteta</w:t>
      </w:r>
      <w:r w:rsidR="00D91575" w:rsidRPr="00B35962">
        <w:rPr>
          <w:lang w:val="sr-Latn-ME"/>
        </w:rPr>
        <w:t>,</w:t>
      </w:r>
      <w:r w:rsidR="00C27A7D" w:rsidRPr="00B35962">
        <w:rPr>
          <w:lang w:val="sr-Latn-ME"/>
        </w:rPr>
        <w:t xml:space="preserve"> koje su rezultat višegodišnjeg praćenja i rada vaspitača sa djetetom. Kada je napravljen na kvalitetan način, portfolio omogućava sistematično praćenje razvoja djeteta tokom pohađanja vrtića i osigurava kontinuitet prilikom </w:t>
      </w:r>
      <w:r w:rsidRPr="00B35962">
        <w:rPr>
          <w:lang w:val="sr-Latn-ME"/>
        </w:rPr>
        <w:t xml:space="preserve">prelaska iz jedne u drugu vaspitnu grupu i prilikom upisa u školu. </w:t>
      </w:r>
      <w:r w:rsidR="00C27A7D" w:rsidRPr="00B35962">
        <w:rPr>
          <w:lang w:val="sr-Latn-ME"/>
        </w:rPr>
        <w:t xml:space="preserve">Kvalitetno urađeni portfolio, koji roditelj dostavlja prilikom upisa, predstavlja validniju osnovu  </w:t>
      </w:r>
      <w:r w:rsidRPr="00B35962">
        <w:rPr>
          <w:lang w:val="sr-Latn-ME"/>
        </w:rPr>
        <w:t xml:space="preserve">kadru u školi u </w:t>
      </w:r>
      <w:r w:rsidR="00C27A7D" w:rsidRPr="00B35962">
        <w:rPr>
          <w:lang w:val="sr-Latn-ME"/>
        </w:rPr>
        <w:t>prilagođavanju škole djetetu nego što</w:t>
      </w:r>
      <w:r w:rsidR="00D91575" w:rsidRPr="00B35962">
        <w:rPr>
          <w:lang w:val="sr-Latn-ME"/>
        </w:rPr>
        <w:t xml:space="preserve"> su</w:t>
      </w:r>
      <w:r w:rsidR="00C27A7D" w:rsidRPr="00B35962">
        <w:rPr>
          <w:lang w:val="sr-Latn-ME"/>
        </w:rPr>
        <w:t xml:space="preserve"> </w:t>
      </w:r>
      <w:r w:rsidRPr="00B35962">
        <w:rPr>
          <w:lang w:val="sr-Latn-ME"/>
        </w:rPr>
        <w:t xml:space="preserve">testiranja </w:t>
      </w:r>
      <w:r w:rsidR="000C3130" w:rsidRPr="00B35962">
        <w:rPr>
          <w:lang w:val="sr-Latn-ME"/>
        </w:rPr>
        <w:t>gotovosti/zrelosti</w:t>
      </w:r>
      <w:r w:rsidRPr="00B35962">
        <w:rPr>
          <w:lang w:val="sr-Latn-ME"/>
        </w:rPr>
        <w:t xml:space="preserve"> za polazak u školu.</w:t>
      </w:r>
      <w:r w:rsidR="00C27A7D" w:rsidRPr="00B35962">
        <w:rPr>
          <w:lang w:val="sr-Latn-ME"/>
        </w:rPr>
        <w:t xml:space="preserve"> Kako bi se </w:t>
      </w:r>
      <w:r w:rsidR="00F23D87" w:rsidRPr="00B35962">
        <w:rPr>
          <w:lang w:val="sr-Latn-ME"/>
        </w:rPr>
        <w:t>obezbijedi</w:t>
      </w:r>
      <w:r w:rsidR="00C27A7D" w:rsidRPr="00B35962">
        <w:rPr>
          <w:lang w:val="sr-Latn-ME"/>
        </w:rPr>
        <w:t xml:space="preserve">o kvalitet ovog instrumenta, posebno u tranziciji </w:t>
      </w:r>
      <w:r w:rsidR="00667D39" w:rsidRPr="00B35962">
        <w:rPr>
          <w:lang w:val="sr-Latn-ME"/>
        </w:rPr>
        <w:t>iz vrtića u školu,</w:t>
      </w:r>
      <w:r w:rsidR="00C27A7D" w:rsidRPr="00B35962">
        <w:rPr>
          <w:lang w:val="sr-Latn-ME"/>
        </w:rPr>
        <w:t xml:space="preserve"> neophodno je da se</w:t>
      </w:r>
      <w:r w:rsidR="00667D39" w:rsidRPr="00B35962">
        <w:rPr>
          <w:lang w:val="sr-Latn-ME"/>
        </w:rPr>
        <w:t xml:space="preserve"> (a) unaprijede vještine vaspitača za praćenje ranog razvoja djece i zapisivanje relevantnih informacija u portfolio, (b) unaprijedi saradnja PU, osnovnih škola i roditelja u pripremi i realizaciji programa prelaska iz vrtića u školu, i (c) </w:t>
      </w:r>
      <w:r w:rsidR="00F23D87" w:rsidRPr="00B35962">
        <w:rPr>
          <w:lang w:val="sr-Latn-ME"/>
        </w:rPr>
        <w:t>obezbijedi</w:t>
      </w:r>
      <w:r w:rsidR="00667D39" w:rsidRPr="00B35962">
        <w:rPr>
          <w:lang w:val="sr-Latn-ME"/>
        </w:rPr>
        <w:t xml:space="preserve"> bolj</w:t>
      </w:r>
      <w:r w:rsidR="00D91575" w:rsidRPr="00B35962">
        <w:rPr>
          <w:lang w:val="sr-Latn-ME"/>
        </w:rPr>
        <w:t>a</w:t>
      </w:r>
      <w:r w:rsidR="00667D39" w:rsidRPr="00B35962">
        <w:rPr>
          <w:lang w:val="sr-Latn-ME"/>
        </w:rPr>
        <w:t xml:space="preserve"> saradnj</w:t>
      </w:r>
      <w:r w:rsidR="00D91575" w:rsidRPr="00B35962">
        <w:rPr>
          <w:lang w:val="sr-Latn-ME"/>
        </w:rPr>
        <w:t>a</w:t>
      </w:r>
      <w:r w:rsidR="00667D39" w:rsidRPr="00B35962">
        <w:rPr>
          <w:lang w:val="sr-Latn-ME"/>
        </w:rPr>
        <w:t xml:space="preserve"> PU sa centrom za socijalni rad i zdravstvenim ustanovama u slučaju djece iz osjetljivih grupa. </w:t>
      </w:r>
    </w:p>
    <w:p w14:paraId="2E4A966D" w14:textId="77777777" w:rsidR="00A5310D" w:rsidRPr="00B35962" w:rsidRDefault="00A5310D" w:rsidP="00667D39">
      <w:pPr>
        <w:rPr>
          <w:lang w:val="sr-Latn-ME"/>
        </w:rPr>
      </w:pPr>
    </w:p>
    <w:p w14:paraId="7E799C93" w14:textId="6780D4EB" w:rsidR="009E2114" w:rsidRPr="00B35962" w:rsidRDefault="00D131EB" w:rsidP="00A5310D">
      <w:pPr>
        <w:ind w:firstLine="0"/>
        <w:rPr>
          <w:b/>
          <w:color w:val="0070C0"/>
          <w:lang w:val="sr-Latn-ME"/>
        </w:rPr>
      </w:pPr>
      <w:r w:rsidRPr="00B35962">
        <w:rPr>
          <w:b/>
          <w:color w:val="0070C0"/>
          <w:lang w:val="sr-Latn-ME"/>
        </w:rPr>
        <w:t>O</w:t>
      </w:r>
      <w:r w:rsidR="000A1516" w:rsidRPr="00B35962">
        <w:rPr>
          <w:b/>
          <w:color w:val="0070C0"/>
          <w:lang w:val="sr-Latn-ME"/>
        </w:rPr>
        <w:t xml:space="preserve">perativni </w:t>
      </w:r>
      <w:r w:rsidR="009E2114" w:rsidRPr="00B35962">
        <w:rPr>
          <w:b/>
          <w:color w:val="0070C0"/>
          <w:lang w:val="sr-Latn-ME"/>
        </w:rPr>
        <w:t xml:space="preserve"> cilj 3: </w:t>
      </w:r>
      <w:r w:rsidR="007F56F3" w:rsidRPr="00B35962">
        <w:rPr>
          <w:b/>
          <w:color w:val="0070C0"/>
          <w:lang w:val="sr-Latn-ME"/>
        </w:rPr>
        <w:t>Unapređenje šansi za rani razvoj djece iz osjetljivih grupa</w:t>
      </w:r>
    </w:p>
    <w:p w14:paraId="1A78B076" w14:textId="77777777" w:rsidR="00A5310D" w:rsidRPr="00B35962" w:rsidRDefault="00A5310D" w:rsidP="00A5310D">
      <w:pPr>
        <w:ind w:firstLine="0"/>
        <w:rPr>
          <w:b/>
          <w:lang w:val="sr-Latn-ME"/>
        </w:rPr>
      </w:pPr>
    </w:p>
    <w:p w14:paraId="2316587D" w14:textId="77777777" w:rsidR="00D74C02" w:rsidRPr="00B35962" w:rsidRDefault="00D74C02" w:rsidP="00D74C02">
      <w:pPr>
        <w:rPr>
          <w:lang w:val="sr-Latn-ME"/>
        </w:rPr>
      </w:pPr>
      <w:r w:rsidRPr="00B35962">
        <w:rPr>
          <w:lang w:val="sr-Latn-ME"/>
        </w:rPr>
        <w:t xml:space="preserve">Analiza postojećeg stanja u pogledu obuhvata djece PVO ukazala je da su djeca iz različitih osjetljivih grupa u značajno nižoj mjeri uključena u PVO. Proširenje postojećih kapaciteta PVO će svakako doprinijeti da se poveća obuhvat djece iz osjetljivih grupa, ali su potrebne i dodatne </w:t>
      </w:r>
      <w:r w:rsidRPr="00B35962">
        <w:rPr>
          <w:lang w:val="sr-Latn-ME"/>
        </w:rPr>
        <w:lastRenderedPageBreak/>
        <w:t xml:space="preserve">mjere i aktivnosti koje će biti fokusirane na povećanje interesovanja roditelja djece iz osjetljivih grupa i prevazilaženje barijera sa kojima se roditelji suočavaju kada je u pitanju uključivanje njihove djece u PVO i redovno pohađanje programa i aktivnosti. </w:t>
      </w:r>
    </w:p>
    <w:p w14:paraId="2B4D810A" w14:textId="7E6DEE3C"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 xml:space="preserve">3.1: </w:t>
      </w:r>
      <w:r w:rsidR="00566A90" w:rsidRPr="00B35962">
        <w:rPr>
          <w:i/>
          <w:lang w:val="sr-Latn-ME"/>
        </w:rPr>
        <w:t xml:space="preserve">Povećanje uključenosti djece iz osjetljivih grupa u PVO </w:t>
      </w:r>
    </w:p>
    <w:p w14:paraId="575C1700" w14:textId="77777777" w:rsidR="00302664" w:rsidRPr="00B35962" w:rsidRDefault="009E2114" w:rsidP="009E2114">
      <w:pPr>
        <w:rPr>
          <w:lang w:val="sr-Latn-ME"/>
        </w:rPr>
      </w:pPr>
      <w:r w:rsidRPr="00B35962">
        <w:rPr>
          <w:lang w:val="sr-Latn-ME"/>
        </w:rPr>
        <w:t xml:space="preserve">Kada je u pitanju povećanje interesovanja roditelja djece iz osjetljivih grupa za uključivanje djece u programe PVO važno je da podigne svjesnost roditelja o važnosti što ranijeg uključivanja njihove djece u PVO. Pored podizanja svijesti roditelja djece iz osjetljivih grupa potrebno je da se </w:t>
      </w:r>
      <w:r w:rsidR="00F23D87" w:rsidRPr="00B35962">
        <w:rPr>
          <w:lang w:val="sr-Latn-ME"/>
        </w:rPr>
        <w:t>obezbijedi</w:t>
      </w:r>
      <w:r w:rsidRPr="00B35962">
        <w:rPr>
          <w:lang w:val="sr-Latn-ME"/>
        </w:rPr>
        <w:t xml:space="preserve"> podrška roditeljima kako bi uspeli da prevaziđu barijere koje mogu da ih obeshrabre kada je u pitanju uključivanje djece u programe PVO (npr. udaljenost i</w:t>
      </w:r>
      <w:r w:rsidR="009C4904" w:rsidRPr="00B35962">
        <w:rPr>
          <w:lang w:val="sr-Latn-ME"/>
        </w:rPr>
        <w:t xml:space="preserve"> slično</w:t>
      </w:r>
      <w:r w:rsidRPr="00B35962">
        <w:rPr>
          <w:lang w:val="sr-Latn-ME"/>
        </w:rPr>
        <w:t xml:space="preserve">). </w:t>
      </w:r>
    </w:p>
    <w:p w14:paraId="02EB47F3" w14:textId="77777777" w:rsidR="00566A90" w:rsidRPr="00B35962" w:rsidRDefault="00566A90" w:rsidP="00302664">
      <w:pPr>
        <w:rPr>
          <w:lang w:val="sr-Latn-ME"/>
        </w:rPr>
      </w:pPr>
    </w:p>
    <w:p w14:paraId="1733ECCD" w14:textId="77777777" w:rsidR="009E2114" w:rsidRPr="00B35962" w:rsidRDefault="00302664" w:rsidP="00302664">
      <w:pPr>
        <w:rPr>
          <w:lang w:val="sr-Latn-ME"/>
        </w:rPr>
      </w:pPr>
      <w:r w:rsidRPr="00B35962">
        <w:rPr>
          <w:lang w:val="sr-Latn-ME"/>
        </w:rPr>
        <w:t>Ostvarenje ovog operativnog cilja zahtjeva da se unapr</w:t>
      </w:r>
      <w:r w:rsidR="00483E4D" w:rsidRPr="00B35962">
        <w:rPr>
          <w:lang w:val="sr-Latn-ME"/>
        </w:rPr>
        <w:t>ij</w:t>
      </w:r>
      <w:r w:rsidRPr="00B35962">
        <w:rPr>
          <w:lang w:val="sr-Latn-ME"/>
        </w:rPr>
        <w:t>edi postojeći nivo intersektorske saradnje posebno kada je u pitanju saradnja između predškolskih ustanova i centara za socijalni rad pošto su oni važna karika u obezb</w:t>
      </w:r>
      <w:r w:rsidR="0013447C" w:rsidRPr="00B35962">
        <w:rPr>
          <w:lang w:val="sr-Latn-ME"/>
        </w:rPr>
        <w:t>j</w:t>
      </w:r>
      <w:r w:rsidRPr="00B35962">
        <w:rPr>
          <w:lang w:val="sr-Latn-ME"/>
        </w:rPr>
        <w:t xml:space="preserve">eđivanju većeg obuhvata djece </w:t>
      </w:r>
      <w:r w:rsidR="006D615B" w:rsidRPr="00B35962">
        <w:rPr>
          <w:lang w:val="sr-Latn-ME"/>
        </w:rPr>
        <w:t xml:space="preserve">iz osjetljivih grupa (npr. djeca </w:t>
      </w:r>
      <w:r w:rsidR="00132995" w:rsidRPr="00B35962">
        <w:rPr>
          <w:lang w:val="sr-Latn-ME"/>
        </w:rPr>
        <w:t>iz porodica koje su korisnici MOP</w:t>
      </w:r>
      <w:r w:rsidR="006D615B" w:rsidRPr="00B35962">
        <w:rPr>
          <w:lang w:val="sr-Latn-ME"/>
        </w:rPr>
        <w:t>, djeca iz romskih naselja, djeca iz hraniteljskih porodica itd.)</w:t>
      </w:r>
      <w:r w:rsidRPr="00B35962">
        <w:rPr>
          <w:lang w:val="sr-Latn-ME"/>
        </w:rPr>
        <w:t>.</w:t>
      </w:r>
      <w:r w:rsidR="004D48F1" w:rsidRPr="00B35962">
        <w:rPr>
          <w:lang w:val="sr-Latn-ME"/>
        </w:rPr>
        <w:t xml:space="preserve"> </w:t>
      </w:r>
      <w:r w:rsidR="00E04F12" w:rsidRPr="00B35962">
        <w:rPr>
          <w:lang w:val="sr-Latn-ME"/>
        </w:rPr>
        <w:t xml:space="preserve">U tom smislu važno je da se </w:t>
      </w:r>
      <w:r w:rsidR="00132995" w:rsidRPr="00B35962">
        <w:rPr>
          <w:lang w:val="sr-Latn-ME"/>
        </w:rPr>
        <w:t>unapr</w:t>
      </w:r>
      <w:r w:rsidR="00BD2533" w:rsidRPr="00B35962">
        <w:rPr>
          <w:lang w:val="sr-Latn-ME"/>
        </w:rPr>
        <w:t>ij</w:t>
      </w:r>
      <w:r w:rsidR="00132995" w:rsidRPr="00B35962">
        <w:rPr>
          <w:lang w:val="sr-Latn-ME"/>
        </w:rPr>
        <w:t xml:space="preserve">edi </w:t>
      </w:r>
      <w:r w:rsidR="00E04F12" w:rsidRPr="00B35962">
        <w:rPr>
          <w:lang w:val="sr-Latn-ME"/>
        </w:rPr>
        <w:t>koordinacij</w:t>
      </w:r>
      <w:r w:rsidR="00132995" w:rsidRPr="00B35962">
        <w:rPr>
          <w:lang w:val="sr-Latn-ME"/>
        </w:rPr>
        <w:t>a</w:t>
      </w:r>
      <w:r w:rsidR="00E04F12" w:rsidRPr="00B35962">
        <w:rPr>
          <w:lang w:val="sr-Latn-ME"/>
        </w:rPr>
        <w:t xml:space="preserve"> između PU i centara za socijalni rad koji pokrivaju istu opštinu </w:t>
      </w:r>
      <w:r w:rsidR="00BD2533" w:rsidRPr="00B35962">
        <w:rPr>
          <w:lang w:val="sr-Latn-ME"/>
        </w:rPr>
        <w:t>(</w:t>
      </w:r>
      <w:r w:rsidR="00E04F12" w:rsidRPr="00B35962">
        <w:rPr>
          <w:lang w:val="sr-Latn-ME"/>
        </w:rPr>
        <w:t>zajedničko planiranje i kooperacija u identifikovanju d</w:t>
      </w:r>
      <w:r w:rsidR="00A428F6" w:rsidRPr="00B35962">
        <w:rPr>
          <w:lang w:val="sr-Latn-ME"/>
        </w:rPr>
        <w:t>j</w:t>
      </w:r>
      <w:r w:rsidR="00E04F12" w:rsidRPr="00B35962">
        <w:rPr>
          <w:lang w:val="sr-Latn-ME"/>
        </w:rPr>
        <w:t>ece iz os</w:t>
      </w:r>
      <w:r w:rsidR="006C10A2" w:rsidRPr="00B35962">
        <w:rPr>
          <w:lang w:val="sr-Latn-ME"/>
        </w:rPr>
        <w:t>j</w:t>
      </w:r>
      <w:r w:rsidR="00E04F12" w:rsidRPr="00B35962">
        <w:rPr>
          <w:lang w:val="sr-Latn-ME"/>
        </w:rPr>
        <w:t>etljivih grupa, rad u zajednici, upis d</w:t>
      </w:r>
      <w:r w:rsidR="00A428F6" w:rsidRPr="00B35962">
        <w:rPr>
          <w:lang w:val="sr-Latn-ME"/>
        </w:rPr>
        <w:t>j</w:t>
      </w:r>
      <w:r w:rsidR="00E04F12" w:rsidRPr="00B35962">
        <w:rPr>
          <w:lang w:val="sr-Latn-ME"/>
        </w:rPr>
        <w:t>ece iz os</w:t>
      </w:r>
      <w:r w:rsidR="006C10A2" w:rsidRPr="00B35962">
        <w:rPr>
          <w:lang w:val="sr-Latn-ME"/>
        </w:rPr>
        <w:t>j</w:t>
      </w:r>
      <w:r w:rsidR="00E04F12" w:rsidRPr="00B35962">
        <w:rPr>
          <w:lang w:val="sr-Latn-ME"/>
        </w:rPr>
        <w:t>etljivih grupa u PVO programe</w:t>
      </w:r>
      <w:r w:rsidR="00BD2533" w:rsidRPr="00B35962">
        <w:rPr>
          <w:lang w:val="sr-Latn-ME"/>
        </w:rPr>
        <w:t xml:space="preserve"> itd.)</w:t>
      </w:r>
      <w:r w:rsidR="00E04F12" w:rsidRPr="00B35962">
        <w:rPr>
          <w:lang w:val="sr-Latn-ME"/>
        </w:rPr>
        <w:t xml:space="preserve">. </w:t>
      </w:r>
      <w:r w:rsidR="006D615B" w:rsidRPr="00B35962">
        <w:rPr>
          <w:lang w:val="sr-Latn-ME"/>
        </w:rPr>
        <w:t>U</w:t>
      </w:r>
      <w:r w:rsidR="00BD2533" w:rsidRPr="00B35962">
        <w:rPr>
          <w:lang w:val="sr-Latn-ME"/>
        </w:rPr>
        <w:t xml:space="preserve"> tom smislu posebno je važno da se radi na jačanju </w:t>
      </w:r>
      <w:r w:rsidRPr="00B35962">
        <w:rPr>
          <w:lang w:val="sr-Latn-ME"/>
        </w:rPr>
        <w:t xml:space="preserve">uloge </w:t>
      </w:r>
      <w:r w:rsidR="00834395" w:rsidRPr="00B35962">
        <w:rPr>
          <w:lang w:val="sr-Latn-ME"/>
        </w:rPr>
        <w:t xml:space="preserve">porodičnog </w:t>
      </w:r>
      <w:r w:rsidRPr="00B35962">
        <w:rPr>
          <w:lang w:val="sr-Latn-ME"/>
        </w:rPr>
        <w:t xml:space="preserve">saradnika u inkluziji </w:t>
      </w:r>
      <w:r w:rsidR="00834395" w:rsidRPr="00B35962">
        <w:rPr>
          <w:lang w:val="sr-Latn-ME"/>
        </w:rPr>
        <w:t>djece iz osjetljivih grupa u rad PU</w:t>
      </w:r>
      <w:r w:rsidR="00BD2533" w:rsidRPr="00B35962">
        <w:rPr>
          <w:lang w:val="sr-Latn-ME"/>
        </w:rPr>
        <w:t xml:space="preserve">. Pored toga, porodični saradnik treba da pruži podršku </w:t>
      </w:r>
      <w:r w:rsidR="00644A54" w:rsidRPr="00B35962">
        <w:rPr>
          <w:lang w:val="sr-Latn-ME"/>
        </w:rPr>
        <w:t>PU i vaspitačima u prilagođavanju načina rada kako bi bolje odgovorili na razvojne i obrazovne potrebe djece iz osjetljivih grupa.</w:t>
      </w:r>
      <w:r w:rsidR="00D74C02" w:rsidRPr="00B35962">
        <w:rPr>
          <w:lang w:val="sr-Latn-ME"/>
        </w:rPr>
        <w:t xml:space="preserve"> </w:t>
      </w:r>
    </w:p>
    <w:p w14:paraId="3E103ECE" w14:textId="77777777" w:rsidR="000B10D0" w:rsidRPr="00B35962" w:rsidRDefault="000B10D0" w:rsidP="00302664">
      <w:pPr>
        <w:rPr>
          <w:lang w:val="sr-Latn-ME"/>
        </w:rPr>
      </w:pPr>
    </w:p>
    <w:p w14:paraId="10463683" w14:textId="77777777" w:rsidR="000B10D0" w:rsidRPr="00B35962" w:rsidRDefault="000B10D0" w:rsidP="000B10D0">
      <w:pPr>
        <w:rPr>
          <w:lang w:val="sr-Latn-ME"/>
        </w:rPr>
      </w:pPr>
      <w:r w:rsidRPr="00B35962">
        <w:rPr>
          <w:lang w:val="sr-Latn-ME"/>
        </w:rPr>
        <w:t>U tom smislu posebno je važno da se radi na obuhvatu što većeg broja porodica uslugom porodični saradnik. Pored toga, porodični saradnici treba da pruže podršku PU i vaspitačima u prilagođavanju načina rada kako bi bolje odgovorili na razvojne i obrazovne potrebe djece iz osjetljivih grupa.</w:t>
      </w:r>
    </w:p>
    <w:p w14:paraId="70A5F29D" w14:textId="77777777" w:rsidR="00566A90" w:rsidRPr="00B35962" w:rsidRDefault="00566A90" w:rsidP="00282813">
      <w:pPr>
        <w:rPr>
          <w:lang w:val="sr-Latn-ME"/>
        </w:rPr>
      </w:pPr>
    </w:p>
    <w:p w14:paraId="295965A0" w14:textId="77777777" w:rsidR="00282813" w:rsidRPr="00B35962" w:rsidRDefault="007B78B6" w:rsidP="00282813">
      <w:pPr>
        <w:rPr>
          <w:szCs w:val="24"/>
          <w:lang w:val="sr-Latn-ME"/>
        </w:rPr>
      </w:pPr>
      <w:r w:rsidRPr="00B35962">
        <w:rPr>
          <w:lang w:val="sr-Latn-ME"/>
        </w:rPr>
        <w:t>Veoma je značajno da se</w:t>
      </w:r>
      <w:r w:rsidR="00D74C02" w:rsidRPr="00B35962">
        <w:rPr>
          <w:lang w:val="sr-Latn-ME"/>
        </w:rPr>
        <w:t xml:space="preserve"> </w:t>
      </w:r>
      <w:r w:rsidRPr="00B35962">
        <w:rPr>
          <w:szCs w:val="24"/>
          <w:lang w:val="sr-Latn-ME"/>
        </w:rPr>
        <w:t>ojača</w:t>
      </w:r>
      <w:r w:rsidR="00282813" w:rsidRPr="00B35962">
        <w:rPr>
          <w:szCs w:val="24"/>
          <w:lang w:val="sr-Latn-ME"/>
        </w:rPr>
        <w:t xml:space="preserve"> saradnj</w:t>
      </w:r>
      <w:r w:rsidRPr="00B35962">
        <w:rPr>
          <w:szCs w:val="24"/>
          <w:lang w:val="sr-Latn-ME"/>
        </w:rPr>
        <w:t>a</w:t>
      </w:r>
      <w:r w:rsidR="00282813" w:rsidRPr="00B35962">
        <w:rPr>
          <w:szCs w:val="24"/>
          <w:lang w:val="sr-Latn-ME"/>
        </w:rPr>
        <w:t xml:space="preserve"> između </w:t>
      </w:r>
      <w:r w:rsidR="00C33DCE" w:rsidRPr="00B35962">
        <w:rPr>
          <w:szCs w:val="24"/>
          <w:lang w:val="sr-Latn-ME"/>
        </w:rPr>
        <w:t>PU</w:t>
      </w:r>
      <w:r w:rsidR="00282813" w:rsidRPr="00B35962">
        <w:rPr>
          <w:szCs w:val="24"/>
          <w:lang w:val="sr-Latn-ME"/>
        </w:rPr>
        <w:t xml:space="preserve"> i s</w:t>
      </w:r>
      <w:r w:rsidR="00C33DCE" w:rsidRPr="00B35962">
        <w:rPr>
          <w:szCs w:val="24"/>
          <w:lang w:val="sr-Latn-ME"/>
        </w:rPr>
        <w:t>i</w:t>
      </w:r>
      <w:r w:rsidR="00282813" w:rsidRPr="00B35962">
        <w:rPr>
          <w:szCs w:val="24"/>
          <w:lang w:val="sr-Latn-ME"/>
        </w:rPr>
        <w:t>stema zdravstvene zaštite, da bi se prije svega, podsticala in</w:t>
      </w:r>
      <w:r w:rsidR="00ED4A3E" w:rsidRPr="00B35962">
        <w:rPr>
          <w:szCs w:val="24"/>
          <w:lang w:val="sr-Latn-ME"/>
        </w:rPr>
        <w:t>kluziju</w:t>
      </w:r>
      <w:r w:rsidR="00282813" w:rsidRPr="00B35962">
        <w:rPr>
          <w:szCs w:val="24"/>
          <w:lang w:val="sr-Latn-ME"/>
        </w:rPr>
        <w:t xml:space="preserve"> i sveukupan razvoj </w:t>
      </w:r>
      <w:r w:rsidR="00B61E26" w:rsidRPr="00B35962">
        <w:rPr>
          <w:szCs w:val="24"/>
          <w:lang w:val="sr-Latn-ME"/>
        </w:rPr>
        <w:t>dj</w:t>
      </w:r>
      <w:r w:rsidR="00282813" w:rsidRPr="00B35962">
        <w:rPr>
          <w:szCs w:val="24"/>
          <w:lang w:val="sr-Latn-ME"/>
        </w:rPr>
        <w:t>ece iz o</w:t>
      </w:r>
      <w:r w:rsidR="00B61E26" w:rsidRPr="00B35962">
        <w:rPr>
          <w:szCs w:val="24"/>
          <w:lang w:val="sr-Latn-ME"/>
        </w:rPr>
        <w:t>sj</w:t>
      </w:r>
      <w:r w:rsidR="00282813" w:rsidRPr="00B35962">
        <w:rPr>
          <w:szCs w:val="24"/>
          <w:lang w:val="sr-Latn-ME"/>
        </w:rPr>
        <w:t>etljivih grupa, sve sa ciljem kvaliteta podrške</w:t>
      </w:r>
      <w:r w:rsidR="00282813" w:rsidRPr="00B35962">
        <w:rPr>
          <w:bCs/>
          <w:szCs w:val="24"/>
          <w:lang w:val="sr-Latn-ME"/>
        </w:rPr>
        <w:t xml:space="preserve"> njihovom </w:t>
      </w:r>
      <w:r w:rsidR="00B61E26" w:rsidRPr="00B35962">
        <w:rPr>
          <w:bCs/>
          <w:szCs w:val="24"/>
          <w:lang w:val="sr-Latn-ME"/>
        </w:rPr>
        <w:t xml:space="preserve">ranom </w:t>
      </w:r>
      <w:r w:rsidR="00282813" w:rsidRPr="00B35962">
        <w:rPr>
          <w:bCs/>
          <w:szCs w:val="24"/>
          <w:lang w:val="sr-Latn-ME"/>
        </w:rPr>
        <w:t xml:space="preserve">razvoju. </w:t>
      </w:r>
    </w:p>
    <w:p w14:paraId="659C76E0" w14:textId="77777777" w:rsidR="00566A90" w:rsidRPr="00B35962" w:rsidRDefault="00566A90" w:rsidP="00282813">
      <w:pPr>
        <w:rPr>
          <w:szCs w:val="24"/>
          <w:lang w:val="sr-Latn-ME"/>
        </w:rPr>
      </w:pPr>
    </w:p>
    <w:p w14:paraId="3E8961B7" w14:textId="77777777" w:rsidR="00282813" w:rsidRPr="00B35962" w:rsidRDefault="00C33DCE" w:rsidP="00282813">
      <w:pPr>
        <w:rPr>
          <w:szCs w:val="24"/>
          <w:lang w:val="sr-Latn-ME"/>
        </w:rPr>
      </w:pPr>
      <w:r w:rsidRPr="00B35962">
        <w:rPr>
          <w:szCs w:val="24"/>
          <w:lang w:val="sr-Latn-ME"/>
        </w:rPr>
        <w:t xml:space="preserve">Unapređenje saradnje između tri </w:t>
      </w:r>
      <w:r w:rsidR="001E5A98" w:rsidRPr="00B35962">
        <w:rPr>
          <w:szCs w:val="24"/>
          <w:lang w:val="sr-Latn-ME"/>
        </w:rPr>
        <w:t>sektora (obrazovanja, sektora</w:t>
      </w:r>
      <w:r w:rsidRPr="00B35962">
        <w:rPr>
          <w:szCs w:val="24"/>
          <w:lang w:val="sr-Latn-ME"/>
        </w:rPr>
        <w:t xml:space="preserve"> socijaln</w:t>
      </w:r>
      <w:r w:rsidR="001E5A98" w:rsidRPr="00B35962">
        <w:rPr>
          <w:szCs w:val="24"/>
          <w:lang w:val="sr-Latn-ME"/>
        </w:rPr>
        <w:t>e</w:t>
      </w:r>
      <w:r w:rsidRPr="00B35962">
        <w:rPr>
          <w:szCs w:val="24"/>
          <w:lang w:val="sr-Latn-ME"/>
        </w:rPr>
        <w:t xml:space="preserve"> zaštit</w:t>
      </w:r>
      <w:r w:rsidR="001E5A98" w:rsidRPr="00B35962">
        <w:rPr>
          <w:szCs w:val="24"/>
          <w:lang w:val="sr-Latn-ME"/>
        </w:rPr>
        <w:t>e</w:t>
      </w:r>
      <w:r w:rsidRPr="00B35962">
        <w:rPr>
          <w:szCs w:val="24"/>
          <w:lang w:val="sr-Latn-ME"/>
        </w:rPr>
        <w:t xml:space="preserve"> i </w:t>
      </w:r>
      <w:r w:rsidR="001E5A98" w:rsidRPr="00B35962">
        <w:rPr>
          <w:szCs w:val="24"/>
          <w:lang w:val="sr-Latn-ME"/>
        </w:rPr>
        <w:t>sektora zdravstvene zaštite</w:t>
      </w:r>
      <w:r w:rsidRPr="00B35962">
        <w:rPr>
          <w:szCs w:val="24"/>
          <w:lang w:val="sr-Latn-ME"/>
        </w:rPr>
        <w:t>) podrazum</w:t>
      </w:r>
      <w:r w:rsidR="00AE623F" w:rsidRPr="00B35962">
        <w:rPr>
          <w:szCs w:val="24"/>
          <w:lang w:val="sr-Latn-ME"/>
        </w:rPr>
        <w:t>ij</w:t>
      </w:r>
      <w:r w:rsidRPr="00B35962">
        <w:rPr>
          <w:szCs w:val="24"/>
          <w:lang w:val="sr-Latn-ME"/>
        </w:rPr>
        <w:t xml:space="preserve">eva i unapređenje prikupljanja i </w:t>
      </w:r>
      <w:r w:rsidR="00282813" w:rsidRPr="00B35962">
        <w:rPr>
          <w:szCs w:val="24"/>
          <w:lang w:val="sr-Latn-ME"/>
        </w:rPr>
        <w:t xml:space="preserve">razmjene informacija </w:t>
      </w:r>
      <w:r w:rsidRPr="00B35962">
        <w:rPr>
          <w:szCs w:val="24"/>
          <w:lang w:val="sr-Latn-ME"/>
        </w:rPr>
        <w:t>između tri</w:t>
      </w:r>
      <w:r w:rsidR="00282813" w:rsidRPr="00B35962">
        <w:rPr>
          <w:szCs w:val="24"/>
          <w:lang w:val="sr-Latn-ME"/>
        </w:rPr>
        <w:t xml:space="preserve"> </w:t>
      </w:r>
      <w:r w:rsidRPr="00B35962">
        <w:rPr>
          <w:szCs w:val="24"/>
          <w:lang w:val="sr-Latn-ME"/>
        </w:rPr>
        <w:t xml:space="preserve">sektora i njihovo </w:t>
      </w:r>
      <w:r w:rsidR="00282813" w:rsidRPr="00B35962">
        <w:rPr>
          <w:szCs w:val="24"/>
          <w:lang w:val="sr-Latn-ME"/>
        </w:rPr>
        <w:t>korišćenj</w:t>
      </w:r>
      <w:r w:rsidRPr="00B35962">
        <w:rPr>
          <w:szCs w:val="24"/>
          <w:lang w:val="sr-Latn-ME"/>
        </w:rPr>
        <w:t>e u naj</w:t>
      </w:r>
      <w:r w:rsidR="00AE623F" w:rsidRPr="00B35962">
        <w:rPr>
          <w:szCs w:val="24"/>
          <w:lang w:val="sr-Latn-ME"/>
        </w:rPr>
        <w:t>b</w:t>
      </w:r>
      <w:r w:rsidRPr="00B35962">
        <w:rPr>
          <w:szCs w:val="24"/>
          <w:lang w:val="sr-Latn-ME"/>
        </w:rPr>
        <w:t xml:space="preserve">oljem interesu </w:t>
      </w:r>
      <w:r w:rsidR="00354802" w:rsidRPr="00B35962">
        <w:rPr>
          <w:szCs w:val="24"/>
          <w:lang w:val="sr-Latn-ME"/>
        </w:rPr>
        <w:t>dje</w:t>
      </w:r>
      <w:r w:rsidR="00282813" w:rsidRPr="00B35962">
        <w:rPr>
          <w:szCs w:val="24"/>
          <w:lang w:val="sr-Latn-ME"/>
        </w:rPr>
        <w:t>c</w:t>
      </w:r>
      <w:r w:rsidRPr="00B35962">
        <w:rPr>
          <w:szCs w:val="24"/>
          <w:lang w:val="sr-Latn-ME"/>
        </w:rPr>
        <w:t>e</w:t>
      </w:r>
      <w:r w:rsidR="00282813" w:rsidRPr="00B35962">
        <w:rPr>
          <w:szCs w:val="24"/>
          <w:lang w:val="sr-Latn-ME"/>
        </w:rPr>
        <w:t>.</w:t>
      </w:r>
    </w:p>
    <w:p w14:paraId="37768A5D" w14:textId="77777777" w:rsidR="001E5A98" w:rsidRPr="00B35962" w:rsidRDefault="001E5A98" w:rsidP="00282813">
      <w:pPr>
        <w:rPr>
          <w:szCs w:val="24"/>
          <w:lang w:val="sr-Latn-ME"/>
        </w:rPr>
      </w:pPr>
    </w:p>
    <w:p w14:paraId="59A6E64E" w14:textId="77777777" w:rsidR="00A128D0" w:rsidRPr="00B35962" w:rsidRDefault="00A128D0" w:rsidP="00282813">
      <w:pPr>
        <w:rPr>
          <w:szCs w:val="24"/>
          <w:lang w:val="sr-Latn-ME"/>
        </w:rPr>
      </w:pPr>
      <w:r w:rsidRPr="00B35962">
        <w:rPr>
          <w:szCs w:val="24"/>
          <w:lang w:val="sr-Latn-ME"/>
        </w:rPr>
        <w:t xml:space="preserve">Ključno je da se nastavi i dublje primjeni terenski, neposredan rad u zajednici. Kako od strane licenciranih pružaoca usluga socijalne zaštite, a posebno za </w:t>
      </w:r>
      <w:r w:rsidR="00354802" w:rsidRPr="00B35962">
        <w:rPr>
          <w:szCs w:val="24"/>
          <w:lang w:val="sr-Latn-ME"/>
        </w:rPr>
        <w:t>dje</w:t>
      </w:r>
      <w:r w:rsidRPr="00B35962">
        <w:rPr>
          <w:szCs w:val="24"/>
          <w:lang w:val="sr-Latn-ME"/>
        </w:rPr>
        <w:t xml:space="preserve">cu RE populacije kroz intenzivnu primjenu prethodno razvijenog mehanizma uključivanja i praćenja pohađanja programa predškolskog vaspitanja i obrazovanja. Važno je da se iskoristi </w:t>
      </w:r>
      <w:r w:rsidR="00221978" w:rsidRPr="00B35962">
        <w:rPr>
          <w:szCs w:val="24"/>
          <w:lang w:val="sr-Latn-ME"/>
        </w:rPr>
        <w:t xml:space="preserve">postojeće iskustvo koje imaju </w:t>
      </w:r>
      <w:r w:rsidRPr="00B35962">
        <w:rPr>
          <w:szCs w:val="24"/>
          <w:lang w:val="sr-Latn-ME"/>
        </w:rPr>
        <w:lastRenderedPageBreak/>
        <w:t>medijator</w:t>
      </w:r>
      <w:r w:rsidR="00221978" w:rsidRPr="00B35962">
        <w:rPr>
          <w:szCs w:val="24"/>
          <w:lang w:val="sr-Latn-ME"/>
        </w:rPr>
        <w:t>i</w:t>
      </w:r>
      <w:r w:rsidRPr="00B35962">
        <w:rPr>
          <w:szCs w:val="24"/>
          <w:lang w:val="sr-Latn-ME"/>
        </w:rPr>
        <w:t xml:space="preserve"> koji imaju pozitivan uticaj na rodit</w:t>
      </w:r>
      <w:r w:rsidR="00221978" w:rsidRPr="00B35962">
        <w:rPr>
          <w:szCs w:val="24"/>
          <w:lang w:val="sr-Latn-ME"/>
        </w:rPr>
        <w:t>e</w:t>
      </w:r>
      <w:r w:rsidRPr="00B35962">
        <w:rPr>
          <w:szCs w:val="24"/>
          <w:lang w:val="sr-Latn-ME"/>
        </w:rPr>
        <w:t>lje</w:t>
      </w:r>
      <w:r w:rsidR="00967845" w:rsidRPr="00B35962">
        <w:rPr>
          <w:szCs w:val="24"/>
          <w:lang w:val="sr-Latn-ME"/>
        </w:rPr>
        <w:t xml:space="preserve"> i </w:t>
      </w:r>
      <w:r w:rsidR="00354802" w:rsidRPr="00B35962">
        <w:rPr>
          <w:szCs w:val="24"/>
          <w:lang w:val="sr-Latn-ME"/>
        </w:rPr>
        <w:t>dje</w:t>
      </w:r>
      <w:r w:rsidRPr="00B35962">
        <w:rPr>
          <w:szCs w:val="24"/>
          <w:lang w:val="sr-Latn-ME"/>
        </w:rPr>
        <w:t xml:space="preserve">cu i </w:t>
      </w:r>
      <w:r w:rsidR="00967845" w:rsidRPr="00B35962">
        <w:rPr>
          <w:szCs w:val="24"/>
          <w:lang w:val="sr-Latn-ME"/>
        </w:rPr>
        <w:t xml:space="preserve">koji su se pokazali kao ključna karika u </w:t>
      </w:r>
      <w:r w:rsidRPr="00B35962">
        <w:rPr>
          <w:szCs w:val="24"/>
          <w:lang w:val="sr-Latn-ME"/>
        </w:rPr>
        <w:t>održava</w:t>
      </w:r>
      <w:r w:rsidR="00967845" w:rsidRPr="00B35962">
        <w:rPr>
          <w:szCs w:val="24"/>
          <w:lang w:val="sr-Latn-ME"/>
        </w:rPr>
        <w:t>n</w:t>
      </w:r>
      <w:r w:rsidRPr="00B35962">
        <w:rPr>
          <w:szCs w:val="24"/>
          <w:lang w:val="sr-Latn-ME"/>
        </w:rPr>
        <w:t>ju saradnj</w:t>
      </w:r>
      <w:r w:rsidR="00967845" w:rsidRPr="00B35962">
        <w:rPr>
          <w:szCs w:val="24"/>
          <w:lang w:val="sr-Latn-ME"/>
        </w:rPr>
        <w:t>e</w:t>
      </w:r>
      <w:r w:rsidRPr="00B35962">
        <w:rPr>
          <w:szCs w:val="24"/>
          <w:lang w:val="sr-Latn-ME"/>
        </w:rPr>
        <w:t xml:space="preserve"> </w:t>
      </w:r>
      <w:r w:rsidR="00967845" w:rsidRPr="00B35962">
        <w:rPr>
          <w:szCs w:val="24"/>
          <w:lang w:val="sr-Latn-ME"/>
        </w:rPr>
        <w:t xml:space="preserve">između </w:t>
      </w:r>
      <w:r w:rsidRPr="00B35962">
        <w:rPr>
          <w:szCs w:val="24"/>
          <w:lang w:val="sr-Latn-ME"/>
        </w:rPr>
        <w:t>vrtića i zajednice.</w:t>
      </w:r>
    </w:p>
    <w:p w14:paraId="72DE13FA" w14:textId="0232141A" w:rsidR="009E2114" w:rsidRPr="00B35962" w:rsidRDefault="00D131EB" w:rsidP="00A5310D">
      <w:pPr>
        <w:spacing w:before="240" w:after="240"/>
        <w:ind w:firstLine="0"/>
        <w:rPr>
          <w:i/>
          <w:lang w:val="sr-Latn-ME"/>
        </w:rPr>
      </w:pPr>
      <w:r w:rsidRPr="00B35962">
        <w:rPr>
          <w:i/>
          <w:lang w:val="sr-Latn-ME"/>
        </w:rPr>
        <w:t>Ključno mjerilo</w:t>
      </w:r>
      <w:r w:rsidRPr="00B35962">
        <w:rPr>
          <w:lang w:val="sr-Latn-ME"/>
        </w:rPr>
        <w:t xml:space="preserve"> </w:t>
      </w:r>
      <w:r w:rsidR="009E2114" w:rsidRPr="00B35962">
        <w:rPr>
          <w:i/>
          <w:lang w:val="sr-Latn-ME"/>
        </w:rPr>
        <w:t>3.2: Širenje i jačanje interaktivnih službi</w:t>
      </w:r>
    </w:p>
    <w:p w14:paraId="4CB14F43" w14:textId="4EA900DA" w:rsidR="00D74C02" w:rsidRPr="00B35962" w:rsidRDefault="00D74C02" w:rsidP="009E2114">
      <w:pPr>
        <w:rPr>
          <w:lang w:val="sr-Latn-ME"/>
        </w:rPr>
      </w:pPr>
      <w:r w:rsidRPr="00B35962">
        <w:rPr>
          <w:lang w:val="sr-Latn-ME"/>
        </w:rPr>
        <w:t>Interaktivne službe</w:t>
      </w:r>
      <w:r w:rsidR="00F77791" w:rsidRPr="00B35962">
        <w:rPr>
          <w:lang w:val="sr-Latn-ME"/>
        </w:rPr>
        <w:t xml:space="preserve">, koje su osnovane u 17 opština, </w:t>
      </w:r>
      <w:r w:rsidRPr="00B35962">
        <w:rPr>
          <w:lang w:val="sr-Latn-ME"/>
        </w:rPr>
        <w:t>pokazale</w:t>
      </w:r>
      <w:r w:rsidR="00D91575" w:rsidRPr="00B35962">
        <w:rPr>
          <w:lang w:val="sr-Latn-ME"/>
        </w:rPr>
        <w:t xml:space="preserve"> su se</w:t>
      </w:r>
      <w:r w:rsidRPr="00B35962">
        <w:rPr>
          <w:lang w:val="sr-Latn-ME"/>
        </w:rPr>
        <w:t xml:space="preserve"> kao dobar </w:t>
      </w:r>
      <w:r w:rsidR="00F77791" w:rsidRPr="00B35962">
        <w:rPr>
          <w:lang w:val="sr-Latn-ME"/>
        </w:rPr>
        <w:t xml:space="preserve">instrument koji omogućava da se programi PVO učine dostupnim djeci iz udaljenih naselja koja su u manjoj mjeri </w:t>
      </w:r>
      <w:r w:rsidRPr="00B35962">
        <w:rPr>
          <w:lang w:val="sr-Latn-ME"/>
        </w:rPr>
        <w:t>uključ</w:t>
      </w:r>
      <w:r w:rsidR="00F77791" w:rsidRPr="00B35962">
        <w:rPr>
          <w:lang w:val="sr-Latn-ME"/>
        </w:rPr>
        <w:t>ena u PVO</w:t>
      </w:r>
      <w:r w:rsidRPr="00B35962">
        <w:rPr>
          <w:lang w:val="sr-Latn-ME"/>
        </w:rPr>
        <w:t xml:space="preserve">. </w:t>
      </w:r>
      <w:r w:rsidR="00984802" w:rsidRPr="00B35962">
        <w:rPr>
          <w:lang w:val="sr-Latn-ME"/>
        </w:rPr>
        <w:t>U</w:t>
      </w:r>
      <w:r w:rsidR="00F77B42" w:rsidRPr="00B35962">
        <w:rPr>
          <w:lang w:val="sr-Latn-ME"/>
        </w:rPr>
        <w:t xml:space="preserve"> nekim slučajevima interaktivne službe su transformisane u nove vaspitne jedinice čime su doprinijele proširenju mreže vaspitnih jedinica.</w:t>
      </w:r>
      <w:r w:rsidR="00F77791" w:rsidRPr="00B35962">
        <w:rPr>
          <w:lang w:val="sr-Latn-ME"/>
        </w:rPr>
        <w:t xml:space="preserve"> </w:t>
      </w:r>
    </w:p>
    <w:p w14:paraId="493A977A" w14:textId="77777777" w:rsidR="005F0508" w:rsidRPr="00B35962" w:rsidRDefault="005F0508" w:rsidP="009E2114">
      <w:pPr>
        <w:rPr>
          <w:lang w:val="sr-Latn-ME"/>
        </w:rPr>
      </w:pPr>
    </w:p>
    <w:p w14:paraId="67D210DD" w14:textId="77777777" w:rsidR="00F77B42" w:rsidRPr="00B35962" w:rsidRDefault="009E2114" w:rsidP="009E2114">
      <w:pPr>
        <w:rPr>
          <w:lang w:val="sr-Latn-ME"/>
        </w:rPr>
      </w:pPr>
      <w:r w:rsidRPr="00B35962">
        <w:rPr>
          <w:lang w:val="sr-Latn-ME"/>
        </w:rPr>
        <w:t xml:space="preserve">U narednom periodu fokus treba da bude </w:t>
      </w:r>
      <w:r w:rsidR="00F77B42" w:rsidRPr="00B35962">
        <w:rPr>
          <w:lang w:val="sr-Latn-ME"/>
        </w:rPr>
        <w:t xml:space="preserve">usmjeren u dva pravca. </w:t>
      </w:r>
    </w:p>
    <w:p w14:paraId="00DDDD8F" w14:textId="77777777" w:rsidR="00566A90" w:rsidRPr="00B35962" w:rsidRDefault="00566A90" w:rsidP="009E2114">
      <w:pPr>
        <w:rPr>
          <w:lang w:val="sr-Latn-ME"/>
        </w:rPr>
      </w:pPr>
    </w:p>
    <w:p w14:paraId="5A89604F" w14:textId="77777777" w:rsidR="00F77B42" w:rsidRPr="00B35962" w:rsidRDefault="00F77B42" w:rsidP="009E2114">
      <w:pPr>
        <w:rPr>
          <w:lang w:val="sr-Latn-ME"/>
        </w:rPr>
      </w:pPr>
      <w:r w:rsidRPr="00B35962">
        <w:rPr>
          <w:lang w:val="sr-Latn-ME"/>
        </w:rPr>
        <w:t>Prvi je jačanje kapaciteta postojećih interaktivnih službi u pružanju kvalitetnije usluge djeci koja su već uključena. Pored toga, potrebno da se poveća stepen u kojem su djeca uključena u aktivnosti interaktivnih službi kako bi dobili veću podršku za rani razvoj</w:t>
      </w:r>
      <w:r w:rsidR="00287DF3" w:rsidRPr="00B35962">
        <w:rPr>
          <w:lang w:val="sr-Latn-ME"/>
        </w:rPr>
        <w:t xml:space="preserve"> (npr. da svako dijete  bude uključeno u rad interaktivne službe u prosjeku dva puta nedjeljno).</w:t>
      </w:r>
      <w:r w:rsidR="005F0508" w:rsidRPr="00B35962">
        <w:rPr>
          <w:lang w:val="sr-Latn-ME"/>
        </w:rPr>
        <w:t xml:space="preserve"> Tako se potiže i efekat u odnosu na povećanje kapaciteta.</w:t>
      </w:r>
    </w:p>
    <w:p w14:paraId="63409ABA" w14:textId="77777777" w:rsidR="005F0508" w:rsidRPr="00B35962" w:rsidRDefault="005F0508" w:rsidP="005F0508">
      <w:pPr>
        <w:rPr>
          <w:lang w:val="sr-Latn-ME"/>
        </w:rPr>
      </w:pPr>
    </w:p>
    <w:p w14:paraId="407CC9AE" w14:textId="77777777" w:rsidR="009E2114" w:rsidRPr="00B35962" w:rsidRDefault="00F77B42" w:rsidP="009E2114">
      <w:pPr>
        <w:rPr>
          <w:lang w:val="sr-Latn-ME"/>
        </w:rPr>
      </w:pPr>
      <w:r w:rsidRPr="00B35962">
        <w:rPr>
          <w:lang w:val="sr-Latn-ME"/>
        </w:rPr>
        <w:t xml:space="preserve">S druge strane, pošto su se interaktivne službe pokazale kao djelotvoran instrument za uključivanje u PVO djece kojima su ove usluge bile manje dostupne, u narednom periodu bi interaktivne službe trebalo koristiti i za veće uključivanje drugih kategorija djece kod koje je obuhvat PVO programima niži (npr. djeca iz romskih naselja, djeca koja </w:t>
      </w:r>
      <w:r w:rsidR="00287DF3" w:rsidRPr="00B35962">
        <w:rPr>
          <w:lang w:val="sr-Latn-ME"/>
        </w:rPr>
        <w:t>žive u siromašnim naseljima itd</w:t>
      </w:r>
      <w:r w:rsidR="00D91575" w:rsidRPr="00B35962">
        <w:rPr>
          <w:lang w:val="sr-Latn-ME"/>
        </w:rPr>
        <w:t>.</w:t>
      </w:r>
      <w:r w:rsidR="0013447C" w:rsidRPr="00B35962">
        <w:rPr>
          <w:lang w:val="sr-Latn-ME"/>
        </w:rPr>
        <w:t>,</w:t>
      </w:r>
      <w:r w:rsidR="00AE623F" w:rsidRPr="00B35962">
        <w:rPr>
          <w:lang w:val="sr-Latn-ME"/>
        </w:rPr>
        <w:t xml:space="preserve"> a koja ni</w:t>
      </w:r>
      <w:r w:rsidR="00D91575" w:rsidRPr="00B35962">
        <w:rPr>
          <w:lang w:val="sr-Latn-ME"/>
        </w:rPr>
        <w:t>je</w:t>
      </w:r>
      <w:r w:rsidR="00AE623F" w:rsidRPr="00B35962">
        <w:rPr>
          <w:lang w:val="sr-Latn-ME"/>
        </w:rPr>
        <w:t>su do sada bila d</w:t>
      </w:r>
      <w:r w:rsidR="00D91575" w:rsidRPr="00B35962">
        <w:rPr>
          <w:lang w:val="sr-Latn-ME"/>
        </w:rPr>
        <w:t>i</w:t>
      </w:r>
      <w:r w:rsidR="00AE623F" w:rsidRPr="00B35962">
        <w:rPr>
          <w:lang w:val="sr-Latn-ME"/>
        </w:rPr>
        <w:t>o sistema</w:t>
      </w:r>
      <w:r w:rsidR="00287DF3" w:rsidRPr="00B35962">
        <w:rPr>
          <w:lang w:val="sr-Latn-ME"/>
        </w:rPr>
        <w:t>).</w:t>
      </w:r>
      <w:r w:rsidR="000E3C22" w:rsidRPr="00B35962">
        <w:rPr>
          <w:lang w:val="sr-Latn-ME"/>
        </w:rPr>
        <w:t xml:space="preserve"> </w:t>
      </w:r>
      <w:r w:rsidR="009E2114" w:rsidRPr="00B35962">
        <w:rPr>
          <w:lang w:val="sr-Latn-ME"/>
        </w:rPr>
        <w:t xml:space="preserve">     </w:t>
      </w:r>
    </w:p>
    <w:p w14:paraId="0E51F892" w14:textId="77777777" w:rsidR="005F0508" w:rsidRPr="00B35962" w:rsidRDefault="005F0508" w:rsidP="009E2114">
      <w:pPr>
        <w:rPr>
          <w:lang w:val="sr-Latn-ME"/>
        </w:rPr>
      </w:pPr>
    </w:p>
    <w:p w14:paraId="79B9C324" w14:textId="77777777" w:rsidR="005F0508" w:rsidRPr="00B35962" w:rsidRDefault="005F0508" w:rsidP="005F0508">
      <w:pPr>
        <w:rPr>
          <w:lang w:val="sr-Latn-ME"/>
        </w:rPr>
      </w:pPr>
      <w:r w:rsidRPr="00B35962">
        <w:rPr>
          <w:lang w:val="sr-Latn-ME"/>
        </w:rPr>
        <w:t>Pored toga, ostvarenje ovog operativnog cilja može da bude ostvaren i kroz jačanje drugih formi pružanja usluga kao što je, na primjer, putujući vrtić i sl.</w:t>
      </w:r>
    </w:p>
    <w:p w14:paraId="66802E91" w14:textId="77777777" w:rsidR="00F23D87" w:rsidRPr="00B35962" w:rsidRDefault="00F23D87" w:rsidP="00F23D87">
      <w:pPr>
        <w:rPr>
          <w:lang w:val="sr-Latn-ME"/>
        </w:rPr>
      </w:pPr>
    </w:p>
    <w:p w14:paraId="5E875F7E" w14:textId="33B3AB54" w:rsidR="00F23D87" w:rsidRPr="00B35962" w:rsidRDefault="00D131EB" w:rsidP="00D347CF">
      <w:pPr>
        <w:ind w:firstLine="0"/>
        <w:rPr>
          <w:lang w:val="sr-Latn-ME"/>
        </w:rPr>
      </w:pPr>
      <w:r w:rsidRPr="00B35962">
        <w:rPr>
          <w:i/>
          <w:lang w:val="sr-Latn-ME"/>
        </w:rPr>
        <w:t>Ključno mjerilo</w:t>
      </w:r>
      <w:r w:rsidRPr="00B35962">
        <w:rPr>
          <w:lang w:val="sr-Latn-ME"/>
        </w:rPr>
        <w:t xml:space="preserve"> </w:t>
      </w:r>
      <w:r w:rsidR="009E2114" w:rsidRPr="00B35962">
        <w:rPr>
          <w:lang w:val="sr-Latn-ME"/>
        </w:rPr>
        <w:t xml:space="preserve">3.3: </w:t>
      </w:r>
      <w:r w:rsidR="009E2114" w:rsidRPr="00B35962">
        <w:rPr>
          <w:i/>
          <w:lang w:val="sr-Latn-ME"/>
        </w:rPr>
        <w:t xml:space="preserve">Unaprijediti podršku roditeljima iz osjetljivih grupa u </w:t>
      </w:r>
      <w:r w:rsidR="00F23D87" w:rsidRPr="00B35962">
        <w:rPr>
          <w:i/>
          <w:lang w:val="sr-Latn-ME"/>
        </w:rPr>
        <w:t>obezbjeđivanju</w:t>
      </w:r>
      <w:r w:rsidR="009E2114" w:rsidRPr="00B35962">
        <w:rPr>
          <w:i/>
          <w:lang w:val="sr-Latn-ME"/>
        </w:rPr>
        <w:t xml:space="preserve"> podsticajnijih uslova za rani razvoj u porodičnom okruženju</w:t>
      </w:r>
      <w:r w:rsidR="00F23D87" w:rsidRPr="00B35962">
        <w:rPr>
          <w:i/>
          <w:lang w:val="sr-Latn-ME"/>
        </w:rPr>
        <w:t>, dostupnosti i kvaliteta usluge rane podrške</w:t>
      </w:r>
    </w:p>
    <w:p w14:paraId="0A67576B" w14:textId="77777777" w:rsidR="00F23D87" w:rsidRPr="00B35962" w:rsidRDefault="00F23D87" w:rsidP="00F23D87">
      <w:pPr>
        <w:rPr>
          <w:lang w:val="sr-Latn-ME"/>
        </w:rPr>
      </w:pPr>
    </w:p>
    <w:p w14:paraId="399153E7" w14:textId="63633CCA" w:rsidR="00282813" w:rsidRPr="00B35962" w:rsidRDefault="00282813" w:rsidP="009E2114">
      <w:pPr>
        <w:rPr>
          <w:lang w:val="sr-Latn-ME"/>
        </w:rPr>
      </w:pPr>
      <w:r w:rsidRPr="00B35962">
        <w:rPr>
          <w:lang w:val="sr-Latn-ME"/>
        </w:rPr>
        <w:t xml:space="preserve">Do sada </w:t>
      </w:r>
      <w:r w:rsidR="00D91575" w:rsidRPr="00B35962">
        <w:rPr>
          <w:lang w:val="sr-Latn-ME"/>
        </w:rPr>
        <w:t xml:space="preserve">je </w:t>
      </w:r>
      <w:r w:rsidRPr="00B35962">
        <w:rPr>
          <w:lang w:val="sr-Latn-ME"/>
        </w:rPr>
        <w:t xml:space="preserve"> pokrenut niz inicijativa za jačanje roditelja</w:t>
      </w:r>
      <w:r w:rsidR="000E3C22" w:rsidRPr="00B35962">
        <w:rPr>
          <w:lang w:val="sr-Latn-ME"/>
        </w:rPr>
        <w:t xml:space="preserve"> u </w:t>
      </w:r>
      <w:r w:rsidR="00F23D87" w:rsidRPr="00B35962">
        <w:rPr>
          <w:lang w:val="sr-Latn-ME"/>
        </w:rPr>
        <w:t>obezbjeđivanju</w:t>
      </w:r>
      <w:r w:rsidR="000E3C22" w:rsidRPr="00B35962">
        <w:rPr>
          <w:lang w:val="sr-Latn-ME"/>
        </w:rPr>
        <w:t xml:space="preserve"> podsticajnih uslova za rani razvoj djece u porodičnom okruženju. Ove inicijative su od posebne važnosti u slučaju djece iz osjetljivih grupa</w:t>
      </w:r>
      <w:r w:rsidR="00D91575" w:rsidRPr="00B35962">
        <w:rPr>
          <w:lang w:val="sr-Latn-ME"/>
        </w:rPr>
        <w:t>,</w:t>
      </w:r>
      <w:r w:rsidR="000E3C22" w:rsidRPr="00B35962">
        <w:rPr>
          <w:lang w:val="sr-Latn-ME"/>
        </w:rPr>
        <w:t xml:space="preserve"> iz više razloga: djeca iz osjetljivih grupa su manje uključen</w:t>
      </w:r>
      <w:r w:rsidR="00D91575" w:rsidRPr="00B35962">
        <w:rPr>
          <w:lang w:val="sr-Latn-ME"/>
        </w:rPr>
        <w:t>a</w:t>
      </w:r>
      <w:r w:rsidR="000E3C22" w:rsidRPr="00B35962">
        <w:rPr>
          <w:lang w:val="sr-Latn-ME"/>
        </w:rPr>
        <w:t xml:space="preserve"> u programe PVO (posebno u najranijem uzrastu), roditelji</w:t>
      </w:r>
      <w:r w:rsidR="00B53A21" w:rsidRPr="00B35962">
        <w:rPr>
          <w:lang w:val="sr-Latn-ME"/>
        </w:rPr>
        <w:t xml:space="preserve"> ove djece se često suočavaju sa </w:t>
      </w:r>
      <w:r w:rsidR="00C054BF" w:rsidRPr="00B35962">
        <w:rPr>
          <w:lang w:val="sr-Latn-ME"/>
        </w:rPr>
        <w:t>životnim</w:t>
      </w:r>
      <w:r w:rsidR="00984802">
        <w:rPr>
          <w:lang w:val="sr-Latn-ME"/>
        </w:rPr>
        <w:t xml:space="preserve"> teškoćama </w:t>
      </w:r>
      <w:r w:rsidR="00B53A21" w:rsidRPr="00B35962">
        <w:rPr>
          <w:lang w:val="sr-Latn-ME"/>
        </w:rPr>
        <w:t>čime s</w:t>
      </w:r>
      <w:r w:rsidR="00C054BF" w:rsidRPr="00B35962">
        <w:rPr>
          <w:lang w:val="sr-Latn-ME"/>
        </w:rPr>
        <w:t>u</w:t>
      </w:r>
      <w:r w:rsidR="00B53A21" w:rsidRPr="00B35962">
        <w:rPr>
          <w:lang w:val="sr-Latn-ME"/>
        </w:rPr>
        <w:t xml:space="preserve"> njihovi kapaciteti za pružanje podrške ranom razvoju djece niži itd. Iz tih razloga, potrebno je da se u narednom periodu pojača podrška roditel</w:t>
      </w:r>
      <w:r w:rsidR="00984802">
        <w:rPr>
          <w:lang w:val="sr-Latn-ME"/>
        </w:rPr>
        <w:t xml:space="preserve">jima djece iz osjetljivih grupa. </w:t>
      </w:r>
      <w:r w:rsidR="00470A7F" w:rsidRPr="00B35962">
        <w:rPr>
          <w:lang w:val="sr-Latn-ME"/>
        </w:rPr>
        <w:t xml:space="preserve">Prilikom jačanja podrške roditeljima djece iz osjetljivih grupa treba imati u vidu da su potrebe roditelja iz različitih </w:t>
      </w:r>
      <w:r w:rsidR="004F04F0" w:rsidRPr="00B35962">
        <w:rPr>
          <w:lang w:val="sr-Latn-ME"/>
        </w:rPr>
        <w:t xml:space="preserve">osjetljivih </w:t>
      </w:r>
      <w:r w:rsidR="00470A7F" w:rsidRPr="00B35962">
        <w:rPr>
          <w:lang w:val="sr-Latn-ME"/>
        </w:rPr>
        <w:t xml:space="preserve">grupa (npr. roditelji koji žive u uslovima siromaštva, roditelji iz romske i egipćanske zajednice, roditelji djece sa </w:t>
      </w:r>
      <w:r w:rsidR="004F04F0" w:rsidRPr="00B35962">
        <w:rPr>
          <w:lang w:val="sr-Latn-ME"/>
        </w:rPr>
        <w:t xml:space="preserve">posebnim </w:t>
      </w:r>
      <w:r w:rsidR="000C3130" w:rsidRPr="00B35962">
        <w:rPr>
          <w:lang w:val="sr-Latn-ME"/>
        </w:rPr>
        <w:t xml:space="preserve">obrazovnim </w:t>
      </w:r>
      <w:r w:rsidR="004F04F0" w:rsidRPr="00B35962">
        <w:rPr>
          <w:lang w:val="sr-Latn-ME"/>
        </w:rPr>
        <w:t xml:space="preserve">potrebama, hranitelji itd.) različite </w:t>
      </w:r>
      <w:r w:rsidR="00984802">
        <w:rPr>
          <w:lang w:val="sr-Latn-ME"/>
        </w:rPr>
        <w:t>jer</w:t>
      </w:r>
      <w:r w:rsidR="004F04F0" w:rsidRPr="00B35962">
        <w:rPr>
          <w:lang w:val="sr-Latn-ME"/>
        </w:rPr>
        <w:t xml:space="preserve"> se suočavaju sa različitim izazovima i žive u različitim uslovima. Stoga o</w:t>
      </w:r>
      <w:r w:rsidR="00470A7F" w:rsidRPr="00B35962">
        <w:rPr>
          <w:lang w:val="sr-Latn-ME"/>
        </w:rPr>
        <w:t xml:space="preserve">blici podrške </w:t>
      </w:r>
      <w:r w:rsidR="004F04F0" w:rsidRPr="00B35962">
        <w:rPr>
          <w:lang w:val="sr-Latn-ME"/>
        </w:rPr>
        <w:lastRenderedPageBreak/>
        <w:t xml:space="preserve">koji će im biti na raspolaganju treba da budu fleksibilni i prilagođeni njihovim potrebama. Konačno, </w:t>
      </w:r>
      <w:r w:rsidR="004122DC" w:rsidRPr="00B35962">
        <w:rPr>
          <w:lang w:val="sr-Latn-ME"/>
        </w:rPr>
        <w:t>funkcija ovih oblika podrške treba da bude, pored podizanja kapaciteta roditelja da podržavaju rani razvoj svoje djece, i da se poveća obuhvat djece iz ovih grupa u redovne programe PVO</w:t>
      </w:r>
      <w:r w:rsidR="00C054BF" w:rsidRPr="00B35962">
        <w:rPr>
          <w:lang w:val="sr-Latn-ME"/>
        </w:rPr>
        <w:t>,</w:t>
      </w:r>
      <w:r w:rsidR="004122DC" w:rsidRPr="00B35962">
        <w:rPr>
          <w:lang w:val="sr-Latn-ME"/>
        </w:rPr>
        <w:t xml:space="preserve"> kako bi se jačala inkluzivnost PVO sistema i kako bi djec</w:t>
      </w:r>
      <w:r w:rsidR="00C054BF" w:rsidRPr="00B35962">
        <w:rPr>
          <w:lang w:val="sr-Latn-ME"/>
        </w:rPr>
        <w:t>a</w:t>
      </w:r>
      <w:r w:rsidR="004122DC" w:rsidRPr="00B35962">
        <w:rPr>
          <w:lang w:val="sr-Latn-ME"/>
        </w:rPr>
        <w:t xml:space="preserve"> i roditelji iz osjetljivih</w:t>
      </w:r>
      <w:r w:rsidR="00C054BF" w:rsidRPr="00B35962">
        <w:rPr>
          <w:lang w:val="sr-Latn-ME"/>
        </w:rPr>
        <w:t xml:space="preserve"> grupa</w:t>
      </w:r>
      <w:r w:rsidR="004122DC" w:rsidRPr="00B35962">
        <w:rPr>
          <w:lang w:val="sr-Latn-ME"/>
        </w:rPr>
        <w:t xml:space="preserve"> dobili kontinuiranu podršku u predškolskom periodu i prilikom prelaska iz vrtića u osnovnu školu. </w:t>
      </w:r>
    </w:p>
    <w:p w14:paraId="174C88F5" w14:textId="77777777" w:rsidR="00566A90" w:rsidRPr="00B35962" w:rsidRDefault="00566A90" w:rsidP="007B4DEB">
      <w:pPr>
        <w:rPr>
          <w:lang w:val="sr-Latn-ME"/>
        </w:rPr>
      </w:pPr>
    </w:p>
    <w:p w14:paraId="6E2ECFC8" w14:textId="3EC551AA" w:rsidR="00366B2F" w:rsidRPr="00B35962" w:rsidRDefault="00B53A21" w:rsidP="007B4DEB">
      <w:pPr>
        <w:rPr>
          <w:lang w:val="sr-Latn-ME"/>
        </w:rPr>
      </w:pPr>
      <w:r w:rsidRPr="00B35962">
        <w:rPr>
          <w:lang w:val="sr-Latn-ME"/>
        </w:rPr>
        <w:t xml:space="preserve">Jedan pravac djelovanja može da bude da </w:t>
      </w:r>
      <w:r w:rsidR="004122DC" w:rsidRPr="00B35962">
        <w:rPr>
          <w:lang w:val="sr-Latn-ME"/>
        </w:rPr>
        <w:t>M</w:t>
      </w:r>
      <w:r w:rsidR="007B4DEB" w:rsidRPr="00B35962">
        <w:rPr>
          <w:lang w:val="sr-Latn-ME"/>
        </w:rPr>
        <w:t>inistarstvo prosvjete</w:t>
      </w:r>
      <w:r w:rsidR="00984802">
        <w:rPr>
          <w:lang w:val="sr-Latn-ME"/>
        </w:rPr>
        <w:t>, nauke, kulture i sporta</w:t>
      </w:r>
      <w:r w:rsidR="007B4DEB" w:rsidRPr="00B35962">
        <w:rPr>
          <w:lang w:val="sr-Latn-ME"/>
        </w:rPr>
        <w:t xml:space="preserve">, Ministarstvo rada i socijalnog staranja i Ministarstvo zdravlja </w:t>
      </w:r>
      <w:r w:rsidRPr="00B35962">
        <w:rPr>
          <w:lang w:val="sr-Latn-ME"/>
        </w:rPr>
        <w:t xml:space="preserve">u saradnji sa civilnim sektorom i </w:t>
      </w:r>
      <w:r w:rsidR="004122DC" w:rsidRPr="00B35962">
        <w:rPr>
          <w:lang w:val="sr-Latn-ME"/>
        </w:rPr>
        <w:t xml:space="preserve">međunarodnim organizacijama </w:t>
      </w:r>
      <w:r w:rsidR="007B4DEB" w:rsidRPr="00B35962">
        <w:rPr>
          <w:lang w:val="sr-Latn-ME"/>
        </w:rPr>
        <w:t xml:space="preserve">podrže primjenu programa </w:t>
      </w:r>
      <w:r w:rsidR="00FA689E" w:rsidRPr="00B35962">
        <w:rPr>
          <w:lang w:val="sr-Latn-ME"/>
        </w:rPr>
        <w:t xml:space="preserve">„Roditeljstvo za cjeloživotno zdravlje” </w:t>
      </w:r>
      <w:r w:rsidR="000A377C" w:rsidRPr="00B35962">
        <w:rPr>
          <w:lang w:val="sr-Latn-ME"/>
        </w:rPr>
        <w:t xml:space="preserve">i „Porodični saradnik“ </w:t>
      </w:r>
      <w:r w:rsidR="00FA689E" w:rsidRPr="00B35962">
        <w:rPr>
          <w:lang w:val="sr-Latn-ME"/>
        </w:rPr>
        <w:t xml:space="preserve">za </w:t>
      </w:r>
      <w:r w:rsidR="007B4DEB" w:rsidRPr="00B35962">
        <w:rPr>
          <w:lang w:val="sr-Latn-ME"/>
        </w:rPr>
        <w:t>roditelje iz osjetljivih grupa.</w:t>
      </w:r>
      <w:r w:rsidR="00366B2F" w:rsidRPr="00B35962">
        <w:rPr>
          <w:lang w:val="sr-Latn-ME"/>
        </w:rPr>
        <w:t xml:space="preserve"> Na ovaj način može da se </w:t>
      </w:r>
      <w:r w:rsidR="00F23D87" w:rsidRPr="00B35962">
        <w:rPr>
          <w:lang w:val="sr-Latn-ME"/>
        </w:rPr>
        <w:t>obezbijedi</w:t>
      </w:r>
      <w:r w:rsidR="00366B2F" w:rsidRPr="00B35962">
        <w:rPr>
          <w:lang w:val="sr-Latn-ME"/>
        </w:rPr>
        <w:t xml:space="preserve"> brzo pružanje podrške roditeljima iz ovih grupa dok se  ti oblici podrške ne institucionalizuju u redovne usluge ova tri sektora.</w:t>
      </w:r>
      <w:r w:rsidR="007B4DEB" w:rsidRPr="00B35962">
        <w:rPr>
          <w:lang w:val="sr-Latn-ME"/>
        </w:rPr>
        <w:t xml:space="preserve"> </w:t>
      </w:r>
    </w:p>
    <w:p w14:paraId="14E60F04" w14:textId="77777777" w:rsidR="00566A90" w:rsidRPr="00B35962" w:rsidRDefault="00566A90" w:rsidP="007B4DEB">
      <w:pPr>
        <w:rPr>
          <w:lang w:val="sr-Latn-ME"/>
        </w:rPr>
      </w:pPr>
    </w:p>
    <w:p w14:paraId="58DABA88" w14:textId="77777777" w:rsidR="00FA689E" w:rsidRPr="00B35962" w:rsidRDefault="00366B2F" w:rsidP="007B4DEB">
      <w:pPr>
        <w:rPr>
          <w:lang w:val="sr-Latn-ME"/>
        </w:rPr>
      </w:pPr>
      <w:r w:rsidRPr="00B35962">
        <w:rPr>
          <w:lang w:val="sr-Latn-ME"/>
        </w:rPr>
        <w:t xml:space="preserve">Drugi pravac djelovanja bi imao za cilj da se </w:t>
      </w:r>
      <w:r w:rsidR="000A377C" w:rsidRPr="00B35962">
        <w:rPr>
          <w:lang w:val="sr-Latn-ME"/>
        </w:rPr>
        <w:t>obezbijede</w:t>
      </w:r>
      <w:r w:rsidRPr="00B35962">
        <w:rPr>
          <w:lang w:val="sr-Latn-ME"/>
        </w:rPr>
        <w:t xml:space="preserve"> posebni oblici podrške za roditelje iz različitih osjetljivih grupa. Pošto su roditelji iz osjetljivih grupa u velikoj mjeri već korisnici različitih usluga iz sektora socijaln</w:t>
      </w:r>
      <w:r w:rsidR="000A377C" w:rsidRPr="00B35962">
        <w:rPr>
          <w:lang w:val="sr-Latn-ME"/>
        </w:rPr>
        <w:t xml:space="preserve">e zaštite </w:t>
      </w:r>
      <w:r w:rsidRPr="00B35962">
        <w:rPr>
          <w:lang w:val="sr-Latn-ME"/>
        </w:rPr>
        <w:t>i z</w:t>
      </w:r>
      <w:r w:rsidR="000A377C" w:rsidRPr="00B35962">
        <w:rPr>
          <w:lang w:val="sr-Latn-ME"/>
        </w:rPr>
        <w:t>dravlja</w:t>
      </w:r>
      <w:r w:rsidR="00C054BF" w:rsidRPr="00B35962">
        <w:rPr>
          <w:lang w:val="sr-Latn-ME"/>
        </w:rPr>
        <w:t>,</w:t>
      </w:r>
      <w:r w:rsidR="000A377C" w:rsidRPr="00B35962">
        <w:rPr>
          <w:lang w:val="sr-Latn-ME"/>
        </w:rPr>
        <w:t xml:space="preserve"> najefikasniji način podrške</w:t>
      </w:r>
      <w:r w:rsidRPr="00B35962">
        <w:rPr>
          <w:lang w:val="sr-Latn-ME"/>
        </w:rPr>
        <w:t xml:space="preserve">  bio</w:t>
      </w:r>
      <w:r w:rsidR="00C054BF" w:rsidRPr="00B35962">
        <w:rPr>
          <w:lang w:val="sr-Latn-ME"/>
        </w:rPr>
        <w:t xml:space="preserve"> bi</w:t>
      </w:r>
      <w:r w:rsidRPr="00B35962">
        <w:rPr>
          <w:lang w:val="sr-Latn-ME"/>
        </w:rPr>
        <w:t xml:space="preserve"> da se profesionalci iz ovih sektora </w:t>
      </w:r>
      <w:r w:rsidR="002A08AC" w:rsidRPr="00B35962">
        <w:rPr>
          <w:lang w:val="sr-Latn-ME"/>
        </w:rPr>
        <w:t xml:space="preserve">(socijalni radnici, </w:t>
      </w:r>
      <w:r w:rsidR="000A377C" w:rsidRPr="00B35962">
        <w:rPr>
          <w:lang w:val="sr-Latn-ME"/>
        </w:rPr>
        <w:t>psiholozi</w:t>
      </w:r>
      <w:r w:rsidR="002A08AC" w:rsidRPr="00B35962">
        <w:rPr>
          <w:lang w:val="sr-Latn-ME"/>
        </w:rPr>
        <w:t xml:space="preserve"> i pedijatri) </w:t>
      </w:r>
      <w:r w:rsidRPr="00B35962">
        <w:rPr>
          <w:lang w:val="sr-Latn-ME"/>
        </w:rPr>
        <w:t xml:space="preserve">obuče za dodatni rad sa roditeljima. </w:t>
      </w:r>
      <w:r w:rsidR="00FC49D9" w:rsidRPr="00B35962">
        <w:rPr>
          <w:lang w:val="sr-Latn-ME"/>
        </w:rPr>
        <w:t xml:space="preserve">Profesionalni kadar koji pruža usluge iz sektora socijalne zaštite i zdravlja trebalo </w:t>
      </w:r>
      <w:r w:rsidR="00C054BF" w:rsidRPr="00B35962">
        <w:rPr>
          <w:lang w:val="sr-Latn-ME"/>
        </w:rPr>
        <w:t xml:space="preserve">bi </w:t>
      </w:r>
      <w:r w:rsidR="00FC49D9" w:rsidRPr="00B35962">
        <w:rPr>
          <w:lang w:val="sr-Latn-ME"/>
        </w:rPr>
        <w:t>da bude obučen da, u sklopu svojih osnovnih djelatnosti, rad</w:t>
      </w:r>
      <w:r w:rsidR="00C054BF" w:rsidRPr="00B35962">
        <w:rPr>
          <w:lang w:val="sr-Latn-ME"/>
        </w:rPr>
        <w:t>i</w:t>
      </w:r>
      <w:r w:rsidR="00FC49D9" w:rsidRPr="00B35962">
        <w:rPr>
          <w:lang w:val="sr-Latn-ME"/>
        </w:rPr>
        <w:t xml:space="preserve"> na (a) podizanju svijesti roditelja o značaju ranog razvoja, (b) upoznavanju roditelja sa roditeljskim praksama koje su podsticajne za rani razvoj djece</w:t>
      </w:r>
      <w:r w:rsidR="007F1707" w:rsidRPr="00B35962">
        <w:rPr>
          <w:lang w:val="sr-Latn-ME"/>
        </w:rPr>
        <w:t xml:space="preserve"> i korišćenje medij</w:t>
      </w:r>
      <w:r w:rsidR="00AE623F" w:rsidRPr="00B35962">
        <w:rPr>
          <w:lang w:val="sr-Latn-ME"/>
        </w:rPr>
        <w:t>s</w:t>
      </w:r>
      <w:r w:rsidR="007F1707" w:rsidRPr="00B35962">
        <w:rPr>
          <w:lang w:val="sr-Latn-ME"/>
        </w:rPr>
        <w:t>kih sadržaja koji su kreirani za roditelje (vidi operativni cilj 2.5)</w:t>
      </w:r>
      <w:r w:rsidR="00FC49D9" w:rsidRPr="00B35962">
        <w:rPr>
          <w:lang w:val="sr-Latn-ME"/>
        </w:rPr>
        <w:t>, (c) podizanju zainteresovanosti roditelja za uključivanje djece u programe PVO od najranijeg uzrasta</w:t>
      </w:r>
      <w:r w:rsidR="007F1707" w:rsidRPr="00B35962">
        <w:rPr>
          <w:lang w:val="sr-Latn-ME"/>
        </w:rPr>
        <w:t xml:space="preserve">, </w:t>
      </w:r>
      <w:r w:rsidR="00FC49D9" w:rsidRPr="00B35962">
        <w:rPr>
          <w:lang w:val="sr-Latn-ME"/>
        </w:rPr>
        <w:t xml:space="preserve">(d) podsticanju roditelja da koriste </w:t>
      </w:r>
      <w:r w:rsidR="002A08AC" w:rsidRPr="00B35962">
        <w:rPr>
          <w:lang w:val="sr-Latn-ME"/>
        </w:rPr>
        <w:t>usluge interaktivnih službi i biblioteka igračaka i knjiga (tamo gdje su one dostupne)</w:t>
      </w:r>
      <w:r w:rsidR="00FC49D9" w:rsidRPr="00B35962">
        <w:rPr>
          <w:lang w:val="sr-Latn-ME"/>
        </w:rPr>
        <w:t xml:space="preserve">. U razvoju takvog treninga treba da se koriste dosadašnja dobra iskustva koja imaju vaspitači iz PU, kao i iskustva iz primjene programa „Roditeljstvo za cjeloživotno zdravlje”. </w:t>
      </w:r>
    </w:p>
    <w:p w14:paraId="5A32E871" w14:textId="77777777" w:rsidR="000A377C" w:rsidRPr="00B35962" w:rsidRDefault="000A377C" w:rsidP="007B4DEB">
      <w:pPr>
        <w:rPr>
          <w:lang w:val="sr-Latn-ME"/>
        </w:rPr>
      </w:pPr>
    </w:p>
    <w:p w14:paraId="6E0C2C9C" w14:textId="41FB0012" w:rsidR="0023027A" w:rsidRPr="00B35962" w:rsidRDefault="0023027A" w:rsidP="0023027A">
      <w:pPr>
        <w:rPr>
          <w:szCs w:val="24"/>
          <w:lang w:val="sr-Latn-ME"/>
        </w:rPr>
      </w:pPr>
      <w:r w:rsidRPr="00B35962">
        <w:rPr>
          <w:szCs w:val="24"/>
          <w:lang w:val="sr-Latn-ME"/>
        </w:rPr>
        <w:t>Posebno je važno da se pruži adekvatn</w:t>
      </w:r>
      <w:r w:rsidR="00566A90" w:rsidRPr="00B35962">
        <w:rPr>
          <w:szCs w:val="24"/>
          <w:lang w:val="sr-Latn-ME"/>
        </w:rPr>
        <w:t>a i pravovr</w:t>
      </w:r>
      <w:r w:rsidR="00F93CEC" w:rsidRPr="00B35962">
        <w:rPr>
          <w:szCs w:val="24"/>
          <w:lang w:val="sr-Latn-ME"/>
        </w:rPr>
        <w:t>emena podrška roditeljima</w:t>
      </w:r>
      <w:r w:rsidRPr="00B35962">
        <w:rPr>
          <w:szCs w:val="24"/>
          <w:lang w:val="sr-Latn-ME"/>
        </w:rPr>
        <w:t xml:space="preserve"> </w:t>
      </w:r>
      <w:r w:rsidR="00354802" w:rsidRPr="00B35962">
        <w:rPr>
          <w:szCs w:val="24"/>
          <w:lang w:val="sr-Latn-ME"/>
        </w:rPr>
        <w:t>dje</w:t>
      </w:r>
      <w:r w:rsidRPr="00B35962">
        <w:rPr>
          <w:szCs w:val="24"/>
          <w:lang w:val="sr-Latn-ME"/>
        </w:rPr>
        <w:t xml:space="preserve">ce sa </w:t>
      </w:r>
      <w:r w:rsidR="00F93CEC" w:rsidRPr="00B35962">
        <w:rPr>
          <w:szCs w:val="24"/>
          <w:lang w:val="sr-Latn-ME"/>
        </w:rPr>
        <w:t>posebnim</w:t>
      </w:r>
      <w:r w:rsidR="001D320A" w:rsidRPr="00B35962">
        <w:rPr>
          <w:szCs w:val="24"/>
          <w:lang w:val="sr-Latn-ME"/>
        </w:rPr>
        <w:t xml:space="preserve"> obrazovnim</w:t>
      </w:r>
      <w:r w:rsidR="00F93CEC" w:rsidRPr="00B35962">
        <w:rPr>
          <w:szCs w:val="24"/>
          <w:lang w:val="sr-Latn-ME"/>
        </w:rPr>
        <w:t xml:space="preserve"> potrebama</w:t>
      </w:r>
      <w:r w:rsidRPr="00B35962">
        <w:rPr>
          <w:szCs w:val="24"/>
          <w:lang w:val="sr-Latn-ME"/>
        </w:rPr>
        <w:t xml:space="preserve">. Važno je da se iskoriste postojeći resursi, reorganizuju i/ili uspostave integrisane usluge u lokalnoj zajednici kako bi se obezbijedila adekvatna  dostupnost za rano otkrivanje i rad na smetnji i teškoći u razvoja </w:t>
      </w:r>
      <w:r w:rsidR="00354802" w:rsidRPr="00B35962">
        <w:rPr>
          <w:szCs w:val="24"/>
          <w:lang w:val="sr-Latn-ME"/>
        </w:rPr>
        <w:t>dje</w:t>
      </w:r>
      <w:r w:rsidRPr="00B35962">
        <w:rPr>
          <w:szCs w:val="24"/>
          <w:lang w:val="sr-Latn-ME"/>
        </w:rPr>
        <w:t xml:space="preserve">teta. Neophodno je da zdravstvene ustanove ostvare saradnju sa predškolskim ustanovama, resursnim i centrima za dnevni boravak, sa ciljem razvoja plana podrške koji će se koristiti kao osnov za IROP uz učešće i osnaživanje roditelja. </w:t>
      </w:r>
      <w:r w:rsidR="00BF33CD" w:rsidRPr="00B35962">
        <w:rPr>
          <w:szCs w:val="24"/>
          <w:lang w:val="sr-Latn-ME"/>
        </w:rPr>
        <w:t>Pored toga, potrebno je o</w:t>
      </w:r>
      <w:r w:rsidRPr="00B35962">
        <w:rPr>
          <w:szCs w:val="24"/>
          <w:lang w:val="sr-Latn-ME"/>
        </w:rPr>
        <w:t>smisliti model i mehanizam saradnje između</w:t>
      </w:r>
      <w:r w:rsidR="001D320A" w:rsidRPr="00B35962">
        <w:rPr>
          <w:szCs w:val="24"/>
          <w:lang w:val="sr-Latn-ME"/>
        </w:rPr>
        <w:t xml:space="preserve"> centara za</w:t>
      </w:r>
      <w:r w:rsidRPr="00B35962">
        <w:rPr>
          <w:szCs w:val="24"/>
          <w:lang w:val="sr-Latn-ME"/>
        </w:rPr>
        <w:t xml:space="preserve"> dnevni boravak, domova zdravlja, vrtića</w:t>
      </w:r>
      <w:r w:rsidR="00C97DCB" w:rsidRPr="00B35962">
        <w:rPr>
          <w:szCs w:val="24"/>
          <w:lang w:val="sr-Latn-ME"/>
        </w:rPr>
        <w:t xml:space="preserve"> </w:t>
      </w:r>
      <w:r w:rsidRPr="00B35962">
        <w:rPr>
          <w:szCs w:val="24"/>
          <w:lang w:val="sr-Latn-ME"/>
        </w:rPr>
        <w:t xml:space="preserve">i resursnih centara. </w:t>
      </w:r>
      <w:r w:rsidR="001D320A" w:rsidRPr="00B35962">
        <w:rPr>
          <w:szCs w:val="24"/>
          <w:lang w:val="sr-Latn-ME"/>
        </w:rPr>
        <w:t xml:space="preserve">Centri za dnevni </w:t>
      </w:r>
      <w:r w:rsidRPr="00B35962">
        <w:rPr>
          <w:szCs w:val="24"/>
          <w:lang w:val="sr-Latn-ME"/>
        </w:rPr>
        <w:t>borav</w:t>
      </w:r>
      <w:r w:rsidR="001D320A" w:rsidRPr="00B35962">
        <w:rPr>
          <w:szCs w:val="24"/>
          <w:lang w:val="sr-Latn-ME"/>
        </w:rPr>
        <w:t xml:space="preserve">ak </w:t>
      </w:r>
      <w:r w:rsidRPr="00B35962">
        <w:rPr>
          <w:szCs w:val="24"/>
          <w:lang w:val="sr-Latn-ME"/>
        </w:rPr>
        <w:t xml:space="preserve">kao </w:t>
      </w:r>
      <w:r w:rsidR="000F1A8C" w:rsidRPr="00B35962">
        <w:rPr>
          <w:szCs w:val="24"/>
          <w:lang w:val="sr-Latn-ME"/>
        </w:rPr>
        <w:t xml:space="preserve">usluge </w:t>
      </w:r>
      <w:r w:rsidRPr="00B35962">
        <w:rPr>
          <w:szCs w:val="24"/>
          <w:lang w:val="sr-Latn-ME"/>
        </w:rPr>
        <w:t>dječije i socijalne zaštite treba da budu bolje iskorišćeni</w:t>
      </w:r>
      <w:r w:rsidR="000F1A8C" w:rsidRPr="00B35962">
        <w:rPr>
          <w:szCs w:val="24"/>
          <w:lang w:val="sr-Latn-ME"/>
        </w:rPr>
        <w:t>.</w:t>
      </w:r>
      <w:r w:rsidRPr="00B35962">
        <w:rPr>
          <w:szCs w:val="24"/>
          <w:lang w:val="sr-Latn-ME"/>
        </w:rPr>
        <w:t xml:space="preserve"> Promovisati proces usmjeravanja </w:t>
      </w:r>
      <w:r w:rsidR="00C06A62" w:rsidRPr="00B35962">
        <w:rPr>
          <w:szCs w:val="24"/>
          <w:lang w:val="sr-Latn-ME"/>
        </w:rPr>
        <w:t xml:space="preserve">djece sa posebnim obrazovnim potrebama </w:t>
      </w:r>
      <w:r w:rsidRPr="00B35962">
        <w:rPr>
          <w:szCs w:val="24"/>
          <w:lang w:val="sr-Latn-ME"/>
        </w:rPr>
        <w:t>i pravo na besplatan vrtić</w:t>
      </w:r>
      <w:r w:rsidR="00C06A62" w:rsidRPr="00B35962">
        <w:rPr>
          <w:szCs w:val="24"/>
          <w:lang w:val="sr-Latn-ME"/>
        </w:rPr>
        <w:t xml:space="preserve"> i</w:t>
      </w:r>
      <w:r w:rsidRPr="00B35962">
        <w:rPr>
          <w:szCs w:val="24"/>
          <w:lang w:val="sr-Latn-ME"/>
        </w:rPr>
        <w:t xml:space="preserve"> usluge resursnih centara. Nastaviti rad stručnjaka iz resursnih centara u smjeru stalne obuke, neposrednog vođenja i podrške vaspitačima iz PU u razvoju kapaciteta za rad sa djecom s posebnim </w:t>
      </w:r>
      <w:r w:rsidR="00DE1B11">
        <w:rPr>
          <w:szCs w:val="24"/>
          <w:lang w:val="sr-Latn-ME"/>
        </w:rPr>
        <w:t xml:space="preserve">obrazovnim </w:t>
      </w:r>
      <w:r w:rsidRPr="00B35962">
        <w:rPr>
          <w:szCs w:val="24"/>
          <w:lang w:val="sr-Latn-ME"/>
        </w:rPr>
        <w:t xml:space="preserve">potrebama (prepoznavanje potreba, prilagođavanje i izradu didaktičkih sredstava i slično). </w:t>
      </w:r>
      <w:r w:rsidR="001D320A" w:rsidRPr="00B35962">
        <w:rPr>
          <w:szCs w:val="24"/>
          <w:lang w:val="sr-Latn-ME"/>
        </w:rPr>
        <w:t xml:space="preserve">Kroz programe razvoja roditeljskih </w:t>
      </w:r>
      <w:r w:rsidR="001D320A" w:rsidRPr="00B35962">
        <w:rPr>
          <w:szCs w:val="24"/>
          <w:lang w:val="sr-Latn-ME"/>
        </w:rPr>
        <w:lastRenderedPageBreak/>
        <w:t xml:space="preserve">kompetencija uključiti teme od značaja za roditelje </w:t>
      </w:r>
      <w:r w:rsidR="0053659D" w:rsidRPr="00B35962">
        <w:rPr>
          <w:szCs w:val="24"/>
          <w:lang w:val="sr-Latn-ME"/>
        </w:rPr>
        <w:t>dj</w:t>
      </w:r>
      <w:r w:rsidR="001D320A" w:rsidRPr="00B35962">
        <w:rPr>
          <w:szCs w:val="24"/>
          <w:lang w:val="sr-Latn-ME"/>
        </w:rPr>
        <w:t xml:space="preserve">ece sa smetnjama u razvoju. </w:t>
      </w:r>
      <w:r w:rsidR="00F93CEC" w:rsidRPr="00B35962">
        <w:rPr>
          <w:szCs w:val="24"/>
          <w:lang w:val="sr-Latn-ME"/>
        </w:rPr>
        <w:t>Konačno, k</w:t>
      </w:r>
      <w:r w:rsidRPr="00B35962">
        <w:rPr>
          <w:szCs w:val="24"/>
          <w:lang w:val="sr-Latn-ME"/>
        </w:rPr>
        <w:t xml:space="preserve">roz pomenute centre </w:t>
      </w:r>
      <w:r w:rsidR="00F93CEC" w:rsidRPr="00B35962">
        <w:rPr>
          <w:szCs w:val="24"/>
          <w:lang w:val="sr-Latn-ME"/>
        </w:rPr>
        <w:t>i</w:t>
      </w:r>
      <w:r w:rsidRPr="00B35962">
        <w:rPr>
          <w:szCs w:val="24"/>
          <w:lang w:val="sr-Latn-ME"/>
        </w:rPr>
        <w:t xml:space="preserve">zvrsnosti </w:t>
      </w:r>
      <w:r w:rsidR="00F93CEC" w:rsidRPr="00B35962">
        <w:rPr>
          <w:szCs w:val="24"/>
          <w:lang w:val="sr-Latn-ME"/>
        </w:rPr>
        <w:t xml:space="preserve">treba </w:t>
      </w:r>
      <w:r w:rsidRPr="00B35962">
        <w:rPr>
          <w:szCs w:val="24"/>
          <w:lang w:val="sr-Latn-ME"/>
        </w:rPr>
        <w:t xml:space="preserve">uključiti i </w:t>
      </w:r>
      <w:r w:rsidR="00F93CEC" w:rsidRPr="00B35962">
        <w:rPr>
          <w:szCs w:val="24"/>
          <w:lang w:val="sr-Latn-ME"/>
        </w:rPr>
        <w:t xml:space="preserve">dobre prakse iz ovog </w:t>
      </w:r>
      <w:r w:rsidRPr="00B35962">
        <w:rPr>
          <w:szCs w:val="24"/>
          <w:lang w:val="sr-Latn-ME"/>
        </w:rPr>
        <w:t>segment</w:t>
      </w:r>
      <w:r w:rsidR="00F93CEC" w:rsidRPr="00B35962">
        <w:rPr>
          <w:szCs w:val="24"/>
          <w:lang w:val="sr-Latn-ME"/>
        </w:rPr>
        <w:t>a</w:t>
      </w:r>
      <w:r w:rsidRPr="00B35962">
        <w:rPr>
          <w:szCs w:val="24"/>
          <w:lang w:val="sr-Latn-ME"/>
        </w:rPr>
        <w:t>.</w:t>
      </w:r>
    </w:p>
    <w:p w14:paraId="64185CA6" w14:textId="77777777" w:rsidR="000F1A8C" w:rsidRPr="00B35962" w:rsidRDefault="000F1A8C" w:rsidP="0023027A">
      <w:pPr>
        <w:rPr>
          <w:szCs w:val="24"/>
          <w:lang w:val="sr-Latn-ME"/>
        </w:rPr>
      </w:pPr>
    </w:p>
    <w:p w14:paraId="0D5D2D36" w14:textId="3FEBA13F" w:rsidR="00592B88" w:rsidRPr="00B35962" w:rsidRDefault="0086219F" w:rsidP="00592B88">
      <w:pPr>
        <w:rPr>
          <w:lang w:val="sr-Latn-ME"/>
        </w:rPr>
      </w:pPr>
      <w:r w:rsidRPr="00B35962">
        <w:rPr>
          <w:lang w:val="sr-Latn-ME"/>
        </w:rPr>
        <w:t>Pored djece sa posebnim</w:t>
      </w:r>
      <w:r w:rsidR="001D320A" w:rsidRPr="00B35962">
        <w:rPr>
          <w:lang w:val="sr-Latn-ME"/>
        </w:rPr>
        <w:t xml:space="preserve"> obrazovnim</w:t>
      </w:r>
      <w:r w:rsidRPr="00B35962">
        <w:rPr>
          <w:lang w:val="sr-Latn-ME"/>
        </w:rPr>
        <w:t xml:space="preserve"> potrebama posebna pažnja treba da bude posvećena i d</w:t>
      </w:r>
      <w:r w:rsidR="00A428F6" w:rsidRPr="00B35962">
        <w:rPr>
          <w:lang w:val="sr-Latn-ME"/>
        </w:rPr>
        <w:t>j</w:t>
      </w:r>
      <w:r w:rsidRPr="00B35962">
        <w:rPr>
          <w:lang w:val="sr-Latn-ME"/>
        </w:rPr>
        <w:t xml:space="preserve">eci koja su na dužoj hospitalizaciji. U tom smislu, </w:t>
      </w:r>
      <w:r w:rsidR="00870B16" w:rsidRPr="00B35962">
        <w:rPr>
          <w:lang w:val="sr-Latn-ME"/>
        </w:rPr>
        <w:t xml:space="preserve">u narednom periodu treba ojačati saradnju sa sektorom zdravstva </w:t>
      </w:r>
      <w:r w:rsidR="007F1707" w:rsidRPr="00B35962">
        <w:rPr>
          <w:lang w:val="sr-Latn-ME"/>
        </w:rPr>
        <w:t xml:space="preserve">sa ciljem da </w:t>
      </w:r>
      <w:r w:rsidR="00D441CB" w:rsidRPr="00B35962">
        <w:rPr>
          <w:lang w:val="sr-Latn-ME"/>
        </w:rPr>
        <w:t xml:space="preserve">PU pruže podršku zdravstvenim ustanovama u razvijanju i primjeni </w:t>
      </w:r>
      <w:r w:rsidR="007F1707" w:rsidRPr="00B35962">
        <w:rPr>
          <w:lang w:val="sr-Latn-ME"/>
        </w:rPr>
        <w:t xml:space="preserve">dodatnih aktivnosti sa djecom koje bi bile usmjerene na pružanje podrške ranom razvoju djece dok su na bolničkom liječenju. Pored toga, pružanje podrške od strane PU treba da uključi i trening za korišćenje snimljenih materijala za podsticanje ranog razvoja djece. </w:t>
      </w:r>
      <w:bookmarkStart w:id="20" w:name="_Toc55295096"/>
    </w:p>
    <w:p w14:paraId="4D95D0CB" w14:textId="54C0154A" w:rsidR="00592B88" w:rsidRPr="00B35962" w:rsidRDefault="00592B88" w:rsidP="00592B88">
      <w:pPr>
        <w:rPr>
          <w:lang w:val="sr-Latn-ME"/>
        </w:rPr>
      </w:pPr>
    </w:p>
    <w:p w14:paraId="67FD89A1" w14:textId="6A659774" w:rsidR="00A575AE" w:rsidRPr="00B35962" w:rsidRDefault="00A575AE" w:rsidP="00592B88">
      <w:pPr>
        <w:rPr>
          <w:lang w:val="sr-Latn-ME"/>
        </w:rPr>
      </w:pPr>
    </w:p>
    <w:p w14:paraId="56703254" w14:textId="300900F1" w:rsidR="00A575AE" w:rsidRPr="00B35962" w:rsidRDefault="00A575AE" w:rsidP="00592B88">
      <w:pPr>
        <w:rPr>
          <w:lang w:val="sr-Latn-ME"/>
        </w:rPr>
      </w:pPr>
    </w:p>
    <w:p w14:paraId="6475DB11" w14:textId="4C622168" w:rsidR="00A575AE" w:rsidRPr="00B35962" w:rsidRDefault="00A575AE" w:rsidP="00592B88">
      <w:pPr>
        <w:rPr>
          <w:lang w:val="sr-Latn-ME"/>
        </w:rPr>
      </w:pPr>
    </w:p>
    <w:p w14:paraId="6BA861D4" w14:textId="3370DB71" w:rsidR="00A575AE" w:rsidRPr="00B35962" w:rsidRDefault="00A575AE" w:rsidP="00592B88">
      <w:pPr>
        <w:rPr>
          <w:lang w:val="sr-Latn-ME"/>
        </w:rPr>
      </w:pPr>
    </w:p>
    <w:p w14:paraId="0B9F538C" w14:textId="514C709B" w:rsidR="00A575AE" w:rsidRPr="00B35962" w:rsidRDefault="00A575AE" w:rsidP="00592B88">
      <w:pPr>
        <w:rPr>
          <w:lang w:val="sr-Latn-ME"/>
        </w:rPr>
      </w:pPr>
    </w:p>
    <w:p w14:paraId="7C88C245" w14:textId="7DD09C73" w:rsidR="00A575AE" w:rsidRPr="00B35962" w:rsidRDefault="00A575AE" w:rsidP="00592B88">
      <w:pPr>
        <w:rPr>
          <w:lang w:val="sr-Latn-ME"/>
        </w:rPr>
      </w:pPr>
    </w:p>
    <w:p w14:paraId="470EF338" w14:textId="2D739E02" w:rsidR="00A575AE" w:rsidRPr="00B35962" w:rsidRDefault="00A575AE" w:rsidP="00592B88">
      <w:pPr>
        <w:rPr>
          <w:lang w:val="sr-Latn-ME"/>
        </w:rPr>
      </w:pPr>
    </w:p>
    <w:p w14:paraId="47817856" w14:textId="1884EEE6" w:rsidR="00A575AE" w:rsidRPr="00B35962" w:rsidRDefault="00A575AE" w:rsidP="00592B88">
      <w:pPr>
        <w:rPr>
          <w:lang w:val="sr-Latn-ME"/>
        </w:rPr>
      </w:pPr>
    </w:p>
    <w:p w14:paraId="3ECDA6F3" w14:textId="7A4ECF49" w:rsidR="00A575AE" w:rsidRPr="00B35962" w:rsidRDefault="00A575AE" w:rsidP="00592B88">
      <w:pPr>
        <w:rPr>
          <w:lang w:val="sr-Latn-ME"/>
        </w:rPr>
      </w:pPr>
    </w:p>
    <w:p w14:paraId="3C732658" w14:textId="2C093E1D" w:rsidR="00A575AE" w:rsidRPr="00B35962" w:rsidRDefault="00A575AE" w:rsidP="00592B88">
      <w:pPr>
        <w:rPr>
          <w:lang w:val="sr-Latn-ME"/>
        </w:rPr>
      </w:pPr>
    </w:p>
    <w:p w14:paraId="79A0BAC5" w14:textId="03F91792" w:rsidR="00A575AE" w:rsidRPr="00B35962" w:rsidRDefault="00A575AE" w:rsidP="00592B88">
      <w:pPr>
        <w:rPr>
          <w:lang w:val="sr-Latn-ME"/>
        </w:rPr>
      </w:pPr>
    </w:p>
    <w:p w14:paraId="0609FA88" w14:textId="5910F994" w:rsidR="00A575AE" w:rsidRPr="00B35962" w:rsidRDefault="00A575AE" w:rsidP="00592B88">
      <w:pPr>
        <w:rPr>
          <w:lang w:val="sr-Latn-ME"/>
        </w:rPr>
      </w:pPr>
    </w:p>
    <w:p w14:paraId="7B438EF5" w14:textId="69E3836A" w:rsidR="00A575AE" w:rsidRPr="00B35962" w:rsidRDefault="00A575AE" w:rsidP="00592B88">
      <w:pPr>
        <w:rPr>
          <w:lang w:val="sr-Latn-ME"/>
        </w:rPr>
      </w:pPr>
    </w:p>
    <w:p w14:paraId="58355C90" w14:textId="0F486BE0" w:rsidR="00A575AE" w:rsidRPr="00B35962" w:rsidRDefault="00A575AE" w:rsidP="00592B88">
      <w:pPr>
        <w:rPr>
          <w:lang w:val="sr-Latn-ME"/>
        </w:rPr>
      </w:pPr>
    </w:p>
    <w:p w14:paraId="685F3B14" w14:textId="096D16A9" w:rsidR="00A575AE" w:rsidRPr="00B35962" w:rsidRDefault="00A575AE" w:rsidP="00592B88">
      <w:pPr>
        <w:rPr>
          <w:lang w:val="sr-Latn-ME"/>
        </w:rPr>
      </w:pPr>
    </w:p>
    <w:p w14:paraId="390AF8A9" w14:textId="3E2CFC41" w:rsidR="00A575AE" w:rsidRPr="00B35962" w:rsidRDefault="00A575AE" w:rsidP="00592B88">
      <w:pPr>
        <w:rPr>
          <w:lang w:val="sr-Latn-ME"/>
        </w:rPr>
      </w:pPr>
    </w:p>
    <w:p w14:paraId="5ED61D02" w14:textId="77777777" w:rsidR="00A575AE" w:rsidRPr="00B35962" w:rsidRDefault="00A575AE" w:rsidP="00592B88">
      <w:pPr>
        <w:rPr>
          <w:lang w:val="sr-Latn-ME"/>
        </w:rPr>
      </w:pPr>
    </w:p>
    <w:p w14:paraId="5414D635" w14:textId="2F3C140A" w:rsidR="00A575AE" w:rsidRPr="00B35962" w:rsidRDefault="00A575AE" w:rsidP="00592B88">
      <w:pPr>
        <w:rPr>
          <w:lang w:val="sr-Latn-ME"/>
        </w:rPr>
      </w:pPr>
    </w:p>
    <w:p w14:paraId="2ED98220" w14:textId="35B08620" w:rsidR="00A575AE" w:rsidRDefault="00A575AE" w:rsidP="00592B88">
      <w:pPr>
        <w:rPr>
          <w:lang w:val="sr-Latn-ME"/>
        </w:rPr>
      </w:pPr>
    </w:p>
    <w:p w14:paraId="5016412E" w14:textId="25A8EF2D" w:rsidR="00984802" w:rsidRDefault="00984802" w:rsidP="00592B88">
      <w:pPr>
        <w:rPr>
          <w:lang w:val="sr-Latn-ME"/>
        </w:rPr>
      </w:pPr>
    </w:p>
    <w:p w14:paraId="5CEC5861" w14:textId="69EB3018" w:rsidR="00984802" w:rsidRDefault="00984802" w:rsidP="00592B88">
      <w:pPr>
        <w:rPr>
          <w:lang w:val="sr-Latn-ME"/>
        </w:rPr>
      </w:pPr>
    </w:p>
    <w:p w14:paraId="7EA0E6D3" w14:textId="1B3B3706" w:rsidR="00984802" w:rsidRDefault="00984802" w:rsidP="00592B88">
      <w:pPr>
        <w:rPr>
          <w:lang w:val="sr-Latn-ME"/>
        </w:rPr>
      </w:pPr>
    </w:p>
    <w:p w14:paraId="49BAB27A" w14:textId="7F724FA9" w:rsidR="00984802" w:rsidRDefault="00984802" w:rsidP="00592B88">
      <w:pPr>
        <w:rPr>
          <w:lang w:val="sr-Latn-ME"/>
        </w:rPr>
      </w:pPr>
    </w:p>
    <w:p w14:paraId="5F66EFF8" w14:textId="06BC139C" w:rsidR="00984802" w:rsidRDefault="00984802" w:rsidP="00592B88">
      <w:pPr>
        <w:rPr>
          <w:lang w:val="sr-Latn-ME"/>
        </w:rPr>
      </w:pPr>
    </w:p>
    <w:p w14:paraId="78490735" w14:textId="36CCC353" w:rsidR="00984802" w:rsidRDefault="00984802" w:rsidP="00592B88">
      <w:pPr>
        <w:rPr>
          <w:lang w:val="sr-Latn-ME"/>
        </w:rPr>
      </w:pPr>
    </w:p>
    <w:p w14:paraId="686E1F31" w14:textId="77777777" w:rsidR="00984802" w:rsidRPr="00B35962" w:rsidRDefault="00984802" w:rsidP="00592B88">
      <w:pPr>
        <w:rPr>
          <w:lang w:val="sr-Latn-ME"/>
        </w:rPr>
      </w:pPr>
    </w:p>
    <w:p w14:paraId="3A2C9FBC" w14:textId="77777777" w:rsidR="00A575AE" w:rsidRPr="00B35962" w:rsidRDefault="00A575AE" w:rsidP="00592B88">
      <w:pPr>
        <w:rPr>
          <w:color w:val="0070C0"/>
          <w:lang w:val="sr-Latn-ME"/>
        </w:rPr>
      </w:pPr>
    </w:p>
    <w:p w14:paraId="55F11B5E" w14:textId="405B65CD" w:rsidR="006B7669" w:rsidRPr="00B35962" w:rsidRDefault="006B7669" w:rsidP="006B7669">
      <w:pPr>
        <w:pStyle w:val="Heading1"/>
        <w:rPr>
          <w:rFonts w:cs="Times New Roman"/>
          <w:color w:val="0070C0"/>
          <w:lang w:val="sr-Latn-ME"/>
        </w:rPr>
      </w:pPr>
      <w:r w:rsidRPr="00B35962">
        <w:rPr>
          <w:rFonts w:cs="Times New Roman"/>
          <w:color w:val="0070C0"/>
          <w:lang w:val="sr-Latn-ME"/>
        </w:rPr>
        <w:t xml:space="preserve">5. Opis aktivnosti nadležnih organa i tijela za </w:t>
      </w:r>
      <w:r w:rsidR="00926653" w:rsidRPr="00B35962">
        <w:rPr>
          <w:rFonts w:cs="Times New Roman"/>
          <w:color w:val="0070C0"/>
          <w:lang w:val="sr-Latn-ME"/>
        </w:rPr>
        <w:t xml:space="preserve">implementaciju i </w:t>
      </w:r>
      <w:r w:rsidRPr="00B35962">
        <w:rPr>
          <w:rFonts w:cs="Times New Roman"/>
          <w:color w:val="0070C0"/>
          <w:lang w:val="sr-Latn-ME"/>
        </w:rPr>
        <w:t>praćenje sprovođenja strategije</w:t>
      </w:r>
      <w:bookmarkEnd w:id="20"/>
    </w:p>
    <w:p w14:paraId="7ECC8410" w14:textId="205F7DED" w:rsidR="00926653" w:rsidRPr="00B35962" w:rsidRDefault="00D70D59" w:rsidP="00D70D59">
      <w:pPr>
        <w:spacing w:after="160"/>
        <w:ind w:firstLine="0"/>
        <w:rPr>
          <w:lang w:val="sr-Latn-ME"/>
        </w:rPr>
      </w:pPr>
      <w:r w:rsidRPr="00B35962">
        <w:rPr>
          <w:lang w:val="sr-Latn-ME"/>
        </w:rPr>
        <w:tab/>
      </w:r>
      <w:r w:rsidR="00926653" w:rsidRPr="00B35962">
        <w:rPr>
          <w:lang w:val="sr-Latn-ME"/>
        </w:rPr>
        <w:t>Radna grupa Ministarstva prosvjete</w:t>
      </w:r>
      <w:r w:rsidR="00B316BF">
        <w:rPr>
          <w:lang w:val="sr-Latn-ME"/>
        </w:rPr>
        <w:t>, nauke, kulture i sporta</w:t>
      </w:r>
      <w:r w:rsidR="00926653" w:rsidRPr="00B35962">
        <w:rPr>
          <w:lang w:val="sr-Latn-ME"/>
        </w:rPr>
        <w:t xml:space="preserve"> će za svaku godinu definisati opeartivni plan za sprovođenje Akcionog plana za sprovođenje strategije u kojem će biti definisane konkretne aktivnosti koje će se realizova</w:t>
      </w:r>
      <w:r w:rsidR="00A575AE" w:rsidRPr="00B35962">
        <w:rPr>
          <w:lang w:val="sr-Latn-ME"/>
        </w:rPr>
        <w:t>ti u narednoj godini u skladu s</w:t>
      </w:r>
      <w:r w:rsidR="00926653" w:rsidRPr="00B35962">
        <w:rPr>
          <w:lang w:val="sr-Latn-ME"/>
        </w:rPr>
        <w:t xml:space="preserve"> Akcionim planom.</w:t>
      </w:r>
    </w:p>
    <w:p w14:paraId="1DB3BB78" w14:textId="4F1D623B" w:rsidR="00D70D59" w:rsidRPr="00B35962" w:rsidRDefault="00F43E15" w:rsidP="00EB7C0D">
      <w:pPr>
        <w:spacing w:after="160"/>
        <w:rPr>
          <w:lang w:val="sr-Latn-ME"/>
        </w:rPr>
      </w:pPr>
      <w:r w:rsidRPr="00B35962">
        <w:rPr>
          <w:lang w:val="sr-Latn-ME"/>
        </w:rPr>
        <w:t>Za praćenje implementacije Strategije ranog i predškolskog vaspitanja i obrazovanja 2021-202</w:t>
      </w:r>
      <w:r w:rsidR="00F00F84" w:rsidRPr="00B35962">
        <w:rPr>
          <w:lang w:val="sr-Latn-ME"/>
        </w:rPr>
        <w:t>5</w:t>
      </w:r>
      <w:r w:rsidRPr="00B35962">
        <w:rPr>
          <w:lang w:val="sr-Latn-ME"/>
        </w:rPr>
        <w:t xml:space="preserve"> biće formirana Radna grupa čiji predstavnici će biti iz institucija koje su u prepoznate kroz aktivnosti u okviru </w:t>
      </w:r>
      <w:r w:rsidR="0013447C" w:rsidRPr="00B35962">
        <w:rPr>
          <w:lang w:val="sr-Latn-ME"/>
        </w:rPr>
        <w:t>Akcion</w:t>
      </w:r>
      <w:r w:rsidRPr="00B35962">
        <w:rPr>
          <w:lang w:val="sr-Latn-ME"/>
        </w:rPr>
        <w:t>og</w:t>
      </w:r>
      <w:r w:rsidR="0013447C" w:rsidRPr="00B35962">
        <w:rPr>
          <w:lang w:val="sr-Latn-ME"/>
        </w:rPr>
        <w:t xml:space="preserve"> plan</w:t>
      </w:r>
      <w:r w:rsidRPr="00B35962">
        <w:rPr>
          <w:lang w:val="sr-Latn-ME"/>
        </w:rPr>
        <w:t>a (Ministarstva zdravlja, Ministarstva</w:t>
      </w:r>
      <w:r w:rsidR="004F45FC" w:rsidRPr="00B35962">
        <w:rPr>
          <w:lang w:val="sr-Latn-ME"/>
        </w:rPr>
        <w:t xml:space="preserve"> </w:t>
      </w:r>
      <w:r w:rsidR="004F45FC">
        <w:rPr>
          <w:lang w:val="sr-Latn-ME"/>
        </w:rPr>
        <w:t>finansija</w:t>
      </w:r>
      <w:r w:rsidRPr="00B35962">
        <w:rPr>
          <w:lang w:val="sr-Latn-ME"/>
        </w:rPr>
        <w:t xml:space="preserve"> i socij</w:t>
      </w:r>
      <w:r w:rsidR="00566A90" w:rsidRPr="00B35962">
        <w:rPr>
          <w:lang w:val="sr-Latn-ME"/>
        </w:rPr>
        <w:t>al</w:t>
      </w:r>
      <w:r w:rsidRPr="00B35962">
        <w:rPr>
          <w:lang w:val="sr-Latn-ME"/>
        </w:rPr>
        <w:t>nog staranja) i NVO sektor.</w:t>
      </w:r>
      <w:r w:rsidR="0013447C" w:rsidRPr="00B35962">
        <w:rPr>
          <w:lang w:val="sr-Latn-ME"/>
        </w:rPr>
        <w:t xml:space="preserve"> </w:t>
      </w:r>
      <w:r w:rsidRPr="00B35962">
        <w:rPr>
          <w:lang w:val="sr-Latn-ME"/>
        </w:rPr>
        <w:t>Cilj Radne grupe je da prati real</w:t>
      </w:r>
      <w:r w:rsidR="00ED299F">
        <w:rPr>
          <w:lang w:val="sr-Latn-ME"/>
        </w:rPr>
        <w:t>izaciju postavljenih aktivnosti</w:t>
      </w:r>
      <w:r w:rsidRPr="00B35962">
        <w:rPr>
          <w:lang w:val="sr-Latn-ME"/>
        </w:rPr>
        <w:t xml:space="preserve"> i godišnje informisanje Vlade Crne Gore o postignutom.</w:t>
      </w:r>
    </w:p>
    <w:p w14:paraId="132BA7AA" w14:textId="77777777" w:rsidR="00F00F84" w:rsidRPr="00B35962" w:rsidRDefault="003F30EF" w:rsidP="00D70D59">
      <w:pPr>
        <w:spacing w:after="160"/>
        <w:ind w:firstLine="0"/>
        <w:rPr>
          <w:lang w:val="sr-Latn-ME"/>
        </w:rPr>
      </w:pPr>
      <w:r w:rsidRPr="00B35962">
        <w:rPr>
          <w:lang w:val="sr-Latn-ME"/>
        </w:rPr>
        <w:tab/>
        <w:t>Osim toga, praćenje se odvija kroz unaprijeđenu metodologiju i procedure Zavoda za školstvo i preorijentaciju ka savjetodavnoj ulozi.</w:t>
      </w:r>
    </w:p>
    <w:p w14:paraId="5254C619" w14:textId="77777777" w:rsidR="00B35962" w:rsidRDefault="003F30EF" w:rsidP="00D70D59">
      <w:pPr>
        <w:spacing w:after="160"/>
        <w:ind w:firstLine="0"/>
        <w:rPr>
          <w:lang w:val="sr-Latn-ME"/>
        </w:rPr>
      </w:pPr>
      <w:r w:rsidRPr="00B35962">
        <w:rPr>
          <w:lang w:val="sr-Latn-ME"/>
        </w:rPr>
        <w:tab/>
        <w:t>Potom, najneposredniji uvid se odvija kroz uvođenje praktičnog vođenja (engl. coaching), daje sliku u metodama, strategijama, postupcima rada, kompetencijama, potreba svih učesnika procesa predškolskog vaspitanja i obrazovanja i izvještavanje po ovoj osnovi.</w:t>
      </w:r>
    </w:p>
    <w:p w14:paraId="10837BE9" w14:textId="6E97D860" w:rsidR="00D70D59" w:rsidRPr="00B35962" w:rsidRDefault="00D70D59" w:rsidP="00D70D59">
      <w:pPr>
        <w:spacing w:after="160"/>
        <w:ind w:firstLine="0"/>
        <w:rPr>
          <w:lang w:val="sr-Latn-ME"/>
        </w:rPr>
      </w:pPr>
      <w:r w:rsidRPr="00B35962">
        <w:rPr>
          <w:lang w:val="sr-Latn-ME"/>
        </w:rPr>
        <w:tab/>
      </w:r>
      <w:r w:rsidRPr="00B35962">
        <w:rPr>
          <w:lang w:val="sr-Latn-ME"/>
        </w:rPr>
        <w:tab/>
      </w:r>
    </w:p>
    <w:p w14:paraId="1F3548A0" w14:textId="3BFE1947" w:rsidR="006B7669" w:rsidRPr="00B35962" w:rsidRDefault="006B7669" w:rsidP="006B7669">
      <w:pPr>
        <w:pStyle w:val="Heading1"/>
        <w:rPr>
          <w:rFonts w:cs="Times New Roman"/>
          <w:color w:val="0070C0"/>
          <w:lang w:val="sr-Latn-ME"/>
        </w:rPr>
      </w:pPr>
      <w:bookmarkStart w:id="21" w:name="_Toc55295097"/>
      <w:r w:rsidRPr="00B35962">
        <w:rPr>
          <w:rFonts w:cs="Times New Roman"/>
          <w:color w:val="0070C0"/>
          <w:lang w:val="sr-Latn-ME"/>
        </w:rPr>
        <w:t>6. Način izvještavanja i evaluacije</w:t>
      </w:r>
      <w:bookmarkEnd w:id="21"/>
    </w:p>
    <w:p w14:paraId="5A2FF7B1" w14:textId="600E6E9D" w:rsidR="006B7669" w:rsidRPr="00B35962" w:rsidRDefault="00F43E15" w:rsidP="00D70D59">
      <w:pPr>
        <w:spacing w:after="160"/>
        <w:rPr>
          <w:lang w:val="sr-Latn-ME"/>
        </w:rPr>
      </w:pPr>
      <w:r w:rsidRPr="00B35962">
        <w:rPr>
          <w:lang w:val="sr-Latn-ME"/>
        </w:rPr>
        <w:t>Ministarstvo prosvjete</w:t>
      </w:r>
      <w:r w:rsidR="004F45FC">
        <w:rPr>
          <w:lang w:val="sr-Latn-ME"/>
        </w:rPr>
        <w:t>, nauke, kulture i sporta</w:t>
      </w:r>
      <w:r w:rsidRPr="00B35962">
        <w:rPr>
          <w:lang w:val="sr-Latn-ME"/>
        </w:rPr>
        <w:t xml:space="preserve"> je u obavezi da izvijesti Vladu Crne Gore o realizovanim aktivnostima za svaku pojedinačnu godinu trajanja Strategije i da na kraju perioda sačini konačan izvještaj.</w:t>
      </w:r>
    </w:p>
    <w:p w14:paraId="7D3E2BC5" w14:textId="77777777" w:rsidR="003F30EF" w:rsidRPr="00B35962" w:rsidRDefault="000C3130" w:rsidP="00D70D59">
      <w:pPr>
        <w:spacing w:after="160"/>
        <w:rPr>
          <w:lang w:val="sr-Latn-ME"/>
        </w:rPr>
      </w:pPr>
      <w:r w:rsidRPr="00B35962">
        <w:rPr>
          <w:lang w:val="sr-Latn-ME"/>
        </w:rPr>
        <w:t>Takođe, s ciljem sagledavanja učinka, osiguranja principa koninuteta, planiranja i pripreme pravaca daljeg razvoja oblasti ranog učenja i predškolskog vaspitanja i obrazovanja na dokazima   uradiće se</w:t>
      </w:r>
      <w:r w:rsidR="00D30F0B" w:rsidRPr="00B35962">
        <w:rPr>
          <w:lang w:val="sr-Latn-ME"/>
        </w:rPr>
        <w:t xml:space="preserve"> eksterna</w:t>
      </w:r>
      <w:r w:rsidRPr="00B35962">
        <w:rPr>
          <w:lang w:val="sr-Latn-ME"/>
        </w:rPr>
        <w:t xml:space="preserve"> evaluacija postignuća.</w:t>
      </w:r>
      <w:r w:rsidR="00D70D59" w:rsidRPr="00B35962">
        <w:rPr>
          <w:lang w:val="sr-Latn-ME"/>
        </w:rPr>
        <w:t xml:space="preserve"> </w:t>
      </w:r>
    </w:p>
    <w:p w14:paraId="5522290A" w14:textId="77777777" w:rsidR="003F30EF" w:rsidRPr="00B35962" w:rsidRDefault="003F30EF" w:rsidP="00D70D59">
      <w:pPr>
        <w:spacing w:after="160"/>
        <w:rPr>
          <w:lang w:val="sr-Latn-ME"/>
        </w:rPr>
      </w:pPr>
      <w:r w:rsidRPr="00B35962">
        <w:rPr>
          <w:lang w:val="sr-Latn-ME"/>
        </w:rPr>
        <w:t>U vezi s tim će biti angažovan nezavisni evaluator</w:t>
      </w:r>
      <w:r w:rsidR="004F4934" w:rsidRPr="00B35962">
        <w:rPr>
          <w:lang w:val="sr-Latn-ME"/>
        </w:rPr>
        <w:t>, s referenntnom praksom, iskustvom, profesionalnom osnovom</w:t>
      </w:r>
      <w:r w:rsidRPr="00B35962">
        <w:rPr>
          <w:lang w:val="sr-Latn-ME"/>
        </w:rPr>
        <w:t xml:space="preserve"> </w:t>
      </w:r>
      <w:r w:rsidR="004F4934" w:rsidRPr="00B35962">
        <w:rPr>
          <w:lang w:val="sr-Latn-ME"/>
        </w:rPr>
        <w:t>za ovu oblast.</w:t>
      </w:r>
    </w:p>
    <w:p w14:paraId="1A8D43DF" w14:textId="37C4DD5E" w:rsidR="000C3130" w:rsidRPr="00B35962" w:rsidRDefault="004F4934" w:rsidP="00D70D59">
      <w:pPr>
        <w:spacing w:after="160"/>
        <w:rPr>
          <w:lang w:val="sr-Latn-ME"/>
        </w:rPr>
        <w:sectPr w:rsidR="000C3130" w:rsidRPr="00B35962" w:rsidSect="00406816">
          <w:footerReference w:type="default" r:id="rId12"/>
          <w:pgSz w:w="12240" w:h="15840"/>
          <w:pgMar w:top="1440" w:right="1440" w:bottom="1440" w:left="1440" w:header="708" w:footer="708" w:gutter="0"/>
          <w:cols w:space="708"/>
          <w:docGrid w:linePitch="360"/>
        </w:sectPr>
      </w:pPr>
      <w:r w:rsidRPr="00B35962">
        <w:rPr>
          <w:lang w:val="sr-Latn-ME"/>
        </w:rPr>
        <w:t>Sprovedena evaluacija</w:t>
      </w:r>
      <w:r w:rsidR="00D70D59" w:rsidRPr="00B35962">
        <w:rPr>
          <w:lang w:val="sr-Latn-ME"/>
        </w:rPr>
        <w:t xml:space="preserve"> će poslužiti da se na dokazima i potrebama k</w:t>
      </w:r>
      <w:r w:rsidRPr="00B35962">
        <w:rPr>
          <w:lang w:val="sr-Latn-ME"/>
        </w:rPr>
        <w:t>oncip</w:t>
      </w:r>
      <w:r w:rsidR="004F45FC">
        <w:rPr>
          <w:lang w:val="sr-Latn-ME"/>
        </w:rPr>
        <w:t>i</w:t>
      </w:r>
      <w:r w:rsidRPr="00B35962">
        <w:rPr>
          <w:lang w:val="sr-Latn-ME"/>
        </w:rPr>
        <w:t>raju dalji pravci razvoja</w:t>
      </w:r>
      <w:r w:rsidR="00D70D59" w:rsidRPr="00B35962">
        <w:rPr>
          <w:lang w:val="sr-Latn-ME"/>
        </w:rPr>
        <w:t xml:space="preserve"> oblasti</w:t>
      </w:r>
      <w:r w:rsidRPr="00B35962">
        <w:rPr>
          <w:lang w:val="sr-Latn-ME"/>
        </w:rPr>
        <w:t xml:space="preserve"> ranog i predškolskog vaspitanja i obrazovanja</w:t>
      </w:r>
      <w:r w:rsidR="00D70D59" w:rsidRPr="00B35962">
        <w:rPr>
          <w:lang w:val="sr-Latn-ME"/>
        </w:rPr>
        <w:t>.</w:t>
      </w:r>
    </w:p>
    <w:p w14:paraId="38717051" w14:textId="143EBFC2" w:rsidR="00F43E15" w:rsidRDefault="006B7669" w:rsidP="00B5024A">
      <w:pPr>
        <w:pStyle w:val="Heading1"/>
        <w:ind w:firstLine="0"/>
        <w:jc w:val="both"/>
        <w:rPr>
          <w:rFonts w:cs="Times New Roman"/>
          <w:color w:val="0070C0"/>
          <w:lang w:val="sr-Latn-ME"/>
        </w:rPr>
      </w:pPr>
      <w:bookmarkStart w:id="22" w:name="_Toc55295098"/>
      <w:r w:rsidRPr="00B35962">
        <w:rPr>
          <w:rFonts w:cs="Times New Roman"/>
          <w:color w:val="0070C0"/>
          <w:lang w:val="sr-Latn-ME"/>
        </w:rPr>
        <w:t>7. Prateći akcioni plan s procjenom troškova</w:t>
      </w:r>
      <w:bookmarkEnd w:id="22"/>
    </w:p>
    <w:p w14:paraId="72EEB701" w14:textId="77777777" w:rsidR="00B5024A" w:rsidRPr="00B35962" w:rsidRDefault="00B5024A" w:rsidP="00F43E15">
      <w:pPr>
        <w:rPr>
          <w:sz w:val="22"/>
          <w:lang w:val="sr-Latn-ME"/>
        </w:rPr>
      </w:pPr>
      <w:r w:rsidRPr="00B35962">
        <w:rPr>
          <w:lang w:val="sr-Latn-ME"/>
        </w:rPr>
        <w:fldChar w:fldCharType="begin"/>
      </w:r>
      <w:r w:rsidRPr="00B35962">
        <w:rPr>
          <w:lang w:val="sr-Latn-ME"/>
        </w:rPr>
        <w:instrText xml:space="preserve"> LINK Excel.Sheet.12 "C:\\Users\\user\\Desktop\\Strategija 2021 2024 akcioni plan ver7 1.8.2020 (3).xlsx" "Akcioni plan!R2C1:R62C9" \a \f 4 \h </w:instrText>
      </w:r>
      <w:r w:rsidR="001E4AB6" w:rsidRPr="00B35962">
        <w:rPr>
          <w:lang w:val="sr-Latn-ME"/>
        </w:rPr>
        <w:instrText xml:space="preserve"> \* MERGEFORMAT </w:instrText>
      </w:r>
      <w:r w:rsidRPr="00B35962">
        <w:rPr>
          <w:lang w:val="sr-Latn-ME"/>
        </w:rPr>
        <w:fldChar w:fldCharType="separate"/>
      </w:r>
    </w:p>
    <w:tbl>
      <w:tblPr>
        <w:tblW w:w="13750" w:type="dxa"/>
        <w:tblInd w:w="-5" w:type="dxa"/>
        <w:tblLayout w:type="fixed"/>
        <w:tblLook w:val="04A0" w:firstRow="1" w:lastRow="0" w:firstColumn="1" w:lastColumn="0" w:noHBand="0" w:noVBand="1"/>
      </w:tblPr>
      <w:tblGrid>
        <w:gridCol w:w="13750"/>
      </w:tblGrid>
      <w:tr w:rsidR="00B5024A" w:rsidRPr="00B35962" w14:paraId="62A3910D" w14:textId="77777777" w:rsidTr="009E4555">
        <w:trPr>
          <w:trHeight w:val="315"/>
        </w:trPr>
        <w:tc>
          <w:tcPr>
            <w:tcW w:w="13750" w:type="dxa"/>
            <w:tcBorders>
              <w:top w:val="single" w:sz="8" w:space="0" w:color="auto"/>
              <w:left w:val="single" w:sz="8" w:space="0" w:color="auto"/>
              <w:bottom w:val="single" w:sz="8" w:space="0" w:color="auto"/>
              <w:right w:val="single" w:sz="8" w:space="0" w:color="000000"/>
            </w:tcBorders>
            <w:shd w:val="clear" w:color="000000" w:fill="B4C6E7"/>
            <w:vAlign w:val="center"/>
            <w:hideMark/>
          </w:tcPr>
          <w:p w14:paraId="4AEF8A90" w14:textId="6586990F" w:rsidR="00B5024A" w:rsidRPr="00B35962" w:rsidRDefault="00D131EB" w:rsidP="00BA3A5D">
            <w:pPr>
              <w:spacing w:line="240" w:lineRule="auto"/>
              <w:ind w:firstLine="0"/>
              <w:jc w:val="left"/>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S</w:t>
            </w:r>
            <w:r w:rsidR="00BA3A5D" w:rsidRPr="00B35962">
              <w:rPr>
                <w:rFonts w:ascii="Garamond" w:eastAsia="Times New Roman" w:hAnsi="Garamond" w:cs="Calibri"/>
                <w:b/>
                <w:bCs/>
                <w:sz w:val="22"/>
                <w:szCs w:val="22"/>
                <w:lang w:val="sr-Latn-ME" w:eastAsia="sr-Latn-ME"/>
              </w:rPr>
              <w:t>trateški cilj</w:t>
            </w:r>
          </w:p>
        </w:tc>
      </w:tr>
      <w:tr w:rsidR="00BA3A5D" w:rsidRPr="00B35962" w14:paraId="46AAFA26" w14:textId="77777777" w:rsidTr="009E4555">
        <w:trPr>
          <w:trHeight w:val="315"/>
        </w:trPr>
        <w:tc>
          <w:tcPr>
            <w:tcW w:w="13750" w:type="dxa"/>
            <w:tcBorders>
              <w:top w:val="single" w:sz="8" w:space="0" w:color="auto"/>
              <w:left w:val="single" w:sz="8" w:space="0" w:color="auto"/>
              <w:bottom w:val="single" w:sz="8" w:space="0" w:color="auto"/>
              <w:right w:val="single" w:sz="8" w:space="0" w:color="000000"/>
            </w:tcBorders>
            <w:shd w:val="clear" w:color="000000" w:fill="B4C6E7"/>
            <w:vAlign w:val="center"/>
          </w:tcPr>
          <w:p w14:paraId="38E51031" w14:textId="0E66025D" w:rsidR="00BA3A5D" w:rsidRPr="00B35962" w:rsidRDefault="00BA3A5D" w:rsidP="00BA3A5D">
            <w:pPr>
              <w:pStyle w:val="IntenseQuote1"/>
              <w:spacing w:before="0" w:beforeAutospacing="0"/>
              <w:ind w:firstLine="0"/>
              <w:jc w:val="both"/>
              <w:rPr>
                <w:i w:val="0"/>
                <w:color w:val="auto"/>
                <w:lang w:val="sr-Latn-ME"/>
              </w:rPr>
            </w:pPr>
            <w:r w:rsidRPr="00B35962">
              <w:rPr>
                <w:i w:val="0"/>
                <w:color w:val="auto"/>
                <w:lang w:val="sr-Latn-ME"/>
              </w:rPr>
              <w:t>Obezbjeđivanje jednakih šansi za rani razvoj sve djece u Crnoj Gori kroz jačanje dostupnosti, kvaliteta i pravednosti PVO</w:t>
            </w:r>
          </w:p>
        </w:tc>
      </w:tr>
      <w:tr w:rsidR="00BA3A5D" w:rsidRPr="00B35962" w14:paraId="473D2E92" w14:textId="77777777" w:rsidTr="009E4555">
        <w:trPr>
          <w:trHeight w:val="315"/>
        </w:trPr>
        <w:tc>
          <w:tcPr>
            <w:tcW w:w="13750" w:type="dxa"/>
            <w:tcBorders>
              <w:top w:val="single" w:sz="8" w:space="0" w:color="auto"/>
              <w:left w:val="single" w:sz="8" w:space="0" w:color="auto"/>
              <w:bottom w:val="single" w:sz="8" w:space="0" w:color="auto"/>
              <w:right w:val="single" w:sz="8" w:space="0" w:color="000000"/>
            </w:tcBorders>
            <w:shd w:val="clear" w:color="000000" w:fill="B4C6E7"/>
            <w:vAlign w:val="center"/>
          </w:tcPr>
          <w:p w14:paraId="47AD5AC7" w14:textId="77777777" w:rsidR="00D649A5" w:rsidRPr="00B35962" w:rsidRDefault="00BA3A5D" w:rsidP="00D649A5">
            <w:pPr>
              <w:pStyle w:val="IntenseQuote1"/>
              <w:spacing w:before="0" w:beforeAutospacing="0"/>
              <w:ind w:firstLine="0"/>
              <w:jc w:val="both"/>
              <w:rPr>
                <w:i w:val="0"/>
                <w:color w:val="auto"/>
                <w:lang w:val="sr-Latn-ME"/>
              </w:rPr>
            </w:pPr>
            <w:r w:rsidRPr="00B35962">
              <w:rPr>
                <w:i w:val="0"/>
                <w:color w:val="auto"/>
                <w:lang w:val="sr-Latn-ME"/>
              </w:rPr>
              <w:t>Ishod: Do 2025. godine</w:t>
            </w:r>
            <w:r w:rsidR="00D649A5" w:rsidRPr="00B35962">
              <w:rPr>
                <w:i w:val="0"/>
                <w:color w:val="auto"/>
                <w:lang w:val="sr-Latn-ME"/>
              </w:rPr>
              <w:t>:</w:t>
            </w:r>
            <w:r w:rsidRPr="00B35962">
              <w:rPr>
                <w:i w:val="0"/>
                <w:color w:val="auto"/>
                <w:lang w:val="sr-Latn-ME"/>
              </w:rPr>
              <w:t xml:space="preserve"> </w:t>
            </w:r>
          </w:p>
          <w:p w14:paraId="2FD5143A" w14:textId="77777777" w:rsidR="00D649A5" w:rsidRPr="00B35962" w:rsidRDefault="00D649A5" w:rsidP="00D649A5">
            <w:pPr>
              <w:pStyle w:val="IntenseQuote1"/>
              <w:spacing w:before="0" w:beforeAutospacing="0"/>
              <w:ind w:firstLine="0"/>
              <w:jc w:val="both"/>
              <w:rPr>
                <w:i w:val="0"/>
                <w:color w:val="auto"/>
                <w:lang w:val="sr-Latn-ME"/>
              </w:rPr>
            </w:pPr>
            <w:r w:rsidRPr="00B35962">
              <w:rPr>
                <w:i w:val="0"/>
                <w:color w:val="auto"/>
                <w:lang w:val="sr-Latn-ME"/>
              </w:rPr>
              <w:t xml:space="preserve">- </w:t>
            </w:r>
            <w:r w:rsidR="00BA3A5D" w:rsidRPr="00B35962">
              <w:rPr>
                <w:i w:val="0"/>
                <w:color w:val="auto"/>
                <w:lang w:val="sr-Latn-ME"/>
              </w:rPr>
              <w:t>povećati obuhvat djece PVO</w:t>
            </w:r>
            <w:r w:rsidRPr="00B35962">
              <w:rPr>
                <w:i w:val="0"/>
                <w:color w:val="auto"/>
                <w:lang w:val="sr-Latn-ME"/>
              </w:rPr>
              <w:t xml:space="preserve"> (</w:t>
            </w:r>
            <w:r w:rsidR="00BA3A5D" w:rsidRPr="00B35962">
              <w:rPr>
                <w:i w:val="0"/>
                <w:color w:val="auto"/>
                <w:lang w:val="sr-Latn-ME"/>
              </w:rPr>
              <w:t>60% djece</w:t>
            </w:r>
            <w:r w:rsidRPr="00B35962">
              <w:rPr>
                <w:i w:val="0"/>
                <w:color w:val="auto"/>
                <w:lang w:val="sr-Latn-ME"/>
              </w:rPr>
              <w:t xml:space="preserve"> od 0 do 6 godina, </w:t>
            </w:r>
            <w:r w:rsidR="00BA3A5D" w:rsidRPr="00B35962">
              <w:rPr>
                <w:i w:val="0"/>
                <w:color w:val="auto"/>
                <w:lang w:val="sr-Latn-ME"/>
              </w:rPr>
              <w:t>90% djece od 3 godine do polaska u školu</w:t>
            </w:r>
            <w:r w:rsidRPr="00B35962">
              <w:rPr>
                <w:i w:val="0"/>
                <w:color w:val="auto"/>
                <w:lang w:val="sr-Latn-ME"/>
              </w:rPr>
              <w:t>),</w:t>
            </w:r>
            <w:r w:rsidR="00BA3A5D" w:rsidRPr="00B35962">
              <w:rPr>
                <w:i w:val="0"/>
                <w:color w:val="auto"/>
                <w:lang w:val="sr-Latn-ME"/>
              </w:rPr>
              <w:t xml:space="preserve"> </w:t>
            </w:r>
          </w:p>
          <w:p w14:paraId="640A810A" w14:textId="4678EFC9" w:rsidR="00D649A5" w:rsidRPr="00B35962" w:rsidRDefault="00D649A5" w:rsidP="00D649A5">
            <w:pPr>
              <w:pStyle w:val="IntenseQuote1"/>
              <w:spacing w:before="0" w:beforeAutospacing="0"/>
              <w:ind w:firstLine="0"/>
              <w:jc w:val="both"/>
              <w:rPr>
                <w:i w:val="0"/>
                <w:color w:val="auto"/>
                <w:lang w:val="sr-Latn-ME"/>
              </w:rPr>
            </w:pPr>
            <w:r w:rsidRPr="00B35962">
              <w:rPr>
                <w:i w:val="0"/>
                <w:color w:val="auto"/>
                <w:lang w:val="sr-Latn-ME"/>
              </w:rPr>
              <w:t xml:space="preserve">- </w:t>
            </w:r>
            <w:r w:rsidR="00BA3A5D" w:rsidRPr="00B35962">
              <w:rPr>
                <w:i w:val="0"/>
                <w:color w:val="auto"/>
                <w:lang w:val="sr-Latn-ME"/>
              </w:rPr>
              <w:t xml:space="preserve">unaprijediti kvalitet PVO </w:t>
            </w:r>
            <w:r w:rsidRPr="00B35962">
              <w:rPr>
                <w:i w:val="0"/>
                <w:color w:val="auto"/>
                <w:lang w:val="sr-Latn-ME"/>
              </w:rPr>
              <w:t>i r</w:t>
            </w:r>
            <w:r w:rsidR="00BA3A5D" w:rsidRPr="00B35962">
              <w:rPr>
                <w:i w:val="0"/>
                <w:color w:val="auto"/>
                <w:lang w:val="sr-Latn-ME"/>
              </w:rPr>
              <w:t xml:space="preserve">azviti sistem za </w:t>
            </w:r>
            <w:r w:rsidRPr="00B35962">
              <w:rPr>
                <w:i w:val="0"/>
                <w:color w:val="auto"/>
                <w:lang w:val="sr-Latn-ME"/>
              </w:rPr>
              <w:t xml:space="preserve">njegovo </w:t>
            </w:r>
            <w:r w:rsidR="00BA3A5D" w:rsidRPr="00B35962">
              <w:rPr>
                <w:i w:val="0"/>
                <w:color w:val="auto"/>
                <w:lang w:val="sr-Latn-ME"/>
              </w:rPr>
              <w:t>obezbjeđivanje u skladu sa EU o</w:t>
            </w:r>
            <w:r w:rsidRPr="00B35962">
              <w:rPr>
                <w:i w:val="0"/>
                <w:color w:val="auto"/>
                <w:lang w:val="sr-Latn-ME"/>
              </w:rPr>
              <w:t xml:space="preserve">kvirom, </w:t>
            </w:r>
          </w:p>
          <w:p w14:paraId="79AEF014" w14:textId="02E6F75D" w:rsidR="00BA3A5D" w:rsidRPr="00B35962" w:rsidRDefault="00D649A5" w:rsidP="00D649A5">
            <w:pPr>
              <w:pStyle w:val="IntenseQuote1"/>
              <w:spacing w:before="0" w:beforeAutospacing="0"/>
              <w:ind w:firstLine="0"/>
              <w:jc w:val="both"/>
              <w:rPr>
                <w:i w:val="0"/>
                <w:color w:val="auto"/>
                <w:lang w:val="sr-Latn-ME"/>
              </w:rPr>
            </w:pPr>
            <w:r w:rsidRPr="00B35962">
              <w:rPr>
                <w:i w:val="0"/>
                <w:color w:val="auto"/>
                <w:lang w:val="sr-Latn-ME"/>
              </w:rPr>
              <w:t>- u</w:t>
            </w:r>
            <w:r w:rsidR="00BA3A5D" w:rsidRPr="00B35962">
              <w:rPr>
                <w:i w:val="0"/>
                <w:color w:val="auto"/>
                <w:lang w:val="sr-Latn-ME"/>
              </w:rPr>
              <w:t>naprijediti sistem za pružanje podrške za rani razvoj djece iz osjetljivih grupa kroz pružanje podrške roditeljima i kroz veću uključen</w:t>
            </w:r>
            <w:r w:rsidRPr="00B35962">
              <w:rPr>
                <w:i w:val="0"/>
                <w:color w:val="auto"/>
                <w:lang w:val="sr-Latn-ME"/>
              </w:rPr>
              <w:t>ost u kvalitetne programe PVO</w:t>
            </w:r>
          </w:p>
        </w:tc>
      </w:tr>
      <w:tr w:rsidR="00BA3A5D" w:rsidRPr="00B35962" w14:paraId="5457BB4D" w14:textId="77777777" w:rsidTr="009E4555">
        <w:trPr>
          <w:trHeight w:val="315"/>
        </w:trPr>
        <w:tc>
          <w:tcPr>
            <w:tcW w:w="13750" w:type="dxa"/>
            <w:tcBorders>
              <w:top w:val="single" w:sz="8" w:space="0" w:color="auto"/>
              <w:left w:val="single" w:sz="8" w:space="0" w:color="auto"/>
              <w:bottom w:val="single" w:sz="8" w:space="0" w:color="auto"/>
              <w:right w:val="single" w:sz="8" w:space="0" w:color="000000"/>
            </w:tcBorders>
            <w:shd w:val="clear" w:color="000000" w:fill="B4C6E7"/>
            <w:vAlign w:val="center"/>
          </w:tcPr>
          <w:p w14:paraId="4C0E1C12" w14:textId="22B81203" w:rsidR="00BA3A5D" w:rsidRPr="00B35962" w:rsidRDefault="00BA3A5D" w:rsidP="00B5024A">
            <w:pPr>
              <w:spacing w:line="240" w:lineRule="auto"/>
              <w:ind w:firstLine="0"/>
              <w:jc w:val="left"/>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Operativni  cilj 1. Povećanje obuhvata djece PVO</w:t>
            </w:r>
          </w:p>
        </w:tc>
      </w:tr>
      <w:tr w:rsidR="00B5024A" w:rsidRPr="00B35962" w14:paraId="05137D30" w14:textId="77777777" w:rsidTr="009E4555">
        <w:trPr>
          <w:trHeight w:val="743"/>
        </w:trPr>
        <w:tc>
          <w:tcPr>
            <w:tcW w:w="13750" w:type="dxa"/>
            <w:tcBorders>
              <w:top w:val="single" w:sz="8" w:space="0" w:color="auto"/>
              <w:left w:val="single" w:sz="8" w:space="0" w:color="auto"/>
              <w:bottom w:val="single" w:sz="8" w:space="0" w:color="auto"/>
              <w:right w:val="single" w:sz="8" w:space="0" w:color="000000"/>
            </w:tcBorders>
            <w:shd w:val="clear" w:color="000000" w:fill="B4C6E7"/>
            <w:vAlign w:val="center"/>
            <w:hideMark/>
          </w:tcPr>
          <w:p w14:paraId="3800784A" w14:textId="77777777" w:rsidR="00B5024A" w:rsidRPr="00B35962" w:rsidRDefault="00B5024A" w:rsidP="006E75EF">
            <w:pPr>
              <w:spacing w:line="240" w:lineRule="auto"/>
              <w:ind w:firstLine="0"/>
              <w:jc w:val="lef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Ishod: Do 202</w:t>
            </w:r>
            <w:r w:rsidR="006E75EF"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 xml:space="preserve">. godine povećati uključenost djece predškolskog uzrasta u programe predškolskog vaspitanja i obrazovanja i </w:t>
            </w:r>
            <w:r w:rsidR="00F23D87" w:rsidRPr="00B35962">
              <w:rPr>
                <w:rFonts w:ascii="Garamond" w:eastAsia="Times New Roman" w:hAnsi="Garamond" w:cs="Calibri"/>
                <w:sz w:val="22"/>
                <w:szCs w:val="22"/>
                <w:lang w:val="sr-Latn-ME" w:eastAsia="sr-Latn-ME"/>
              </w:rPr>
              <w:t>obezbijediti</w:t>
            </w:r>
            <w:r w:rsidRPr="00B35962">
              <w:rPr>
                <w:rFonts w:ascii="Garamond" w:eastAsia="Times New Roman" w:hAnsi="Garamond" w:cs="Calibri"/>
                <w:sz w:val="22"/>
                <w:szCs w:val="22"/>
                <w:lang w:val="sr-Latn-ME" w:eastAsia="sr-Latn-ME"/>
              </w:rPr>
              <w:t xml:space="preserve"> ukupan obuhvat djece od 60% sa obuhvatom od 30% djece mlađe od 3 godine i 90% djece starije od 3 godine. </w:t>
            </w:r>
          </w:p>
        </w:tc>
      </w:tr>
      <w:tr w:rsidR="00B5024A" w:rsidRPr="00B35962" w14:paraId="06C6C7F8" w14:textId="77777777" w:rsidTr="009E4555">
        <w:trPr>
          <w:trHeight w:val="1080"/>
        </w:trPr>
        <w:tc>
          <w:tcPr>
            <w:tcW w:w="13750" w:type="dxa"/>
            <w:tcBorders>
              <w:top w:val="single" w:sz="8" w:space="0" w:color="auto"/>
              <w:left w:val="single" w:sz="8" w:space="0" w:color="auto"/>
              <w:bottom w:val="single" w:sz="8" w:space="0" w:color="auto"/>
              <w:right w:val="single" w:sz="8" w:space="0" w:color="000000"/>
            </w:tcBorders>
            <w:shd w:val="clear" w:color="000000" w:fill="B4C6E7"/>
            <w:vAlign w:val="center"/>
            <w:hideMark/>
          </w:tcPr>
          <w:p w14:paraId="57B646CB" w14:textId="5A1FDA3F" w:rsidR="00B5024A" w:rsidRPr="00B35962" w:rsidRDefault="00B5024A" w:rsidP="00AB1025">
            <w:pPr>
              <w:spacing w:line="240" w:lineRule="auto"/>
              <w:ind w:firstLine="0"/>
              <w:jc w:val="lef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Indikator 1.1 Ukupan obuhvat djece uzrasta od 0 do 6 godina (MONSTAT) - 52% (2020) 56% (2022) 60%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br/>
              <w:t>Indikator 1.2 Ukupan obuhvat djece uzrasta od 3 do 6 godina (MONSTAT) - 76% (2020) 83% (2022) 90%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br/>
              <w:t>Indikator 1.3 Ukupan obuhvat djece uzrasta od 0 do 3 godina (MONSTAT) - 27% (2020) 28% (2022) 30%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w:t>
            </w:r>
          </w:p>
        </w:tc>
      </w:tr>
    </w:tbl>
    <w:p w14:paraId="519E7099" w14:textId="77777777" w:rsidR="00AB1025" w:rsidRPr="00B35962" w:rsidRDefault="00AB1025">
      <w:pPr>
        <w:rPr>
          <w:lang w:val="sr-Latn-ME"/>
        </w:rPr>
      </w:pPr>
      <w:r w:rsidRPr="00B35962">
        <w:rPr>
          <w:lang w:val="sr-Latn-ME"/>
        </w:rPr>
        <w:br w:type="page"/>
      </w:r>
    </w:p>
    <w:tbl>
      <w:tblPr>
        <w:tblW w:w="13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571"/>
        <w:gridCol w:w="1553"/>
        <w:gridCol w:w="572"/>
        <w:gridCol w:w="1852"/>
        <w:gridCol w:w="1134"/>
        <w:gridCol w:w="1134"/>
        <w:gridCol w:w="709"/>
        <w:gridCol w:w="1030"/>
        <w:gridCol w:w="1080"/>
        <w:gridCol w:w="16"/>
        <w:gridCol w:w="1139"/>
      </w:tblGrid>
      <w:tr w:rsidR="00B5024A" w:rsidRPr="00B35962" w14:paraId="4F7A95C5" w14:textId="77777777" w:rsidTr="00CE42CA">
        <w:trPr>
          <w:trHeight w:val="1215"/>
        </w:trPr>
        <w:tc>
          <w:tcPr>
            <w:tcW w:w="2965" w:type="dxa"/>
            <w:shd w:val="clear" w:color="000000" w:fill="D9E2F3"/>
            <w:vAlign w:val="center"/>
            <w:hideMark/>
          </w:tcPr>
          <w:p w14:paraId="12F22FFE" w14:textId="0674A9F0" w:rsidR="00B5024A" w:rsidRPr="00B35962" w:rsidRDefault="00D131EB"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Ključno mjerilo</w:t>
            </w:r>
          </w:p>
        </w:tc>
        <w:tc>
          <w:tcPr>
            <w:tcW w:w="2124" w:type="dxa"/>
            <w:gridSpan w:val="2"/>
            <w:shd w:val="clear" w:color="000000" w:fill="D9E2F3"/>
            <w:vAlign w:val="center"/>
            <w:hideMark/>
          </w:tcPr>
          <w:p w14:paraId="7027CDE8"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Aktivnosti</w:t>
            </w:r>
          </w:p>
        </w:tc>
        <w:tc>
          <w:tcPr>
            <w:tcW w:w="2424" w:type="dxa"/>
            <w:gridSpan w:val="2"/>
            <w:shd w:val="clear" w:color="000000" w:fill="D9E2F3"/>
            <w:vAlign w:val="center"/>
            <w:hideMark/>
          </w:tcPr>
          <w:p w14:paraId="421324AF"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Indikator/i</w:t>
            </w:r>
          </w:p>
        </w:tc>
        <w:tc>
          <w:tcPr>
            <w:tcW w:w="1134" w:type="dxa"/>
            <w:shd w:val="clear" w:color="000000" w:fill="D9E2F3"/>
            <w:vAlign w:val="center"/>
            <w:hideMark/>
          </w:tcPr>
          <w:p w14:paraId="73731A86"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Očekivani rezultat 2022.</w:t>
            </w:r>
          </w:p>
        </w:tc>
        <w:tc>
          <w:tcPr>
            <w:tcW w:w="1134" w:type="dxa"/>
            <w:shd w:val="clear" w:color="000000" w:fill="D9E2F3"/>
            <w:vAlign w:val="center"/>
            <w:hideMark/>
          </w:tcPr>
          <w:p w14:paraId="21CD756D" w14:textId="242330F9" w:rsidR="00B5024A" w:rsidRPr="00B35962" w:rsidRDefault="00D649A5"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Očekivani rezultat 2025</w:t>
            </w:r>
            <w:r w:rsidR="00B5024A" w:rsidRPr="00B35962">
              <w:rPr>
                <w:rFonts w:ascii="Garamond" w:eastAsia="Times New Roman" w:hAnsi="Garamond" w:cs="Calibri"/>
                <w:b/>
                <w:bCs/>
                <w:sz w:val="22"/>
                <w:szCs w:val="22"/>
                <w:lang w:val="sr-Latn-ME" w:eastAsia="sr-Latn-ME"/>
              </w:rPr>
              <w:t>.</w:t>
            </w:r>
          </w:p>
        </w:tc>
        <w:tc>
          <w:tcPr>
            <w:tcW w:w="709" w:type="dxa"/>
            <w:shd w:val="clear" w:color="000000" w:fill="D9E2F3"/>
            <w:vAlign w:val="center"/>
            <w:hideMark/>
          </w:tcPr>
          <w:p w14:paraId="621E9C0E"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Period</w:t>
            </w:r>
          </w:p>
        </w:tc>
        <w:tc>
          <w:tcPr>
            <w:tcW w:w="1030" w:type="dxa"/>
            <w:shd w:val="clear" w:color="000000" w:fill="D9E2F3"/>
            <w:vAlign w:val="center"/>
            <w:hideMark/>
          </w:tcPr>
          <w:p w14:paraId="4B55AD89" w14:textId="77777777" w:rsidR="00B5024A" w:rsidRPr="00B35962" w:rsidRDefault="00B5024A" w:rsidP="001E4AB6">
            <w:pPr>
              <w:spacing w:line="240" w:lineRule="auto"/>
              <w:ind w:hanging="108"/>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Potrebni resursi u €/izvor finansiranja</w:t>
            </w:r>
          </w:p>
        </w:tc>
        <w:tc>
          <w:tcPr>
            <w:tcW w:w="1080" w:type="dxa"/>
            <w:shd w:val="clear" w:color="000000" w:fill="D9E2F3"/>
            <w:vAlign w:val="center"/>
            <w:hideMark/>
          </w:tcPr>
          <w:p w14:paraId="30EF428D"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Nosioci aktivnost</w:t>
            </w:r>
          </w:p>
        </w:tc>
        <w:tc>
          <w:tcPr>
            <w:tcW w:w="1155" w:type="dxa"/>
            <w:gridSpan w:val="2"/>
            <w:shd w:val="clear" w:color="000000" w:fill="D9E2F3"/>
            <w:vAlign w:val="center"/>
            <w:hideMark/>
          </w:tcPr>
          <w:p w14:paraId="65D8F6A2"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 xml:space="preserve">Partneri </w:t>
            </w:r>
          </w:p>
        </w:tc>
      </w:tr>
      <w:tr w:rsidR="00B5024A" w:rsidRPr="00B35962" w14:paraId="43500BA7" w14:textId="77777777" w:rsidTr="00CE42CA">
        <w:trPr>
          <w:trHeight w:val="1200"/>
        </w:trPr>
        <w:tc>
          <w:tcPr>
            <w:tcW w:w="2965" w:type="dxa"/>
            <w:vMerge w:val="restart"/>
            <w:shd w:val="clear" w:color="000000" w:fill="D9E2F3"/>
            <w:textDirection w:val="btLr"/>
            <w:vAlign w:val="center"/>
            <w:hideMark/>
          </w:tcPr>
          <w:p w14:paraId="2CD07624" w14:textId="1311D477" w:rsidR="00B5024A" w:rsidRPr="00B35962" w:rsidRDefault="00D649A5" w:rsidP="00AB1025">
            <w:pPr>
              <w:spacing w:line="240" w:lineRule="auto"/>
              <w:ind w:firstLine="0"/>
              <w:jc w:val="center"/>
              <w:rPr>
                <w:rFonts w:ascii="Garamond" w:eastAsia="Times New Roman" w:hAnsi="Garamond" w:cs="Calibri"/>
                <w:b/>
                <w:bCs/>
                <w:sz w:val="22"/>
                <w:szCs w:val="22"/>
                <w:lang w:val="sr-Latn-ME" w:eastAsia="sr-Latn-ME"/>
              </w:rPr>
            </w:pPr>
            <w:r w:rsidRPr="00B35962">
              <w:rPr>
                <w:lang w:val="sr-Latn-ME"/>
              </w:rPr>
              <w:br w:type="page"/>
            </w:r>
            <w:r w:rsidR="00D131EB" w:rsidRPr="00B35962">
              <w:rPr>
                <w:i/>
                <w:lang w:val="sr-Latn-ME"/>
              </w:rPr>
              <w:t>Ključno mjerilo</w:t>
            </w:r>
            <w:r w:rsidR="00B5024A" w:rsidRPr="00B35962">
              <w:rPr>
                <w:rFonts w:ascii="Garamond" w:eastAsia="Times New Roman" w:hAnsi="Garamond" w:cs="Calibri"/>
                <w:b/>
                <w:bCs/>
                <w:sz w:val="22"/>
                <w:szCs w:val="22"/>
                <w:lang w:val="sr-Latn-ME" w:eastAsia="sr-Latn-ME"/>
              </w:rPr>
              <w:t xml:space="preserve"> 1.1: Povećanje kapaciteta u javnim predškolskim ustanovama</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sz w:val="22"/>
                <w:szCs w:val="22"/>
                <w:lang w:val="sr-Latn-ME" w:eastAsia="sr-Latn-ME"/>
              </w:rPr>
              <w:t>Indikator 1.1.1 Ukupna nova površina u javnim PU (m2) (MEIS) - 0m2 (2020)       6000m2 (2022)        13000m2 (202</w:t>
            </w:r>
            <w:r w:rsidR="00AB1025" w:rsidRPr="00B35962">
              <w:rPr>
                <w:rFonts w:ascii="Garamond" w:eastAsia="Times New Roman" w:hAnsi="Garamond" w:cs="Calibri"/>
                <w:sz w:val="22"/>
                <w:szCs w:val="22"/>
                <w:lang w:val="sr-Latn-ME" w:eastAsia="sr-Latn-ME"/>
              </w:rPr>
              <w:t>5</w:t>
            </w:r>
            <w:r w:rsidR="00B5024A" w:rsidRPr="00B35962">
              <w:rPr>
                <w:rFonts w:ascii="Garamond" w:eastAsia="Times New Roman" w:hAnsi="Garamond" w:cs="Calibri"/>
                <w:sz w:val="22"/>
                <w:szCs w:val="22"/>
                <w:lang w:val="sr-Latn-ME" w:eastAsia="sr-Latn-ME"/>
              </w:rPr>
              <w:t>)</w:t>
            </w:r>
          </w:p>
        </w:tc>
        <w:tc>
          <w:tcPr>
            <w:tcW w:w="2124" w:type="dxa"/>
            <w:gridSpan w:val="2"/>
            <w:shd w:val="clear" w:color="auto" w:fill="auto"/>
            <w:vAlign w:val="center"/>
            <w:hideMark/>
          </w:tcPr>
          <w:p w14:paraId="5451192B" w14:textId="77777777" w:rsidR="00B5024A" w:rsidRPr="00B35962" w:rsidRDefault="00B5024A" w:rsidP="00690A6A">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1.1.1 Izgradnja novih nam</w:t>
            </w:r>
            <w:r w:rsidR="00763107" w:rsidRPr="00B35962">
              <w:rPr>
                <w:rFonts w:ascii="Garamond" w:eastAsia="Times New Roman" w:hAnsi="Garamond" w:cs="Calibri"/>
                <w:sz w:val="22"/>
                <w:szCs w:val="22"/>
                <w:lang w:val="sr-Latn-ME" w:eastAsia="sr-Latn-ME"/>
              </w:rPr>
              <w:t>j</w:t>
            </w:r>
            <w:r w:rsidRPr="00B35962">
              <w:rPr>
                <w:rFonts w:ascii="Garamond" w:eastAsia="Times New Roman" w:hAnsi="Garamond" w:cs="Calibri"/>
                <w:sz w:val="22"/>
                <w:szCs w:val="22"/>
                <w:lang w:val="sr-Latn-ME" w:eastAsia="sr-Latn-ME"/>
              </w:rPr>
              <w:t>enskih objekata za potrebe javnih PU</w:t>
            </w:r>
            <w:r w:rsidR="00763107" w:rsidRPr="00B35962">
              <w:rPr>
                <w:rFonts w:ascii="Garamond" w:eastAsia="Times New Roman" w:hAnsi="Garamond" w:cs="Calibri"/>
                <w:sz w:val="22"/>
                <w:szCs w:val="22"/>
                <w:lang w:val="sr-Latn-ME" w:eastAsia="sr-Latn-ME"/>
              </w:rPr>
              <w:t xml:space="preserve"> vode</w:t>
            </w:r>
            <w:r w:rsidR="00C54B58" w:rsidRPr="00B35962">
              <w:rPr>
                <w:rFonts w:ascii="Garamond" w:eastAsia="Times New Roman" w:hAnsi="Garamond" w:cs="Calibri"/>
                <w:sz w:val="22"/>
                <w:szCs w:val="22"/>
                <w:lang w:val="sr-Latn-ME" w:eastAsia="sr-Latn-ME"/>
              </w:rPr>
              <w:t>ć</w:t>
            </w:r>
            <w:r w:rsidR="00B9058A" w:rsidRPr="00B35962">
              <w:rPr>
                <w:rFonts w:ascii="Garamond" w:eastAsia="Times New Roman" w:hAnsi="Garamond" w:cs="Calibri"/>
                <w:sz w:val="22"/>
                <w:szCs w:val="22"/>
                <w:lang w:val="sr-Latn-ME" w:eastAsia="sr-Latn-ME"/>
              </w:rPr>
              <w:t>i računa o po</w:t>
            </w:r>
            <w:r w:rsidR="00763107" w:rsidRPr="00B35962">
              <w:rPr>
                <w:rFonts w:ascii="Garamond" w:eastAsia="Times New Roman" w:hAnsi="Garamond" w:cs="Calibri"/>
                <w:sz w:val="22"/>
                <w:szCs w:val="22"/>
                <w:lang w:val="sr-Latn-ME" w:eastAsia="sr-Latn-ME"/>
              </w:rPr>
              <w:t>šovanju standarda izgradnje, uključuju</w:t>
            </w:r>
            <w:r w:rsidR="00C54B58" w:rsidRPr="00B35962">
              <w:rPr>
                <w:rFonts w:ascii="Garamond" w:eastAsia="Times New Roman" w:hAnsi="Garamond" w:cs="Calibri"/>
                <w:sz w:val="22"/>
                <w:szCs w:val="22"/>
                <w:lang w:val="sr-Latn-ME" w:eastAsia="sr-Latn-ME"/>
              </w:rPr>
              <w:t>ć</w:t>
            </w:r>
            <w:r w:rsidR="00763107" w:rsidRPr="00B35962">
              <w:rPr>
                <w:rFonts w:ascii="Garamond" w:eastAsia="Times New Roman" w:hAnsi="Garamond" w:cs="Calibri"/>
                <w:sz w:val="22"/>
                <w:szCs w:val="22"/>
                <w:lang w:val="sr-Latn-ME" w:eastAsia="sr-Latn-ME"/>
              </w:rPr>
              <w:t>i pristupačnost</w:t>
            </w:r>
            <w:r w:rsidRPr="00B35962">
              <w:rPr>
                <w:rFonts w:ascii="Garamond" w:eastAsia="Times New Roman" w:hAnsi="Garamond" w:cs="Calibri"/>
                <w:sz w:val="22"/>
                <w:szCs w:val="22"/>
                <w:lang w:val="sr-Latn-ME" w:eastAsia="sr-Latn-ME"/>
              </w:rPr>
              <w:t xml:space="preserve"> </w:t>
            </w:r>
          </w:p>
        </w:tc>
        <w:tc>
          <w:tcPr>
            <w:tcW w:w="2424" w:type="dxa"/>
            <w:gridSpan w:val="2"/>
            <w:shd w:val="clear" w:color="auto" w:fill="auto"/>
            <w:vAlign w:val="center"/>
            <w:hideMark/>
          </w:tcPr>
          <w:p w14:paraId="463F7B82"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Ukupna nova površina u novim objektima javnih PU (m</w:t>
            </w:r>
            <w:r w:rsidRPr="00B35962">
              <w:rPr>
                <w:rFonts w:ascii="Garamond" w:eastAsia="Times New Roman" w:hAnsi="Garamond" w:cs="Calibri"/>
                <w:sz w:val="22"/>
                <w:szCs w:val="22"/>
                <w:vertAlign w:val="superscript"/>
                <w:lang w:val="sr-Latn-ME" w:eastAsia="sr-Latn-ME"/>
              </w:rPr>
              <w:t>2</w:t>
            </w:r>
            <w:r w:rsidRPr="00B35962">
              <w:rPr>
                <w:rFonts w:ascii="Garamond" w:eastAsia="Times New Roman" w:hAnsi="Garamond" w:cs="Calibri"/>
                <w:sz w:val="22"/>
                <w:szCs w:val="22"/>
                <w:lang w:val="sr-Latn-ME" w:eastAsia="sr-Latn-ME"/>
              </w:rPr>
              <w:t>) (MEIS)</w:t>
            </w:r>
          </w:p>
        </w:tc>
        <w:tc>
          <w:tcPr>
            <w:tcW w:w="1134" w:type="dxa"/>
            <w:shd w:val="clear" w:color="auto" w:fill="auto"/>
            <w:vAlign w:val="center"/>
            <w:hideMark/>
          </w:tcPr>
          <w:p w14:paraId="0C7211DB"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6000m</w:t>
            </w:r>
            <w:r w:rsidRPr="00B35962">
              <w:rPr>
                <w:rFonts w:ascii="Garamond" w:eastAsia="Times New Roman" w:hAnsi="Garamond" w:cs="Calibri"/>
                <w:sz w:val="22"/>
                <w:szCs w:val="22"/>
                <w:vertAlign w:val="superscript"/>
                <w:lang w:val="sr-Latn-ME" w:eastAsia="sr-Latn-ME"/>
              </w:rPr>
              <w:t>2</w:t>
            </w:r>
          </w:p>
        </w:tc>
        <w:tc>
          <w:tcPr>
            <w:tcW w:w="1134" w:type="dxa"/>
            <w:shd w:val="clear" w:color="auto" w:fill="auto"/>
            <w:vAlign w:val="center"/>
            <w:hideMark/>
          </w:tcPr>
          <w:p w14:paraId="0F23BA0E"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13000m</w:t>
            </w:r>
            <w:r w:rsidRPr="00B35962">
              <w:rPr>
                <w:rFonts w:ascii="Garamond" w:eastAsia="Times New Roman" w:hAnsi="Garamond" w:cs="Calibri"/>
                <w:sz w:val="22"/>
                <w:szCs w:val="22"/>
                <w:vertAlign w:val="superscript"/>
                <w:lang w:val="sr-Latn-ME" w:eastAsia="sr-Latn-ME"/>
              </w:rPr>
              <w:t>2</w:t>
            </w:r>
          </w:p>
        </w:tc>
        <w:tc>
          <w:tcPr>
            <w:tcW w:w="709" w:type="dxa"/>
            <w:shd w:val="clear" w:color="auto" w:fill="auto"/>
            <w:vAlign w:val="center"/>
            <w:hideMark/>
          </w:tcPr>
          <w:p w14:paraId="68A5671A" w14:textId="77777777" w:rsidR="00B5024A" w:rsidRPr="00B35962" w:rsidRDefault="00B5024A" w:rsidP="006E75EF">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w:t>
            </w:r>
            <w:r w:rsidR="006E75EF" w:rsidRPr="00B35962">
              <w:rPr>
                <w:rFonts w:ascii="Garamond" w:eastAsia="Times New Roman" w:hAnsi="Garamond" w:cs="Calibri"/>
                <w:sz w:val="22"/>
                <w:szCs w:val="22"/>
                <w:lang w:val="sr-Latn-ME" w:eastAsia="sr-Latn-ME"/>
              </w:rPr>
              <w:t>5</w:t>
            </w:r>
          </w:p>
        </w:tc>
        <w:tc>
          <w:tcPr>
            <w:tcW w:w="1030" w:type="dxa"/>
            <w:shd w:val="clear" w:color="auto" w:fill="auto"/>
            <w:vAlign w:val="center"/>
            <w:hideMark/>
          </w:tcPr>
          <w:p w14:paraId="2C713D3E" w14:textId="77777777" w:rsidR="004F4934" w:rsidRPr="00B35962" w:rsidRDefault="00B672BA" w:rsidP="00DB0F3B">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23.</w:t>
            </w:r>
            <w:r w:rsidR="00DB0F3B" w:rsidRPr="00B35962">
              <w:rPr>
                <w:rFonts w:ascii="Garamond" w:eastAsia="Times New Roman" w:hAnsi="Garamond" w:cs="Calibri"/>
                <w:sz w:val="22"/>
                <w:szCs w:val="22"/>
                <w:lang w:val="sr-Latn-ME" w:eastAsia="sr-Latn-ME"/>
              </w:rPr>
              <w:t>5</w:t>
            </w:r>
            <w:r w:rsidR="00B9058A" w:rsidRPr="00B35962">
              <w:rPr>
                <w:rFonts w:ascii="Garamond" w:eastAsia="Times New Roman" w:hAnsi="Garamond" w:cs="Calibri"/>
                <w:sz w:val="22"/>
                <w:szCs w:val="22"/>
                <w:lang w:val="sr-Latn-ME" w:eastAsia="sr-Latn-ME"/>
              </w:rPr>
              <w:t xml:space="preserve"> mil</w:t>
            </w:r>
            <w:r w:rsidR="00DB0F3B" w:rsidRPr="00B35962">
              <w:rPr>
                <w:rFonts w:ascii="Garamond" w:eastAsia="Times New Roman" w:hAnsi="Garamond" w:cs="Calibri"/>
                <w:sz w:val="22"/>
                <w:szCs w:val="22"/>
                <w:lang w:val="sr-Latn-ME" w:eastAsia="sr-Latn-ME"/>
              </w:rPr>
              <w:t xml:space="preserve"> €</w:t>
            </w:r>
          </w:p>
          <w:p w14:paraId="0F47437A" w14:textId="4B9822B7" w:rsidR="00B5024A" w:rsidRPr="00B35962" w:rsidRDefault="004F4934" w:rsidP="00DB0F3B">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kredit</w:t>
            </w:r>
            <w:r w:rsidR="00C44993">
              <w:rPr>
                <w:rStyle w:val="FootnoteReference"/>
                <w:rFonts w:ascii="Garamond" w:eastAsia="Times New Roman" w:hAnsi="Garamond" w:cs="Calibri"/>
                <w:sz w:val="22"/>
                <w:szCs w:val="22"/>
                <w:lang w:val="sr-Latn-ME" w:eastAsia="sr-Latn-ME"/>
              </w:rPr>
              <w:footnoteReference w:id="24"/>
            </w:r>
            <w:r w:rsidR="00B9058A" w:rsidRPr="00B35962">
              <w:rPr>
                <w:rFonts w:ascii="Garamond" w:eastAsia="Times New Roman" w:hAnsi="Garamond" w:cs="Calibri"/>
                <w:sz w:val="22"/>
                <w:szCs w:val="22"/>
                <w:lang w:val="sr-Latn-ME" w:eastAsia="sr-Latn-ME"/>
              </w:rPr>
              <w:t xml:space="preserve"> </w:t>
            </w:r>
          </w:p>
        </w:tc>
        <w:tc>
          <w:tcPr>
            <w:tcW w:w="1080" w:type="dxa"/>
            <w:shd w:val="clear" w:color="auto" w:fill="auto"/>
            <w:vAlign w:val="center"/>
            <w:hideMark/>
          </w:tcPr>
          <w:p w14:paraId="3BF44B87" w14:textId="009D4056" w:rsidR="00B5024A" w:rsidRPr="00B35962" w:rsidRDefault="001E4AB6" w:rsidP="001E4AB6">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5F3185">
              <w:rPr>
                <w:rFonts w:ascii="Garamond" w:eastAsia="Times New Roman" w:hAnsi="Garamond" w:cs="Calibri"/>
                <w:sz w:val="22"/>
                <w:szCs w:val="22"/>
                <w:lang w:val="sr-Latn-ME" w:eastAsia="sr-Latn-ME"/>
              </w:rPr>
              <w:t>NKS</w:t>
            </w:r>
          </w:p>
        </w:tc>
        <w:tc>
          <w:tcPr>
            <w:tcW w:w="1155" w:type="dxa"/>
            <w:gridSpan w:val="2"/>
            <w:shd w:val="clear" w:color="auto" w:fill="auto"/>
            <w:vAlign w:val="center"/>
            <w:hideMark/>
          </w:tcPr>
          <w:p w14:paraId="26025A54" w14:textId="4DA186FB" w:rsidR="00B5024A" w:rsidRPr="00B35962" w:rsidRDefault="00C54B58" w:rsidP="00C54B5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w:t>
            </w:r>
            <w:r w:rsidR="00B5024A" w:rsidRPr="00B35962">
              <w:rPr>
                <w:rFonts w:ascii="Garamond" w:eastAsia="Times New Roman" w:hAnsi="Garamond" w:cs="Calibri"/>
                <w:sz w:val="22"/>
                <w:szCs w:val="22"/>
                <w:lang w:val="sr-Latn-ME" w:eastAsia="sr-Latn-ME"/>
              </w:rPr>
              <w:t> </w:t>
            </w:r>
            <w:r w:rsidR="00C44993">
              <w:rPr>
                <w:rFonts w:ascii="Garamond" w:eastAsia="Times New Roman" w:hAnsi="Garamond" w:cs="Calibri"/>
                <w:sz w:val="22"/>
                <w:szCs w:val="22"/>
                <w:lang w:val="sr-Latn-ME" w:eastAsia="sr-Latn-ME"/>
              </w:rPr>
              <w:t>, kreditori</w:t>
            </w:r>
          </w:p>
        </w:tc>
      </w:tr>
      <w:tr w:rsidR="00B5024A" w:rsidRPr="00B35962" w14:paraId="430DD513" w14:textId="77777777" w:rsidTr="00CE42CA">
        <w:trPr>
          <w:trHeight w:val="2425"/>
        </w:trPr>
        <w:tc>
          <w:tcPr>
            <w:tcW w:w="2965" w:type="dxa"/>
            <w:vMerge/>
            <w:vAlign w:val="center"/>
            <w:hideMark/>
          </w:tcPr>
          <w:p w14:paraId="70DBD5EA"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gridSpan w:val="2"/>
            <w:shd w:val="clear" w:color="auto" w:fill="auto"/>
            <w:vAlign w:val="center"/>
            <w:hideMark/>
          </w:tcPr>
          <w:p w14:paraId="3CAA6074" w14:textId="77777777" w:rsidR="00B5024A" w:rsidRPr="00B35962" w:rsidRDefault="00B5024A" w:rsidP="00812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1.1.2 Proširenje prostornih kapaciteta postojećih objekata koje koriste javne PU kroz dogradnju, nadogradnju ili rekonstrukciju (djel</w:t>
            </w:r>
            <w:r w:rsidR="00812A90" w:rsidRPr="00B35962">
              <w:rPr>
                <w:rFonts w:ascii="Garamond" w:eastAsia="Times New Roman" w:hAnsi="Garamond" w:cs="Calibri"/>
                <w:sz w:val="22"/>
                <w:szCs w:val="22"/>
                <w:lang w:val="sr-Latn-ME" w:eastAsia="sr-Latn-ME"/>
              </w:rPr>
              <w:t>i</w:t>
            </w:r>
            <w:r w:rsidRPr="00B35962">
              <w:rPr>
                <w:rFonts w:ascii="Garamond" w:eastAsia="Times New Roman" w:hAnsi="Garamond" w:cs="Calibri"/>
                <w:sz w:val="22"/>
                <w:szCs w:val="22"/>
                <w:lang w:val="sr-Latn-ME" w:eastAsia="sr-Latn-ME"/>
              </w:rPr>
              <w:t>mičnu ili potpunu)</w:t>
            </w:r>
          </w:p>
        </w:tc>
        <w:tc>
          <w:tcPr>
            <w:tcW w:w="2424" w:type="dxa"/>
            <w:gridSpan w:val="2"/>
            <w:shd w:val="clear" w:color="auto" w:fill="auto"/>
            <w:vAlign w:val="center"/>
            <w:hideMark/>
          </w:tcPr>
          <w:p w14:paraId="6F431216"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Ukupna nova površina u adaptiranim objektima javnih PU (m2) (MEIS)</w:t>
            </w:r>
          </w:p>
        </w:tc>
        <w:tc>
          <w:tcPr>
            <w:tcW w:w="1134" w:type="dxa"/>
            <w:shd w:val="clear" w:color="auto" w:fill="auto"/>
            <w:vAlign w:val="center"/>
            <w:hideMark/>
          </w:tcPr>
          <w:p w14:paraId="7B19CEEC"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500m</w:t>
            </w:r>
            <w:r w:rsidRPr="00B35962">
              <w:rPr>
                <w:rFonts w:ascii="Garamond" w:eastAsia="Times New Roman" w:hAnsi="Garamond" w:cs="Calibri"/>
                <w:sz w:val="22"/>
                <w:szCs w:val="22"/>
                <w:vertAlign w:val="superscript"/>
                <w:lang w:val="sr-Latn-ME" w:eastAsia="sr-Latn-ME"/>
              </w:rPr>
              <w:t>2</w:t>
            </w:r>
          </w:p>
        </w:tc>
        <w:tc>
          <w:tcPr>
            <w:tcW w:w="1134" w:type="dxa"/>
            <w:shd w:val="clear" w:color="auto" w:fill="auto"/>
            <w:vAlign w:val="center"/>
            <w:hideMark/>
          </w:tcPr>
          <w:p w14:paraId="28243A88"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1000m</w:t>
            </w:r>
            <w:r w:rsidRPr="00B35962">
              <w:rPr>
                <w:rFonts w:ascii="Garamond" w:eastAsia="Times New Roman" w:hAnsi="Garamond" w:cs="Calibri"/>
                <w:sz w:val="22"/>
                <w:szCs w:val="22"/>
                <w:vertAlign w:val="superscript"/>
                <w:lang w:val="sr-Latn-ME" w:eastAsia="sr-Latn-ME"/>
              </w:rPr>
              <w:t>2</w:t>
            </w:r>
          </w:p>
        </w:tc>
        <w:tc>
          <w:tcPr>
            <w:tcW w:w="709" w:type="dxa"/>
            <w:shd w:val="clear" w:color="auto" w:fill="auto"/>
            <w:vAlign w:val="center"/>
            <w:hideMark/>
          </w:tcPr>
          <w:p w14:paraId="10E6448F" w14:textId="77777777" w:rsidR="00B5024A" w:rsidRPr="00B35962" w:rsidRDefault="00B5024A" w:rsidP="006E75EF">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w:t>
            </w:r>
            <w:r w:rsidR="006E75EF" w:rsidRPr="00B35962">
              <w:rPr>
                <w:rFonts w:ascii="Garamond" w:eastAsia="Times New Roman" w:hAnsi="Garamond" w:cs="Calibri"/>
                <w:sz w:val="22"/>
                <w:szCs w:val="22"/>
                <w:lang w:val="sr-Latn-ME" w:eastAsia="sr-Latn-ME"/>
              </w:rPr>
              <w:t>5</w:t>
            </w:r>
          </w:p>
        </w:tc>
        <w:tc>
          <w:tcPr>
            <w:tcW w:w="1030" w:type="dxa"/>
            <w:shd w:val="clear" w:color="auto" w:fill="auto"/>
            <w:vAlign w:val="center"/>
            <w:hideMark/>
          </w:tcPr>
          <w:p w14:paraId="6CE0CA8F" w14:textId="77777777" w:rsidR="00B5024A" w:rsidRPr="00B35962" w:rsidRDefault="00B672B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4.</w:t>
            </w:r>
            <w:r w:rsidR="00B9058A" w:rsidRPr="00B35962">
              <w:rPr>
                <w:rFonts w:ascii="Garamond" w:eastAsia="Times New Roman" w:hAnsi="Garamond" w:cs="Calibri"/>
                <w:sz w:val="22"/>
                <w:szCs w:val="22"/>
                <w:lang w:val="sr-Latn-ME" w:eastAsia="sr-Latn-ME"/>
              </w:rPr>
              <w:t>5 mil €</w:t>
            </w:r>
          </w:p>
          <w:p w14:paraId="06C7BB07" w14:textId="6747682C"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kredit</w:t>
            </w:r>
            <w:r w:rsidR="00C44993">
              <w:rPr>
                <w:rStyle w:val="FootnoteReference"/>
                <w:rFonts w:ascii="Garamond" w:eastAsia="Times New Roman" w:hAnsi="Garamond" w:cs="Calibri"/>
                <w:sz w:val="22"/>
                <w:szCs w:val="22"/>
                <w:lang w:val="sr-Latn-ME" w:eastAsia="sr-Latn-ME"/>
              </w:rPr>
              <w:footnoteReference w:id="25"/>
            </w:r>
          </w:p>
        </w:tc>
        <w:tc>
          <w:tcPr>
            <w:tcW w:w="1080" w:type="dxa"/>
            <w:shd w:val="clear" w:color="auto" w:fill="auto"/>
            <w:vAlign w:val="center"/>
            <w:hideMark/>
          </w:tcPr>
          <w:p w14:paraId="375E9E63" w14:textId="4AA3B3F1" w:rsidR="00B5024A" w:rsidRPr="00B35962" w:rsidRDefault="00B5024A" w:rsidP="001E4AB6">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5F3185">
              <w:rPr>
                <w:rFonts w:ascii="Garamond" w:eastAsia="Times New Roman" w:hAnsi="Garamond" w:cs="Calibri"/>
                <w:sz w:val="22"/>
                <w:szCs w:val="22"/>
                <w:lang w:val="sr-Latn-ME" w:eastAsia="sr-Latn-ME"/>
              </w:rPr>
              <w:t>NKS</w:t>
            </w:r>
          </w:p>
        </w:tc>
        <w:tc>
          <w:tcPr>
            <w:tcW w:w="1155" w:type="dxa"/>
            <w:gridSpan w:val="2"/>
            <w:shd w:val="clear" w:color="auto" w:fill="auto"/>
            <w:vAlign w:val="center"/>
            <w:hideMark/>
          </w:tcPr>
          <w:p w14:paraId="43EF0133" w14:textId="31AB5237" w:rsidR="00B5024A" w:rsidRPr="00B35962" w:rsidRDefault="00C54B58" w:rsidP="00C54B5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w:t>
            </w:r>
            <w:r w:rsidR="00C44993">
              <w:rPr>
                <w:rFonts w:ascii="Garamond" w:eastAsia="Times New Roman" w:hAnsi="Garamond" w:cs="Calibri"/>
                <w:sz w:val="22"/>
                <w:szCs w:val="22"/>
                <w:lang w:val="sr-Latn-ME" w:eastAsia="sr-Latn-ME"/>
              </w:rPr>
              <w:t>, kreditori</w:t>
            </w:r>
            <w:r w:rsidRPr="00B35962">
              <w:rPr>
                <w:rFonts w:ascii="Garamond" w:eastAsia="Times New Roman" w:hAnsi="Garamond" w:cs="Calibri"/>
                <w:sz w:val="22"/>
                <w:szCs w:val="22"/>
                <w:lang w:val="sr-Latn-ME" w:eastAsia="sr-Latn-ME"/>
              </w:rPr>
              <w:t> </w:t>
            </w:r>
            <w:r w:rsidR="00B5024A" w:rsidRPr="00B35962">
              <w:rPr>
                <w:rFonts w:ascii="Garamond" w:eastAsia="Times New Roman" w:hAnsi="Garamond" w:cs="Calibri"/>
                <w:sz w:val="22"/>
                <w:szCs w:val="22"/>
                <w:lang w:val="sr-Latn-ME" w:eastAsia="sr-Latn-ME"/>
              </w:rPr>
              <w:t> </w:t>
            </w:r>
          </w:p>
        </w:tc>
      </w:tr>
      <w:tr w:rsidR="00B5024A" w:rsidRPr="00B35962" w14:paraId="19834A07" w14:textId="77777777" w:rsidTr="00CE42CA">
        <w:trPr>
          <w:trHeight w:val="1550"/>
        </w:trPr>
        <w:tc>
          <w:tcPr>
            <w:tcW w:w="2965" w:type="dxa"/>
            <w:vMerge w:val="restart"/>
            <w:shd w:val="clear" w:color="000000" w:fill="D9E2F3"/>
            <w:textDirection w:val="btLr"/>
            <w:vAlign w:val="center"/>
            <w:hideMark/>
          </w:tcPr>
          <w:p w14:paraId="04B401B0" w14:textId="300C4AEA" w:rsidR="00B5024A" w:rsidRPr="00B35962" w:rsidRDefault="00D131EB"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B5024A" w:rsidRPr="00B35962">
              <w:rPr>
                <w:rFonts w:ascii="Garamond" w:eastAsia="Times New Roman" w:hAnsi="Garamond" w:cs="Calibri"/>
                <w:b/>
                <w:bCs/>
                <w:sz w:val="22"/>
                <w:szCs w:val="22"/>
                <w:lang w:val="sr-Latn-ME" w:eastAsia="sr-Latn-ME"/>
              </w:rPr>
              <w:t>1.2: Povećanje kapaciteta kroz adaptaciju javnih lokalnih prostora</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sz w:val="22"/>
                <w:szCs w:val="22"/>
                <w:lang w:val="sr-Latn-ME" w:eastAsia="sr-Latn-ME"/>
              </w:rPr>
              <w:t>Indikator 1.2.1 Ukupna površina u novim adaptiranim prostorima (m2) (MEIS) - 0m2 (2020)       500m2 (2022)        1500m2 (202</w:t>
            </w:r>
            <w:r w:rsidR="00AB1025" w:rsidRPr="00B35962">
              <w:rPr>
                <w:rFonts w:ascii="Garamond" w:eastAsia="Times New Roman" w:hAnsi="Garamond" w:cs="Calibri"/>
                <w:sz w:val="22"/>
                <w:szCs w:val="22"/>
                <w:lang w:val="sr-Latn-ME" w:eastAsia="sr-Latn-ME"/>
              </w:rPr>
              <w:t>5</w:t>
            </w:r>
            <w:r w:rsidR="00B5024A" w:rsidRPr="00B35962">
              <w:rPr>
                <w:rFonts w:ascii="Garamond" w:eastAsia="Times New Roman" w:hAnsi="Garamond" w:cs="Calibri"/>
                <w:sz w:val="22"/>
                <w:szCs w:val="22"/>
                <w:lang w:val="sr-Latn-ME" w:eastAsia="sr-Latn-ME"/>
              </w:rPr>
              <w:t>)</w:t>
            </w:r>
          </w:p>
        </w:tc>
        <w:tc>
          <w:tcPr>
            <w:tcW w:w="2124" w:type="dxa"/>
            <w:gridSpan w:val="2"/>
            <w:shd w:val="clear" w:color="auto" w:fill="auto"/>
            <w:vAlign w:val="center"/>
            <w:hideMark/>
          </w:tcPr>
          <w:p w14:paraId="08B170DE" w14:textId="3FAA25C6"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1.2.1 Identifikovati odgovarajuće javne lokalne prostore u opštinama gd</w:t>
            </w:r>
            <w:r w:rsidR="009B51E3">
              <w:rPr>
                <w:rFonts w:ascii="Garamond" w:eastAsia="Times New Roman" w:hAnsi="Garamond" w:cs="Calibri"/>
                <w:sz w:val="22"/>
                <w:szCs w:val="22"/>
                <w:lang w:val="sr-Latn-ME" w:eastAsia="sr-Latn-ME"/>
              </w:rPr>
              <w:t>j</w:t>
            </w:r>
            <w:r w:rsidRPr="00B35962">
              <w:rPr>
                <w:rFonts w:ascii="Garamond" w:eastAsia="Times New Roman" w:hAnsi="Garamond" w:cs="Calibri"/>
                <w:sz w:val="22"/>
                <w:szCs w:val="22"/>
                <w:lang w:val="sr-Latn-ME" w:eastAsia="sr-Latn-ME"/>
              </w:rPr>
              <w:t>e postoji potreba za širenjem kapaciteta</w:t>
            </w:r>
          </w:p>
        </w:tc>
        <w:tc>
          <w:tcPr>
            <w:tcW w:w="2424" w:type="dxa"/>
            <w:gridSpan w:val="2"/>
            <w:shd w:val="clear" w:color="auto" w:fill="auto"/>
            <w:vAlign w:val="center"/>
            <w:hideMark/>
          </w:tcPr>
          <w:p w14:paraId="1A43A368"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spiskom odgovarajućih javnih lokalnih prostora</w:t>
            </w:r>
          </w:p>
        </w:tc>
        <w:tc>
          <w:tcPr>
            <w:tcW w:w="1134" w:type="dxa"/>
            <w:shd w:val="clear" w:color="auto" w:fill="auto"/>
            <w:vAlign w:val="center"/>
            <w:hideMark/>
          </w:tcPr>
          <w:p w14:paraId="2FE08D72"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134" w:type="dxa"/>
            <w:shd w:val="clear" w:color="auto" w:fill="auto"/>
            <w:vAlign w:val="center"/>
            <w:hideMark/>
          </w:tcPr>
          <w:p w14:paraId="549F1EE3"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shd w:val="clear" w:color="auto" w:fill="auto"/>
            <w:vAlign w:val="center"/>
            <w:hideMark/>
          </w:tcPr>
          <w:p w14:paraId="7770C773"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p>
        </w:tc>
        <w:tc>
          <w:tcPr>
            <w:tcW w:w="1030" w:type="dxa"/>
            <w:shd w:val="clear" w:color="auto" w:fill="auto"/>
            <w:vAlign w:val="center"/>
            <w:hideMark/>
          </w:tcPr>
          <w:p w14:paraId="3CA07094" w14:textId="77777777" w:rsidR="00B5024A" w:rsidRPr="00B35962" w:rsidRDefault="004F4934" w:rsidP="00B672B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redovna aktivnost</w:t>
            </w:r>
            <w:r w:rsidR="00B5024A" w:rsidRPr="00B35962">
              <w:rPr>
                <w:rFonts w:ascii="Garamond" w:eastAsia="Times New Roman" w:hAnsi="Garamond" w:cs="Calibri"/>
                <w:sz w:val="22"/>
                <w:szCs w:val="22"/>
                <w:lang w:val="sr-Latn-ME" w:eastAsia="sr-Latn-ME"/>
              </w:rPr>
              <w:t> </w:t>
            </w:r>
          </w:p>
        </w:tc>
        <w:tc>
          <w:tcPr>
            <w:tcW w:w="1080" w:type="dxa"/>
            <w:shd w:val="clear" w:color="auto" w:fill="auto"/>
            <w:vAlign w:val="center"/>
            <w:hideMark/>
          </w:tcPr>
          <w:p w14:paraId="720BA385" w14:textId="45DE2322" w:rsidR="00B5024A" w:rsidRPr="00B35962" w:rsidRDefault="001E4AB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5F3185">
              <w:rPr>
                <w:rFonts w:ascii="Garamond" w:eastAsia="Times New Roman" w:hAnsi="Garamond" w:cs="Calibri"/>
                <w:sz w:val="22"/>
                <w:szCs w:val="22"/>
                <w:lang w:val="sr-Latn-ME" w:eastAsia="sr-Latn-ME"/>
              </w:rPr>
              <w:t>NKS</w:t>
            </w:r>
            <w:r w:rsidRPr="00B35962">
              <w:rPr>
                <w:rFonts w:ascii="Garamond" w:eastAsia="Times New Roman" w:hAnsi="Garamond" w:cs="Calibri"/>
                <w:sz w:val="22"/>
                <w:szCs w:val="22"/>
                <w:lang w:val="sr-Latn-ME" w:eastAsia="sr-Latn-ME"/>
              </w:rPr>
              <w:t xml:space="preserve">, </w:t>
            </w:r>
            <w:r w:rsidR="00B5024A" w:rsidRPr="00B35962">
              <w:rPr>
                <w:rFonts w:ascii="Garamond" w:eastAsia="Times New Roman" w:hAnsi="Garamond" w:cs="Calibri"/>
                <w:sz w:val="22"/>
                <w:szCs w:val="22"/>
                <w:lang w:val="sr-Latn-ME" w:eastAsia="sr-Latn-ME"/>
              </w:rPr>
              <w:t>LS</w:t>
            </w:r>
          </w:p>
        </w:tc>
        <w:tc>
          <w:tcPr>
            <w:tcW w:w="1155" w:type="dxa"/>
            <w:gridSpan w:val="2"/>
            <w:shd w:val="clear" w:color="auto" w:fill="auto"/>
            <w:vAlign w:val="center"/>
            <w:hideMark/>
          </w:tcPr>
          <w:p w14:paraId="438D29A4" w14:textId="77777777" w:rsidR="00B5024A" w:rsidRPr="00B35962" w:rsidRDefault="00C54B58" w:rsidP="00C54B5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w:t>
            </w:r>
            <w:r w:rsidR="00B5024A" w:rsidRPr="00B35962">
              <w:rPr>
                <w:rFonts w:ascii="Garamond" w:eastAsia="Times New Roman" w:hAnsi="Garamond" w:cs="Calibri"/>
                <w:sz w:val="22"/>
                <w:szCs w:val="22"/>
                <w:lang w:val="sr-Latn-ME" w:eastAsia="sr-Latn-ME"/>
              </w:rPr>
              <w:t> </w:t>
            </w:r>
          </w:p>
        </w:tc>
      </w:tr>
      <w:tr w:rsidR="00B5024A" w:rsidRPr="00B35962" w14:paraId="13202384" w14:textId="77777777" w:rsidTr="00CE42CA">
        <w:trPr>
          <w:trHeight w:val="1259"/>
        </w:trPr>
        <w:tc>
          <w:tcPr>
            <w:tcW w:w="2965" w:type="dxa"/>
            <w:vMerge/>
            <w:vAlign w:val="center"/>
            <w:hideMark/>
          </w:tcPr>
          <w:p w14:paraId="5CBBB307"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gridSpan w:val="2"/>
            <w:shd w:val="clear" w:color="auto" w:fill="auto"/>
            <w:vAlign w:val="center"/>
            <w:hideMark/>
          </w:tcPr>
          <w:p w14:paraId="27CFEE22" w14:textId="77777777" w:rsidR="00B5024A" w:rsidRPr="00B35962" w:rsidRDefault="00F24323"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1.2.2 </w:t>
            </w:r>
            <w:r w:rsidR="00B5024A" w:rsidRPr="00B35962">
              <w:rPr>
                <w:rFonts w:ascii="Garamond" w:eastAsia="Times New Roman" w:hAnsi="Garamond" w:cs="Calibri"/>
                <w:sz w:val="22"/>
                <w:szCs w:val="22"/>
                <w:lang w:val="sr-Latn-ME" w:eastAsia="sr-Latn-ME"/>
              </w:rPr>
              <w:t>Izabrati odgovarajuće lokalne prostore za adaptaciju i izraditi plan njihove adaptacije i opremanja</w:t>
            </w:r>
          </w:p>
        </w:tc>
        <w:tc>
          <w:tcPr>
            <w:tcW w:w="2424" w:type="dxa"/>
            <w:gridSpan w:val="2"/>
            <w:shd w:val="clear" w:color="auto" w:fill="auto"/>
            <w:vAlign w:val="center"/>
            <w:hideMark/>
          </w:tcPr>
          <w:p w14:paraId="6EEF58FA"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analizom adekvatnosti lokalnih prostora i planom adaptacije i opremanja odgovarajućih lokalnih prostora</w:t>
            </w:r>
          </w:p>
        </w:tc>
        <w:tc>
          <w:tcPr>
            <w:tcW w:w="1134" w:type="dxa"/>
            <w:shd w:val="clear" w:color="auto" w:fill="auto"/>
            <w:vAlign w:val="center"/>
            <w:hideMark/>
          </w:tcPr>
          <w:p w14:paraId="6F356BB9"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134" w:type="dxa"/>
            <w:shd w:val="clear" w:color="auto" w:fill="auto"/>
            <w:vAlign w:val="center"/>
            <w:hideMark/>
          </w:tcPr>
          <w:p w14:paraId="6F72909D"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shd w:val="clear" w:color="auto" w:fill="auto"/>
            <w:vAlign w:val="center"/>
            <w:hideMark/>
          </w:tcPr>
          <w:p w14:paraId="1922D358"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p>
        </w:tc>
        <w:tc>
          <w:tcPr>
            <w:tcW w:w="1030" w:type="dxa"/>
            <w:shd w:val="clear" w:color="auto" w:fill="auto"/>
            <w:vAlign w:val="center"/>
            <w:hideMark/>
          </w:tcPr>
          <w:p w14:paraId="681297A1" w14:textId="77777777" w:rsidR="00B5024A"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redovna aktivnost</w:t>
            </w:r>
          </w:p>
        </w:tc>
        <w:tc>
          <w:tcPr>
            <w:tcW w:w="1080" w:type="dxa"/>
            <w:shd w:val="clear" w:color="auto" w:fill="auto"/>
            <w:vAlign w:val="center"/>
            <w:hideMark/>
          </w:tcPr>
          <w:p w14:paraId="2C4FF253" w14:textId="08A6B722" w:rsidR="00B5024A" w:rsidRPr="00B35962" w:rsidRDefault="001E4AB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5F3185">
              <w:rPr>
                <w:rFonts w:ascii="Garamond" w:eastAsia="Times New Roman" w:hAnsi="Garamond" w:cs="Calibri"/>
                <w:sz w:val="22"/>
                <w:szCs w:val="22"/>
                <w:lang w:val="sr-Latn-ME" w:eastAsia="sr-Latn-ME"/>
              </w:rPr>
              <w:t>NKS</w:t>
            </w:r>
            <w:r w:rsidRPr="00B35962">
              <w:rPr>
                <w:rFonts w:ascii="Garamond" w:eastAsia="Times New Roman" w:hAnsi="Garamond" w:cs="Calibri"/>
                <w:sz w:val="22"/>
                <w:szCs w:val="22"/>
                <w:lang w:val="sr-Latn-ME" w:eastAsia="sr-Latn-ME"/>
              </w:rPr>
              <w:t xml:space="preserve">, </w:t>
            </w:r>
            <w:r w:rsidR="00B5024A" w:rsidRPr="00B35962">
              <w:rPr>
                <w:rFonts w:ascii="Garamond" w:eastAsia="Times New Roman" w:hAnsi="Garamond" w:cs="Calibri"/>
                <w:sz w:val="22"/>
                <w:szCs w:val="22"/>
                <w:lang w:val="sr-Latn-ME" w:eastAsia="sr-Latn-ME"/>
              </w:rPr>
              <w:t>LS</w:t>
            </w:r>
          </w:p>
        </w:tc>
        <w:tc>
          <w:tcPr>
            <w:tcW w:w="1155" w:type="dxa"/>
            <w:gridSpan w:val="2"/>
            <w:shd w:val="clear" w:color="auto" w:fill="auto"/>
            <w:vAlign w:val="center"/>
            <w:hideMark/>
          </w:tcPr>
          <w:p w14:paraId="12103724" w14:textId="77777777" w:rsidR="00B5024A" w:rsidRPr="00B35962" w:rsidRDefault="00C54B58" w:rsidP="00C54B5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w:t>
            </w:r>
            <w:r w:rsidR="00B5024A" w:rsidRPr="00B35962">
              <w:rPr>
                <w:rFonts w:ascii="Garamond" w:eastAsia="Times New Roman" w:hAnsi="Garamond" w:cs="Calibri"/>
                <w:sz w:val="22"/>
                <w:szCs w:val="22"/>
                <w:lang w:val="sr-Latn-ME" w:eastAsia="sr-Latn-ME"/>
              </w:rPr>
              <w:t> </w:t>
            </w:r>
          </w:p>
        </w:tc>
      </w:tr>
      <w:tr w:rsidR="00B5024A" w:rsidRPr="00B35962" w14:paraId="146E3975" w14:textId="77777777" w:rsidTr="00CE42CA">
        <w:trPr>
          <w:trHeight w:val="462"/>
        </w:trPr>
        <w:tc>
          <w:tcPr>
            <w:tcW w:w="2965" w:type="dxa"/>
            <w:vMerge/>
            <w:vAlign w:val="center"/>
            <w:hideMark/>
          </w:tcPr>
          <w:p w14:paraId="52FF44B6"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gridSpan w:val="2"/>
            <w:shd w:val="clear" w:color="auto" w:fill="auto"/>
            <w:vAlign w:val="center"/>
            <w:hideMark/>
          </w:tcPr>
          <w:p w14:paraId="25FBD814"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1.2.3 Adaptirati i opremiti izabrane lokalne pro</w:t>
            </w:r>
            <w:r w:rsidR="00763107" w:rsidRPr="00B35962">
              <w:rPr>
                <w:rFonts w:ascii="Garamond" w:eastAsia="Times New Roman" w:hAnsi="Garamond" w:cs="Calibri"/>
                <w:sz w:val="22"/>
                <w:szCs w:val="22"/>
                <w:lang w:val="sr-Latn-ME" w:eastAsia="sr-Latn-ME"/>
              </w:rPr>
              <w:t>s</w:t>
            </w:r>
            <w:r w:rsidRPr="00B35962">
              <w:rPr>
                <w:rFonts w:ascii="Garamond" w:eastAsia="Times New Roman" w:hAnsi="Garamond" w:cs="Calibri"/>
                <w:sz w:val="22"/>
                <w:szCs w:val="22"/>
                <w:lang w:val="sr-Latn-ME" w:eastAsia="sr-Latn-ME"/>
              </w:rPr>
              <w:t>tore</w:t>
            </w:r>
            <w:r w:rsidR="00763107" w:rsidRPr="00B35962">
              <w:rPr>
                <w:rFonts w:ascii="Garamond" w:eastAsia="Times New Roman" w:hAnsi="Garamond" w:cs="Calibri"/>
                <w:sz w:val="22"/>
                <w:szCs w:val="22"/>
                <w:lang w:val="sr-Latn-ME" w:eastAsia="sr-Latn-ME"/>
              </w:rPr>
              <w:t xml:space="preserve"> na razvojno adekvatan i pristupačan način</w:t>
            </w:r>
          </w:p>
        </w:tc>
        <w:tc>
          <w:tcPr>
            <w:tcW w:w="2424" w:type="dxa"/>
            <w:gridSpan w:val="2"/>
            <w:shd w:val="clear" w:color="auto" w:fill="auto"/>
            <w:vAlign w:val="center"/>
            <w:hideMark/>
          </w:tcPr>
          <w:p w14:paraId="499D4890"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Ukupna površina u novim adaptiranim prostorima (m</w:t>
            </w:r>
            <w:r w:rsidRPr="00B35962">
              <w:rPr>
                <w:rFonts w:ascii="Garamond" w:eastAsia="Times New Roman" w:hAnsi="Garamond" w:cs="Calibri"/>
                <w:sz w:val="22"/>
                <w:szCs w:val="22"/>
                <w:vertAlign w:val="superscript"/>
                <w:lang w:val="sr-Latn-ME" w:eastAsia="sr-Latn-ME"/>
              </w:rPr>
              <w:t>2</w:t>
            </w:r>
            <w:r w:rsidRPr="00B35962">
              <w:rPr>
                <w:rFonts w:ascii="Garamond" w:eastAsia="Times New Roman" w:hAnsi="Garamond" w:cs="Calibri"/>
                <w:sz w:val="22"/>
                <w:szCs w:val="22"/>
                <w:lang w:val="sr-Latn-ME" w:eastAsia="sr-Latn-ME"/>
              </w:rPr>
              <w:t>) (MEIS)</w:t>
            </w:r>
          </w:p>
        </w:tc>
        <w:tc>
          <w:tcPr>
            <w:tcW w:w="1134" w:type="dxa"/>
            <w:shd w:val="clear" w:color="auto" w:fill="auto"/>
            <w:vAlign w:val="center"/>
            <w:hideMark/>
          </w:tcPr>
          <w:p w14:paraId="31F5993A"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500m</w:t>
            </w:r>
            <w:r w:rsidRPr="00B35962">
              <w:rPr>
                <w:rFonts w:ascii="Garamond" w:eastAsia="Times New Roman" w:hAnsi="Garamond" w:cs="Calibri"/>
                <w:sz w:val="22"/>
                <w:szCs w:val="22"/>
                <w:vertAlign w:val="superscript"/>
                <w:lang w:val="sr-Latn-ME" w:eastAsia="sr-Latn-ME"/>
              </w:rPr>
              <w:t>2</w:t>
            </w:r>
          </w:p>
        </w:tc>
        <w:tc>
          <w:tcPr>
            <w:tcW w:w="1134" w:type="dxa"/>
            <w:shd w:val="clear" w:color="auto" w:fill="auto"/>
            <w:vAlign w:val="center"/>
            <w:hideMark/>
          </w:tcPr>
          <w:p w14:paraId="3604028A"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1500m</w:t>
            </w:r>
            <w:r w:rsidRPr="00B35962">
              <w:rPr>
                <w:rFonts w:ascii="Garamond" w:eastAsia="Times New Roman" w:hAnsi="Garamond" w:cs="Calibri"/>
                <w:sz w:val="22"/>
                <w:szCs w:val="22"/>
                <w:vertAlign w:val="superscript"/>
                <w:lang w:val="sr-Latn-ME" w:eastAsia="sr-Latn-ME"/>
              </w:rPr>
              <w:t>2</w:t>
            </w:r>
          </w:p>
        </w:tc>
        <w:tc>
          <w:tcPr>
            <w:tcW w:w="709" w:type="dxa"/>
            <w:shd w:val="clear" w:color="auto" w:fill="auto"/>
            <w:vAlign w:val="center"/>
            <w:hideMark/>
          </w:tcPr>
          <w:p w14:paraId="52E23203" w14:textId="77777777" w:rsidR="00B5024A" w:rsidRPr="00B35962" w:rsidRDefault="00B5024A" w:rsidP="006E75EF">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2022-202</w:t>
            </w:r>
            <w:r w:rsidR="006E75EF" w:rsidRPr="00B35962">
              <w:rPr>
                <w:rFonts w:ascii="Garamond" w:eastAsia="Times New Roman" w:hAnsi="Garamond" w:cs="Calibri"/>
                <w:sz w:val="22"/>
                <w:szCs w:val="22"/>
                <w:lang w:val="sr-Latn-ME" w:eastAsia="sr-Latn-ME"/>
              </w:rPr>
              <w:t>5</w:t>
            </w:r>
          </w:p>
        </w:tc>
        <w:tc>
          <w:tcPr>
            <w:tcW w:w="1030" w:type="dxa"/>
            <w:shd w:val="clear" w:color="auto" w:fill="auto"/>
            <w:vAlign w:val="center"/>
            <w:hideMark/>
          </w:tcPr>
          <w:p w14:paraId="4AA57AAD" w14:textId="77777777" w:rsidR="00B5024A" w:rsidRPr="00B35962" w:rsidRDefault="00B672B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350.000</w:t>
            </w:r>
            <w:r w:rsidR="00B5024A" w:rsidRPr="00B35962">
              <w:rPr>
                <w:rFonts w:ascii="Garamond" w:eastAsia="Times New Roman" w:hAnsi="Garamond" w:cs="Calibri"/>
                <w:sz w:val="22"/>
                <w:szCs w:val="22"/>
                <w:lang w:val="sr-Latn-ME" w:eastAsia="sr-Latn-ME"/>
              </w:rPr>
              <w:t> </w:t>
            </w:r>
            <w:r w:rsidRPr="00B35962">
              <w:rPr>
                <w:rFonts w:ascii="Garamond" w:eastAsia="Times New Roman" w:hAnsi="Garamond" w:cs="Calibri"/>
                <w:sz w:val="22"/>
                <w:szCs w:val="22"/>
                <w:lang w:val="sr-Latn-ME" w:eastAsia="sr-Latn-ME"/>
              </w:rPr>
              <w:t>€</w:t>
            </w:r>
          </w:p>
          <w:p w14:paraId="496013AB" w14:textId="690656B5"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kredit</w:t>
            </w:r>
            <w:r w:rsidR="00C44993">
              <w:rPr>
                <w:rStyle w:val="FootnoteReference"/>
                <w:rFonts w:ascii="Garamond" w:eastAsia="Times New Roman" w:hAnsi="Garamond" w:cs="Calibri"/>
                <w:sz w:val="22"/>
                <w:szCs w:val="22"/>
                <w:lang w:val="sr-Latn-ME" w:eastAsia="sr-Latn-ME"/>
              </w:rPr>
              <w:footnoteReference w:id="26"/>
            </w:r>
          </w:p>
        </w:tc>
        <w:tc>
          <w:tcPr>
            <w:tcW w:w="1080" w:type="dxa"/>
            <w:shd w:val="clear" w:color="auto" w:fill="auto"/>
            <w:vAlign w:val="center"/>
            <w:hideMark/>
          </w:tcPr>
          <w:p w14:paraId="05DF5247" w14:textId="33F8B5D3" w:rsidR="00B5024A" w:rsidRPr="00B35962" w:rsidRDefault="001E4AB6" w:rsidP="001E4AB6">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5F3185">
              <w:rPr>
                <w:rFonts w:ascii="Garamond" w:eastAsia="Times New Roman" w:hAnsi="Garamond" w:cs="Calibri"/>
                <w:sz w:val="22"/>
                <w:szCs w:val="22"/>
                <w:lang w:val="sr-Latn-ME" w:eastAsia="sr-Latn-ME"/>
              </w:rPr>
              <w:t>NKS</w:t>
            </w:r>
          </w:p>
        </w:tc>
        <w:tc>
          <w:tcPr>
            <w:tcW w:w="1155" w:type="dxa"/>
            <w:gridSpan w:val="2"/>
            <w:shd w:val="clear" w:color="auto" w:fill="auto"/>
            <w:vAlign w:val="center"/>
            <w:hideMark/>
          </w:tcPr>
          <w:p w14:paraId="63642863" w14:textId="43890DED" w:rsidR="00B5024A" w:rsidRPr="00B35962" w:rsidRDefault="00C44993" w:rsidP="00C54B58">
            <w:pPr>
              <w:spacing w:line="240" w:lineRule="auto"/>
              <w:ind w:firstLine="0"/>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donatori, kreditori</w:t>
            </w:r>
          </w:p>
        </w:tc>
      </w:tr>
      <w:tr w:rsidR="00B766C0" w:rsidRPr="00B35962" w14:paraId="0BC858CE" w14:textId="77777777" w:rsidTr="00CE42CA">
        <w:trPr>
          <w:trHeight w:val="1473"/>
        </w:trPr>
        <w:tc>
          <w:tcPr>
            <w:tcW w:w="2965" w:type="dxa"/>
            <w:vMerge w:val="restart"/>
            <w:shd w:val="clear" w:color="000000" w:fill="D9E2F3"/>
            <w:textDirection w:val="btLr"/>
            <w:vAlign w:val="center"/>
            <w:hideMark/>
          </w:tcPr>
          <w:p w14:paraId="639EE8A9" w14:textId="632E781F" w:rsidR="00B766C0" w:rsidRPr="00B35962" w:rsidRDefault="00D131EB"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00B766C0" w:rsidRPr="00B35962">
              <w:rPr>
                <w:rFonts w:ascii="Garamond" w:eastAsia="Times New Roman" w:hAnsi="Garamond" w:cs="Calibri"/>
                <w:b/>
                <w:bCs/>
                <w:sz w:val="22"/>
                <w:szCs w:val="22"/>
                <w:lang w:val="sr-Latn-ME" w:eastAsia="sr-Latn-ME"/>
              </w:rPr>
              <w:t xml:space="preserve"> 1.</w:t>
            </w:r>
            <w:r w:rsidR="00B73336" w:rsidRPr="00B35962">
              <w:rPr>
                <w:rFonts w:ascii="Garamond" w:eastAsia="Times New Roman" w:hAnsi="Garamond" w:cs="Calibri"/>
                <w:b/>
                <w:bCs/>
                <w:sz w:val="22"/>
                <w:szCs w:val="22"/>
                <w:lang w:val="sr-Latn-ME" w:eastAsia="sr-Latn-ME"/>
              </w:rPr>
              <w:t>3</w:t>
            </w:r>
            <w:r w:rsidR="00B766C0" w:rsidRPr="00B35962">
              <w:rPr>
                <w:rFonts w:ascii="Garamond" w:eastAsia="Times New Roman" w:hAnsi="Garamond" w:cs="Calibri"/>
                <w:b/>
                <w:bCs/>
                <w:sz w:val="22"/>
                <w:szCs w:val="22"/>
                <w:lang w:val="sr-Latn-ME" w:eastAsia="sr-Latn-ME"/>
              </w:rPr>
              <w:t>: Izraditi dugoročni plan širenja kapaciteta koji će uključiti i inovativne, društveno odgovorne opcije</w:t>
            </w:r>
            <w:r w:rsidR="00B766C0" w:rsidRPr="00B35962">
              <w:rPr>
                <w:rFonts w:ascii="Garamond" w:eastAsia="Times New Roman" w:hAnsi="Garamond" w:cs="Calibri"/>
                <w:b/>
                <w:bCs/>
                <w:sz w:val="22"/>
                <w:szCs w:val="22"/>
                <w:lang w:val="sr-Latn-ME" w:eastAsia="sr-Latn-ME"/>
              </w:rPr>
              <w:br/>
            </w:r>
            <w:r w:rsidR="00B766C0" w:rsidRPr="00B35962">
              <w:rPr>
                <w:rFonts w:ascii="Garamond" w:eastAsia="Times New Roman" w:hAnsi="Garamond" w:cs="Calibri"/>
                <w:b/>
                <w:bCs/>
                <w:sz w:val="22"/>
                <w:szCs w:val="22"/>
                <w:lang w:val="sr-Latn-ME" w:eastAsia="sr-Latn-ME"/>
              </w:rPr>
              <w:br/>
            </w:r>
            <w:r w:rsidR="00B766C0" w:rsidRPr="00B35962">
              <w:rPr>
                <w:rFonts w:ascii="Garamond" w:eastAsia="Times New Roman" w:hAnsi="Garamond" w:cs="Calibri"/>
                <w:sz w:val="22"/>
                <w:szCs w:val="22"/>
                <w:lang w:val="sr-Latn-ME" w:eastAsia="sr-Latn-ME"/>
              </w:rPr>
              <w:t>Indikator 1.</w:t>
            </w:r>
            <w:r w:rsidR="00B73336" w:rsidRPr="00B35962">
              <w:rPr>
                <w:rFonts w:ascii="Garamond" w:eastAsia="Times New Roman" w:hAnsi="Garamond" w:cs="Calibri"/>
                <w:sz w:val="22"/>
                <w:szCs w:val="22"/>
                <w:lang w:val="sr-Latn-ME" w:eastAsia="sr-Latn-ME"/>
              </w:rPr>
              <w:t>3</w:t>
            </w:r>
            <w:r w:rsidR="00B766C0" w:rsidRPr="00B35962">
              <w:rPr>
                <w:rFonts w:ascii="Garamond" w:eastAsia="Times New Roman" w:hAnsi="Garamond" w:cs="Calibri"/>
                <w:sz w:val="22"/>
                <w:szCs w:val="22"/>
                <w:lang w:val="sr-Latn-ME" w:eastAsia="sr-Latn-ME"/>
              </w:rPr>
              <w:t>.1 Usvojen dugoročni plan širenja kapaciteta - Ne (2020)       Ne (2022)        Da (202</w:t>
            </w:r>
            <w:r w:rsidR="00AB1025" w:rsidRPr="00B35962">
              <w:rPr>
                <w:rFonts w:ascii="Garamond" w:eastAsia="Times New Roman" w:hAnsi="Garamond" w:cs="Calibri"/>
                <w:sz w:val="22"/>
                <w:szCs w:val="22"/>
                <w:lang w:val="sr-Latn-ME" w:eastAsia="sr-Latn-ME"/>
              </w:rPr>
              <w:t>5</w:t>
            </w:r>
            <w:r w:rsidR="00B766C0" w:rsidRPr="00B35962">
              <w:rPr>
                <w:rFonts w:ascii="Garamond" w:eastAsia="Times New Roman" w:hAnsi="Garamond" w:cs="Calibri"/>
                <w:sz w:val="22"/>
                <w:szCs w:val="22"/>
                <w:lang w:val="sr-Latn-ME" w:eastAsia="sr-Latn-ME"/>
              </w:rPr>
              <w:t>)</w:t>
            </w:r>
          </w:p>
        </w:tc>
        <w:tc>
          <w:tcPr>
            <w:tcW w:w="2124" w:type="dxa"/>
            <w:gridSpan w:val="2"/>
            <w:shd w:val="clear" w:color="auto" w:fill="auto"/>
            <w:vAlign w:val="center"/>
            <w:hideMark/>
          </w:tcPr>
          <w:p w14:paraId="62508D35" w14:textId="77777777" w:rsidR="00B766C0" w:rsidRPr="00B35962" w:rsidRDefault="00B73336" w:rsidP="00B766C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1.3</w:t>
            </w:r>
            <w:r w:rsidR="00B766C0" w:rsidRPr="00B35962">
              <w:rPr>
                <w:rFonts w:ascii="Garamond" w:eastAsia="Times New Roman" w:hAnsi="Garamond" w:cs="Calibri"/>
                <w:sz w:val="22"/>
                <w:szCs w:val="22"/>
                <w:lang w:val="sr-Latn-ME" w:eastAsia="sr-Latn-ME"/>
              </w:rPr>
              <w:t>.1 Izraditi analizu o opravdanosti i održivosti različitih opcija za širenje kapaciteta PVO za period 2025-2028</w:t>
            </w:r>
          </w:p>
        </w:tc>
        <w:tc>
          <w:tcPr>
            <w:tcW w:w="2424" w:type="dxa"/>
            <w:gridSpan w:val="2"/>
            <w:shd w:val="clear" w:color="auto" w:fill="auto"/>
            <w:vAlign w:val="center"/>
            <w:hideMark/>
          </w:tcPr>
          <w:p w14:paraId="47462716" w14:textId="77777777" w:rsidR="00B766C0" w:rsidRPr="00B35962" w:rsidRDefault="00B766C0"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analizom pripremljen</w:t>
            </w:r>
          </w:p>
          <w:p w14:paraId="695641FE" w14:textId="77777777" w:rsidR="00B766C0" w:rsidRPr="00B35962" w:rsidRDefault="00B766C0" w:rsidP="00566A90">
            <w:pPr>
              <w:spacing w:line="240" w:lineRule="auto"/>
              <w:ind w:hanging="108"/>
              <w:rPr>
                <w:rFonts w:ascii="Garamond" w:eastAsia="Times New Roman" w:hAnsi="Garamond" w:cs="Calibri"/>
                <w:sz w:val="22"/>
                <w:szCs w:val="22"/>
                <w:lang w:val="sr-Latn-ME" w:eastAsia="sr-Latn-ME"/>
              </w:rPr>
            </w:pPr>
          </w:p>
        </w:tc>
        <w:tc>
          <w:tcPr>
            <w:tcW w:w="1134" w:type="dxa"/>
            <w:shd w:val="clear" w:color="auto" w:fill="auto"/>
            <w:vAlign w:val="center"/>
            <w:hideMark/>
          </w:tcPr>
          <w:p w14:paraId="2D2EA6A9" w14:textId="77777777" w:rsidR="00B766C0" w:rsidRPr="00B35962" w:rsidRDefault="00B766C0"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Ne</w:t>
            </w:r>
          </w:p>
          <w:p w14:paraId="71BC5EC2" w14:textId="77777777" w:rsidR="00B766C0" w:rsidRPr="00B35962" w:rsidRDefault="00B766C0" w:rsidP="00B766C0">
            <w:pPr>
              <w:spacing w:line="240" w:lineRule="auto"/>
              <w:ind w:firstLine="0"/>
              <w:jc w:val="right"/>
              <w:rPr>
                <w:rFonts w:ascii="Garamond" w:eastAsia="Times New Roman" w:hAnsi="Garamond" w:cs="Calibri"/>
                <w:sz w:val="22"/>
                <w:szCs w:val="22"/>
                <w:lang w:val="sr-Latn-ME" w:eastAsia="sr-Latn-ME"/>
              </w:rPr>
            </w:pPr>
          </w:p>
          <w:p w14:paraId="628C2F9C" w14:textId="77777777" w:rsidR="00B766C0" w:rsidRPr="00B35962" w:rsidRDefault="00B766C0" w:rsidP="00B766C0">
            <w:pPr>
              <w:spacing w:line="240" w:lineRule="auto"/>
              <w:ind w:firstLine="0"/>
              <w:jc w:val="right"/>
              <w:rPr>
                <w:rFonts w:ascii="Garamond" w:eastAsia="Times New Roman" w:hAnsi="Garamond" w:cs="Calibri"/>
                <w:sz w:val="22"/>
                <w:szCs w:val="22"/>
                <w:lang w:val="sr-Latn-ME" w:eastAsia="sr-Latn-ME"/>
              </w:rPr>
            </w:pPr>
          </w:p>
        </w:tc>
        <w:tc>
          <w:tcPr>
            <w:tcW w:w="1134" w:type="dxa"/>
            <w:shd w:val="clear" w:color="auto" w:fill="auto"/>
            <w:vAlign w:val="center"/>
            <w:hideMark/>
          </w:tcPr>
          <w:p w14:paraId="370B6CAF" w14:textId="77777777" w:rsidR="00B766C0" w:rsidRPr="00B35962" w:rsidRDefault="00B766C0"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4C553676" w14:textId="77777777" w:rsidR="00B766C0" w:rsidRPr="00B35962" w:rsidRDefault="00B766C0" w:rsidP="00B5024A">
            <w:pPr>
              <w:spacing w:line="240" w:lineRule="auto"/>
              <w:jc w:val="right"/>
              <w:rPr>
                <w:rFonts w:ascii="Garamond" w:eastAsia="Times New Roman" w:hAnsi="Garamond" w:cs="Calibri"/>
                <w:sz w:val="22"/>
                <w:szCs w:val="22"/>
                <w:lang w:val="sr-Latn-ME" w:eastAsia="sr-Latn-ME"/>
              </w:rPr>
            </w:pPr>
          </w:p>
          <w:p w14:paraId="7C17323E" w14:textId="77777777" w:rsidR="00B766C0" w:rsidRPr="00B35962" w:rsidRDefault="00B766C0" w:rsidP="00B766C0">
            <w:pPr>
              <w:spacing w:line="240" w:lineRule="auto"/>
              <w:ind w:firstLine="0"/>
              <w:jc w:val="right"/>
              <w:rPr>
                <w:rFonts w:ascii="Garamond" w:eastAsia="Times New Roman" w:hAnsi="Garamond" w:cs="Calibri"/>
                <w:sz w:val="22"/>
                <w:szCs w:val="22"/>
                <w:lang w:val="sr-Latn-ME" w:eastAsia="sr-Latn-ME"/>
              </w:rPr>
            </w:pPr>
          </w:p>
        </w:tc>
        <w:tc>
          <w:tcPr>
            <w:tcW w:w="709" w:type="dxa"/>
            <w:shd w:val="clear" w:color="auto" w:fill="auto"/>
            <w:vAlign w:val="center"/>
            <w:hideMark/>
          </w:tcPr>
          <w:p w14:paraId="20EF6B83" w14:textId="77777777" w:rsidR="00B766C0" w:rsidRPr="00B35962" w:rsidRDefault="00B766C0" w:rsidP="00C54B58">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2022-2023</w:t>
            </w:r>
          </w:p>
          <w:p w14:paraId="1BFC4527" w14:textId="77777777" w:rsidR="00B766C0" w:rsidRPr="00B35962" w:rsidRDefault="00B766C0" w:rsidP="00B766C0">
            <w:pPr>
              <w:spacing w:line="240" w:lineRule="auto"/>
              <w:ind w:firstLine="0"/>
              <w:jc w:val="right"/>
              <w:rPr>
                <w:rFonts w:ascii="Garamond" w:eastAsia="Times New Roman" w:hAnsi="Garamond" w:cs="Calibri"/>
                <w:sz w:val="22"/>
                <w:szCs w:val="22"/>
                <w:lang w:val="sr-Latn-ME" w:eastAsia="sr-Latn-ME"/>
              </w:rPr>
            </w:pPr>
          </w:p>
        </w:tc>
        <w:tc>
          <w:tcPr>
            <w:tcW w:w="1030" w:type="dxa"/>
            <w:shd w:val="clear" w:color="auto" w:fill="auto"/>
            <w:vAlign w:val="center"/>
            <w:hideMark/>
          </w:tcPr>
          <w:p w14:paraId="37F5A45D" w14:textId="77777777" w:rsidR="004F4934"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 xml:space="preserve">500 € </w:t>
            </w:r>
          </w:p>
          <w:p w14:paraId="65AF4A4A" w14:textId="77777777" w:rsidR="00B766C0"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w:t>
            </w:r>
            <w:r w:rsidR="00B766C0" w:rsidRPr="00B35962">
              <w:rPr>
                <w:rFonts w:ascii="Garamond" w:eastAsia="Times New Roman" w:hAnsi="Garamond" w:cs="Calibri"/>
                <w:sz w:val="22"/>
                <w:szCs w:val="22"/>
                <w:lang w:val="sr-Latn-ME" w:eastAsia="sr-Latn-ME"/>
              </w:rPr>
              <w:t> </w:t>
            </w:r>
          </w:p>
          <w:p w14:paraId="10C1F62B" w14:textId="77777777" w:rsidR="00B766C0" w:rsidRPr="00B35962" w:rsidRDefault="00B766C0" w:rsidP="00B5024A">
            <w:pPr>
              <w:spacing w:line="240" w:lineRule="auto"/>
              <w:jc w:val="right"/>
              <w:rPr>
                <w:rFonts w:ascii="Garamond" w:eastAsia="Times New Roman" w:hAnsi="Garamond" w:cs="Calibri"/>
                <w:sz w:val="22"/>
                <w:szCs w:val="22"/>
                <w:lang w:val="sr-Latn-ME" w:eastAsia="sr-Latn-ME"/>
              </w:rPr>
            </w:pPr>
          </w:p>
        </w:tc>
        <w:tc>
          <w:tcPr>
            <w:tcW w:w="1080" w:type="dxa"/>
            <w:shd w:val="clear" w:color="auto" w:fill="auto"/>
            <w:vAlign w:val="center"/>
            <w:hideMark/>
          </w:tcPr>
          <w:p w14:paraId="2BB63B6A" w14:textId="31080597" w:rsidR="00B766C0" w:rsidRPr="00B35962" w:rsidRDefault="005F3185" w:rsidP="00B766C0">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Pr="00B35962">
              <w:rPr>
                <w:rFonts w:ascii="Garamond" w:eastAsia="Times New Roman" w:hAnsi="Garamond" w:cs="Calibri"/>
                <w:sz w:val="22"/>
                <w:szCs w:val="22"/>
                <w:lang w:val="sr-Latn-ME" w:eastAsia="sr-Latn-ME"/>
              </w:rPr>
              <w:t xml:space="preserve"> </w:t>
            </w:r>
          </w:p>
        </w:tc>
        <w:tc>
          <w:tcPr>
            <w:tcW w:w="1155" w:type="dxa"/>
            <w:gridSpan w:val="2"/>
            <w:shd w:val="clear" w:color="auto" w:fill="auto"/>
            <w:vAlign w:val="center"/>
            <w:hideMark/>
          </w:tcPr>
          <w:p w14:paraId="09121147" w14:textId="77777777" w:rsidR="00B766C0" w:rsidRPr="00B35962" w:rsidRDefault="00B766C0" w:rsidP="00DC0BA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w:t>
            </w:r>
          </w:p>
          <w:p w14:paraId="152D7403" w14:textId="77777777" w:rsidR="00B766C0" w:rsidRPr="00B35962" w:rsidRDefault="00B766C0" w:rsidP="00B5024A">
            <w:pPr>
              <w:spacing w:line="240" w:lineRule="auto"/>
              <w:jc w:val="right"/>
              <w:rPr>
                <w:rFonts w:ascii="Garamond" w:eastAsia="Times New Roman" w:hAnsi="Garamond" w:cs="Calibri"/>
                <w:sz w:val="22"/>
                <w:szCs w:val="22"/>
                <w:lang w:val="sr-Latn-ME" w:eastAsia="sr-Latn-ME"/>
              </w:rPr>
            </w:pPr>
          </w:p>
        </w:tc>
      </w:tr>
      <w:tr w:rsidR="00B766C0" w:rsidRPr="00B35962" w14:paraId="17912797" w14:textId="77777777" w:rsidTr="00CE42CA">
        <w:trPr>
          <w:trHeight w:val="838"/>
        </w:trPr>
        <w:tc>
          <w:tcPr>
            <w:tcW w:w="2965" w:type="dxa"/>
            <w:vMerge/>
            <w:shd w:val="clear" w:color="000000" w:fill="D9E2F3"/>
            <w:textDirection w:val="btLr"/>
            <w:vAlign w:val="center"/>
          </w:tcPr>
          <w:p w14:paraId="200395C7" w14:textId="77777777" w:rsidR="00B766C0" w:rsidRPr="00B35962" w:rsidRDefault="00B766C0" w:rsidP="00B5024A">
            <w:pPr>
              <w:spacing w:line="240" w:lineRule="auto"/>
              <w:ind w:firstLine="0"/>
              <w:jc w:val="center"/>
              <w:rPr>
                <w:rFonts w:ascii="Garamond" w:eastAsia="Times New Roman" w:hAnsi="Garamond" w:cs="Calibri"/>
                <w:b/>
                <w:bCs/>
                <w:sz w:val="22"/>
                <w:szCs w:val="22"/>
                <w:lang w:val="sr-Latn-ME" w:eastAsia="sr-Latn-ME"/>
              </w:rPr>
            </w:pPr>
          </w:p>
        </w:tc>
        <w:tc>
          <w:tcPr>
            <w:tcW w:w="2124" w:type="dxa"/>
            <w:gridSpan w:val="2"/>
            <w:shd w:val="clear" w:color="auto" w:fill="auto"/>
            <w:vAlign w:val="center"/>
          </w:tcPr>
          <w:p w14:paraId="4495BCF3" w14:textId="77777777" w:rsidR="00B766C0" w:rsidRPr="00B35962" w:rsidRDefault="00B73336" w:rsidP="006E75E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1.3</w:t>
            </w:r>
            <w:r w:rsidR="00B766C0" w:rsidRPr="00B35962">
              <w:rPr>
                <w:rFonts w:ascii="Garamond" w:eastAsia="Times New Roman" w:hAnsi="Garamond" w:cs="Calibri"/>
                <w:sz w:val="22"/>
                <w:szCs w:val="22"/>
                <w:lang w:val="sr-Latn-ME" w:eastAsia="sr-Latn-ME"/>
              </w:rPr>
              <w:t>.2 Plan za širenje kapaciteta PVO za period 202</w:t>
            </w:r>
            <w:r w:rsidR="006E75EF" w:rsidRPr="00B35962">
              <w:rPr>
                <w:rFonts w:ascii="Garamond" w:eastAsia="Times New Roman" w:hAnsi="Garamond" w:cs="Calibri"/>
                <w:sz w:val="22"/>
                <w:szCs w:val="22"/>
                <w:lang w:val="sr-Latn-ME" w:eastAsia="sr-Latn-ME"/>
              </w:rPr>
              <w:t>6</w:t>
            </w:r>
            <w:r w:rsidR="00B766C0" w:rsidRPr="00B35962">
              <w:rPr>
                <w:rFonts w:ascii="Garamond" w:eastAsia="Times New Roman" w:hAnsi="Garamond" w:cs="Calibri"/>
                <w:sz w:val="22"/>
                <w:szCs w:val="22"/>
                <w:lang w:val="sr-Latn-ME" w:eastAsia="sr-Latn-ME"/>
              </w:rPr>
              <w:t>-2028</w:t>
            </w:r>
          </w:p>
        </w:tc>
        <w:tc>
          <w:tcPr>
            <w:tcW w:w="2424" w:type="dxa"/>
            <w:gridSpan w:val="2"/>
            <w:shd w:val="clear" w:color="auto" w:fill="auto"/>
            <w:vAlign w:val="center"/>
          </w:tcPr>
          <w:p w14:paraId="3F7E7EF5" w14:textId="77777777" w:rsidR="00B766C0" w:rsidRPr="00B35962" w:rsidRDefault="00B766C0" w:rsidP="006E75E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planom širenja kapaciteta za period 202</w:t>
            </w:r>
            <w:r w:rsidR="006E75EF" w:rsidRPr="00B35962">
              <w:rPr>
                <w:rFonts w:ascii="Garamond" w:eastAsia="Times New Roman" w:hAnsi="Garamond" w:cs="Calibri"/>
                <w:sz w:val="22"/>
                <w:szCs w:val="22"/>
                <w:lang w:val="sr-Latn-ME" w:eastAsia="sr-Latn-ME"/>
              </w:rPr>
              <w:t>6</w:t>
            </w:r>
            <w:r w:rsidRPr="00B35962">
              <w:rPr>
                <w:rFonts w:ascii="Garamond" w:eastAsia="Times New Roman" w:hAnsi="Garamond" w:cs="Calibri"/>
                <w:sz w:val="22"/>
                <w:szCs w:val="22"/>
                <w:lang w:val="sr-Latn-ME" w:eastAsia="sr-Latn-ME"/>
              </w:rPr>
              <w:t>-2028</w:t>
            </w:r>
          </w:p>
        </w:tc>
        <w:tc>
          <w:tcPr>
            <w:tcW w:w="1134" w:type="dxa"/>
            <w:shd w:val="clear" w:color="auto" w:fill="auto"/>
            <w:vAlign w:val="center"/>
          </w:tcPr>
          <w:p w14:paraId="72D95E2F" w14:textId="77777777" w:rsidR="00B766C0" w:rsidRPr="00B35962" w:rsidRDefault="00B766C0"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Ne</w:t>
            </w:r>
          </w:p>
        </w:tc>
        <w:tc>
          <w:tcPr>
            <w:tcW w:w="1134" w:type="dxa"/>
            <w:shd w:val="clear" w:color="auto" w:fill="auto"/>
            <w:vAlign w:val="center"/>
          </w:tcPr>
          <w:p w14:paraId="17FF2178" w14:textId="77777777" w:rsidR="00B766C0" w:rsidRPr="00B35962" w:rsidRDefault="00B766C0"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shd w:val="clear" w:color="auto" w:fill="auto"/>
            <w:vAlign w:val="center"/>
          </w:tcPr>
          <w:p w14:paraId="31B3BDC1" w14:textId="77777777" w:rsidR="00B766C0" w:rsidRPr="00B35962" w:rsidRDefault="00B766C0" w:rsidP="006E75EF">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w:t>
            </w:r>
            <w:r w:rsidR="006E75EF" w:rsidRPr="00B35962">
              <w:rPr>
                <w:rFonts w:ascii="Garamond" w:eastAsia="Times New Roman" w:hAnsi="Garamond" w:cs="Calibri"/>
                <w:sz w:val="22"/>
                <w:szCs w:val="22"/>
                <w:lang w:val="sr-Latn-ME" w:eastAsia="sr-Latn-ME"/>
              </w:rPr>
              <w:t>5</w:t>
            </w:r>
          </w:p>
        </w:tc>
        <w:tc>
          <w:tcPr>
            <w:tcW w:w="1030" w:type="dxa"/>
            <w:shd w:val="clear" w:color="auto" w:fill="auto"/>
            <w:vAlign w:val="center"/>
          </w:tcPr>
          <w:p w14:paraId="578361B0" w14:textId="77777777" w:rsidR="00B766C0"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66478F33"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w:t>
            </w:r>
          </w:p>
        </w:tc>
        <w:tc>
          <w:tcPr>
            <w:tcW w:w="1080" w:type="dxa"/>
            <w:shd w:val="clear" w:color="auto" w:fill="auto"/>
            <w:vAlign w:val="center"/>
          </w:tcPr>
          <w:p w14:paraId="624D97CE" w14:textId="43F49E1E" w:rsidR="00B766C0" w:rsidRPr="00B35962" w:rsidRDefault="005F3185"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p>
        </w:tc>
        <w:tc>
          <w:tcPr>
            <w:tcW w:w="1155" w:type="dxa"/>
            <w:gridSpan w:val="2"/>
            <w:shd w:val="clear" w:color="auto" w:fill="auto"/>
            <w:vAlign w:val="center"/>
          </w:tcPr>
          <w:p w14:paraId="55C5927A" w14:textId="77777777" w:rsidR="00B766C0" w:rsidRPr="00B35962" w:rsidDel="00B72021" w:rsidRDefault="00B766C0" w:rsidP="00DC0BA7">
            <w:pPr>
              <w:spacing w:line="240" w:lineRule="auto"/>
              <w:ind w:firstLine="0"/>
              <w:rPr>
                <w:rFonts w:ascii="Garamond" w:eastAsia="Times New Roman" w:hAnsi="Garamond" w:cs="Calibri"/>
                <w:sz w:val="22"/>
                <w:szCs w:val="22"/>
                <w:lang w:val="sr-Latn-ME" w:eastAsia="sr-Latn-ME"/>
              </w:rPr>
            </w:pPr>
          </w:p>
        </w:tc>
      </w:tr>
      <w:tr w:rsidR="00B5024A" w:rsidRPr="00B35962" w14:paraId="56619437" w14:textId="77777777" w:rsidTr="00CE42CA">
        <w:trPr>
          <w:trHeight w:val="1408"/>
        </w:trPr>
        <w:tc>
          <w:tcPr>
            <w:tcW w:w="2965" w:type="dxa"/>
            <w:vMerge w:val="restart"/>
            <w:shd w:val="clear" w:color="000000" w:fill="D9E2F3"/>
            <w:textDirection w:val="btLr"/>
            <w:vAlign w:val="center"/>
            <w:hideMark/>
          </w:tcPr>
          <w:p w14:paraId="36A89A75" w14:textId="051BB334" w:rsidR="00B5024A" w:rsidRPr="00B35962" w:rsidRDefault="00D131EB"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B5024A" w:rsidRPr="00B35962">
              <w:rPr>
                <w:rFonts w:ascii="Garamond" w:eastAsia="Times New Roman" w:hAnsi="Garamond" w:cs="Calibri"/>
                <w:b/>
                <w:bCs/>
                <w:sz w:val="22"/>
                <w:szCs w:val="22"/>
                <w:lang w:val="sr-Latn-ME" w:eastAsia="sr-Latn-ME"/>
              </w:rPr>
              <w:t>1.</w:t>
            </w:r>
            <w:r w:rsidR="00B73336" w:rsidRPr="00B35962">
              <w:rPr>
                <w:rFonts w:ascii="Garamond" w:eastAsia="Times New Roman" w:hAnsi="Garamond" w:cs="Calibri"/>
                <w:b/>
                <w:bCs/>
                <w:sz w:val="22"/>
                <w:szCs w:val="22"/>
                <w:lang w:val="sr-Latn-ME" w:eastAsia="sr-Latn-ME"/>
              </w:rPr>
              <w:t>4</w:t>
            </w:r>
            <w:r w:rsidR="00B5024A" w:rsidRPr="00B35962">
              <w:rPr>
                <w:rFonts w:ascii="Garamond" w:eastAsia="Times New Roman" w:hAnsi="Garamond" w:cs="Calibri"/>
                <w:b/>
                <w:bCs/>
                <w:sz w:val="22"/>
                <w:szCs w:val="22"/>
                <w:lang w:val="sr-Latn-ME" w:eastAsia="sr-Latn-ME"/>
              </w:rPr>
              <w:t>: Jačati svijest javnosti o značaju uključivanja djece u programe ranog i predškolskog učenja</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t>Indikator 1.</w:t>
            </w:r>
            <w:r w:rsidR="00B73336" w:rsidRPr="00B35962">
              <w:rPr>
                <w:rFonts w:ascii="Garamond" w:eastAsia="Times New Roman" w:hAnsi="Garamond" w:cs="Calibri"/>
                <w:b/>
                <w:bCs/>
                <w:sz w:val="22"/>
                <w:szCs w:val="22"/>
                <w:lang w:val="sr-Latn-ME" w:eastAsia="sr-Latn-ME"/>
              </w:rPr>
              <w:t>4</w:t>
            </w:r>
            <w:r w:rsidR="00B5024A" w:rsidRPr="00B35962">
              <w:rPr>
                <w:rFonts w:ascii="Garamond" w:eastAsia="Times New Roman" w:hAnsi="Garamond" w:cs="Calibri"/>
                <w:b/>
                <w:bCs/>
                <w:sz w:val="22"/>
                <w:szCs w:val="22"/>
                <w:lang w:val="sr-Latn-ME" w:eastAsia="sr-Latn-ME"/>
              </w:rPr>
              <w:t>.1 Kampanja za podizanje</w:t>
            </w:r>
            <w:r w:rsidR="004C099B" w:rsidRPr="00B35962">
              <w:rPr>
                <w:rFonts w:ascii="Garamond" w:eastAsia="Times New Roman" w:hAnsi="Garamond" w:cs="Calibri"/>
                <w:b/>
                <w:bCs/>
                <w:sz w:val="22"/>
                <w:szCs w:val="22"/>
                <w:lang w:val="sr-Latn-ME" w:eastAsia="sr-Latn-ME"/>
              </w:rPr>
              <w:t xml:space="preserve"> svesti o značaju uključivanja dj</w:t>
            </w:r>
            <w:r w:rsidR="00B5024A" w:rsidRPr="00B35962">
              <w:rPr>
                <w:rFonts w:ascii="Garamond" w:eastAsia="Times New Roman" w:hAnsi="Garamond" w:cs="Calibri"/>
                <w:b/>
                <w:bCs/>
                <w:sz w:val="22"/>
                <w:szCs w:val="22"/>
                <w:lang w:val="sr-Latn-ME" w:eastAsia="sr-Latn-ME"/>
              </w:rPr>
              <w:t>ece u programe ranog i predškolskog učenja je realizovana - Da (2020)       Da (2022)        Da (202</w:t>
            </w:r>
            <w:r w:rsidR="00AB1025" w:rsidRPr="00B35962">
              <w:rPr>
                <w:rFonts w:ascii="Garamond" w:eastAsia="Times New Roman" w:hAnsi="Garamond" w:cs="Calibri"/>
                <w:b/>
                <w:bCs/>
                <w:sz w:val="22"/>
                <w:szCs w:val="22"/>
                <w:lang w:val="sr-Latn-ME" w:eastAsia="sr-Latn-ME"/>
              </w:rPr>
              <w:t>5</w:t>
            </w:r>
            <w:r w:rsidR="00B5024A" w:rsidRPr="00B35962">
              <w:rPr>
                <w:rFonts w:ascii="Garamond" w:eastAsia="Times New Roman" w:hAnsi="Garamond" w:cs="Calibri"/>
                <w:b/>
                <w:bCs/>
                <w:sz w:val="22"/>
                <w:szCs w:val="22"/>
                <w:lang w:val="sr-Latn-ME" w:eastAsia="sr-Latn-ME"/>
              </w:rPr>
              <w:t>)</w:t>
            </w:r>
          </w:p>
        </w:tc>
        <w:tc>
          <w:tcPr>
            <w:tcW w:w="2124" w:type="dxa"/>
            <w:gridSpan w:val="2"/>
            <w:shd w:val="clear" w:color="auto" w:fill="auto"/>
            <w:vAlign w:val="center"/>
            <w:hideMark/>
          </w:tcPr>
          <w:p w14:paraId="7D3A42BB" w14:textId="77777777" w:rsidR="00B5024A" w:rsidRPr="00B35962" w:rsidRDefault="00B73336"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1.4</w:t>
            </w:r>
            <w:r w:rsidR="00B5024A" w:rsidRPr="00B35962">
              <w:rPr>
                <w:rFonts w:ascii="Garamond" w:eastAsia="Times New Roman" w:hAnsi="Garamond" w:cs="Calibri"/>
                <w:sz w:val="22"/>
                <w:szCs w:val="22"/>
                <w:lang w:val="sr-Latn-ME" w:eastAsia="sr-Latn-ME"/>
              </w:rPr>
              <w:t>.1 Realizovati istraživanje o stavovima i mišljenjima roditelja o uključivanju d</w:t>
            </w:r>
            <w:r w:rsidR="00566A90" w:rsidRPr="00B35962">
              <w:rPr>
                <w:rFonts w:ascii="Garamond" w:eastAsia="Times New Roman" w:hAnsi="Garamond" w:cs="Calibri"/>
                <w:sz w:val="22"/>
                <w:szCs w:val="22"/>
                <w:lang w:val="sr-Latn-ME" w:eastAsia="sr-Latn-ME"/>
              </w:rPr>
              <w:t>j</w:t>
            </w:r>
            <w:r w:rsidR="00B5024A" w:rsidRPr="00B35962">
              <w:rPr>
                <w:rFonts w:ascii="Garamond" w:eastAsia="Times New Roman" w:hAnsi="Garamond" w:cs="Calibri"/>
                <w:sz w:val="22"/>
                <w:szCs w:val="22"/>
                <w:lang w:val="sr-Latn-ME" w:eastAsia="sr-Latn-ME"/>
              </w:rPr>
              <w:t>ece u PVO programe</w:t>
            </w:r>
            <w:r w:rsidR="00763107" w:rsidRPr="00B35962">
              <w:rPr>
                <w:rFonts w:ascii="Garamond" w:eastAsia="Times New Roman" w:hAnsi="Garamond" w:cs="Calibri"/>
                <w:sz w:val="22"/>
                <w:szCs w:val="22"/>
                <w:lang w:val="sr-Latn-ME" w:eastAsia="sr-Latn-ME"/>
              </w:rPr>
              <w:t xml:space="preserve"> </w:t>
            </w:r>
          </w:p>
        </w:tc>
        <w:tc>
          <w:tcPr>
            <w:tcW w:w="2424" w:type="dxa"/>
            <w:gridSpan w:val="2"/>
            <w:shd w:val="clear" w:color="auto" w:fill="auto"/>
            <w:vAlign w:val="center"/>
            <w:hideMark/>
          </w:tcPr>
          <w:p w14:paraId="3F1F0408"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Dokument sa rezultatima istraživanjima i preporukom za ciljeve kampanje je usvojen </w:t>
            </w:r>
          </w:p>
        </w:tc>
        <w:tc>
          <w:tcPr>
            <w:tcW w:w="1134" w:type="dxa"/>
            <w:shd w:val="clear" w:color="auto" w:fill="auto"/>
            <w:vAlign w:val="center"/>
            <w:hideMark/>
          </w:tcPr>
          <w:p w14:paraId="23EA89BD" w14:textId="7F844B10" w:rsidR="00C44993"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11409A4E" w14:textId="77777777" w:rsidR="00B5024A" w:rsidRPr="00C44993" w:rsidRDefault="00B5024A" w:rsidP="00C44993">
            <w:pPr>
              <w:rPr>
                <w:rFonts w:ascii="Garamond" w:eastAsia="Times New Roman" w:hAnsi="Garamond" w:cs="Calibri"/>
                <w:sz w:val="22"/>
                <w:szCs w:val="22"/>
                <w:lang w:val="sr-Latn-ME" w:eastAsia="sr-Latn-ME"/>
              </w:rPr>
            </w:pPr>
          </w:p>
        </w:tc>
        <w:tc>
          <w:tcPr>
            <w:tcW w:w="1134" w:type="dxa"/>
            <w:shd w:val="clear" w:color="auto" w:fill="auto"/>
            <w:vAlign w:val="center"/>
            <w:hideMark/>
          </w:tcPr>
          <w:p w14:paraId="77B2E189"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shd w:val="clear" w:color="auto" w:fill="auto"/>
            <w:vAlign w:val="center"/>
            <w:hideMark/>
          </w:tcPr>
          <w:p w14:paraId="248348B8"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p>
        </w:tc>
        <w:tc>
          <w:tcPr>
            <w:tcW w:w="1030" w:type="dxa"/>
            <w:shd w:val="clear" w:color="auto" w:fill="auto"/>
            <w:vAlign w:val="center"/>
            <w:hideMark/>
          </w:tcPr>
          <w:p w14:paraId="5B898FBC" w14:textId="77777777" w:rsidR="004F4934"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475C17C8" w14:textId="77777777" w:rsidR="00B5024A"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w:t>
            </w:r>
            <w:r w:rsidR="00B5024A" w:rsidRPr="00B35962">
              <w:rPr>
                <w:rFonts w:ascii="Garamond" w:eastAsia="Times New Roman" w:hAnsi="Garamond" w:cs="Calibri"/>
                <w:sz w:val="22"/>
                <w:szCs w:val="22"/>
                <w:lang w:val="sr-Latn-ME" w:eastAsia="sr-Latn-ME"/>
              </w:rPr>
              <w:t> </w:t>
            </w:r>
          </w:p>
        </w:tc>
        <w:tc>
          <w:tcPr>
            <w:tcW w:w="1080" w:type="dxa"/>
            <w:shd w:val="clear" w:color="auto" w:fill="auto"/>
            <w:vAlign w:val="center"/>
            <w:hideMark/>
          </w:tcPr>
          <w:p w14:paraId="3309307E" w14:textId="562ED873" w:rsidR="00B5024A" w:rsidRPr="00B35962" w:rsidRDefault="005F3185"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p>
        </w:tc>
        <w:tc>
          <w:tcPr>
            <w:tcW w:w="1155" w:type="dxa"/>
            <w:gridSpan w:val="2"/>
            <w:shd w:val="clear" w:color="auto" w:fill="auto"/>
            <w:vAlign w:val="center"/>
            <w:hideMark/>
          </w:tcPr>
          <w:p w14:paraId="02962DA4" w14:textId="77777777" w:rsidR="00B5024A" w:rsidRPr="00B35962" w:rsidRDefault="007310C4" w:rsidP="00DC0BA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NVO, donatori</w:t>
            </w:r>
          </w:p>
        </w:tc>
      </w:tr>
      <w:tr w:rsidR="00B5024A" w:rsidRPr="00B35962" w14:paraId="1FC5A2B9" w14:textId="77777777" w:rsidTr="00CE42CA">
        <w:trPr>
          <w:trHeight w:val="621"/>
        </w:trPr>
        <w:tc>
          <w:tcPr>
            <w:tcW w:w="2965" w:type="dxa"/>
            <w:vMerge/>
            <w:vAlign w:val="center"/>
            <w:hideMark/>
          </w:tcPr>
          <w:p w14:paraId="787FDF31"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gridSpan w:val="2"/>
            <w:shd w:val="clear" w:color="auto" w:fill="auto"/>
            <w:vAlign w:val="center"/>
            <w:hideMark/>
          </w:tcPr>
          <w:p w14:paraId="5CA24A25" w14:textId="37FD684D" w:rsidR="00B5024A" w:rsidRPr="00B35962" w:rsidRDefault="00B73336"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1.4</w:t>
            </w:r>
            <w:r w:rsidR="00B5024A" w:rsidRPr="00B35962">
              <w:rPr>
                <w:rFonts w:ascii="Garamond" w:eastAsia="Times New Roman" w:hAnsi="Garamond" w:cs="Calibri"/>
                <w:sz w:val="22"/>
                <w:szCs w:val="22"/>
                <w:lang w:val="sr-Latn-ME" w:eastAsia="sr-Latn-ME"/>
              </w:rPr>
              <w:t>.2 Realizovati</w:t>
            </w:r>
            <w:r w:rsidR="003930D0" w:rsidRPr="00B35962">
              <w:rPr>
                <w:rFonts w:ascii="Garamond" w:eastAsia="Times New Roman" w:hAnsi="Garamond" w:cs="Calibri"/>
                <w:sz w:val="22"/>
                <w:szCs w:val="22"/>
                <w:lang w:val="sr-Latn-ME" w:eastAsia="sr-Latn-ME"/>
              </w:rPr>
              <w:t xml:space="preserve"> participativnu i interaktivnu</w:t>
            </w:r>
            <w:r w:rsidR="00B5024A" w:rsidRPr="00B35962">
              <w:rPr>
                <w:rFonts w:ascii="Garamond" w:eastAsia="Times New Roman" w:hAnsi="Garamond" w:cs="Calibri"/>
                <w:sz w:val="22"/>
                <w:szCs w:val="22"/>
                <w:lang w:val="sr-Latn-ME" w:eastAsia="sr-Latn-ME"/>
              </w:rPr>
              <w:t xml:space="preserve"> kampanju za jačanje svijest</w:t>
            </w:r>
            <w:r w:rsidR="00E7001A">
              <w:rPr>
                <w:rFonts w:ascii="Garamond" w:eastAsia="Times New Roman" w:hAnsi="Garamond" w:cs="Calibri"/>
                <w:sz w:val="22"/>
                <w:szCs w:val="22"/>
                <w:lang w:val="sr-Latn-ME" w:eastAsia="sr-Latn-ME"/>
              </w:rPr>
              <w:t>i</w:t>
            </w:r>
            <w:r w:rsidR="00B5024A" w:rsidRPr="00B35962">
              <w:rPr>
                <w:rFonts w:ascii="Garamond" w:eastAsia="Times New Roman" w:hAnsi="Garamond" w:cs="Calibri"/>
                <w:sz w:val="22"/>
                <w:szCs w:val="22"/>
                <w:lang w:val="sr-Latn-ME" w:eastAsia="sr-Latn-ME"/>
              </w:rPr>
              <w:t xml:space="preserve"> roditelja i javnosti o značaju PVO programa za rani razvoj d</w:t>
            </w:r>
            <w:r w:rsidR="00566A90" w:rsidRPr="00B35962">
              <w:rPr>
                <w:rFonts w:ascii="Garamond" w:eastAsia="Times New Roman" w:hAnsi="Garamond" w:cs="Calibri"/>
                <w:sz w:val="22"/>
                <w:szCs w:val="22"/>
                <w:lang w:val="sr-Latn-ME" w:eastAsia="sr-Latn-ME"/>
              </w:rPr>
              <w:t>j</w:t>
            </w:r>
            <w:r w:rsidR="00B5024A" w:rsidRPr="00B35962">
              <w:rPr>
                <w:rFonts w:ascii="Garamond" w:eastAsia="Times New Roman" w:hAnsi="Garamond" w:cs="Calibri"/>
                <w:sz w:val="22"/>
                <w:szCs w:val="22"/>
                <w:lang w:val="sr-Latn-ME" w:eastAsia="sr-Latn-ME"/>
              </w:rPr>
              <w:t>ece</w:t>
            </w:r>
            <w:r w:rsidR="006E75EF" w:rsidRPr="00B35962">
              <w:rPr>
                <w:rFonts w:ascii="Garamond" w:eastAsia="Times New Roman" w:hAnsi="Garamond" w:cs="Calibri"/>
                <w:sz w:val="22"/>
                <w:szCs w:val="22"/>
                <w:lang w:val="sr-Latn-ME" w:eastAsia="sr-Latn-ME"/>
              </w:rPr>
              <w:t xml:space="preserve"> kao i za promovisanje struke</w:t>
            </w:r>
            <w:r w:rsidR="00E7001A">
              <w:rPr>
                <w:rFonts w:ascii="Garamond" w:eastAsia="Times New Roman" w:hAnsi="Garamond" w:cs="Calibri"/>
                <w:sz w:val="22"/>
                <w:szCs w:val="22"/>
                <w:lang w:val="sr-Latn-ME" w:eastAsia="sr-Latn-ME"/>
              </w:rPr>
              <w:t xml:space="preserve"> vaspitača</w:t>
            </w:r>
          </w:p>
        </w:tc>
        <w:tc>
          <w:tcPr>
            <w:tcW w:w="2424" w:type="dxa"/>
            <w:gridSpan w:val="2"/>
            <w:shd w:val="clear" w:color="auto" w:fill="auto"/>
            <w:vAlign w:val="center"/>
            <w:hideMark/>
          </w:tcPr>
          <w:p w14:paraId="59034448"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opisom kampanje, materijalima i analizom efekata kampanje je usvojen</w:t>
            </w:r>
          </w:p>
        </w:tc>
        <w:tc>
          <w:tcPr>
            <w:tcW w:w="1134" w:type="dxa"/>
            <w:shd w:val="clear" w:color="auto" w:fill="auto"/>
            <w:vAlign w:val="center"/>
            <w:hideMark/>
          </w:tcPr>
          <w:p w14:paraId="6D5F6C00"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Ne</w:t>
            </w:r>
          </w:p>
        </w:tc>
        <w:tc>
          <w:tcPr>
            <w:tcW w:w="1134" w:type="dxa"/>
            <w:shd w:val="clear" w:color="auto" w:fill="auto"/>
            <w:vAlign w:val="center"/>
            <w:hideMark/>
          </w:tcPr>
          <w:p w14:paraId="00BF20C8"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shd w:val="clear" w:color="auto" w:fill="auto"/>
            <w:vAlign w:val="center"/>
            <w:hideMark/>
          </w:tcPr>
          <w:p w14:paraId="3F5957F9" w14:textId="77777777" w:rsidR="00B5024A" w:rsidRPr="00B35962" w:rsidRDefault="00B5024A" w:rsidP="006E75EF">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2022-202</w:t>
            </w:r>
            <w:r w:rsidR="006E75EF" w:rsidRPr="00B35962">
              <w:rPr>
                <w:rFonts w:ascii="Garamond" w:eastAsia="Times New Roman" w:hAnsi="Garamond" w:cs="Calibri"/>
                <w:sz w:val="22"/>
                <w:szCs w:val="22"/>
                <w:lang w:val="sr-Latn-ME" w:eastAsia="sr-Latn-ME"/>
              </w:rPr>
              <w:t>5</w:t>
            </w:r>
          </w:p>
        </w:tc>
        <w:tc>
          <w:tcPr>
            <w:tcW w:w="1030" w:type="dxa"/>
            <w:shd w:val="clear" w:color="auto" w:fill="auto"/>
            <w:vAlign w:val="center"/>
            <w:hideMark/>
          </w:tcPr>
          <w:p w14:paraId="6190B197" w14:textId="77777777" w:rsidR="004F4934" w:rsidRPr="00B35962" w:rsidRDefault="00CD3D3E" w:rsidP="00CD3D3E">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p>
          <w:p w14:paraId="06F9D3C3" w14:textId="77777777" w:rsidR="00B5024A" w:rsidRPr="00B35962" w:rsidRDefault="004F4934" w:rsidP="00CD3D3E">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i redovna sredstva</w:t>
            </w:r>
            <w:r w:rsidR="00B5024A" w:rsidRPr="00B35962">
              <w:rPr>
                <w:rFonts w:ascii="Garamond" w:eastAsia="Times New Roman" w:hAnsi="Garamond" w:cs="Calibri"/>
                <w:sz w:val="22"/>
                <w:szCs w:val="22"/>
                <w:lang w:val="sr-Latn-ME" w:eastAsia="sr-Latn-ME"/>
              </w:rPr>
              <w:t> </w:t>
            </w:r>
          </w:p>
        </w:tc>
        <w:tc>
          <w:tcPr>
            <w:tcW w:w="1080" w:type="dxa"/>
            <w:shd w:val="clear" w:color="auto" w:fill="auto"/>
            <w:vAlign w:val="center"/>
            <w:hideMark/>
          </w:tcPr>
          <w:p w14:paraId="393D9484" w14:textId="19EE1027" w:rsidR="00B5024A" w:rsidRPr="00B35962" w:rsidRDefault="005F3185"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p>
        </w:tc>
        <w:tc>
          <w:tcPr>
            <w:tcW w:w="1155" w:type="dxa"/>
            <w:gridSpan w:val="2"/>
            <w:shd w:val="clear" w:color="auto" w:fill="auto"/>
            <w:vAlign w:val="center"/>
            <w:hideMark/>
          </w:tcPr>
          <w:p w14:paraId="0A775A08" w14:textId="77777777" w:rsidR="00B5024A" w:rsidRPr="00B35962" w:rsidRDefault="007310C4" w:rsidP="007310C4">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mediji,</w:t>
            </w:r>
            <w:r w:rsidR="003930D0" w:rsidRPr="00B35962">
              <w:rPr>
                <w:rFonts w:ascii="Garamond" w:eastAsia="Times New Roman" w:hAnsi="Garamond" w:cs="Calibri"/>
                <w:sz w:val="22"/>
                <w:szCs w:val="22"/>
                <w:lang w:val="sr-Latn-ME" w:eastAsia="sr-Latn-ME"/>
              </w:rPr>
              <w:t xml:space="preserve"> </w:t>
            </w:r>
            <w:r w:rsidRPr="00B35962">
              <w:rPr>
                <w:rFonts w:ascii="Garamond" w:eastAsia="Times New Roman" w:hAnsi="Garamond" w:cs="Calibri"/>
                <w:sz w:val="22"/>
                <w:szCs w:val="22"/>
                <w:lang w:val="sr-Latn-ME" w:eastAsia="sr-Latn-ME"/>
              </w:rPr>
              <w:t>donatori </w:t>
            </w:r>
            <w:r w:rsidR="00B5024A" w:rsidRPr="00B35962">
              <w:rPr>
                <w:rFonts w:ascii="Garamond" w:eastAsia="Times New Roman" w:hAnsi="Garamond" w:cs="Calibri"/>
                <w:sz w:val="22"/>
                <w:szCs w:val="22"/>
                <w:lang w:val="sr-Latn-ME" w:eastAsia="sr-Latn-ME"/>
              </w:rPr>
              <w:t> </w:t>
            </w:r>
          </w:p>
        </w:tc>
      </w:tr>
      <w:tr w:rsidR="00B5024A" w:rsidRPr="00B35962" w14:paraId="368CA0BB" w14:textId="77777777" w:rsidTr="00CE4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3755" w:type="dxa"/>
            <w:gridSpan w:val="12"/>
            <w:tcBorders>
              <w:top w:val="single" w:sz="8" w:space="0" w:color="auto"/>
              <w:left w:val="single" w:sz="8" w:space="0" w:color="auto"/>
              <w:bottom w:val="single" w:sz="8" w:space="0" w:color="auto"/>
              <w:right w:val="single" w:sz="8" w:space="0" w:color="000000"/>
            </w:tcBorders>
            <w:shd w:val="clear" w:color="000000" w:fill="B4C6E7"/>
            <w:vAlign w:val="center"/>
            <w:hideMark/>
          </w:tcPr>
          <w:p w14:paraId="7C00676C" w14:textId="7BA50B57" w:rsidR="00B5024A" w:rsidRPr="00B35962" w:rsidRDefault="00C35352" w:rsidP="00B5024A">
            <w:pPr>
              <w:spacing w:line="240" w:lineRule="auto"/>
              <w:ind w:firstLine="0"/>
              <w:jc w:val="left"/>
              <w:rPr>
                <w:rFonts w:ascii="Garamond" w:eastAsia="Times New Roman" w:hAnsi="Garamond" w:cs="Calibri"/>
                <w:b/>
                <w:bCs/>
                <w:sz w:val="22"/>
                <w:szCs w:val="22"/>
                <w:lang w:val="sr-Latn-ME" w:eastAsia="sr-Latn-ME"/>
              </w:rPr>
            </w:pPr>
            <w:r w:rsidRPr="00B35962">
              <w:rPr>
                <w:lang w:val="sr-Latn-ME"/>
              </w:rPr>
              <w:br w:type="page"/>
            </w:r>
            <w:r w:rsidR="00D131EB" w:rsidRPr="00B35962">
              <w:rPr>
                <w:lang w:val="sr-Latn-ME"/>
              </w:rPr>
              <w:t>O</w:t>
            </w:r>
            <w:r w:rsidR="000A1516" w:rsidRPr="00B35962">
              <w:rPr>
                <w:lang w:val="sr-Latn-ME"/>
              </w:rPr>
              <w:t xml:space="preserve">perativni </w:t>
            </w:r>
            <w:r w:rsidR="00B5024A" w:rsidRPr="00B35962">
              <w:rPr>
                <w:rFonts w:ascii="Garamond" w:eastAsia="Times New Roman" w:hAnsi="Garamond" w:cs="Calibri"/>
                <w:b/>
                <w:bCs/>
                <w:sz w:val="22"/>
                <w:szCs w:val="22"/>
                <w:lang w:val="sr-Latn-ME" w:eastAsia="sr-Latn-ME"/>
              </w:rPr>
              <w:t xml:space="preserve"> cilj 2: Unapređenje i </w:t>
            </w:r>
            <w:r w:rsidR="00F23D87" w:rsidRPr="00B35962">
              <w:rPr>
                <w:rFonts w:ascii="Garamond" w:eastAsia="Times New Roman" w:hAnsi="Garamond" w:cs="Calibri"/>
                <w:b/>
                <w:bCs/>
                <w:sz w:val="22"/>
                <w:szCs w:val="22"/>
                <w:lang w:val="sr-Latn-ME" w:eastAsia="sr-Latn-ME"/>
              </w:rPr>
              <w:t>obezbjeđivanje</w:t>
            </w:r>
            <w:r w:rsidR="00B5024A" w:rsidRPr="00B35962">
              <w:rPr>
                <w:rFonts w:ascii="Garamond" w:eastAsia="Times New Roman" w:hAnsi="Garamond" w:cs="Calibri"/>
                <w:b/>
                <w:bCs/>
                <w:sz w:val="22"/>
                <w:szCs w:val="22"/>
                <w:lang w:val="sr-Latn-ME" w:eastAsia="sr-Latn-ME"/>
              </w:rPr>
              <w:t xml:space="preserve"> kvaliteta PVO</w:t>
            </w:r>
          </w:p>
        </w:tc>
      </w:tr>
      <w:tr w:rsidR="00B5024A" w:rsidRPr="00B35962" w14:paraId="10EC1D80" w14:textId="77777777" w:rsidTr="00CE4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3755" w:type="dxa"/>
            <w:gridSpan w:val="12"/>
            <w:tcBorders>
              <w:top w:val="single" w:sz="8" w:space="0" w:color="auto"/>
              <w:left w:val="single" w:sz="8" w:space="0" w:color="auto"/>
              <w:bottom w:val="single" w:sz="8" w:space="0" w:color="auto"/>
              <w:right w:val="single" w:sz="8" w:space="0" w:color="000000"/>
            </w:tcBorders>
            <w:shd w:val="clear" w:color="000000" w:fill="B4C6E7"/>
            <w:vAlign w:val="center"/>
            <w:hideMark/>
          </w:tcPr>
          <w:p w14:paraId="4BFF0192" w14:textId="49363C3E" w:rsidR="00B5024A" w:rsidRPr="00B35962" w:rsidRDefault="00B5024A" w:rsidP="00D649A5">
            <w:pPr>
              <w:spacing w:line="240" w:lineRule="auto"/>
              <w:ind w:firstLine="0"/>
              <w:jc w:val="lef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Ishod: Unaprijediti kvalitet predškolskog vaspitanja i obrazovanja i razviti sistem za </w:t>
            </w:r>
            <w:r w:rsidR="00F23D87" w:rsidRPr="00B35962">
              <w:rPr>
                <w:rFonts w:ascii="Garamond" w:eastAsia="Times New Roman" w:hAnsi="Garamond" w:cs="Calibri"/>
                <w:sz w:val="22"/>
                <w:szCs w:val="22"/>
                <w:lang w:val="sr-Latn-ME" w:eastAsia="sr-Latn-ME"/>
              </w:rPr>
              <w:t>obezbjeđivanje</w:t>
            </w:r>
            <w:r w:rsidRPr="00B35962">
              <w:rPr>
                <w:rFonts w:ascii="Garamond" w:eastAsia="Times New Roman" w:hAnsi="Garamond" w:cs="Calibri"/>
                <w:sz w:val="22"/>
                <w:szCs w:val="22"/>
                <w:lang w:val="sr-Latn-ME" w:eastAsia="sr-Latn-ME"/>
              </w:rPr>
              <w:t xml:space="preserve"> kvaliteta u skladu sa EU okvirom za visokokvalitetno PVO do 202</w:t>
            </w:r>
            <w:r w:rsidR="00D649A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 godine</w:t>
            </w:r>
          </w:p>
        </w:tc>
      </w:tr>
      <w:tr w:rsidR="00B5024A" w:rsidRPr="00B35962" w14:paraId="71546F55" w14:textId="77777777" w:rsidTr="00CE4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3755" w:type="dxa"/>
            <w:gridSpan w:val="12"/>
            <w:tcBorders>
              <w:top w:val="single" w:sz="8" w:space="0" w:color="auto"/>
              <w:left w:val="single" w:sz="8" w:space="0" w:color="auto"/>
              <w:bottom w:val="single" w:sz="8" w:space="0" w:color="auto"/>
              <w:right w:val="single" w:sz="8" w:space="0" w:color="000000"/>
            </w:tcBorders>
            <w:shd w:val="clear" w:color="000000" w:fill="B4C6E7"/>
            <w:vAlign w:val="center"/>
            <w:hideMark/>
          </w:tcPr>
          <w:p w14:paraId="4D347AB6" w14:textId="2A27D050" w:rsidR="00B5024A" w:rsidRPr="00B35962" w:rsidRDefault="00B5024A" w:rsidP="00AB1025">
            <w:pPr>
              <w:spacing w:line="240" w:lineRule="auto"/>
              <w:ind w:firstLine="0"/>
              <w:jc w:val="lef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Indikator 2.1 Broj javnih PU u kojima je prosječna veličina vaspitnih grupa do 26 djece po vaspitnoj grupi (MONSTAT) - 10 (2020) 14 (2022) 18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br/>
              <w:t>Indikator 2.2 Novi plan i program PVO i novi model profesionalnog usavršavanja su usaglašeni sa EU okvirom (MP) - Ne (2020) Ne (2022) Da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w:t>
            </w:r>
          </w:p>
        </w:tc>
      </w:tr>
      <w:tr w:rsidR="00B5024A" w:rsidRPr="00B35962" w14:paraId="3FEDFEB5" w14:textId="77777777" w:rsidTr="00CE4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3536" w:type="dxa"/>
            <w:gridSpan w:val="2"/>
            <w:tcBorders>
              <w:top w:val="nil"/>
              <w:left w:val="single" w:sz="8" w:space="0" w:color="auto"/>
              <w:bottom w:val="single" w:sz="8" w:space="0" w:color="auto"/>
              <w:right w:val="single" w:sz="8" w:space="0" w:color="auto"/>
            </w:tcBorders>
            <w:shd w:val="clear" w:color="000000" w:fill="D9E2F3"/>
            <w:vAlign w:val="center"/>
            <w:hideMark/>
          </w:tcPr>
          <w:p w14:paraId="4F3FFA34" w14:textId="34A43BC2" w:rsidR="00B5024A" w:rsidRPr="00B35962" w:rsidRDefault="00D131EB"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Ključno mjerilo</w:t>
            </w:r>
          </w:p>
        </w:tc>
        <w:tc>
          <w:tcPr>
            <w:tcW w:w="2125" w:type="dxa"/>
            <w:gridSpan w:val="2"/>
            <w:tcBorders>
              <w:top w:val="nil"/>
              <w:left w:val="nil"/>
              <w:bottom w:val="nil"/>
              <w:right w:val="single" w:sz="8" w:space="0" w:color="auto"/>
            </w:tcBorders>
            <w:shd w:val="clear" w:color="000000" w:fill="D9E2F3"/>
            <w:vAlign w:val="center"/>
            <w:hideMark/>
          </w:tcPr>
          <w:p w14:paraId="646E6D23" w14:textId="77777777" w:rsidR="00B5024A" w:rsidRPr="00B35962" w:rsidRDefault="00B5024A" w:rsidP="00B5024A">
            <w:pPr>
              <w:spacing w:line="240" w:lineRule="auto"/>
              <w:ind w:firstLine="0"/>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Aktivnosti</w:t>
            </w:r>
          </w:p>
        </w:tc>
        <w:tc>
          <w:tcPr>
            <w:tcW w:w="1852" w:type="dxa"/>
            <w:tcBorders>
              <w:top w:val="nil"/>
              <w:left w:val="nil"/>
              <w:bottom w:val="nil"/>
              <w:right w:val="single" w:sz="8" w:space="0" w:color="auto"/>
            </w:tcBorders>
            <w:shd w:val="clear" w:color="000000" w:fill="D9E2F3"/>
            <w:vAlign w:val="center"/>
            <w:hideMark/>
          </w:tcPr>
          <w:p w14:paraId="7B5DC628" w14:textId="77777777" w:rsidR="00B5024A" w:rsidRPr="00B35962" w:rsidRDefault="00B5024A" w:rsidP="00B5024A">
            <w:pPr>
              <w:spacing w:line="240" w:lineRule="auto"/>
              <w:ind w:firstLine="0"/>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Indikator/i</w:t>
            </w:r>
          </w:p>
        </w:tc>
        <w:tc>
          <w:tcPr>
            <w:tcW w:w="1134" w:type="dxa"/>
            <w:tcBorders>
              <w:top w:val="nil"/>
              <w:left w:val="nil"/>
              <w:bottom w:val="nil"/>
              <w:right w:val="single" w:sz="8" w:space="0" w:color="auto"/>
            </w:tcBorders>
            <w:shd w:val="clear" w:color="000000" w:fill="D9E2F3"/>
            <w:vAlign w:val="center"/>
            <w:hideMark/>
          </w:tcPr>
          <w:p w14:paraId="5787E2B1"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Očekivani rezultat 2022</w:t>
            </w:r>
          </w:p>
        </w:tc>
        <w:tc>
          <w:tcPr>
            <w:tcW w:w="1134" w:type="dxa"/>
            <w:tcBorders>
              <w:top w:val="nil"/>
              <w:left w:val="nil"/>
              <w:bottom w:val="nil"/>
              <w:right w:val="single" w:sz="8" w:space="0" w:color="auto"/>
            </w:tcBorders>
            <w:shd w:val="clear" w:color="000000" w:fill="D9E2F3"/>
            <w:vAlign w:val="center"/>
            <w:hideMark/>
          </w:tcPr>
          <w:p w14:paraId="13108B60" w14:textId="57C8DA7A" w:rsidR="00B5024A" w:rsidRPr="00B35962" w:rsidRDefault="00B5024A" w:rsidP="00D649A5">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Očekivani rezultat 202</w:t>
            </w:r>
            <w:r w:rsidR="00D649A5" w:rsidRPr="00B35962">
              <w:rPr>
                <w:rFonts w:ascii="Garamond" w:eastAsia="Times New Roman" w:hAnsi="Garamond" w:cs="Calibri"/>
                <w:b/>
                <w:bCs/>
                <w:sz w:val="22"/>
                <w:szCs w:val="22"/>
                <w:lang w:val="sr-Latn-ME" w:eastAsia="sr-Latn-ME"/>
              </w:rPr>
              <w:t>5</w:t>
            </w:r>
            <w:r w:rsidRPr="00B35962">
              <w:rPr>
                <w:rFonts w:ascii="Garamond" w:eastAsia="Times New Roman" w:hAnsi="Garamond" w:cs="Calibri"/>
                <w:b/>
                <w:bCs/>
                <w:sz w:val="22"/>
                <w:szCs w:val="22"/>
                <w:lang w:val="sr-Latn-ME" w:eastAsia="sr-Latn-ME"/>
              </w:rPr>
              <w:t>.</w:t>
            </w:r>
          </w:p>
        </w:tc>
        <w:tc>
          <w:tcPr>
            <w:tcW w:w="709" w:type="dxa"/>
            <w:tcBorders>
              <w:top w:val="nil"/>
              <w:left w:val="nil"/>
              <w:bottom w:val="nil"/>
              <w:right w:val="single" w:sz="8" w:space="0" w:color="auto"/>
            </w:tcBorders>
            <w:shd w:val="clear" w:color="000000" w:fill="D9E2F3"/>
            <w:vAlign w:val="center"/>
            <w:hideMark/>
          </w:tcPr>
          <w:p w14:paraId="7CBFAB00"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Period</w:t>
            </w:r>
          </w:p>
        </w:tc>
        <w:tc>
          <w:tcPr>
            <w:tcW w:w="1030" w:type="dxa"/>
            <w:tcBorders>
              <w:top w:val="nil"/>
              <w:left w:val="nil"/>
              <w:bottom w:val="nil"/>
              <w:right w:val="single" w:sz="8" w:space="0" w:color="auto"/>
            </w:tcBorders>
            <w:shd w:val="clear" w:color="000000" w:fill="D9E2F3"/>
            <w:vAlign w:val="center"/>
            <w:hideMark/>
          </w:tcPr>
          <w:p w14:paraId="601029FE"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Potrebni resursi u €/izvor finansiranja</w:t>
            </w:r>
          </w:p>
        </w:tc>
        <w:tc>
          <w:tcPr>
            <w:tcW w:w="1096" w:type="dxa"/>
            <w:gridSpan w:val="2"/>
            <w:tcBorders>
              <w:top w:val="nil"/>
              <w:left w:val="nil"/>
              <w:bottom w:val="nil"/>
              <w:right w:val="single" w:sz="8" w:space="0" w:color="auto"/>
            </w:tcBorders>
            <w:shd w:val="clear" w:color="000000" w:fill="D9E2F3"/>
            <w:vAlign w:val="center"/>
            <w:hideMark/>
          </w:tcPr>
          <w:p w14:paraId="6727CD03" w14:textId="77777777" w:rsidR="00B5024A" w:rsidRPr="00B35962" w:rsidRDefault="00B5024A" w:rsidP="00B5024A">
            <w:pPr>
              <w:spacing w:line="240" w:lineRule="auto"/>
              <w:ind w:firstLine="0"/>
              <w:jc w:val="right"/>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Nosioci aktivnost</w:t>
            </w:r>
          </w:p>
        </w:tc>
        <w:tc>
          <w:tcPr>
            <w:tcW w:w="1139" w:type="dxa"/>
            <w:tcBorders>
              <w:top w:val="nil"/>
              <w:left w:val="nil"/>
              <w:bottom w:val="nil"/>
              <w:right w:val="single" w:sz="8" w:space="0" w:color="auto"/>
            </w:tcBorders>
            <w:shd w:val="clear" w:color="000000" w:fill="D9E2F3"/>
            <w:vAlign w:val="center"/>
            <w:hideMark/>
          </w:tcPr>
          <w:p w14:paraId="7CF0E0D3" w14:textId="77777777" w:rsidR="00B5024A" w:rsidRPr="00B35962" w:rsidRDefault="00B5024A" w:rsidP="00B5024A">
            <w:pPr>
              <w:spacing w:line="240" w:lineRule="auto"/>
              <w:ind w:firstLine="0"/>
              <w:jc w:val="right"/>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 xml:space="preserve">Partneri </w:t>
            </w:r>
          </w:p>
        </w:tc>
      </w:tr>
      <w:tr w:rsidR="00B5024A" w:rsidRPr="00B35962" w14:paraId="47284428" w14:textId="77777777" w:rsidTr="00CE4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3536" w:type="dxa"/>
            <w:gridSpan w:val="2"/>
            <w:vMerge w:val="restart"/>
            <w:tcBorders>
              <w:top w:val="nil"/>
              <w:left w:val="single" w:sz="8" w:space="0" w:color="auto"/>
              <w:bottom w:val="single" w:sz="8" w:space="0" w:color="000000"/>
              <w:right w:val="single" w:sz="8" w:space="0" w:color="auto"/>
            </w:tcBorders>
            <w:shd w:val="clear" w:color="000000" w:fill="D9E2F3"/>
            <w:textDirection w:val="btLr"/>
            <w:vAlign w:val="center"/>
            <w:hideMark/>
          </w:tcPr>
          <w:p w14:paraId="28512991" w14:textId="0FF520EA" w:rsidR="00B5024A" w:rsidRPr="00B35962" w:rsidRDefault="00D131EB"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B5024A" w:rsidRPr="00B35962">
              <w:rPr>
                <w:rFonts w:ascii="Garamond" w:eastAsia="Times New Roman" w:hAnsi="Garamond" w:cs="Calibri"/>
                <w:b/>
                <w:bCs/>
                <w:sz w:val="22"/>
                <w:szCs w:val="22"/>
                <w:lang w:val="sr-Latn-ME" w:eastAsia="sr-Latn-ME"/>
              </w:rPr>
              <w:t>2.1: Smanjivanje veličine vaspitinih grupa</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sz w:val="22"/>
                <w:szCs w:val="22"/>
                <w:lang w:val="sr-Latn-ME" w:eastAsia="sr-Latn-ME"/>
              </w:rPr>
              <w:t>Indikator 2.1.1 Prosječna veličina vaspitnih grupa (MONSTAT) - 32 (2020)       30 (2022)       26 (202</w:t>
            </w:r>
            <w:r w:rsidR="00AB1025" w:rsidRPr="00B35962">
              <w:rPr>
                <w:rFonts w:ascii="Garamond" w:eastAsia="Times New Roman" w:hAnsi="Garamond" w:cs="Calibri"/>
                <w:sz w:val="22"/>
                <w:szCs w:val="22"/>
                <w:lang w:val="sr-Latn-ME" w:eastAsia="sr-Latn-ME"/>
              </w:rPr>
              <w:t>5</w:t>
            </w:r>
            <w:r w:rsidR="00B5024A" w:rsidRPr="00B35962">
              <w:rPr>
                <w:rFonts w:ascii="Garamond" w:eastAsia="Times New Roman" w:hAnsi="Garamond" w:cs="Calibri"/>
                <w:sz w:val="22"/>
                <w:szCs w:val="22"/>
                <w:lang w:val="sr-Latn-ME" w:eastAsia="sr-Latn-ME"/>
              </w:rPr>
              <w:t>)</w:t>
            </w:r>
          </w:p>
        </w:tc>
        <w:tc>
          <w:tcPr>
            <w:tcW w:w="2125" w:type="dxa"/>
            <w:gridSpan w:val="2"/>
            <w:tcBorders>
              <w:top w:val="single" w:sz="8" w:space="0" w:color="auto"/>
              <w:left w:val="nil"/>
              <w:bottom w:val="single" w:sz="4" w:space="0" w:color="auto"/>
              <w:right w:val="single" w:sz="4" w:space="0" w:color="auto"/>
            </w:tcBorders>
            <w:shd w:val="clear" w:color="auto" w:fill="auto"/>
            <w:vAlign w:val="center"/>
            <w:hideMark/>
          </w:tcPr>
          <w:p w14:paraId="4CB461E9" w14:textId="77777777" w:rsidR="00B5024A" w:rsidRPr="00B35962" w:rsidRDefault="00B73336" w:rsidP="00054285">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2.1.1 Analiza stanja u PU</w:t>
            </w:r>
            <w:r w:rsidR="00B5024A" w:rsidRPr="00B35962">
              <w:rPr>
                <w:rFonts w:ascii="Garamond" w:eastAsia="Times New Roman" w:hAnsi="Garamond" w:cs="Calibri"/>
                <w:sz w:val="22"/>
                <w:szCs w:val="22"/>
                <w:lang w:val="sr-Latn-ME" w:eastAsia="sr-Latn-ME"/>
              </w:rPr>
              <w:t xml:space="preserve"> i izrada plana za smanjivanje veličine vaspitnih grupa </w:t>
            </w:r>
          </w:p>
        </w:tc>
        <w:tc>
          <w:tcPr>
            <w:tcW w:w="1852" w:type="dxa"/>
            <w:tcBorders>
              <w:top w:val="single" w:sz="8" w:space="0" w:color="auto"/>
              <w:left w:val="nil"/>
              <w:bottom w:val="single" w:sz="4" w:space="0" w:color="auto"/>
              <w:right w:val="single" w:sz="4" w:space="0" w:color="auto"/>
            </w:tcBorders>
            <w:shd w:val="clear" w:color="auto" w:fill="auto"/>
            <w:vAlign w:val="center"/>
            <w:hideMark/>
          </w:tcPr>
          <w:p w14:paraId="3F1D175D" w14:textId="77777777" w:rsidR="00B5024A" w:rsidRPr="00B35962" w:rsidRDefault="00B5024A" w:rsidP="00B7333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Dokument sa analizom stanja, planom za smanjivanje vaspitnih grupa i potrebnim kapacitetima i resursima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A161DF4" w14:textId="77777777" w:rsidR="00B5024A" w:rsidRPr="00B35962" w:rsidRDefault="00F24323" w:rsidP="00B73336">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izrađeno </w:t>
            </w:r>
            <w:r w:rsidR="00B73336" w:rsidRPr="00B35962">
              <w:rPr>
                <w:rFonts w:ascii="Garamond" w:eastAsia="Times New Roman" w:hAnsi="Garamond" w:cs="Calibri"/>
                <w:sz w:val="22"/>
                <w:szCs w:val="22"/>
                <w:lang w:val="sr-Latn-ME" w:eastAsia="sr-Latn-ME"/>
              </w:rPr>
              <w:t>6</w:t>
            </w:r>
            <w:r w:rsidR="00B5024A" w:rsidRPr="00B35962">
              <w:rPr>
                <w:rFonts w:ascii="Garamond" w:eastAsia="Times New Roman" w:hAnsi="Garamond" w:cs="Calibri"/>
                <w:sz w:val="22"/>
                <w:szCs w:val="22"/>
                <w:lang w:val="sr-Latn-ME" w:eastAsia="sr-Latn-ME"/>
              </w:rPr>
              <w:t xml:space="preserve"> dokumenata</w:t>
            </w:r>
            <w:r w:rsidR="001051D0" w:rsidRPr="00B35962">
              <w:rPr>
                <w:rFonts w:ascii="Garamond" w:eastAsia="Times New Roman" w:hAnsi="Garamond" w:cs="Calibri"/>
                <w:sz w:val="22"/>
                <w:szCs w:val="22"/>
                <w:lang w:val="sr-Latn-ME" w:eastAsia="sr-Latn-ME"/>
              </w:rPr>
              <w:t xml:space="preserve">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1D880B4F" w14:textId="77777777" w:rsidR="00B5024A" w:rsidRPr="00B35962" w:rsidRDefault="00F24323" w:rsidP="00F24323">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izrađeno 12</w:t>
            </w:r>
            <w:r w:rsidR="00B5024A" w:rsidRPr="00B35962">
              <w:rPr>
                <w:rFonts w:ascii="Garamond" w:eastAsia="Times New Roman" w:hAnsi="Garamond" w:cs="Calibri"/>
                <w:sz w:val="22"/>
                <w:szCs w:val="22"/>
                <w:lang w:val="sr-Latn-ME" w:eastAsia="sr-Latn-ME"/>
              </w:rPr>
              <w:t xml:space="preserve"> dokumenata</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07269E3C" w14:textId="77777777" w:rsidR="00B5024A" w:rsidRPr="00B35962" w:rsidRDefault="00B73336"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2024</w:t>
            </w:r>
          </w:p>
        </w:tc>
        <w:tc>
          <w:tcPr>
            <w:tcW w:w="1030" w:type="dxa"/>
            <w:tcBorders>
              <w:top w:val="single" w:sz="8" w:space="0" w:color="auto"/>
              <w:left w:val="nil"/>
              <w:bottom w:val="single" w:sz="4" w:space="0" w:color="auto"/>
              <w:right w:val="single" w:sz="4" w:space="0" w:color="auto"/>
            </w:tcBorders>
            <w:shd w:val="clear" w:color="auto" w:fill="auto"/>
            <w:vAlign w:val="center"/>
            <w:hideMark/>
          </w:tcPr>
          <w:p w14:paraId="6F9110AD" w14:textId="77777777" w:rsidR="004F4934"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2B39B57C" w14:textId="77777777" w:rsidR="00B5024A"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w:t>
            </w:r>
            <w:r w:rsidR="00B5024A" w:rsidRPr="00B35962">
              <w:rPr>
                <w:rFonts w:ascii="Garamond" w:eastAsia="Times New Roman" w:hAnsi="Garamond" w:cs="Calibri"/>
                <w:sz w:val="22"/>
                <w:szCs w:val="22"/>
                <w:lang w:val="sr-Latn-ME" w:eastAsia="sr-Latn-ME"/>
              </w:rPr>
              <w:t> </w:t>
            </w:r>
          </w:p>
        </w:tc>
        <w:tc>
          <w:tcPr>
            <w:tcW w:w="1096" w:type="dxa"/>
            <w:gridSpan w:val="2"/>
            <w:tcBorders>
              <w:top w:val="single" w:sz="8" w:space="0" w:color="auto"/>
              <w:left w:val="nil"/>
              <w:bottom w:val="single" w:sz="4" w:space="0" w:color="auto"/>
              <w:right w:val="single" w:sz="4" w:space="0" w:color="auto"/>
            </w:tcBorders>
            <w:shd w:val="clear" w:color="000000" w:fill="FFFFFF"/>
            <w:vAlign w:val="center"/>
            <w:hideMark/>
          </w:tcPr>
          <w:p w14:paraId="5FF41A9B" w14:textId="28011008" w:rsidR="00B5024A" w:rsidRPr="00B35962" w:rsidRDefault="00180D87" w:rsidP="001E4AB6">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B316BF">
              <w:rPr>
                <w:rFonts w:ascii="Garamond" w:eastAsia="Times New Roman" w:hAnsi="Garamond" w:cs="Calibri"/>
                <w:sz w:val="22"/>
                <w:szCs w:val="22"/>
                <w:lang w:val="sr-Latn-ME" w:eastAsia="sr-Latn-ME"/>
              </w:rPr>
              <w:t>NKS</w:t>
            </w:r>
            <w:r w:rsidRPr="00B35962">
              <w:rPr>
                <w:rFonts w:ascii="Garamond" w:eastAsia="Times New Roman" w:hAnsi="Garamond" w:cs="Calibri"/>
                <w:sz w:val="22"/>
                <w:szCs w:val="22"/>
                <w:lang w:val="sr-Latn-ME" w:eastAsia="sr-Latn-ME"/>
              </w:rPr>
              <w:t xml:space="preserve">, </w:t>
            </w:r>
            <w:r w:rsidR="001E4AB6" w:rsidRPr="00B35962">
              <w:rPr>
                <w:rFonts w:ascii="Garamond" w:eastAsia="Times New Roman" w:hAnsi="Garamond" w:cs="Calibri"/>
                <w:sz w:val="22"/>
                <w:szCs w:val="22"/>
                <w:lang w:val="sr-Latn-ME" w:eastAsia="sr-Latn-ME"/>
              </w:rPr>
              <w:t>PU</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32AD8DDE"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w:t>
            </w:r>
          </w:p>
        </w:tc>
      </w:tr>
      <w:tr w:rsidR="00B5024A" w:rsidRPr="00B35962" w14:paraId="5C093756" w14:textId="77777777" w:rsidTr="00CE4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3536" w:type="dxa"/>
            <w:gridSpan w:val="2"/>
            <w:vMerge/>
            <w:tcBorders>
              <w:top w:val="nil"/>
              <w:left w:val="single" w:sz="8" w:space="0" w:color="auto"/>
              <w:bottom w:val="single" w:sz="4" w:space="0" w:color="auto"/>
              <w:right w:val="single" w:sz="8" w:space="0" w:color="auto"/>
            </w:tcBorders>
            <w:vAlign w:val="center"/>
            <w:hideMark/>
          </w:tcPr>
          <w:p w14:paraId="6ECB8972"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5" w:type="dxa"/>
            <w:gridSpan w:val="2"/>
            <w:tcBorders>
              <w:top w:val="nil"/>
              <w:left w:val="nil"/>
              <w:bottom w:val="single" w:sz="4" w:space="0" w:color="auto"/>
              <w:right w:val="single" w:sz="4" w:space="0" w:color="auto"/>
            </w:tcBorders>
            <w:shd w:val="clear" w:color="auto" w:fill="auto"/>
            <w:vAlign w:val="center"/>
            <w:hideMark/>
          </w:tcPr>
          <w:p w14:paraId="1164CF3B" w14:textId="77777777" w:rsidR="00B5024A" w:rsidRPr="00B35962" w:rsidRDefault="00B5024A" w:rsidP="00CD3D3E">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2.1.2 </w:t>
            </w:r>
            <w:r w:rsidR="00CD3D3E" w:rsidRPr="00B35962">
              <w:rPr>
                <w:rFonts w:ascii="Garamond" w:eastAsia="Times New Roman" w:hAnsi="Garamond" w:cs="Calibri"/>
                <w:sz w:val="22"/>
                <w:szCs w:val="22"/>
                <w:lang w:val="sr-Latn-ME" w:eastAsia="sr-Latn-ME"/>
              </w:rPr>
              <w:t>S</w:t>
            </w:r>
            <w:r w:rsidRPr="00B35962">
              <w:rPr>
                <w:rFonts w:ascii="Garamond" w:eastAsia="Times New Roman" w:hAnsi="Garamond" w:cs="Calibri"/>
                <w:sz w:val="22"/>
                <w:szCs w:val="22"/>
                <w:lang w:val="sr-Latn-ME" w:eastAsia="sr-Latn-ME"/>
              </w:rPr>
              <w:t xml:space="preserve">provođenje plana za </w:t>
            </w:r>
            <w:r w:rsidR="00F23D87" w:rsidRPr="00B35962">
              <w:rPr>
                <w:rFonts w:ascii="Garamond" w:eastAsia="Times New Roman" w:hAnsi="Garamond" w:cs="Calibri"/>
                <w:sz w:val="22"/>
                <w:szCs w:val="22"/>
                <w:lang w:val="sr-Latn-ME" w:eastAsia="sr-Latn-ME"/>
              </w:rPr>
              <w:t>obezbjeđivanje</w:t>
            </w:r>
            <w:r w:rsidRPr="00B35962">
              <w:rPr>
                <w:rFonts w:ascii="Garamond" w:eastAsia="Times New Roman" w:hAnsi="Garamond" w:cs="Calibri"/>
                <w:sz w:val="22"/>
                <w:szCs w:val="22"/>
                <w:lang w:val="sr-Latn-ME" w:eastAsia="sr-Latn-ME"/>
              </w:rPr>
              <w:t xml:space="preserve"> kapaciteta i resursa za PU koje imaju prevelike vaspitne grupe</w:t>
            </w:r>
            <w:r w:rsidR="005F0508" w:rsidRPr="00B35962">
              <w:rPr>
                <w:rFonts w:ascii="Garamond" w:eastAsia="Times New Roman" w:hAnsi="Garamond" w:cs="Calibri"/>
                <w:sz w:val="22"/>
                <w:szCs w:val="22"/>
                <w:lang w:val="sr-Latn-ME" w:eastAsia="sr-Latn-ME"/>
              </w:rPr>
              <w:t xml:space="preserve"> uz promovisanje struke</w:t>
            </w:r>
          </w:p>
        </w:tc>
        <w:tc>
          <w:tcPr>
            <w:tcW w:w="1852" w:type="dxa"/>
            <w:tcBorders>
              <w:top w:val="nil"/>
              <w:left w:val="nil"/>
              <w:bottom w:val="single" w:sz="4" w:space="0" w:color="auto"/>
              <w:right w:val="single" w:sz="4" w:space="0" w:color="auto"/>
            </w:tcBorders>
            <w:shd w:val="clear" w:color="auto" w:fill="auto"/>
            <w:vAlign w:val="center"/>
            <w:hideMark/>
          </w:tcPr>
          <w:p w14:paraId="636EC4CD" w14:textId="77777777" w:rsidR="00B5024A" w:rsidRPr="00B35962" w:rsidRDefault="00B5024A" w:rsidP="00876C0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Realizovan plan </w:t>
            </w:r>
            <w:r w:rsidR="00876C06" w:rsidRPr="00B35962">
              <w:rPr>
                <w:rFonts w:ascii="Garamond" w:eastAsia="Times New Roman" w:hAnsi="Garamond" w:cs="Calibri"/>
                <w:sz w:val="22"/>
                <w:szCs w:val="22"/>
                <w:lang w:val="sr-Latn-ME" w:eastAsia="sr-Latn-ME"/>
              </w:rPr>
              <w:t>u cilju smanjivanja veličine grupa</w:t>
            </w:r>
          </w:p>
        </w:tc>
        <w:tc>
          <w:tcPr>
            <w:tcW w:w="1134" w:type="dxa"/>
            <w:tcBorders>
              <w:top w:val="nil"/>
              <w:left w:val="nil"/>
              <w:bottom w:val="single" w:sz="4" w:space="0" w:color="auto"/>
              <w:right w:val="single" w:sz="4" w:space="0" w:color="auto"/>
            </w:tcBorders>
            <w:shd w:val="clear" w:color="auto" w:fill="auto"/>
            <w:vAlign w:val="center"/>
            <w:hideMark/>
          </w:tcPr>
          <w:p w14:paraId="2B80D96C" w14:textId="77777777" w:rsidR="00B5024A" w:rsidRPr="00B35962" w:rsidRDefault="00876C0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6</w:t>
            </w:r>
            <w:r w:rsidR="00B5024A" w:rsidRPr="00B35962">
              <w:rPr>
                <w:rFonts w:ascii="Garamond" w:eastAsia="Times New Roman" w:hAnsi="Garamond" w:cs="Calibri"/>
                <w:sz w:val="22"/>
                <w:szCs w:val="22"/>
                <w:lang w:val="sr-Latn-ME" w:eastAsia="sr-Latn-ME"/>
              </w:rPr>
              <w:t xml:space="preserve"> PU</w:t>
            </w:r>
          </w:p>
        </w:tc>
        <w:tc>
          <w:tcPr>
            <w:tcW w:w="1134" w:type="dxa"/>
            <w:tcBorders>
              <w:top w:val="nil"/>
              <w:left w:val="nil"/>
              <w:bottom w:val="single" w:sz="4" w:space="0" w:color="auto"/>
              <w:right w:val="single" w:sz="4" w:space="0" w:color="auto"/>
            </w:tcBorders>
            <w:shd w:val="clear" w:color="auto" w:fill="auto"/>
            <w:vAlign w:val="center"/>
            <w:hideMark/>
          </w:tcPr>
          <w:p w14:paraId="0921BBC3" w14:textId="77777777" w:rsidR="00B5024A" w:rsidRPr="00B35962" w:rsidRDefault="00876C0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12</w:t>
            </w:r>
            <w:r w:rsidR="00B5024A" w:rsidRPr="00B35962">
              <w:rPr>
                <w:rFonts w:ascii="Garamond" w:eastAsia="Times New Roman" w:hAnsi="Garamond" w:cs="Calibri"/>
                <w:sz w:val="22"/>
                <w:szCs w:val="22"/>
                <w:lang w:val="sr-Latn-ME" w:eastAsia="sr-Latn-ME"/>
              </w:rPr>
              <w:t xml:space="preserve"> PU</w:t>
            </w:r>
          </w:p>
        </w:tc>
        <w:tc>
          <w:tcPr>
            <w:tcW w:w="709" w:type="dxa"/>
            <w:tcBorders>
              <w:top w:val="nil"/>
              <w:left w:val="nil"/>
              <w:bottom w:val="single" w:sz="4" w:space="0" w:color="auto"/>
              <w:right w:val="single" w:sz="4" w:space="0" w:color="auto"/>
            </w:tcBorders>
            <w:shd w:val="clear" w:color="auto" w:fill="auto"/>
            <w:vAlign w:val="center"/>
            <w:hideMark/>
          </w:tcPr>
          <w:p w14:paraId="6E2CCBCE"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2022-2024</w:t>
            </w:r>
          </w:p>
        </w:tc>
        <w:tc>
          <w:tcPr>
            <w:tcW w:w="1030" w:type="dxa"/>
            <w:tcBorders>
              <w:top w:val="nil"/>
              <w:left w:val="nil"/>
              <w:bottom w:val="single" w:sz="4" w:space="0" w:color="auto"/>
              <w:right w:val="single" w:sz="4" w:space="0" w:color="auto"/>
            </w:tcBorders>
            <w:shd w:val="clear" w:color="auto" w:fill="auto"/>
            <w:vAlign w:val="center"/>
            <w:hideMark/>
          </w:tcPr>
          <w:p w14:paraId="47937EDE" w14:textId="77777777" w:rsidR="00B5024A"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redovna aktivnost</w:t>
            </w:r>
          </w:p>
        </w:tc>
        <w:tc>
          <w:tcPr>
            <w:tcW w:w="1096" w:type="dxa"/>
            <w:gridSpan w:val="2"/>
            <w:tcBorders>
              <w:top w:val="nil"/>
              <w:left w:val="nil"/>
              <w:bottom w:val="single" w:sz="4" w:space="0" w:color="auto"/>
              <w:right w:val="single" w:sz="4" w:space="0" w:color="auto"/>
            </w:tcBorders>
            <w:shd w:val="clear" w:color="000000" w:fill="FFFFFF"/>
            <w:vAlign w:val="center"/>
            <w:hideMark/>
          </w:tcPr>
          <w:p w14:paraId="0076ED2F" w14:textId="173DB2FC"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B316BF">
              <w:rPr>
                <w:rFonts w:ascii="Garamond" w:eastAsia="Times New Roman" w:hAnsi="Garamond" w:cs="Calibri"/>
                <w:sz w:val="22"/>
                <w:szCs w:val="22"/>
                <w:lang w:val="sr-Latn-ME" w:eastAsia="sr-Latn-ME"/>
              </w:rPr>
              <w:t>NKS</w:t>
            </w:r>
          </w:p>
        </w:tc>
        <w:tc>
          <w:tcPr>
            <w:tcW w:w="1139" w:type="dxa"/>
            <w:tcBorders>
              <w:top w:val="nil"/>
              <w:left w:val="nil"/>
              <w:bottom w:val="single" w:sz="4" w:space="0" w:color="auto"/>
              <w:right w:val="single" w:sz="8" w:space="0" w:color="auto"/>
            </w:tcBorders>
            <w:shd w:val="clear" w:color="auto" w:fill="auto"/>
            <w:vAlign w:val="center"/>
            <w:hideMark/>
          </w:tcPr>
          <w:p w14:paraId="6D75D214" w14:textId="77777777" w:rsidR="00B5024A" w:rsidRPr="00B35962" w:rsidRDefault="00180D87" w:rsidP="00180D8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LZ, donatori</w:t>
            </w:r>
            <w:r w:rsidR="00B5024A" w:rsidRPr="00B35962">
              <w:rPr>
                <w:rFonts w:ascii="Garamond" w:eastAsia="Times New Roman" w:hAnsi="Garamond" w:cs="Calibri"/>
                <w:sz w:val="22"/>
                <w:szCs w:val="22"/>
                <w:lang w:val="sr-Latn-ME" w:eastAsia="sr-Latn-ME"/>
              </w:rPr>
              <w:t> </w:t>
            </w:r>
          </w:p>
        </w:tc>
      </w:tr>
    </w:tbl>
    <w:p w14:paraId="27A78F49" w14:textId="77777777" w:rsidR="00AB1025" w:rsidRPr="00B35962" w:rsidRDefault="00AB1025">
      <w:pPr>
        <w:rPr>
          <w:lang w:val="sr-Latn-ME"/>
        </w:rPr>
      </w:pPr>
      <w:r w:rsidRPr="00B35962">
        <w:rPr>
          <w:lang w:val="sr-Latn-ME"/>
        </w:rPr>
        <w:br w:type="page"/>
      </w:r>
    </w:p>
    <w:tbl>
      <w:tblPr>
        <w:tblW w:w="13750" w:type="dxa"/>
        <w:tblLayout w:type="fixed"/>
        <w:tblLook w:val="04A0" w:firstRow="1" w:lastRow="0" w:firstColumn="1" w:lastColumn="0" w:noHBand="0" w:noVBand="1"/>
      </w:tblPr>
      <w:tblGrid>
        <w:gridCol w:w="3533"/>
        <w:gridCol w:w="2124"/>
        <w:gridCol w:w="1851"/>
        <w:gridCol w:w="1134"/>
        <w:gridCol w:w="1134"/>
        <w:gridCol w:w="709"/>
        <w:gridCol w:w="992"/>
        <w:gridCol w:w="1134"/>
        <w:gridCol w:w="1139"/>
      </w:tblGrid>
      <w:tr w:rsidR="00B5024A" w:rsidRPr="00B35962" w14:paraId="440EAF25" w14:textId="77777777" w:rsidTr="00AB1025">
        <w:trPr>
          <w:trHeight w:val="1124"/>
        </w:trPr>
        <w:tc>
          <w:tcPr>
            <w:tcW w:w="3533" w:type="dxa"/>
            <w:vMerge w:val="restart"/>
            <w:tcBorders>
              <w:top w:val="single" w:sz="4" w:space="0" w:color="auto"/>
              <w:left w:val="single" w:sz="4" w:space="0" w:color="auto"/>
              <w:bottom w:val="single" w:sz="4" w:space="0" w:color="auto"/>
              <w:right w:val="single" w:sz="4" w:space="0" w:color="auto"/>
            </w:tcBorders>
            <w:shd w:val="clear" w:color="000000" w:fill="D9E2F3"/>
            <w:textDirection w:val="btLr"/>
            <w:vAlign w:val="center"/>
            <w:hideMark/>
          </w:tcPr>
          <w:p w14:paraId="689CBD2D" w14:textId="76CC0785" w:rsidR="00B5024A" w:rsidRPr="00B35962" w:rsidRDefault="00C35352" w:rsidP="00AB1025">
            <w:pPr>
              <w:spacing w:line="240" w:lineRule="auto"/>
              <w:ind w:firstLine="0"/>
              <w:jc w:val="center"/>
              <w:rPr>
                <w:rFonts w:ascii="Garamond" w:eastAsia="Times New Roman" w:hAnsi="Garamond" w:cs="Calibri"/>
                <w:b/>
                <w:bCs/>
                <w:sz w:val="22"/>
                <w:szCs w:val="22"/>
                <w:lang w:val="sr-Latn-ME" w:eastAsia="sr-Latn-ME"/>
              </w:rPr>
            </w:pPr>
            <w:r w:rsidRPr="00B35962">
              <w:rPr>
                <w:lang w:val="sr-Latn-ME"/>
              </w:rPr>
              <w:br w:type="page"/>
            </w:r>
            <w:r w:rsidR="00D131EB" w:rsidRPr="00B35962">
              <w:rPr>
                <w:i/>
                <w:lang w:val="sr-Latn-ME"/>
              </w:rPr>
              <w:t>Ključno mjerilo</w:t>
            </w:r>
            <w:r w:rsidR="00B5024A" w:rsidRPr="00B35962">
              <w:rPr>
                <w:rFonts w:ascii="Garamond" w:eastAsia="Times New Roman" w:hAnsi="Garamond" w:cs="Calibri"/>
                <w:b/>
                <w:bCs/>
                <w:sz w:val="22"/>
                <w:szCs w:val="22"/>
                <w:lang w:val="sr-Latn-ME" w:eastAsia="sr-Latn-ME"/>
              </w:rPr>
              <w:t xml:space="preserve"> 2.2: Razvoj i primjena osavremenjenog Plana i programa PVO</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sz w:val="22"/>
                <w:szCs w:val="22"/>
                <w:lang w:val="sr-Latn-ME" w:eastAsia="sr-Latn-ME"/>
              </w:rPr>
              <w:t>Indikator 2.2.1 Osavremenjeni Plan i program PVO razvijen</w:t>
            </w:r>
            <w:r w:rsidR="00B316BF">
              <w:rPr>
                <w:rFonts w:ascii="Garamond" w:eastAsia="Times New Roman" w:hAnsi="Garamond" w:cs="Calibri"/>
                <w:sz w:val="22"/>
                <w:szCs w:val="22"/>
                <w:lang w:val="sr-Latn-ME" w:eastAsia="sr-Latn-ME"/>
              </w:rPr>
              <w:t xml:space="preserve">, usvojen i primjenjuje se </w:t>
            </w:r>
            <w:r w:rsidR="00B5024A" w:rsidRPr="00B35962">
              <w:rPr>
                <w:rFonts w:ascii="Garamond" w:eastAsia="Times New Roman" w:hAnsi="Garamond" w:cs="Calibri"/>
                <w:sz w:val="22"/>
                <w:szCs w:val="22"/>
                <w:lang w:val="sr-Latn-ME" w:eastAsia="sr-Latn-ME"/>
              </w:rPr>
              <w:t xml:space="preserve"> - Ne (2020)       Ne (2022)       Da (202</w:t>
            </w:r>
            <w:r w:rsidR="00AB1025" w:rsidRPr="00B35962">
              <w:rPr>
                <w:rFonts w:ascii="Garamond" w:eastAsia="Times New Roman" w:hAnsi="Garamond" w:cs="Calibri"/>
                <w:sz w:val="22"/>
                <w:szCs w:val="22"/>
                <w:lang w:val="sr-Latn-ME" w:eastAsia="sr-Latn-ME"/>
              </w:rPr>
              <w:t>5</w:t>
            </w:r>
            <w:r w:rsidR="00B5024A" w:rsidRPr="00B35962">
              <w:rPr>
                <w:rFonts w:ascii="Garamond" w:eastAsia="Times New Roman" w:hAnsi="Garamond" w:cs="Calibri"/>
                <w:sz w:val="22"/>
                <w:szCs w:val="22"/>
                <w:lang w:val="sr-Latn-ME" w:eastAsia="sr-Latn-ME"/>
              </w:rPr>
              <w: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4681"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2.2.1 </w:t>
            </w:r>
            <w:r w:rsidR="001051D0" w:rsidRPr="00B35962">
              <w:rPr>
                <w:rFonts w:ascii="Garamond" w:eastAsia="Times New Roman" w:hAnsi="Garamond" w:cs="Calibri"/>
                <w:sz w:val="22"/>
                <w:szCs w:val="22"/>
                <w:lang w:val="sr-Latn-ME" w:eastAsia="sr-Latn-ME"/>
              </w:rPr>
              <w:t>Izrada</w:t>
            </w:r>
            <w:r w:rsidR="00351906" w:rsidRPr="00B35962">
              <w:rPr>
                <w:rFonts w:ascii="Garamond" w:eastAsia="Times New Roman" w:hAnsi="Garamond" w:cs="Calibri"/>
                <w:sz w:val="22"/>
                <w:szCs w:val="22"/>
                <w:lang w:val="sr-Latn-ME" w:eastAsia="sr-Latn-ME"/>
              </w:rPr>
              <w:t xml:space="preserve"> i usvajanje</w:t>
            </w:r>
            <w:r w:rsidRPr="00B35962">
              <w:rPr>
                <w:rFonts w:ascii="Garamond" w:eastAsia="Times New Roman" w:hAnsi="Garamond" w:cs="Calibri"/>
                <w:sz w:val="22"/>
                <w:szCs w:val="22"/>
                <w:lang w:val="sr-Latn-ME" w:eastAsia="sr-Latn-ME"/>
              </w:rPr>
              <w:t xml:space="preserve"> osavremenjenog javno važećeg plana i programa PVO</w:t>
            </w:r>
            <w:r w:rsidR="00482DEB" w:rsidRPr="00B35962">
              <w:rPr>
                <w:rFonts w:ascii="Garamond" w:eastAsia="Times New Roman" w:hAnsi="Garamond" w:cs="Calibri"/>
                <w:sz w:val="22"/>
                <w:szCs w:val="22"/>
                <w:lang w:val="sr-Latn-ME" w:eastAsia="sr-Latn-ME"/>
              </w:rPr>
              <w:t xml:space="preserve"> koji je usklađen sa standardima pravilne ishrane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B6EE"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Predlog novog javno važećeg plana i programa PVO je usvojen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189CC"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3FEF"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9215"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1CCD" w14:textId="77777777" w:rsidR="00B5024A"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r w:rsidR="00B5024A" w:rsidRPr="00B35962">
              <w:rPr>
                <w:rFonts w:ascii="Garamond" w:eastAsia="Times New Roman" w:hAnsi="Garamond" w:cs="Calibri"/>
                <w:sz w:val="22"/>
                <w:szCs w:val="22"/>
                <w:lang w:val="sr-Latn-ME" w:eastAsia="sr-Latn-ME"/>
              </w:rPr>
              <w:t> </w:t>
            </w:r>
          </w:p>
          <w:p w14:paraId="2343B0FA"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92BC0"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ZzŠ, Nacionalni savjet za obrazovanje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6925" w14:textId="77777777" w:rsidR="00B5024A" w:rsidRPr="00B35962" w:rsidRDefault="00180D87"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IJZCG</w:t>
            </w:r>
            <w:r w:rsidR="00B5024A" w:rsidRPr="00B35962">
              <w:rPr>
                <w:rFonts w:ascii="Garamond" w:eastAsia="Times New Roman" w:hAnsi="Garamond" w:cs="Calibri"/>
                <w:sz w:val="22"/>
                <w:szCs w:val="22"/>
                <w:lang w:val="sr-Latn-ME" w:eastAsia="sr-Latn-ME"/>
              </w:rPr>
              <w:t> </w:t>
            </w:r>
          </w:p>
        </w:tc>
      </w:tr>
      <w:tr w:rsidR="00180D87" w:rsidRPr="00B35962" w14:paraId="63AD7F3E" w14:textId="77777777" w:rsidTr="00AB1025">
        <w:trPr>
          <w:trHeight w:val="1525"/>
        </w:trPr>
        <w:tc>
          <w:tcPr>
            <w:tcW w:w="3533" w:type="dxa"/>
            <w:vMerge/>
            <w:tcBorders>
              <w:top w:val="single" w:sz="4" w:space="0" w:color="auto"/>
              <w:left w:val="single" w:sz="8" w:space="0" w:color="auto"/>
              <w:bottom w:val="single" w:sz="4" w:space="0" w:color="auto"/>
              <w:right w:val="single" w:sz="8" w:space="0" w:color="auto"/>
            </w:tcBorders>
            <w:vAlign w:val="center"/>
            <w:hideMark/>
          </w:tcPr>
          <w:p w14:paraId="0261FE34" w14:textId="77777777" w:rsidR="00180D87" w:rsidRPr="00B35962" w:rsidRDefault="00180D87" w:rsidP="00F24323">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single" w:sz="4" w:space="0" w:color="auto"/>
              <w:left w:val="nil"/>
              <w:right w:val="single" w:sz="4" w:space="0" w:color="auto"/>
            </w:tcBorders>
            <w:shd w:val="clear" w:color="auto" w:fill="auto"/>
            <w:vAlign w:val="center"/>
            <w:hideMark/>
          </w:tcPr>
          <w:p w14:paraId="0461C99E" w14:textId="77777777" w:rsidR="00180D87" w:rsidRPr="00B35962" w:rsidRDefault="00180D87" w:rsidP="00F24323">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2.2.2 Pripreme PU za implementaciju novog plana i programa PVO </w:t>
            </w:r>
            <w:r w:rsidR="00B766C0" w:rsidRPr="00B35962">
              <w:rPr>
                <w:rFonts w:ascii="Garamond" w:eastAsia="Times New Roman" w:hAnsi="Garamond" w:cs="Calibri"/>
                <w:sz w:val="22"/>
                <w:szCs w:val="22"/>
                <w:lang w:val="sr-Latn-ME" w:eastAsia="sr-Latn-ME"/>
              </w:rPr>
              <w:t>- savjetovanja, prezentacije, treninzi i praktično vođenje</w:t>
            </w:r>
          </w:p>
        </w:tc>
        <w:tc>
          <w:tcPr>
            <w:tcW w:w="1851" w:type="dxa"/>
            <w:tcBorders>
              <w:top w:val="single" w:sz="4" w:space="0" w:color="auto"/>
              <w:left w:val="nil"/>
              <w:right w:val="single" w:sz="4" w:space="0" w:color="auto"/>
            </w:tcBorders>
            <w:shd w:val="clear" w:color="auto" w:fill="auto"/>
            <w:vAlign w:val="center"/>
            <w:hideMark/>
          </w:tcPr>
          <w:p w14:paraId="368052C5" w14:textId="77777777" w:rsidR="00180D87" w:rsidRPr="00B35962" w:rsidRDefault="00351906" w:rsidP="00F24323">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Vaspitači osp</w:t>
            </w:r>
            <w:r w:rsidR="00B72021" w:rsidRPr="00B35962">
              <w:rPr>
                <w:rFonts w:ascii="Garamond" w:eastAsia="Times New Roman" w:hAnsi="Garamond" w:cs="Calibri"/>
                <w:sz w:val="22"/>
                <w:szCs w:val="22"/>
                <w:lang w:val="sr-Latn-ME" w:eastAsia="sr-Latn-ME"/>
              </w:rPr>
              <w:t xml:space="preserve">osobljeni za primjenu novog plana i programa </w:t>
            </w:r>
            <w:r w:rsidR="00180D87" w:rsidRPr="00B35962">
              <w:rPr>
                <w:rFonts w:ascii="Garamond" w:eastAsia="Times New Roman" w:hAnsi="Garamond" w:cs="Calibri"/>
                <w:sz w:val="22"/>
                <w:szCs w:val="22"/>
                <w:lang w:val="sr-Latn-ME" w:eastAsia="sr-Latn-ME"/>
              </w:rPr>
              <w:t xml:space="preserve"> Izvještaj o oblicima podrške koji su obezbijeđeni za PU je usvojen</w:t>
            </w:r>
          </w:p>
        </w:tc>
        <w:tc>
          <w:tcPr>
            <w:tcW w:w="1134" w:type="dxa"/>
            <w:tcBorders>
              <w:top w:val="single" w:sz="4" w:space="0" w:color="auto"/>
              <w:left w:val="nil"/>
              <w:right w:val="single" w:sz="4" w:space="0" w:color="auto"/>
            </w:tcBorders>
            <w:shd w:val="clear" w:color="000000" w:fill="FFFFFF"/>
            <w:vAlign w:val="center"/>
            <w:hideMark/>
          </w:tcPr>
          <w:p w14:paraId="73F42C04" w14:textId="77777777" w:rsidR="00180D87" w:rsidRPr="00B35962" w:rsidRDefault="00B72021" w:rsidP="00F24323">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50%</w:t>
            </w:r>
          </w:p>
        </w:tc>
        <w:tc>
          <w:tcPr>
            <w:tcW w:w="1134" w:type="dxa"/>
            <w:tcBorders>
              <w:top w:val="single" w:sz="4" w:space="0" w:color="auto"/>
              <w:left w:val="nil"/>
              <w:right w:val="single" w:sz="4" w:space="0" w:color="auto"/>
            </w:tcBorders>
            <w:shd w:val="clear" w:color="000000" w:fill="FFFFFF"/>
            <w:vAlign w:val="center"/>
            <w:hideMark/>
          </w:tcPr>
          <w:p w14:paraId="79498BE9" w14:textId="77777777" w:rsidR="00180D87" w:rsidRPr="00B35962" w:rsidRDefault="00B72021" w:rsidP="00F24323">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100%</w:t>
            </w:r>
          </w:p>
        </w:tc>
        <w:tc>
          <w:tcPr>
            <w:tcW w:w="709" w:type="dxa"/>
            <w:tcBorders>
              <w:top w:val="single" w:sz="4" w:space="0" w:color="auto"/>
              <w:left w:val="nil"/>
              <w:right w:val="single" w:sz="4" w:space="0" w:color="auto"/>
            </w:tcBorders>
            <w:shd w:val="clear" w:color="auto" w:fill="auto"/>
            <w:vAlign w:val="center"/>
            <w:hideMark/>
          </w:tcPr>
          <w:p w14:paraId="15897098" w14:textId="77777777" w:rsidR="00180D87" w:rsidRPr="00B35962" w:rsidRDefault="00180D87" w:rsidP="00F24323">
            <w:pPr>
              <w:spacing w:before="240"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w:t>
            </w:r>
            <w:r w:rsidR="00B72021" w:rsidRPr="00B35962">
              <w:rPr>
                <w:rFonts w:ascii="Garamond" w:eastAsia="Times New Roman" w:hAnsi="Garamond" w:cs="Calibri"/>
                <w:sz w:val="22"/>
                <w:szCs w:val="22"/>
                <w:lang w:val="sr-Latn-ME" w:eastAsia="sr-Latn-ME"/>
              </w:rPr>
              <w:t>4</w:t>
            </w:r>
          </w:p>
          <w:p w14:paraId="54B12FF0" w14:textId="77777777" w:rsidR="00180D87" w:rsidRPr="00B35962" w:rsidRDefault="00180D87" w:rsidP="00F24323">
            <w:pPr>
              <w:spacing w:line="240" w:lineRule="auto"/>
              <w:jc w:val="center"/>
              <w:rPr>
                <w:rFonts w:ascii="Garamond" w:eastAsia="Times New Roman" w:hAnsi="Garamond" w:cs="Calibri"/>
                <w:sz w:val="22"/>
                <w:szCs w:val="22"/>
                <w:lang w:val="sr-Latn-ME" w:eastAsia="sr-Latn-ME"/>
              </w:rPr>
            </w:pPr>
          </w:p>
        </w:tc>
        <w:tc>
          <w:tcPr>
            <w:tcW w:w="992" w:type="dxa"/>
            <w:tcBorders>
              <w:top w:val="single" w:sz="4" w:space="0" w:color="auto"/>
              <w:left w:val="nil"/>
              <w:right w:val="single" w:sz="4" w:space="0" w:color="auto"/>
            </w:tcBorders>
            <w:shd w:val="clear" w:color="auto" w:fill="auto"/>
            <w:vAlign w:val="center"/>
            <w:hideMark/>
          </w:tcPr>
          <w:p w14:paraId="2C88F749" w14:textId="77777777" w:rsidR="00180D87" w:rsidRPr="00B35962" w:rsidRDefault="00CD3D3E" w:rsidP="00F24323">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p>
          <w:p w14:paraId="1D8370FB" w14:textId="77777777" w:rsidR="004F4934" w:rsidRPr="00B35962" w:rsidRDefault="004F4934" w:rsidP="00F24323">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34" w:type="dxa"/>
            <w:tcBorders>
              <w:top w:val="single" w:sz="4" w:space="0" w:color="auto"/>
              <w:left w:val="nil"/>
              <w:right w:val="single" w:sz="4" w:space="0" w:color="auto"/>
            </w:tcBorders>
            <w:shd w:val="clear" w:color="auto" w:fill="auto"/>
            <w:vAlign w:val="center"/>
            <w:hideMark/>
          </w:tcPr>
          <w:p w14:paraId="56920F45" w14:textId="184FAA21" w:rsidR="00180D87" w:rsidRPr="00B35962" w:rsidRDefault="00B316BF" w:rsidP="00F24323">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F24323" w:rsidRPr="00B35962">
              <w:rPr>
                <w:rFonts w:ascii="Garamond" w:eastAsia="Times New Roman" w:hAnsi="Garamond" w:cs="Calibri"/>
                <w:sz w:val="22"/>
                <w:szCs w:val="22"/>
                <w:lang w:val="sr-Latn-ME" w:eastAsia="sr-Latn-ME"/>
              </w:rPr>
              <w:t>, ZzŠ</w:t>
            </w:r>
          </w:p>
        </w:tc>
        <w:tc>
          <w:tcPr>
            <w:tcW w:w="1139" w:type="dxa"/>
            <w:tcBorders>
              <w:top w:val="single" w:sz="4" w:space="0" w:color="auto"/>
              <w:left w:val="nil"/>
              <w:right w:val="single" w:sz="8" w:space="0" w:color="auto"/>
            </w:tcBorders>
            <w:shd w:val="clear" w:color="auto" w:fill="auto"/>
            <w:vAlign w:val="center"/>
            <w:hideMark/>
          </w:tcPr>
          <w:p w14:paraId="3C60ABD9" w14:textId="77777777" w:rsidR="00180D87" w:rsidRPr="00B35962" w:rsidRDefault="00180D87" w:rsidP="00F24323">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donatori </w:t>
            </w:r>
            <w:r w:rsidR="00F24323" w:rsidRPr="00B35962">
              <w:rPr>
                <w:rFonts w:ascii="Garamond" w:eastAsia="Times New Roman" w:hAnsi="Garamond" w:cs="Calibri"/>
                <w:sz w:val="22"/>
                <w:szCs w:val="22"/>
                <w:lang w:val="sr-Latn-ME" w:eastAsia="sr-Latn-ME"/>
              </w:rPr>
              <w:t> </w:t>
            </w:r>
          </w:p>
        </w:tc>
      </w:tr>
      <w:tr w:rsidR="00B5024A" w:rsidRPr="00B35962" w14:paraId="77CBECDF" w14:textId="77777777" w:rsidTr="00AB1025">
        <w:trPr>
          <w:trHeight w:val="993"/>
        </w:trPr>
        <w:tc>
          <w:tcPr>
            <w:tcW w:w="3533" w:type="dxa"/>
            <w:vMerge/>
            <w:tcBorders>
              <w:top w:val="single" w:sz="4" w:space="0" w:color="auto"/>
              <w:left w:val="single" w:sz="8" w:space="0" w:color="auto"/>
              <w:bottom w:val="single" w:sz="8" w:space="0" w:color="000000"/>
              <w:right w:val="single" w:sz="8" w:space="0" w:color="auto"/>
            </w:tcBorders>
            <w:vAlign w:val="center"/>
            <w:hideMark/>
          </w:tcPr>
          <w:p w14:paraId="11F75E72"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59EEE4A0" w14:textId="77777777" w:rsidR="00B5024A" w:rsidRPr="00B35962" w:rsidRDefault="00B5024A" w:rsidP="00054285">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2.2.</w:t>
            </w:r>
            <w:r w:rsidR="00054285" w:rsidRPr="00B35962">
              <w:rPr>
                <w:rFonts w:ascii="Garamond" w:eastAsia="Times New Roman" w:hAnsi="Garamond" w:cs="Calibri"/>
                <w:sz w:val="22"/>
                <w:szCs w:val="22"/>
                <w:lang w:val="sr-Latn-ME" w:eastAsia="sr-Latn-ME"/>
              </w:rPr>
              <w:t xml:space="preserve">3 </w:t>
            </w:r>
            <w:r w:rsidRPr="00B35962">
              <w:rPr>
                <w:rFonts w:ascii="Garamond" w:eastAsia="Times New Roman" w:hAnsi="Garamond" w:cs="Calibri"/>
                <w:sz w:val="22"/>
                <w:szCs w:val="22"/>
                <w:lang w:val="sr-Latn-ME" w:eastAsia="sr-Latn-ME"/>
              </w:rPr>
              <w:t>Primjena novog plana i programa PVO u svim PU uz sistematsko praćenje</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3CC5A438"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Izveštaj o implementaciji novog plana i programa PVO sa preporukama za unapređenje je usvojen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39C6DF"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8F1A47"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EFD149" w14:textId="77777777" w:rsidR="00B5024A" w:rsidRPr="00B35962" w:rsidRDefault="00B5024A" w:rsidP="005F0508">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2023-202</w:t>
            </w:r>
            <w:r w:rsidR="005F0508" w:rsidRPr="00B35962">
              <w:rPr>
                <w:rFonts w:ascii="Garamond" w:eastAsia="Times New Roman" w:hAnsi="Garamond" w:cs="Calibri"/>
                <w:sz w:val="22"/>
                <w:szCs w:val="22"/>
                <w:lang w:val="sr-Latn-ME" w:eastAsia="sr-Latn-ME"/>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3CBFE7" w14:textId="77777777" w:rsidR="004F4934" w:rsidRPr="00B35962" w:rsidRDefault="00CD3D3E" w:rsidP="00CD3D3E">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p>
          <w:p w14:paraId="049AC75B" w14:textId="587FC8CE" w:rsidR="00B5024A" w:rsidRPr="00B35962" w:rsidRDefault="004F4934" w:rsidP="00CE42C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DE97A5" w14:textId="3FA6D0CC" w:rsidR="00B5024A" w:rsidRPr="00B35962" w:rsidRDefault="00B316BF"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B5024A" w:rsidRPr="00B35962">
              <w:rPr>
                <w:rFonts w:ascii="Garamond" w:eastAsia="Times New Roman" w:hAnsi="Garamond" w:cs="Calibri"/>
                <w:sz w:val="22"/>
                <w:szCs w:val="22"/>
                <w:lang w:val="sr-Latn-ME" w:eastAsia="sr-Latn-ME"/>
              </w:rPr>
              <w:t>, ZzŠ</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66C6783" w14:textId="77777777" w:rsidR="00B5024A" w:rsidRPr="00B35962" w:rsidRDefault="00180D87"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NVO, donatori </w:t>
            </w:r>
            <w:r w:rsidR="00B5024A" w:rsidRPr="00B35962">
              <w:rPr>
                <w:rFonts w:ascii="Garamond" w:eastAsia="Times New Roman" w:hAnsi="Garamond" w:cs="Calibri"/>
                <w:sz w:val="22"/>
                <w:szCs w:val="22"/>
                <w:lang w:val="sr-Latn-ME" w:eastAsia="sr-Latn-ME"/>
              </w:rPr>
              <w:t> </w:t>
            </w:r>
          </w:p>
        </w:tc>
      </w:tr>
      <w:tr w:rsidR="00FD3E39" w:rsidRPr="00B35962" w14:paraId="72913C88" w14:textId="77777777" w:rsidTr="00AB1025">
        <w:trPr>
          <w:trHeight w:val="1560"/>
        </w:trPr>
        <w:tc>
          <w:tcPr>
            <w:tcW w:w="3533" w:type="dxa"/>
            <w:vMerge w:val="restart"/>
            <w:tcBorders>
              <w:top w:val="nil"/>
              <w:left w:val="single" w:sz="8" w:space="0" w:color="auto"/>
              <w:right w:val="single" w:sz="8" w:space="0" w:color="auto"/>
            </w:tcBorders>
            <w:shd w:val="clear" w:color="000000" w:fill="D9E2F3"/>
            <w:textDirection w:val="btLr"/>
            <w:vAlign w:val="center"/>
            <w:hideMark/>
          </w:tcPr>
          <w:p w14:paraId="654B1082" w14:textId="72C808F6" w:rsidR="00FD3E39" w:rsidRPr="00B35962" w:rsidRDefault="00FD3E39" w:rsidP="00AB1025">
            <w:pPr>
              <w:spacing w:line="240" w:lineRule="auto"/>
              <w:ind w:firstLine="0"/>
              <w:jc w:val="center"/>
              <w:rPr>
                <w:rFonts w:ascii="Garamond" w:eastAsia="Times New Roman" w:hAnsi="Garamond" w:cs="Calibri"/>
                <w:b/>
                <w:bCs/>
                <w:sz w:val="22"/>
                <w:szCs w:val="22"/>
                <w:lang w:val="sr-Latn-ME" w:eastAsia="sr-Latn-ME"/>
              </w:rPr>
            </w:pPr>
            <w:r w:rsidRPr="00B35962">
              <w:rPr>
                <w:lang w:val="sr-Latn-ME"/>
              </w:rPr>
              <w:br w:type="page"/>
            </w:r>
            <w:r w:rsidR="00D131EB" w:rsidRPr="00B35962">
              <w:rPr>
                <w:i/>
                <w:lang w:val="sr-Latn-ME"/>
              </w:rPr>
              <w:t>Ključno mjerilo</w:t>
            </w:r>
            <w:r w:rsidR="00D131EB" w:rsidRPr="00B35962">
              <w:rPr>
                <w:lang w:val="sr-Latn-ME"/>
              </w:rPr>
              <w:t xml:space="preserve"> </w:t>
            </w:r>
            <w:r w:rsidRPr="00B35962">
              <w:rPr>
                <w:rFonts w:ascii="Garamond" w:eastAsia="Times New Roman" w:hAnsi="Garamond" w:cs="Calibri"/>
                <w:b/>
                <w:bCs/>
                <w:sz w:val="22"/>
                <w:szCs w:val="22"/>
                <w:lang w:val="sr-Latn-ME" w:eastAsia="sr-Latn-ME"/>
              </w:rPr>
              <w:t>2.3: Uskladiti postojeći sistem profesionalnog razvoja sa EU okvirom</w:t>
            </w:r>
            <w:r w:rsidRPr="00B35962">
              <w:rPr>
                <w:rFonts w:ascii="Garamond" w:eastAsia="Times New Roman" w:hAnsi="Garamond" w:cs="Calibri"/>
                <w:b/>
                <w:bCs/>
                <w:sz w:val="22"/>
                <w:szCs w:val="22"/>
                <w:lang w:val="sr-Latn-ME" w:eastAsia="sr-Latn-ME"/>
              </w:rPr>
              <w:br/>
            </w:r>
            <w:r w:rsidRPr="00B35962">
              <w:rPr>
                <w:rFonts w:ascii="Garamond" w:eastAsia="Times New Roman" w:hAnsi="Garamond" w:cs="Calibri"/>
                <w:b/>
                <w:bCs/>
                <w:sz w:val="22"/>
                <w:szCs w:val="22"/>
                <w:lang w:val="sr-Latn-ME" w:eastAsia="sr-Latn-ME"/>
              </w:rPr>
              <w:br/>
            </w:r>
            <w:r w:rsidRPr="00B35962">
              <w:rPr>
                <w:rFonts w:ascii="Garamond" w:eastAsia="Times New Roman" w:hAnsi="Garamond" w:cs="Calibri"/>
                <w:sz w:val="22"/>
                <w:szCs w:val="22"/>
                <w:lang w:val="sr-Latn-ME" w:eastAsia="sr-Latn-ME"/>
              </w:rPr>
              <w:t>Indikator 2.3.1 Sistem profesionalnog razvoja je usklađen sa EU o</w:t>
            </w:r>
            <w:r w:rsidR="00B316BF">
              <w:rPr>
                <w:rFonts w:ascii="Garamond" w:eastAsia="Times New Roman" w:hAnsi="Garamond" w:cs="Calibri"/>
                <w:sz w:val="22"/>
                <w:szCs w:val="22"/>
                <w:lang w:val="sr-Latn-ME" w:eastAsia="sr-Latn-ME"/>
              </w:rPr>
              <w:t>kvirom, pilotiran i usvojen</w:t>
            </w:r>
            <w:r w:rsidRPr="00B35962">
              <w:rPr>
                <w:rFonts w:ascii="Garamond" w:eastAsia="Times New Roman" w:hAnsi="Garamond" w:cs="Calibri"/>
                <w:sz w:val="22"/>
                <w:szCs w:val="22"/>
                <w:lang w:val="sr-Latn-ME" w:eastAsia="sr-Latn-ME"/>
              </w:rPr>
              <w:t xml:space="preserve"> - Ne (2020)       Ne (2022)       Da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w:t>
            </w:r>
          </w:p>
        </w:tc>
        <w:tc>
          <w:tcPr>
            <w:tcW w:w="2124" w:type="dxa"/>
            <w:tcBorders>
              <w:top w:val="nil"/>
              <w:left w:val="nil"/>
              <w:bottom w:val="single" w:sz="4" w:space="0" w:color="auto"/>
              <w:right w:val="single" w:sz="4" w:space="0" w:color="auto"/>
            </w:tcBorders>
            <w:shd w:val="clear" w:color="auto" w:fill="auto"/>
            <w:vAlign w:val="center"/>
            <w:hideMark/>
          </w:tcPr>
          <w:p w14:paraId="0BC541D7" w14:textId="77777777" w:rsidR="00FD3E39" w:rsidRPr="00B35962" w:rsidRDefault="00FD3E39" w:rsidP="006F443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2.3.1 Izrada prijedloga za unapređenje sistema profesionalnog usavršavanja </w:t>
            </w:r>
          </w:p>
        </w:tc>
        <w:tc>
          <w:tcPr>
            <w:tcW w:w="1851" w:type="dxa"/>
            <w:tcBorders>
              <w:top w:val="nil"/>
              <w:left w:val="nil"/>
              <w:bottom w:val="single" w:sz="4" w:space="0" w:color="auto"/>
              <w:right w:val="single" w:sz="4" w:space="0" w:color="auto"/>
            </w:tcBorders>
            <w:shd w:val="clear" w:color="auto" w:fill="auto"/>
            <w:vAlign w:val="center"/>
            <w:hideMark/>
          </w:tcPr>
          <w:p w14:paraId="297B9D30" w14:textId="77777777" w:rsidR="00FD3E39" w:rsidRPr="00B35962" w:rsidRDefault="00FD3E39"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predlogom za unapređenje sistema za profesionalno usavršavanje je usvojen</w:t>
            </w:r>
          </w:p>
        </w:tc>
        <w:tc>
          <w:tcPr>
            <w:tcW w:w="1134" w:type="dxa"/>
            <w:tcBorders>
              <w:top w:val="nil"/>
              <w:left w:val="nil"/>
              <w:bottom w:val="single" w:sz="4" w:space="0" w:color="auto"/>
              <w:right w:val="single" w:sz="4" w:space="0" w:color="auto"/>
            </w:tcBorders>
            <w:shd w:val="clear" w:color="auto" w:fill="auto"/>
            <w:vAlign w:val="center"/>
            <w:hideMark/>
          </w:tcPr>
          <w:p w14:paraId="064A0A3D" w14:textId="77777777" w:rsidR="00FD3E39" w:rsidRPr="00B35962" w:rsidRDefault="00FD3E3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134" w:type="dxa"/>
            <w:tcBorders>
              <w:top w:val="nil"/>
              <w:left w:val="nil"/>
              <w:bottom w:val="single" w:sz="4" w:space="0" w:color="auto"/>
              <w:right w:val="single" w:sz="4" w:space="0" w:color="auto"/>
            </w:tcBorders>
            <w:shd w:val="clear" w:color="auto" w:fill="auto"/>
            <w:vAlign w:val="center"/>
            <w:hideMark/>
          </w:tcPr>
          <w:p w14:paraId="61778ACB" w14:textId="77777777" w:rsidR="00FD3E39" w:rsidRPr="00B35962" w:rsidRDefault="00FD3E3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nil"/>
              <w:left w:val="nil"/>
              <w:bottom w:val="single" w:sz="4" w:space="0" w:color="auto"/>
              <w:right w:val="single" w:sz="4" w:space="0" w:color="auto"/>
            </w:tcBorders>
            <w:shd w:val="clear" w:color="auto" w:fill="auto"/>
            <w:vAlign w:val="center"/>
            <w:hideMark/>
          </w:tcPr>
          <w:p w14:paraId="42147645" w14:textId="77777777" w:rsidR="00FD3E39" w:rsidRPr="00B35962" w:rsidRDefault="00FD3E39"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2022-2023</w:t>
            </w:r>
          </w:p>
        </w:tc>
        <w:tc>
          <w:tcPr>
            <w:tcW w:w="992" w:type="dxa"/>
            <w:tcBorders>
              <w:top w:val="nil"/>
              <w:left w:val="nil"/>
              <w:bottom w:val="single" w:sz="4" w:space="0" w:color="auto"/>
              <w:right w:val="single" w:sz="4" w:space="0" w:color="auto"/>
            </w:tcBorders>
            <w:shd w:val="clear" w:color="auto" w:fill="auto"/>
            <w:vAlign w:val="center"/>
            <w:hideMark/>
          </w:tcPr>
          <w:p w14:paraId="260A1DD1" w14:textId="77777777" w:rsidR="00FD3E39"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6D26B237"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8FD947" w14:textId="77777777" w:rsidR="00FD3E39" w:rsidRPr="00B35962" w:rsidRDefault="00FD3E3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ZzŠ, Nacionalni savjet za obrazovanje</w:t>
            </w:r>
          </w:p>
        </w:tc>
        <w:tc>
          <w:tcPr>
            <w:tcW w:w="1139" w:type="dxa"/>
            <w:tcBorders>
              <w:top w:val="single" w:sz="8" w:space="0" w:color="auto"/>
              <w:left w:val="nil"/>
              <w:bottom w:val="nil"/>
              <w:right w:val="single" w:sz="8" w:space="0" w:color="auto"/>
            </w:tcBorders>
            <w:shd w:val="clear" w:color="auto" w:fill="auto"/>
            <w:vAlign w:val="center"/>
            <w:hideMark/>
          </w:tcPr>
          <w:p w14:paraId="298F1E7C" w14:textId="77777777" w:rsidR="00FD3E39" w:rsidRPr="00B35962" w:rsidRDefault="00FD3E3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w:t>
            </w:r>
          </w:p>
        </w:tc>
      </w:tr>
      <w:tr w:rsidR="00FD3E39" w:rsidRPr="00B35962" w14:paraId="32C1E0F1" w14:textId="77777777" w:rsidTr="00AB1025">
        <w:trPr>
          <w:trHeight w:val="1588"/>
        </w:trPr>
        <w:tc>
          <w:tcPr>
            <w:tcW w:w="3533" w:type="dxa"/>
            <w:vMerge/>
            <w:tcBorders>
              <w:left w:val="single" w:sz="8" w:space="0" w:color="auto"/>
              <w:right w:val="single" w:sz="8" w:space="0" w:color="auto"/>
            </w:tcBorders>
            <w:vAlign w:val="center"/>
            <w:hideMark/>
          </w:tcPr>
          <w:p w14:paraId="48CC2FAB" w14:textId="77777777" w:rsidR="00FD3E39" w:rsidRPr="00B35962" w:rsidRDefault="00FD3E39"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nil"/>
              <w:left w:val="nil"/>
              <w:bottom w:val="single" w:sz="4" w:space="0" w:color="auto"/>
              <w:right w:val="single" w:sz="4" w:space="0" w:color="auto"/>
            </w:tcBorders>
            <w:shd w:val="clear" w:color="auto" w:fill="auto"/>
            <w:vAlign w:val="center"/>
            <w:hideMark/>
          </w:tcPr>
          <w:p w14:paraId="5C4D97E6" w14:textId="77777777" w:rsidR="00FD3E39" w:rsidRPr="00B35962" w:rsidRDefault="00FD3E39" w:rsidP="0035190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2.3.2 Primjena novog sistema za profesionalno usavršavanje: obuke, savjetovanja, </w:t>
            </w:r>
            <w:r w:rsidR="00351906" w:rsidRPr="00B35962">
              <w:rPr>
                <w:rFonts w:ascii="Garamond" w:eastAsia="Times New Roman" w:hAnsi="Garamond" w:cs="Calibri"/>
                <w:sz w:val="22"/>
                <w:szCs w:val="22"/>
                <w:lang w:val="sr-Latn-ME" w:eastAsia="sr-Latn-ME"/>
              </w:rPr>
              <w:t>praktično vođenje</w:t>
            </w:r>
          </w:p>
        </w:tc>
        <w:tc>
          <w:tcPr>
            <w:tcW w:w="1851" w:type="dxa"/>
            <w:tcBorders>
              <w:top w:val="nil"/>
              <w:left w:val="nil"/>
              <w:bottom w:val="single" w:sz="4" w:space="0" w:color="auto"/>
              <w:right w:val="single" w:sz="4" w:space="0" w:color="auto"/>
            </w:tcBorders>
            <w:shd w:val="clear" w:color="auto" w:fill="auto"/>
            <w:vAlign w:val="center"/>
            <w:hideMark/>
          </w:tcPr>
          <w:p w14:paraId="27C93829" w14:textId="77777777" w:rsidR="00FD3E39" w:rsidRPr="00B35962" w:rsidRDefault="00FD3E39"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Izvještaji, analize </w:t>
            </w:r>
          </w:p>
          <w:p w14:paraId="6D7C3C0E" w14:textId="77777777" w:rsidR="00B72021" w:rsidRPr="00B35962" w:rsidRDefault="00351906" w:rsidP="0035190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Realizovano </w:t>
            </w:r>
            <w:r w:rsidR="00B766C0" w:rsidRPr="00B35962">
              <w:rPr>
                <w:rFonts w:ascii="Garamond" w:eastAsia="Times New Roman" w:hAnsi="Garamond" w:cs="Calibri"/>
                <w:sz w:val="22"/>
                <w:szCs w:val="22"/>
                <w:lang w:val="sr-Latn-ME" w:eastAsia="sr-Latn-ME"/>
              </w:rPr>
              <w:t>3</w:t>
            </w:r>
            <w:r w:rsidR="00B72021" w:rsidRPr="00B35962">
              <w:rPr>
                <w:rFonts w:ascii="Garamond" w:eastAsia="Times New Roman" w:hAnsi="Garamond" w:cs="Calibri"/>
                <w:sz w:val="22"/>
                <w:szCs w:val="22"/>
                <w:lang w:val="sr-Latn-ME" w:eastAsia="sr-Latn-ME"/>
              </w:rPr>
              <w:t>0 obuka</w:t>
            </w:r>
            <w:r w:rsidRPr="00B35962">
              <w:rPr>
                <w:rFonts w:ascii="Garamond" w:eastAsia="Times New Roman" w:hAnsi="Garamond" w:cs="Calibri"/>
                <w:sz w:val="22"/>
                <w:szCs w:val="22"/>
                <w:lang w:val="sr-Latn-ME" w:eastAsia="sr-Latn-ME"/>
              </w:rPr>
              <w:t xml:space="preserve"> i</w:t>
            </w:r>
            <w:r w:rsidR="00B72021" w:rsidRPr="00B35962">
              <w:rPr>
                <w:rFonts w:ascii="Garamond" w:eastAsia="Times New Roman" w:hAnsi="Garamond" w:cs="Calibri"/>
                <w:sz w:val="22"/>
                <w:szCs w:val="22"/>
                <w:lang w:val="sr-Latn-ME" w:eastAsia="sr-Latn-ME"/>
              </w:rPr>
              <w:t xml:space="preserve"> savjetovanja </w:t>
            </w:r>
          </w:p>
        </w:tc>
        <w:tc>
          <w:tcPr>
            <w:tcW w:w="1134" w:type="dxa"/>
            <w:tcBorders>
              <w:top w:val="nil"/>
              <w:left w:val="nil"/>
              <w:bottom w:val="single" w:sz="4" w:space="0" w:color="auto"/>
              <w:right w:val="single" w:sz="4" w:space="0" w:color="auto"/>
            </w:tcBorders>
            <w:shd w:val="clear" w:color="auto" w:fill="auto"/>
            <w:vAlign w:val="center"/>
            <w:hideMark/>
          </w:tcPr>
          <w:p w14:paraId="5218EA02" w14:textId="77777777" w:rsidR="00B72021" w:rsidRPr="00B35962" w:rsidRDefault="0035190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72021" w:rsidRPr="00B35962">
              <w:rPr>
                <w:rFonts w:ascii="Garamond" w:eastAsia="Times New Roman" w:hAnsi="Garamond" w:cs="Calibri"/>
                <w:sz w:val="22"/>
                <w:szCs w:val="22"/>
                <w:lang w:val="sr-Latn-ME" w:eastAsia="sr-Latn-ME"/>
              </w:rPr>
              <w:t>5</w:t>
            </w:r>
          </w:p>
        </w:tc>
        <w:tc>
          <w:tcPr>
            <w:tcW w:w="1134" w:type="dxa"/>
            <w:tcBorders>
              <w:top w:val="nil"/>
              <w:left w:val="nil"/>
              <w:bottom w:val="single" w:sz="4" w:space="0" w:color="auto"/>
              <w:right w:val="single" w:sz="4" w:space="0" w:color="auto"/>
            </w:tcBorders>
            <w:shd w:val="clear" w:color="auto" w:fill="auto"/>
            <w:vAlign w:val="center"/>
            <w:hideMark/>
          </w:tcPr>
          <w:p w14:paraId="20D6318F" w14:textId="77777777" w:rsidR="00B72021" w:rsidRPr="00B35962" w:rsidRDefault="00B766C0" w:rsidP="00B72021">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30</w:t>
            </w:r>
          </w:p>
        </w:tc>
        <w:tc>
          <w:tcPr>
            <w:tcW w:w="709" w:type="dxa"/>
            <w:tcBorders>
              <w:top w:val="nil"/>
              <w:left w:val="nil"/>
              <w:bottom w:val="single" w:sz="4" w:space="0" w:color="auto"/>
              <w:right w:val="single" w:sz="4" w:space="0" w:color="auto"/>
            </w:tcBorders>
            <w:shd w:val="clear" w:color="auto" w:fill="auto"/>
            <w:vAlign w:val="center"/>
            <w:hideMark/>
          </w:tcPr>
          <w:p w14:paraId="543804D4" w14:textId="77777777" w:rsidR="00FD3E39" w:rsidRPr="00B35962" w:rsidRDefault="00FD3E39"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2024</w:t>
            </w:r>
          </w:p>
        </w:tc>
        <w:tc>
          <w:tcPr>
            <w:tcW w:w="992" w:type="dxa"/>
            <w:tcBorders>
              <w:top w:val="nil"/>
              <w:left w:val="nil"/>
              <w:bottom w:val="single" w:sz="4" w:space="0" w:color="auto"/>
              <w:right w:val="single" w:sz="4" w:space="0" w:color="auto"/>
            </w:tcBorders>
            <w:shd w:val="clear" w:color="auto" w:fill="auto"/>
            <w:vAlign w:val="center"/>
            <w:hideMark/>
          </w:tcPr>
          <w:p w14:paraId="041E169B" w14:textId="77777777" w:rsidR="004F4934" w:rsidRPr="00B35962" w:rsidRDefault="00CD3D3E" w:rsidP="00CD3D3E">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p>
          <w:p w14:paraId="1155E6C4" w14:textId="36D1FA97" w:rsidR="00FD3E39" w:rsidRPr="00B35962" w:rsidRDefault="00CE42CA" w:rsidP="00CD3D3E">
            <w:pPr>
              <w:spacing w:line="240" w:lineRule="auto"/>
              <w:ind w:firstLine="0"/>
              <w:jc w:val="right"/>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Izvor: projekat</w:t>
            </w:r>
            <w:r w:rsidR="00FD3E39" w:rsidRPr="00B35962">
              <w:rPr>
                <w:rFonts w:ascii="Garamond" w:eastAsia="Times New Roman" w:hAnsi="Garamond" w:cs="Calibri"/>
                <w:sz w:val="22"/>
                <w:szCs w:val="22"/>
                <w:lang w:val="sr-Latn-ME" w:eastAsia="sr-Latn-ME"/>
              </w:rPr>
              <w:t> </w:t>
            </w:r>
          </w:p>
        </w:tc>
        <w:tc>
          <w:tcPr>
            <w:tcW w:w="1134" w:type="dxa"/>
            <w:tcBorders>
              <w:top w:val="nil"/>
              <w:left w:val="nil"/>
              <w:bottom w:val="single" w:sz="4" w:space="0" w:color="auto"/>
              <w:right w:val="single" w:sz="4" w:space="0" w:color="auto"/>
            </w:tcBorders>
            <w:shd w:val="clear" w:color="auto" w:fill="auto"/>
            <w:vAlign w:val="center"/>
            <w:hideMark/>
          </w:tcPr>
          <w:p w14:paraId="2782B85C" w14:textId="77777777" w:rsidR="00FD3E39" w:rsidRPr="00B35962" w:rsidRDefault="00FD3E39" w:rsidP="00180D87">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ZzŠ, </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5CE75C04" w14:textId="77777777" w:rsidR="00FD3E39" w:rsidRPr="00B35962" w:rsidRDefault="00FD3E3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w:t>
            </w:r>
          </w:p>
        </w:tc>
      </w:tr>
      <w:tr w:rsidR="00B766C0" w:rsidRPr="00B35962" w14:paraId="2F2D819E" w14:textId="77777777" w:rsidTr="00AB1025">
        <w:trPr>
          <w:trHeight w:val="710"/>
        </w:trPr>
        <w:tc>
          <w:tcPr>
            <w:tcW w:w="3533" w:type="dxa"/>
            <w:vMerge/>
            <w:tcBorders>
              <w:left w:val="single" w:sz="8" w:space="0" w:color="auto"/>
              <w:bottom w:val="single" w:sz="4" w:space="0" w:color="auto"/>
              <w:right w:val="single" w:sz="8" w:space="0" w:color="auto"/>
            </w:tcBorders>
            <w:vAlign w:val="center"/>
          </w:tcPr>
          <w:p w14:paraId="52DF4F12" w14:textId="77777777" w:rsidR="00FD3E39" w:rsidRPr="00B35962" w:rsidRDefault="00FD3E39"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nil"/>
              <w:left w:val="nil"/>
              <w:bottom w:val="single" w:sz="4" w:space="0" w:color="auto"/>
              <w:right w:val="single" w:sz="4" w:space="0" w:color="auto"/>
            </w:tcBorders>
            <w:shd w:val="clear" w:color="auto" w:fill="auto"/>
            <w:vAlign w:val="center"/>
          </w:tcPr>
          <w:p w14:paraId="5BE9575B" w14:textId="77777777" w:rsidR="00FD3E39" w:rsidRPr="00B35962" w:rsidRDefault="00876C06" w:rsidP="007946F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2.3.3 </w:t>
            </w:r>
            <w:r w:rsidR="007946F6" w:rsidRPr="00B35962">
              <w:rPr>
                <w:rFonts w:ascii="Garamond" w:eastAsia="Times New Roman" w:hAnsi="Garamond" w:cs="Calibri"/>
                <w:sz w:val="22"/>
                <w:szCs w:val="22"/>
                <w:lang w:val="sr-Latn-ME" w:eastAsia="sr-Latn-ME"/>
              </w:rPr>
              <w:t>Definisanje, odabir i pilotiranje centara izvrsnosti</w:t>
            </w:r>
          </w:p>
        </w:tc>
        <w:tc>
          <w:tcPr>
            <w:tcW w:w="1851" w:type="dxa"/>
            <w:tcBorders>
              <w:top w:val="nil"/>
              <w:left w:val="nil"/>
              <w:bottom w:val="single" w:sz="4" w:space="0" w:color="auto"/>
              <w:right w:val="single" w:sz="4" w:space="0" w:color="auto"/>
            </w:tcBorders>
            <w:shd w:val="clear" w:color="auto" w:fill="auto"/>
            <w:vAlign w:val="center"/>
          </w:tcPr>
          <w:p w14:paraId="21C91487" w14:textId="77777777" w:rsidR="00FD3E39" w:rsidRPr="00B35962" w:rsidDel="00180D87" w:rsidRDefault="00876C06" w:rsidP="0035190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Urađena</w:t>
            </w:r>
            <w:r w:rsidR="00351906" w:rsidRPr="00B35962">
              <w:rPr>
                <w:rFonts w:ascii="Garamond" w:eastAsia="Times New Roman" w:hAnsi="Garamond" w:cs="Calibri"/>
                <w:sz w:val="22"/>
                <w:szCs w:val="22"/>
                <w:lang w:val="sr-Latn-ME" w:eastAsia="sr-Latn-ME"/>
              </w:rPr>
              <w:t xml:space="preserve"> </w:t>
            </w:r>
            <w:r w:rsidR="00B766C0" w:rsidRPr="00B35962">
              <w:rPr>
                <w:rFonts w:ascii="Garamond" w:eastAsia="Times New Roman" w:hAnsi="Garamond" w:cs="Calibri"/>
                <w:sz w:val="22"/>
                <w:szCs w:val="22"/>
                <w:lang w:val="sr-Latn-ME" w:eastAsia="sr-Latn-ME"/>
              </w:rPr>
              <w:t>e</w:t>
            </w:r>
            <w:r w:rsidR="007946F6" w:rsidRPr="00B35962">
              <w:rPr>
                <w:rFonts w:ascii="Garamond" w:eastAsia="Times New Roman" w:hAnsi="Garamond" w:cs="Calibri"/>
                <w:sz w:val="22"/>
                <w:szCs w:val="22"/>
                <w:lang w:val="sr-Latn-ME" w:eastAsia="sr-Latn-ME"/>
              </w:rPr>
              <w:t>valuacij</w:t>
            </w:r>
            <w:r w:rsidR="00351906" w:rsidRPr="00B35962">
              <w:rPr>
                <w:rFonts w:ascii="Garamond" w:eastAsia="Times New Roman" w:hAnsi="Garamond" w:cs="Calibri"/>
                <w:sz w:val="22"/>
                <w:szCs w:val="22"/>
                <w:lang w:val="sr-Latn-ME" w:eastAsia="sr-Latn-ME"/>
              </w:rPr>
              <w:t>a</w:t>
            </w:r>
            <w:r w:rsidR="007946F6" w:rsidRPr="00B35962">
              <w:rPr>
                <w:rFonts w:ascii="Garamond" w:eastAsia="Times New Roman" w:hAnsi="Garamond" w:cs="Calibri"/>
                <w:sz w:val="22"/>
                <w:szCs w:val="22"/>
                <w:lang w:val="sr-Latn-ME" w:eastAsia="sr-Latn-ME"/>
              </w:rPr>
              <w:t xml:space="preserve"> funkcionisanja centara izvrsnosti</w:t>
            </w:r>
          </w:p>
        </w:tc>
        <w:tc>
          <w:tcPr>
            <w:tcW w:w="1134" w:type="dxa"/>
            <w:tcBorders>
              <w:top w:val="nil"/>
              <w:left w:val="nil"/>
              <w:bottom w:val="single" w:sz="4" w:space="0" w:color="auto"/>
              <w:right w:val="single" w:sz="4" w:space="0" w:color="auto"/>
            </w:tcBorders>
            <w:shd w:val="clear" w:color="auto" w:fill="auto"/>
            <w:vAlign w:val="center"/>
          </w:tcPr>
          <w:p w14:paraId="3A254A0C" w14:textId="77777777" w:rsidR="00FD3E39" w:rsidRPr="00B35962" w:rsidRDefault="007946F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Ne</w:t>
            </w:r>
          </w:p>
        </w:tc>
        <w:tc>
          <w:tcPr>
            <w:tcW w:w="1134" w:type="dxa"/>
            <w:tcBorders>
              <w:top w:val="nil"/>
              <w:left w:val="nil"/>
              <w:bottom w:val="single" w:sz="4" w:space="0" w:color="auto"/>
              <w:right w:val="single" w:sz="4" w:space="0" w:color="auto"/>
            </w:tcBorders>
            <w:shd w:val="clear" w:color="auto" w:fill="auto"/>
            <w:vAlign w:val="center"/>
          </w:tcPr>
          <w:p w14:paraId="43968161" w14:textId="77777777" w:rsidR="00FD3E39" w:rsidRPr="00B35962" w:rsidRDefault="007946F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nil"/>
              <w:left w:val="nil"/>
              <w:bottom w:val="single" w:sz="4" w:space="0" w:color="auto"/>
              <w:right w:val="single" w:sz="4" w:space="0" w:color="auto"/>
            </w:tcBorders>
            <w:shd w:val="clear" w:color="auto" w:fill="auto"/>
            <w:vAlign w:val="center"/>
          </w:tcPr>
          <w:p w14:paraId="7FEE49F7" w14:textId="77777777" w:rsidR="00FD3E39" w:rsidRPr="00B35962" w:rsidRDefault="007946F6"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2024</w:t>
            </w:r>
          </w:p>
        </w:tc>
        <w:tc>
          <w:tcPr>
            <w:tcW w:w="992" w:type="dxa"/>
            <w:tcBorders>
              <w:top w:val="nil"/>
              <w:left w:val="nil"/>
              <w:bottom w:val="single" w:sz="4" w:space="0" w:color="auto"/>
              <w:right w:val="single" w:sz="4" w:space="0" w:color="auto"/>
            </w:tcBorders>
            <w:shd w:val="clear" w:color="auto" w:fill="auto"/>
            <w:vAlign w:val="center"/>
          </w:tcPr>
          <w:p w14:paraId="73987FDD" w14:textId="77777777" w:rsidR="00FD3E39"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3C6E3A4B"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34" w:type="dxa"/>
            <w:tcBorders>
              <w:top w:val="nil"/>
              <w:left w:val="nil"/>
              <w:bottom w:val="single" w:sz="4" w:space="0" w:color="auto"/>
              <w:right w:val="single" w:sz="4" w:space="0" w:color="auto"/>
            </w:tcBorders>
            <w:shd w:val="clear" w:color="auto" w:fill="auto"/>
            <w:vAlign w:val="center"/>
          </w:tcPr>
          <w:p w14:paraId="6BBF3692" w14:textId="7F74BA89" w:rsidR="00FD3E39" w:rsidRPr="00B35962" w:rsidRDefault="007946F6" w:rsidP="00180D87">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sidR="00B316BF">
              <w:rPr>
                <w:rFonts w:ascii="Garamond" w:eastAsia="Times New Roman" w:hAnsi="Garamond" w:cs="Calibri"/>
                <w:sz w:val="22"/>
                <w:szCs w:val="22"/>
                <w:lang w:val="sr-Latn-ME" w:eastAsia="sr-Latn-ME"/>
              </w:rPr>
              <w:t>NK</w:t>
            </w:r>
            <w:r w:rsidRPr="00B35962">
              <w:rPr>
                <w:rFonts w:ascii="Garamond" w:eastAsia="Times New Roman" w:hAnsi="Garamond" w:cs="Calibri"/>
                <w:sz w:val="22"/>
                <w:szCs w:val="22"/>
                <w:lang w:val="sr-Latn-ME" w:eastAsia="sr-Latn-ME"/>
              </w:rPr>
              <w:t>S, ZzŠ</w:t>
            </w:r>
          </w:p>
        </w:tc>
        <w:tc>
          <w:tcPr>
            <w:tcW w:w="1139" w:type="dxa"/>
            <w:tcBorders>
              <w:top w:val="single" w:sz="4" w:space="0" w:color="auto"/>
              <w:left w:val="nil"/>
              <w:bottom w:val="single" w:sz="4" w:space="0" w:color="auto"/>
              <w:right w:val="single" w:sz="8" w:space="0" w:color="auto"/>
            </w:tcBorders>
            <w:shd w:val="clear" w:color="auto" w:fill="auto"/>
            <w:vAlign w:val="center"/>
          </w:tcPr>
          <w:p w14:paraId="219D6B63" w14:textId="77777777" w:rsidR="00FD3E39" w:rsidRPr="00B35962" w:rsidRDefault="007946F6" w:rsidP="007946F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PU, donatori</w:t>
            </w:r>
          </w:p>
        </w:tc>
      </w:tr>
      <w:tr w:rsidR="00B5024A" w:rsidRPr="00B35962" w14:paraId="416821FD" w14:textId="77777777" w:rsidTr="00AB1025">
        <w:trPr>
          <w:trHeight w:val="1266"/>
        </w:trPr>
        <w:tc>
          <w:tcPr>
            <w:tcW w:w="3533" w:type="dxa"/>
            <w:vMerge w:val="restart"/>
            <w:tcBorders>
              <w:top w:val="single" w:sz="4" w:space="0" w:color="auto"/>
              <w:left w:val="single" w:sz="4" w:space="0" w:color="auto"/>
              <w:bottom w:val="single" w:sz="4" w:space="0" w:color="auto"/>
              <w:right w:val="single" w:sz="4" w:space="0" w:color="auto"/>
            </w:tcBorders>
            <w:shd w:val="clear" w:color="000000" w:fill="D9E2F3"/>
            <w:textDirection w:val="btLr"/>
            <w:vAlign w:val="center"/>
            <w:hideMark/>
          </w:tcPr>
          <w:p w14:paraId="7FD25D44" w14:textId="6E0616C6" w:rsidR="00B5024A" w:rsidRPr="00B35962" w:rsidRDefault="00D131EB"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B5024A" w:rsidRPr="00B35962">
              <w:rPr>
                <w:rFonts w:ascii="Garamond" w:eastAsia="Times New Roman" w:hAnsi="Garamond" w:cs="Calibri"/>
                <w:b/>
                <w:bCs/>
                <w:sz w:val="22"/>
                <w:szCs w:val="22"/>
                <w:lang w:val="sr-Latn-ME" w:eastAsia="sr-Latn-ME"/>
              </w:rPr>
              <w:t>2.4: Unaprijediti sadržaj i praksu inicijalnog obrazovanja</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sz w:val="22"/>
                <w:szCs w:val="22"/>
                <w:lang w:val="sr-Latn-ME" w:eastAsia="sr-Latn-ME"/>
              </w:rPr>
              <w:t>Indikator 2.4.1 Novi program inicijalnog obrazovanja je akreditovan  - Ne (2020)       Ne (2022)       Da (202</w:t>
            </w:r>
            <w:r w:rsidR="00AB1025" w:rsidRPr="00B35962">
              <w:rPr>
                <w:rFonts w:ascii="Garamond" w:eastAsia="Times New Roman" w:hAnsi="Garamond" w:cs="Calibri"/>
                <w:sz w:val="22"/>
                <w:szCs w:val="22"/>
                <w:lang w:val="sr-Latn-ME" w:eastAsia="sr-Latn-ME"/>
              </w:rPr>
              <w:t>5</w:t>
            </w:r>
            <w:r w:rsidR="00B5024A" w:rsidRPr="00B35962">
              <w:rPr>
                <w:rFonts w:ascii="Garamond" w:eastAsia="Times New Roman" w:hAnsi="Garamond" w:cs="Calibri"/>
                <w:sz w:val="22"/>
                <w:szCs w:val="22"/>
                <w:lang w:val="sr-Latn-ME" w:eastAsia="sr-Latn-ME"/>
              </w:rPr>
              <w: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F5DC" w14:textId="77777777" w:rsidR="00B5024A" w:rsidRPr="00B35962" w:rsidRDefault="00B5024A" w:rsidP="00B72021">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2.4.1</w:t>
            </w:r>
            <w:r w:rsidR="00CD3D3E" w:rsidRPr="00B35962">
              <w:rPr>
                <w:rFonts w:ascii="Garamond" w:eastAsia="Times New Roman" w:hAnsi="Garamond" w:cs="Calibri"/>
                <w:sz w:val="22"/>
                <w:szCs w:val="22"/>
                <w:lang w:val="sr-Latn-ME" w:eastAsia="sr-Latn-ME"/>
              </w:rPr>
              <w:t xml:space="preserve"> </w:t>
            </w:r>
            <w:r w:rsidRPr="00B35962">
              <w:rPr>
                <w:rFonts w:ascii="Garamond" w:eastAsia="Times New Roman" w:hAnsi="Garamond" w:cs="Calibri"/>
                <w:sz w:val="22"/>
                <w:szCs w:val="22"/>
                <w:lang w:val="sr-Latn-ME" w:eastAsia="sr-Latn-ME"/>
              </w:rPr>
              <w:t>Analiza usklađenosti pro</w:t>
            </w:r>
            <w:r w:rsidR="004F4934" w:rsidRPr="00B35962">
              <w:rPr>
                <w:rFonts w:ascii="Garamond" w:eastAsia="Times New Roman" w:hAnsi="Garamond" w:cs="Calibri"/>
                <w:sz w:val="22"/>
                <w:szCs w:val="22"/>
                <w:lang w:val="sr-Latn-ME" w:eastAsia="sr-Latn-ME"/>
              </w:rPr>
              <w:t>grama inicijalnog obrazovanja s</w:t>
            </w:r>
            <w:r w:rsidRPr="00B35962">
              <w:rPr>
                <w:rFonts w:ascii="Garamond" w:eastAsia="Times New Roman" w:hAnsi="Garamond" w:cs="Calibri"/>
                <w:sz w:val="22"/>
                <w:szCs w:val="22"/>
                <w:lang w:val="sr-Latn-ME" w:eastAsia="sr-Latn-ME"/>
              </w:rPr>
              <w:t xml:space="preserve"> novim Planom i programom PVO</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D202" w14:textId="77777777" w:rsidR="00B5024A" w:rsidRPr="00B35962" w:rsidRDefault="00B5024A" w:rsidP="00180D8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Dokument sa analizom i preporukama za reviziju programa inicijalnog obrazovanja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995CD"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DC14"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8F76"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4B15" w14:textId="77777777" w:rsidR="004F4934"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p>
          <w:p w14:paraId="189C145C" w14:textId="77777777" w:rsidR="00B5024A"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redovna ili projektna sredstva</w:t>
            </w:r>
            <w:r w:rsidR="00B5024A" w:rsidRPr="00B35962">
              <w:rPr>
                <w:rFonts w:ascii="Garamond" w:eastAsia="Times New Roman" w:hAnsi="Garamond" w:cs="Calibri"/>
                <w:sz w:val="22"/>
                <w:szCs w:val="22"/>
                <w:lang w:val="sr-Latn-ME" w:eastAsia="sr-Latn-ME"/>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5DBF3"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Univerzitet Crne Gore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3BA8A" w14:textId="77777777" w:rsidR="00B5024A" w:rsidRPr="00B35962" w:rsidRDefault="00180D87"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donatori </w:t>
            </w:r>
            <w:r w:rsidR="00B5024A" w:rsidRPr="00B35962">
              <w:rPr>
                <w:rFonts w:ascii="Garamond" w:eastAsia="Times New Roman" w:hAnsi="Garamond" w:cs="Calibri"/>
                <w:sz w:val="22"/>
                <w:szCs w:val="22"/>
                <w:lang w:val="sr-Latn-ME" w:eastAsia="sr-Latn-ME"/>
              </w:rPr>
              <w:t> </w:t>
            </w:r>
          </w:p>
        </w:tc>
      </w:tr>
      <w:tr w:rsidR="00B5024A" w:rsidRPr="00B35962" w14:paraId="6A803190" w14:textId="77777777" w:rsidTr="00AB1025">
        <w:trPr>
          <w:trHeight w:val="693"/>
        </w:trPr>
        <w:tc>
          <w:tcPr>
            <w:tcW w:w="3533" w:type="dxa"/>
            <w:vMerge/>
            <w:tcBorders>
              <w:top w:val="single" w:sz="4" w:space="0" w:color="auto"/>
              <w:left w:val="single" w:sz="8" w:space="0" w:color="auto"/>
              <w:bottom w:val="single" w:sz="8" w:space="0" w:color="000000"/>
              <w:right w:val="single" w:sz="8" w:space="0" w:color="auto"/>
            </w:tcBorders>
            <w:vAlign w:val="center"/>
            <w:hideMark/>
          </w:tcPr>
          <w:p w14:paraId="52ECC94A"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60F308AD" w14:textId="77777777" w:rsidR="00B5024A" w:rsidRPr="00B35962" w:rsidRDefault="00B5024A" w:rsidP="00180D8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2.4.2 Revizija programa inicijalnog obrazovanja</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66A0CB28"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Novi program inicijalnog obrazovanja je akreditovan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9EB677"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CAD384"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213218"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B6C9C" w14:textId="77777777" w:rsidR="00B5024A" w:rsidRPr="00B35962" w:rsidRDefault="00B5024A" w:rsidP="00CD3D3E">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w:t>
            </w:r>
            <w:r w:rsidR="00CD3D3E" w:rsidRPr="00B35962">
              <w:rPr>
                <w:rFonts w:ascii="Garamond" w:eastAsia="Times New Roman" w:hAnsi="Garamond" w:cs="Calibri"/>
                <w:sz w:val="22"/>
                <w:szCs w:val="22"/>
                <w:lang w:val="sr-Latn-ME" w:eastAsia="sr-Latn-ME"/>
              </w:rPr>
              <w:t>5</w:t>
            </w:r>
            <w:r w:rsidR="00B672BA" w:rsidRPr="00B35962">
              <w:rPr>
                <w:rFonts w:ascii="Garamond" w:eastAsia="Times New Roman" w:hAnsi="Garamond" w:cs="Calibri"/>
                <w:sz w:val="22"/>
                <w:szCs w:val="22"/>
                <w:lang w:val="sr-Latn-ME" w:eastAsia="sr-Latn-ME"/>
              </w:rPr>
              <w:t>.</w:t>
            </w:r>
            <w:r w:rsidR="00CD3D3E" w:rsidRPr="00B35962">
              <w:rPr>
                <w:rFonts w:ascii="Garamond" w:eastAsia="Times New Roman" w:hAnsi="Garamond" w:cs="Calibri"/>
                <w:sz w:val="22"/>
                <w:szCs w:val="22"/>
                <w:lang w:val="sr-Latn-ME" w:eastAsia="sr-Latn-ME"/>
              </w:rPr>
              <w:t>000 €</w:t>
            </w:r>
            <w:r w:rsidR="004F4934" w:rsidRPr="00B35962">
              <w:rPr>
                <w:rFonts w:ascii="Garamond" w:eastAsia="Times New Roman" w:hAnsi="Garamond" w:cs="Calibri"/>
                <w:sz w:val="22"/>
                <w:szCs w:val="22"/>
                <w:lang w:val="sr-Latn-ME" w:eastAsia="sr-Latn-ME"/>
              </w:rPr>
              <w:t xml:space="preserve"> redovna sredstva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D249E4"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Univerzitet Crne Gore</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75697A27" w14:textId="4689EE9E" w:rsidR="00B5024A" w:rsidRPr="00B35962" w:rsidRDefault="001D53DE" w:rsidP="00B5024A">
            <w:pPr>
              <w:spacing w:line="240" w:lineRule="auto"/>
              <w:ind w:firstLine="0"/>
              <w:jc w:val="right"/>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redovna aktivnost</w:t>
            </w:r>
            <w:r w:rsidR="00B5024A" w:rsidRPr="00B35962">
              <w:rPr>
                <w:rFonts w:ascii="Garamond" w:eastAsia="Times New Roman" w:hAnsi="Garamond" w:cs="Calibri"/>
                <w:sz w:val="22"/>
                <w:szCs w:val="22"/>
                <w:lang w:val="sr-Latn-ME" w:eastAsia="sr-Latn-ME"/>
              </w:rPr>
              <w:t> </w:t>
            </w:r>
          </w:p>
        </w:tc>
      </w:tr>
      <w:tr w:rsidR="007946F6" w:rsidRPr="00B35962" w14:paraId="1F653EDD" w14:textId="77777777" w:rsidTr="00AB1025">
        <w:trPr>
          <w:trHeight w:val="1557"/>
        </w:trPr>
        <w:tc>
          <w:tcPr>
            <w:tcW w:w="3533" w:type="dxa"/>
            <w:vMerge w:val="restart"/>
            <w:tcBorders>
              <w:top w:val="nil"/>
              <w:left w:val="single" w:sz="8" w:space="0" w:color="auto"/>
              <w:bottom w:val="single" w:sz="8" w:space="0" w:color="000000"/>
              <w:right w:val="single" w:sz="8" w:space="0" w:color="auto"/>
            </w:tcBorders>
            <w:shd w:val="clear" w:color="000000" w:fill="D9E2F3"/>
            <w:textDirection w:val="btLr"/>
            <w:vAlign w:val="center"/>
            <w:hideMark/>
          </w:tcPr>
          <w:p w14:paraId="52FA43D8" w14:textId="25736E5E" w:rsidR="007946F6" w:rsidRPr="00B35962" w:rsidRDefault="00F7338E"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7946F6" w:rsidRPr="00B35962">
              <w:rPr>
                <w:rFonts w:ascii="Garamond" w:eastAsia="Times New Roman" w:hAnsi="Garamond" w:cs="Calibri"/>
                <w:b/>
                <w:bCs/>
                <w:sz w:val="22"/>
                <w:szCs w:val="22"/>
                <w:lang w:val="sr-Latn-ME" w:eastAsia="sr-Latn-ME"/>
              </w:rPr>
              <w:t>2.5: Unaprijediti postojeći sistem obezbjeđivanja kvaliteta</w:t>
            </w:r>
            <w:r w:rsidR="007946F6" w:rsidRPr="00B35962">
              <w:rPr>
                <w:rFonts w:ascii="Garamond" w:eastAsia="Times New Roman" w:hAnsi="Garamond" w:cs="Calibri"/>
                <w:b/>
                <w:bCs/>
                <w:sz w:val="22"/>
                <w:szCs w:val="22"/>
                <w:lang w:val="sr-Latn-ME" w:eastAsia="sr-Latn-ME"/>
              </w:rPr>
              <w:br/>
            </w:r>
            <w:r w:rsidR="007946F6" w:rsidRPr="00B35962">
              <w:rPr>
                <w:rFonts w:ascii="Garamond" w:eastAsia="Times New Roman" w:hAnsi="Garamond" w:cs="Calibri"/>
                <w:b/>
                <w:bCs/>
                <w:sz w:val="22"/>
                <w:szCs w:val="22"/>
                <w:lang w:val="sr-Latn-ME" w:eastAsia="sr-Latn-ME"/>
              </w:rPr>
              <w:br/>
            </w:r>
            <w:r w:rsidR="007946F6" w:rsidRPr="00B35962">
              <w:rPr>
                <w:rFonts w:ascii="Garamond" w:eastAsia="Times New Roman" w:hAnsi="Garamond" w:cs="Calibri"/>
                <w:sz w:val="22"/>
                <w:szCs w:val="22"/>
                <w:lang w:val="sr-Latn-ME" w:eastAsia="sr-Latn-ME"/>
              </w:rPr>
              <w:t xml:space="preserve">Indikator 2.5.1 Cjeloviti, koherentan, djelotvoran i efikasan sistem obezbjeđivanja kvaliteta je </w:t>
            </w:r>
            <w:r w:rsidR="00B316BF">
              <w:rPr>
                <w:rFonts w:ascii="Garamond" w:eastAsia="Times New Roman" w:hAnsi="Garamond" w:cs="Calibri"/>
                <w:sz w:val="22"/>
                <w:szCs w:val="22"/>
                <w:lang w:val="sr-Latn-ME" w:eastAsia="sr-Latn-ME"/>
              </w:rPr>
              <w:t>uspostavljen</w:t>
            </w:r>
            <w:r w:rsidR="007946F6" w:rsidRPr="00B35962">
              <w:rPr>
                <w:rFonts w:ascii="Garamond" w:eastAsia="Times New Roman" w:hAnsi="Garamond" w:cs="Calibri"/>
                <w:sz w:val="22"/>
                <w:szCs w:val="22"/>
                <w:lang w:val="sr-Latn-ME" w:eastAsia="sr-Latn-ME"/>
              </w:rPr>
              <w:t xml:space="preserve"> - Ne (2020)       Ne (2022)       Da (202</w:t>
            </w:r>
            <w:r w:rsidR="00AB1025" w:rsidRPr="00B35962">
              <w:rPr>
                <w:rFonts w:ascii="Garamond" w:eastAsia="Times New Roman" w:hAnsi="Garamond" w:cs="Calibri"/>
                <w:sz w:val="22"/>
                <w:szCs w:val="22"/>
                <w:lang w:val="sr-Latn-ME" w:eastAsia="sr-Latn-ME"/>
              </w:rPr>
              <w:t>5</w:t>
            </w:r>
            <w:r w:rsidR="007946F6" w:rsidRPr="00B35962">
              <w:rPr>
                <w:rFonts w:ascii="Garamond" w:eastAsia="Times New Roman" w:hAnsi="Garamond" w:cs="Calibri"/>
                <w:sz w:val="22"/>
                <w:szCs w:val="22"/>
                <w:lang w:val="sr-Latn-ME" w:eastAsia="sr-Latn-ME"/>
              </w:rPr>
              <w:t>)</w:t>
            </w:r>
          </w:p>
        </w:tc>
        <w:tc>
          <w:tcPr>
            <w:tcW w:w="2124" w:type="dxa"/>
            <w:tcBorders>
              <w:top w:val="single" w:sz="8" w:space="0" w:color="auto"/>
              <w:left w:val="nil"/>
              <w:right w:val="single" w:sz="4" w:space="0" w:color="auto"/>
            </w:tcBorders>
            <w:shd w:val="clear" w:color="auto" w:fill="auto"/>
            <w:vAlign w:val="center"/>
            <w:hideMark/>
          </w:tcPr>
          <w:p w14:paraId="660989D6" w14:textId="77777777" w:rsidR="007946F6" w:rsidRPr="00B35962" w:rsidRDefault="007946F6" w:rsidP="00DC0BA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2.5.1 Izraditi analizu postojećeg sistema za obezbjeđivanje kvaliteta PVO s</w:t>
            </w:r>
            <w:r w:rsidR="009E4555" w:rsidRPr="00B35962">
              <w:rPr>
                <w:rFonts w:ascii="Garamond" w:eastAsia="Times New Roman" w:hAnsi="Garamond" w:cs="Calibri"/>
                <w:sz w:val="22"/>
                <w:szCs w:val="22"/>
                <w:lang w:val="sr-Latn-ME" w:eastAsia="sr-Latn-ME"/>
              </w:rPr>
              <w:t xml:space="preserve">a preporukama za unapređivanje </w:t>
            </w:r>
          </w:p>
        </w:tc>
        <w:tc>
          <w:tcPr>
            <w:tcW w:w="1851" w:type="dxa"/>
            <w:tcBorders>
              <w:top w:val="single" w:sz="8" w:space="0" w:color="auto"/>
              <w:left w:val="nil"/>
              <w:right w:val="single" w:sz="4" w:space="0" w:color="auto"/>
            </w:tcBorders>
            <w:shd w:val="clear" w:color="auto" w:fill="auto"/>
            <w:vAlign w:val="center"/>
            <w:hideMark/>
          </w:tcPr>
          <w:p w14:paraId="16F9C4D1" w14:textId="77777777" w:rsidR="007946F6" w:rsidRPr="00B35962" w:rsidRDefault="007946F6" w:rsidP="00DC0BA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analizom i preporukama za unapređivanje postojećeg sist</w:t>
            </w:r>
            <w:r w:rsidR="00625641" w:rsidRPr="00B35962">
              <w:rPr>
                <w:rFonts w:ascii="Garamond" w:eastAsia="Times New Roman" w:hAnsi="Garamond" w:cs="Calibri"/>
                <w:sz w:val="22"/>
                <w:szCs w:val="22"/>
                <w:lang w:val="sr-Latn-ME" w:eastAsia="sr-Latn-ME"/>
              </w:rPr>
              <w:t>ema za obezbjeđivanje kvaliteta</w:t>
            </w:r>
          </w:p>
        </w:tc>
        <w:tc>
          <w:tcPr>
            <w:tcW w:w="1134" w:type="dxa"/>
            <w:tcBorders>
              <w:top w:val="single" w:sz="8" w:space="0" w:color="auto"/>
              <w:left w:val="nil"/>
              <w:right w:val="single" w:sz="4" w:space="0" w:color="auto"/>
            </w:tcBorders>
            <w:shd w:val="clear" w:color="auto" w:fill="auto"/>
            <w:vAlign w:val="center"/>
            <w:hideMark/>
          </w:tcPr>
          <w:p w14:paraId="070032E3" w14:textId="77777777" w:rsidR="007946F6" w:rsidRPr="00B35962" w:rsidRDefault="007946F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2DACE158" w14:textId="77777777" w:rsidR="007946F6" w:rsidRPr="00B35962" w:rsidRDefault="007946F6" w:rsidP="00B5024A">
            <w:pPr>
              <w:spacing w:line="240" w:lineRule="auto"/>
              <w:jc w:val="right"/>
              <w:rPr>
                <w:rFonts w:ascii="Garamond" w:eastAsia="Times New Roman" w:hAnsi="Garamond" w:cs="Calibri"/>
                <w:sz w:val="22"/>
                <w:szCs w:val="22"/>
                <w:lang w:val="sr-Latn-ME" w:eastAsia="sr-Latn-ME"/>
              </w:rPr>
            </w:pPr>
          </w:p>
        </w:tc>
        <w:tc>
          <w:tcPr>
            <w:tcW w:w="1134" w:type="dxa"/>
            <w:tcBorders>
              <w:top w:val="single" w:sz="8" w:space="0" w:color="auto"/>
              <w:left w:val="nil"/>
              <w:right w:val="single" w:sz="4" w:space="0" w:color="auto"/>
            </w:tcBorders>
            <w:shd w:val="clear" w:color="auto" w:fill="auto"/>
            <w:vAlign w:val="center"/>
            <w:hideMark/>
          </w:tcPr>
          <w:p w14:paraId="5C4DAD41" w14:textId="77777777" w:rsidR="007946F6" w:rsidRPr="00B35962" w:rsidRDefault="007946F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2AFC90F9" w14:textId="77777777" w:rsidR="007946F6" w:rsidRPr="00B35962" w:rsidRDefault="007946F6" w:rsidP="00B5024A">
            <w:pPr>
              <w:spacing w:line="240" w:lineRule="auto"/>
              <w:jc w:val="right"/>
              <w:rPr>
                <w:rFonts w:ascii="Garamond" w:eastAsia="Times New Roman" w:hAnsi="Garamond" w:cs="Calibri"/>
                <w:sz w:val="22"/>
                <w:szCs w:val="22"/>
                <w:lang w:val="sr-Latn-ME" w:eastAsia="sr-Latn-ME"/>
              </w:rPr>
            </w:pPr>
          </w:p>
        </w:tc>
        <w:tc>
          <w:tcPr>
            <w:tcW w:w="709" w:type="dxa"/>
            <w:tcBorders>
              <w:top w:val="single" w:sz="8" w:space="0" w:color="auto"/>
              <w:left w:val="nil"/>
              <w:right w:val="single" w:sz="4" w:space="0" w:color="auto"/>
            </w:tcBorders>
            <w:shd w:val="clear" w:color="auto" w:fill="auto"/>
            <w:vAlign w:val="center"/>
            <w:hideMark/>
          </w:tcPr>
          <w:p w14:paraId="36526BB0" w14:textId="77777777" w:rsidR="007946F6" w:rsidRPr="00B35962" w:rsidRDefault="007946F6"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p>
          <w:p w14:paraId="12FA0081" w14:textId="77777777" w:rsidR="007946F6" w:rsidRPr="00B35962" w:rsidRDefault="007946F6" w:rsidP="00B5024A">
            <w:pPr>
              <w:spacing w:line="240" w:lineRule="auto"/>
              <w:jc w:val="center"/>
              <w:rPr>
                <w:rFonts w:ascii="Garamond" w:eastAsia="Times New Roman" w:hAnsi="Garamond" w:cs="Calibri"/>
                <w:sz w:val="22"/>
                <w:szCs w:val="22"/>
                <w:lang w:val="sr-Latn-ME" w:eastAsia="sr-Latn-ME"/>
              </w:rPr>
            </w:pPr>
          </w:p>
        </w:tc>
        <w:tc>
          <w:tcPr>
            <w:tcW w:w="992" w:type="dxa"/>
            <w:tcBorders>
              <w:top w:val="single" w:sz="8" w:space="0" w:color="auto"/>
              <w:left w:val="nil"/>
              <w:right w:val="single" w:sz="4" w:space="0" w:color="auto"/>
            </w:tcBorders>
            <w:shd w:val="clear" w:color="auto" w:fill="auto"/>
            <w:vAlign w:val="center"/>
            <w:hideMark/>
          </w:tcPr>
          <w:p w14:paraId="1BF205DE" w14:textId="77777777" w:rsidR="007946F6"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r w:rsidR="007946F6" w:rsidRPr="00B35962">
              <w:rPr>
                <w:rFonts w:ascii="Garamond" w:eastAsia="Times New Roman" w:hAnsi="Garamond" w:cs="Calibri"/>
                <w:sz w:val="22"/>
                <w:szCs w:val="22"/>
                <w:lang w:val="sr-Latn-ME" w:eastAsia="sr-Latn-ME"/>
              </w:rPr>
              <w:t> </w:t>
            </w:r>
          </w:p>
          <w:p w14:paraId="2ED7E78C"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ili projekat </w:t>
            </w:r>
          </w:p>
          <w:p w14:paraId="2BDAADCB" w14:textId="77777777" w:rsidR="007946F6" w:rsidRPr="00B35962" w:rsidRDefault="007946F6" w:rsidP="00B5024A">
            <w:pPr>
              <w:spacing w:line="240" w:lineRule="auto"/>
              <w:jc w:val="right"/>
              <w:rPr>
                <w:rFonts w:ascii="Garamond" w:eastAsia="Times New Roman" w:hAnsi="Garamond" w:cs="Calibri"/>
                <w:sz w:val="22"/>
                <w:szCs w:val="22"/>
                <w:lang w:val="sr-Latn-ME" w:eastAsia="sr-Latn-ME"/>
              </w:rPr>
            </w:pPr>
          </w:p>
        </w:tc>
        <w:tc>
          <w:tcPr>
            <w:tcW w:w="1134" w:type="dxa"/>
            <w:tcBorders>
              <w:top w:val="single" w:sz="8" w:space="0" w:color="auto"/>
              <w:left w:val="nil"/>
              <w:right w:val="single" w:sz="4" w:space="0" w:color="auto"/>
            </w:tcBorders>
            <w:shd w:val="clear" w:color="auto" w:fill="auto"/>
            <w:vAlign w:val="center"/>
            <w:hideMark/>
          </w:tcPr>
          <w:p w14:paraId="7F4A069B" w14:textId="6DCC8AC1" w:rsidR="007946F6" w:rsidRPr="00B35962" w:rsidRDefault="00B316BF"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7946F6" w:rsidRPr="00B35962">
              <w:rPr>
                <w:rFonts w:ascii="Garamond" w:eastAsia="Times New Roman" w:hAnsi="Garamond" w:cs="Calibri"/>
                <w:sz w:val="22"/>
                <w:szCs w:val="22"/>
                <w:lang w:val="sr-Latn-ME" w:eastAsia="sr-Latn-ME"/>
              </w:rPr>
              <w:t>, ZzŠ</w:t>
            </w:r>
          </w:p>
          <w:p w14:paraId="55EC5B8C" w14:textId="77777777" w:rsidR="007946F6" w:rsidRPr="00B35962" w:rsidRDefault="007946F6" w:rsidP="00B5024A">
            <w:pPr>
              <w:spacing w:line="240" w:lineRule="auto"/>
              <w:jc w:val="right"/>
              <w:rPr>
                <w:rFonts w:ascii="Garamond" w:eastAsia="Times New Roman" w:hAnsi="Garamond" w:cs="Calibri"/>
                <w:sz w:val="22"/>
                <w:szCs w:val="22"/>
                <w:lang w:val="sr-Latn-ME" w:eastAsia="sr-Latn-ME"/>
              </w:rPr>
            </w:pPr>
          </w:p>
        </w:tc>
        <w:tc>
          <w:tcPr>
            <w:tcW w:w="1139" w:type="dxa"/>
            <w:tcBorders>
              <w:top w:val="single" w:sz="8" w:space="0" w:color="auto"/>
              <w:left w:val="nil"/>
              <w:right w:val="single" w:sz="8" w:space="0" w:color="auto"/>
            </w:tcBorders>
            <w:shd w:val="clear" w:color="auto" w:fill="auto"/>
            <w:vAlign w:val="center"/>
            <w:hideMark/>
          </w:tcPr>
          <w:p w14:paraId="6780F1C8" w14:textId="3C93B1CC" w:rsidR="007946F6" w:rsidRPr="00B35962" w:rsidRDefault="001D53DE" w:rsidP="00B5024A">
            <w:pPr>
              <w:spacing w:line="240" w:lineRule="auto"/>
              <w:ind w:firstLine="0"/>
              <w:jc w:val="right"/>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donatori</w:t>
            </w:r>
            <w:r w:rsidR="007946F6" w:rsidRPr="00B35962">
              <w:rPr>
                <w:rFonts w:ascii="Garamond" w:eastAsia="Times New Roman" w:hAnsi="Garamond" w:cs="Calibri"/>
                <w:sz w:val="22"/>
                <w:szCs w:val="22"/>
                <w:lang w:val="sr-Latn-ME" w:eastAsia="sr-Latn-ME"/>
              </w:rPr>
              <w:t> </w:t>
            </w:r>
          </w:p>
          <w:p w14:paraId="58C88362" w14:textId="77777777" w:rsidR="007946F6" w:rsidRPr="00B35962" w:rsidRDefault="007946F6" w:rsidP="00B5024A">
            <w:pPr>
              <w:spacing w:line="240" w:lineRule="auto"/>
              <w:jc w:val="right"/>
              <w:rPr>
                <w:rFonts w:ascii="Garamond" w:eastAsia="Times New Roman" w:hAnsi="Garamond" w:cs="Calibri"/>
                <w:sz w:val="22"/>
                <w:szCs w:val="22"/>
                <w:lang w:val="sr-Latn-ME" w:eastAsia="sr-Latn-ME"/>
              </w:rPr>
            </w:pPr>
          </w:p>
        </w:tc>
      </w:tr>
      <w:tr w:rsidR="00B5024A" w:rsidRPr="00B35962" w14:paraId="2A8FA757" w14:textId="77777777" w:rsidTr="00AB1025">
        <w:trPr>
          <w:trHeight w:val="547"/>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0A296C38"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6234" w14:textId="77777777" w:rsidR="00B5024A" w:rsidRPr="00B35962" w:rsidRDefault="00B5024A" w:rsidP="00891D65">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2.5.</w:t>
            </w:r>
            <w:r w:rsidR="00891D65" w:rsidRPr="00B35962">
              <w:rPr>
                <w:rFonts w:ascii="Garamond" w:eastAsia="Times New Roman" w:hAnsi="Garamond" w:cs="Calibri"/>
                <w:sz w:val="22"/>
                <w:szCs w:val="22"/>
                <w:lang w:val="sr-Latn-ME" w:eastAsia="sr-Latn-ME"/>
              </w:rPr>
              <w:t>2. Izrada</w:t>
            </w:r>
            <w:r w:rsidR="00E56E43" w:rsidRPr="00B35962">
              <w:rPr>
                <w:rFonts w:ascii="Garamond" w:eastAsia="Times New Roman" w:hAnsi="Garamond" w:cs="Calibri"/>
                <w:sz w:val="22"/>
                <w:szCs w:val="22"/>
                <w:lang w:val="sr-Latn-ME" w:eastAsia="sr-Latn-ME"/>
              </w:rPr>
              <w:t xml:space="preserve"> i usvajanje</w:t>
            </w:r>
            <w:r w:rsidR="00891D65" w:rsidRPr="00B35962">
              <w:rPr>
                <w:rFonts w:ascii="Garamond" w:eastAsia="Times New Roman" w:hAnsi="Garamond" w:cs="Calibri"/>
                <w:sz w:val="22"/>
                <w:szCs w:val="22"/>
                <w:lang w:val="sr-Latn-ME" w:eastAsia="sr-Latn-ME"/>
              </w:rPr>
              <w:t xml:space="preserve"> </w:t>
            </w:r>
            <w:r w:rsidRPr="00B35962">
              <w:rPr>
                <w:rFonts w:ascii="Garamond" w:eastAsia="Times New Roman" w:hAnsi="Garamond" w:cs="Calibri"/>
                <w:sz w:val="22"/>
                <w:szCs w:val="22"/>
                <w:lang w:val="sr-Latn-ME" w:eastAsia="sr-Latn-ME"/>
              </w:rPr>
              <w:t xml:space="preserve">novog sistema za </w:t>
            </w:r>
            <w:r w:rsidR="00F23D87" w:rsidRPr="00B35962">
              <w:rPr>
                <w:rFonts w:ascii="Garamond" w:eastAsia="Times New Roman" w:hAnsi="Garamond" w:cs="Calibri"/>
                <w:sz w:val="22"/>
                <w:szCs w:val="22"/>
                <w:lang w:val="sr-Latn-ME" w:eastAsia="sr-Latn-ME"/>
              </w:rPr>
              <w:t>obezbjeđivanje</w:t>
            </w:r>
            <w:r w:rsidRPr="00B35962">
              <w:rPr>
                <w:rFonts w:ascii="Garamond" w:eastAsia="Times New Roman" w:hAnsi="Garamond" w:cs="Calibri"/>
                <w:sz w:val="22"/>
                <w:szCs w:val="22"/>
                <w:lang w:val="sr-Latn-ME" w:eastAsia="sr-Latn-ME"/>
              </w:rPr>
              <w:t xml:space="preserve"> kvaliteta</w:t>
            </w:r>
            <w:r w:rsidR="00763107" w:rsidRPr="00B35962">
              <w:rPr>
                <w:rFonts w:ascii="Garamond" w:eastAsia="Times New Roman" w:hAnsi="Garamond" w:cs="Calibri"/>
                <w:sz w:val="22"/>
                <w:szCs w:val="22"/>
                <w:lang w:val="sr-Latn-ME" w:eastAsia="sr-Latn-ME"/>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95822" w14:textId="77777777" w:rsidR="00B5024A" w:rsidRPr="00B35962" w:rsidRDefault="00351906" w:rsidP="00351906">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Usvojena nova metodologija </w:t>
            </w:r>
            <w:r w:rsidR="00E56E43" w:rsidRPr="00B35962">
              <w:rPr>
                <w:rFonts w:ascii="Garamond" w:eastAsia="Times New Roman" w:hAnsi="Garamond" w:cs="Calibri"/>
                <w:sz w:val="22"/>
                <w:szCs w:val="22"/>
                <w:lang w:val="sr-Latn-ME" w:eastAsia="sr-Latn-ME"/>
              </w:rPr>
              <w:t xml:space="preserve">obezbjeđivanja kvaliteta </w:t>
            </w:r>
            <w:r w:rsidRPr="00B35962">
              <w:rPr>
                <w:rFonts w:ascii="Garamond" w:eastAsia="Times New Roman" w:hAnsi="Garamond" w:cs="Calibri"/>
                <w:sz w:val="22"/>
                <w:szCs w:val="22"/>
                <w:lang w:val="sr-Latn-ME" w:eastAsia="sr-Latn-M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6D1EA" w14:textId="77777777" w:rsidR="00B5024A" w:rsidRPr="00B35962" w:rsidRDefault="00E56E43"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FD560"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995C5" w14:textId="77777777" w:rsidR="00B5024A" w:rsidRPr="00B35962" w:rsidRDefault="00B5024A" w:rsidP="000E1D5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394DD" w14:textId="77777777" w:rsidR="00B5024A"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r w:rsidR="00B5024A" w:rsidRPr="00B35962">
              <w:rPr>
                <w:rFonts w:ascii="Garamond" w:eastAsia="Times New Roman" w:hAnsi="Garamond" w:cs="Calibri"/>
                <w:sz w:val="22"/>
                <w:szCs w:val="22"/>
                <w:lang w:val="sr-Latn-ME" w:eastAsia="sr-Latn-ME"/>
              </w:rPr>
              <w:t> </w:t>
            </w:r>
          </w:p>
          <w:p w14:paraId="26E2A426"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ili projekat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012AE" w14:textId="77777777" w:rsidR="00B5024A" w:rsidRPr="00B35962" w:rsidRDefault="00B5024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ZzŠ</w:t>
            </w:r>
            <w:r w:rsidR="00891D65" w:rsidRPr="00B35962">
              <w:rPr>
                <w:rFonts w:ascii="Garamond" w:eastAsia="Times New Roman" w:hAnsi="Garamond" w:cs="Calibri"/>
                <w:sz w:val="22"/>
                <w:szCs w:val="22"/>
                <w:lang w:val="sr-Latn-ME" w:eastAsia="sr-Latn-ME"/>
              </w:rPr>
              <w:t>, Nacionalni savjet za obrazovanje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984FC" w14:textId="313DE584" w:rsidR="00B5024A" w:rsidRPr="00B35962" w:rsidRDefault="001D53DE" w:rsidP="00B5024A">
            <w:pPr>
              <w:spacing w:line="240" w:lineRule="auto"/>
              <w:ind w:firstLine="0"/>
              <w:jc w:val="right"/>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redovna aktivnost</w:t>
            </w:r>
            <w:r w:rsidR="00B5024A" w:rsidRPr="00B35962">
              <w:rPr>
                <w:rFonts w:ascii="Garamond" w:eastAsia="Times New Roman" w:hAnsi="Garamond" w:cs="Calibri"/>
                <w:sz w:val="22"/>
                <w:szCs w:val="22"/>
                <w:lang w:val="sr-Latn-ME" w:eastAsia="sr-Latn-ME"/>
              </w:rPr>
              <w:t> </w:t>
            </w:r>
          </w:p>
        </w:tc>
      </w:tr>
      <w:tr w:rsidR="00B5024A" w:rsidRPr="00B35962" w14:paraId="275C519F" w14:textId="77777777" w:rsidTr="00AB1025">
        <w:trPr>
          <w:trHeight w:val="1113"/>
        </w:trPr>
        <w:tc>
          <w:tcPr>
            <w:tcW w:w="3533" w:type="dxa"/>
            <w:vMerge/>
            <w:tcBorders>
              <w:top w:val="single" w:sz="4" w:space="0" w:color="auto"/>
              <w:left w:val="single" w:sz="8" w:space="0" w:color="auto"/>
              <w:bottom w:val="single" w:sz="4" w:space="0" w:color="auto"/>
              <w:right w:val="single" w:sz="8" w:space="0" w:color="auto"/>
            </w:tcBorders>
            <w:vAlign w:val="center"/>
            <w:hideMark/>
          </w:tcPr>
          <w:p w14:paraId="64138EBE"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5D57FC91" w14:textId="77777777" w:rsidR="00B5024A" w:rsidRPr="00B35962" w:rsidRDefault="00B5024A" w:rsidP="00891D65">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2.5.</w:t>
            </w:r>
            <w:r w:rsidR="00891D65" w:rsidRPr="00B35962">
              <w:rPr>
                <w:rFonts w:ascii="Garamond" w:eastAsia="Times New Roman" w:hAnsi="Garamond" w:cs="Calibri"/>
                <w:sz w:val="22"/>
                <w:szCs w:val="22"/>
                <w:lang w:val="sr-Latn-ME" w:eastAsia="sr-Latn-ME"/>
              </w:rPr>
              <w:t>3  Savjetovanje i obuka kadra za primjenu novog sistema kvaliteta</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138135F3" w14:textId="77777777" w:rsidR="00B5024A" w:rsidRPr="00B35962" w:rsidRDefault="00E56E43"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Organizovano 6 obuka zaposlenih u ZZŠ i vrtićima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FF54A3" w14:textId="77777777" w:rsidR="00B5024A" w:rsidRPr="00B35962" w:rsidRDefault="00E56E43"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45ED540" w14:textId="77777777" w:rsidR="00B5024A" w:rsidRPr="00B35962" w:rsidRDefault="00E56E43"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27982B" w14:textId="77777777" w:rsidR="00B5024A" w:rsidRPr="00B35962" w:rsidRDefault="00B5024A" w:rsidP="00E56E43">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059200" w14:textId="77777777" w:rsidR="00B5024A" w:rsidRPr="00B35962" w:rsidRDefault="00CD3D3E"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r w:rsidR="00B5024A" w:rsidRPr="00B35962">
              <w:rPr>
                <w:rFonts w:ascii="Garamond" w:eastAsia="Times New Roman" w:hAnsi="Garamond" w:cs="Calibri"/>
                <w:sz w:val="22"/>
                <w:szCs w:val="22"/>
                <w:lang w:val="sr-Latn-ME" w:eastAsia="sr-Latn-ME"/>
              </w:rPr>
              <w:t> </w:t>
            </w:r>
          </w:p>
          <w:p w14:paraId="3FBEBE73"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ili projekat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9D2150" w14:textId="77777777" w:rsidR="00B5024A" w:rsidRPr="00B35962" w:rsidRDefault="00B5024A" w:rsidP="00891D65">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ZzŠ, </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0E13C43F" w14:textId="77777777" w:rsidR="00B5024A" w:rsidRPr="00B35962" w:rsidRDefault="00891D65"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w:t>
            </w:r>
            <w:r w:rsidR="00B5024A" w:rsidRPr="00B35962">
              <w:rPr>
                <w:rFonts w:ascii="Garamond" w:eastAsia="Times New Roman" w:hAnsi="Garamond" w:cs="Calibri"/>
                <w:sz w:val="22"/>
                <w:szCs w:val="22"/>
                <w:lang w:val="sr-Latn-ME" w:eastAsia="sr-Latn-ME"/>
              </w:rPr>
              <w:t> </w:t>
            </w:r>
          </w:p>
        </w:tc>
      </w:tr>
      <w:tr w:rsidR="00482DEB" w:rsidRPr="00B35962" w14:paraId="1DA1993E" w14:textId="77777777" w:rsidTr="00AB1025">
        <w:trPr>
          <w:trHeight w:val="1369"/>
        </w:trPr>
        <w:tc>
          <w:tcPr>
            <w:tcW w:w="3533" w:type="dxa"/>
            <w:vMerge/>
            <w:tcBorders>
              <w:top w:val="single" w:sz="4" w:space="0" w:color="auto"/>
              <w:left w:val="single" w:sz="8" w:space="0" w:color="auto"/>
              <w:bottom w:val="single" w:sz="4" w:space="0" w:color="auto"/>
              <w:right w:val="single" w:sz="8" w:space="0" w:color="auto"/>
            </w:tcBorders>
            <w:vAlign w:val="center"/>
          </w:tcPr>
          <w:p w14:paraId="1BB40519" w14:textId="77777777" w:rsidR="00482DEB" w:rsidRPr="00B35962" w:rsidRDefault="00482DEB" w:rsidP="00482DEB">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single" w:sz="4" w:space="0" w:color="auto"/>
              <w:left w:val="nil"/>
              <w:bottom w:val="single" w:sz="4" w:space="0" w:color="auto"/>
              <w:right w:val="single" w:sz="4" w:space="0" w:color="auto"/>
            </w:tcBorders>
            <w:shd w:val="clear" w:color="auto" w:fill="auto"/>
            <w:vAlign w:val="center"/>
          </w:tcPr>
          <w:p w14:paraId="64345CBB" w14:textId="77777777" w:rsidR="00482DEB" w:rsidRPr="00B35962" w:rsidRDefault="00482DEB" w:rsidP="006B6151">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2.5.</w:t>
            </w:r>
            <w:r w:rsidR="00891D65" w:rsidRPr="00B35962">
              <w:rPr>
                <w:rFonts w:ascii="Garamond" w:eastAsia="Times New Roman" w:hAnsi="Garamond" w:cs="Calibri"/>
                <w:sz w:val="22"/>
                <w:szCs w:val="22"/>
                <w:lang w:val="sr-Latn-ME" w:eastAsia="sr-Latn-ME"/>
              </w:rPr>
              <w:t>4</w:t>
            </w:r>
            <w:r w:rsidR="006B6151" w:rsidRPr="00B35962">
              <w:rPr>
                <w:rFonts w:ascii="Garamond" w:eastAsia="Times New Roman" w:hAnsi="Garamond" w:cs="Calibri"/>
                <w:sz w:val="22"/>
                <w:szCs w:val="22"/>
                <w:lang w:val="sr-Latn-ME" w:eastAsia="sr-Latn-ME"/>
              </w:rPr>
              <w:t xml:space="preserve"> </w:t>
            </w:r>
            <w:r w:rsidR="00891D65" w:rsidRPr="00B35962">
              <w:rPr>
                <w:rFonts w:ascii="Garamond" w:eastAsia="Times New Roman" w:hAnsi="Garamond" w:cs="Calibri"/>
                <w:sz w:val="22"/>
                <w:szCs w:val="22"/>
                <w:lang w:val="sr-Latn-ME" w:eastAsia="sr-Latn-ME"/>
              </w:rPr>
              <w:t>Uspostavljanje vježbaonica, praktičnog vođenja i</w:t>
            </w:r>
            <w:r w:rsidR="007B43B1" w:rsidRPr="00B35962">
              <w:rPr>
                <w:rFonts w:ascii="Garamond" w:eastAsia="Times New Roman" w:hAnsi="Garamond" w:cs="Calibri"/>
                <w:sz w:val="22"/>
                <w:szCs w:val="22"/>
                <w:lang w:val="sr-Latn-ME" w:eastAsia="sr-Latn-ME"/>
              </w:rPr>
              <w:t xml:space="preserve"> drugih formi podrške kvalitetu</w:t>
            </w:r>
            <w:r w:rsidR="00891D65" w:rsidRPr="00B35962">
              <w:rPr>
                <w:rFonts w:ascii="Garamond" w:eastAsia="Times New Roman" w:hAnsi="Garamond" w:cs="Calibri"/>
                <w:sz w:val="22"/>
                <w:szCs w:val="22"/>
                <w:lang w:val="sr-Latn-ME" w:eastAsia="sr-Latn-ME"/>
              </w:rPr>
              <w:t xml:space="preserve"> njih</w:t>
            </w:r>
            <w:r w:rsidR="007B43B1" w:rsidRPr="00B35962">
              <w:rPr>
                <w:rFonts w:ascii="Garamond" w:eastAsia="Times New Roman" w:hAnsi="Garamond" w:cs="Calibri"/>
                <w:sz w:val="22"/>
                <w:szCs w:val="22"/>
                <w:lang w:val="sr-Latn-ME" w:eastAsia="sr-Latn-ME"/>
              </w:rPr>
              <w:t>o</w:t>
            </w:r>
            <w:r w:rsidR="00891D65" w:rsidRPr="00B35962">
              <w:rPr>
                <w:rFonts w:ascii="Garamond" w:eastAsia="Times New Roman" w:hAnsi="Garamond" w:cs="Calibri"/>
                <w:sz w:val="22"/>
                <w:szCs w:val="22"/>
                <w:lang w:val="sr-Latn-ME" w:eastAsia="sr-Latn-ME"/>
              </w:rPr>
              <w:t>vo praćenje</w:t>
            </w:r>
          </w:p>
        </w:tc>
        <w:tc>
          <w:tcPr>
            <w:tcW w:w="1851" w:type="dxa"/>
            <w:tcBorders>
              <w:top w:val="single" w:sz="4" w:space="0" w:color="auto"/>
              <w:left w:val="nil"/>
              <w:bottom w:val="single" w:sz="4" w:space="0" w:color="auto"/>
              <w:right w:val="single" w:sz="4" w:space="0" w:color="auto"/>
            </w:tcBorders>
            <w:shd w:val="clear" w:color="auto" w:fill="auto"/>
            <w:vAlign w:val="center"/>
          </w:tcPr>
          <w:p w14:paraId="47D66B2B" w14:textId="77777777" w:rsidR="00E56E43" w:rsidRPr="00B35962" w:rsidRDefault="00E56E43" w:rsidP="00482DEB">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Uspostaviti 4 vježbaonice,  razvijen model praktičnih vođenja i organizovano 21 praktično vođenje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DA266B" w14:textId="77777777" w:rsidR="00482DEB" w:rsidRPr="00B35962" w:rsidRDefault="00E56E43" w:rsidP="00F24323">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 vježbaonice i 21 praktično vođenje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7008986" w14:textId="77777777" w:rsidR="00482DEB" w:rsidRPr="00B35962" w:rsidRDefault="00F24323" w:rsidP="00876C06">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 vježbaonice i 21 praktično vođenje</w:t>
            </w:r>
          </w:p>
        </w:tc>
        <w:tc>
          <w:tcPr>
            <w:tcW w:w="709" w:type="dxa"/>
            <w:tcBorders>
              <w:top w:val="single" w:sz="4" w:space="0" w:color="auto"/>
              <w:left w:val="nil"/>
              <w:bottom w:val="single" w:sz="4" w:space="0" w:color="auto"/>
              <w:right w:val="single" w:sz="4" w:space="0" w:color="auto"/>
            </w:tcBorders>
            <w:shd w:val="clear" w:color="auto" w:fill="auto"/>
            <w:vAlign w:val="center"/>
          </w:tcPr>
          <w:p w14:paraId="4AA8AB6D" w14:textId="77777777" w:rsidR="00482DEB" w:rsidRPr="00B35962" w:rsidRDefault="00482DEB" w:rsidP="00E56E43">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14:paraId="43C554F5" w14:textId="77777777" w:rsidR="004F4934" w:rsidRPr="00B35962" w:rsidRDefault="00CD3D3E" w:rsidP="00482DEB">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p>
          <w:p w14:paraId="0459051D" w14:textId="5E2D2EF6" w:rsidR="00482DEB" w:rsidRPr="00B35962" w:rsidRDefault="00CE42CA" w:rsidP="00482DEB">
            <w:pPr>
              <w:spacing w:line="240" w:lineRule="auto"/>
              <w:ind w:firstLine="0"/>
              <w:jc w:val="right"/>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Izvor: budžet ili projekat</w:t>
            </w:r>
            <w:r w:rsidR="00482DEB" w:rsidRPr="00B35962">
              <w:rPr>
                <w:rFonts w:ascii="Garamond" w:eastAsia="Times New Roman" w:hAnsi="Garamond" w:cs="Calibri"/>
                <w:sz w:val="22"/>
                <w:szCs w:val="22"/>
                <w:lang w:val="sr-Latn-ME" w:eastAsia="sr-Latn-ME"/>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25CF4C" w14:textId="387FE837" w:rsidR="00482DEB" w:rsidRPr="00B35962" w:rsidRDefault="00B316BF" w:rsidP="00482DEB">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482DEB" w:rsidRPr="00B35962">
              <w:rPr>
                <w:rFonts w:ascii="Garamond" w:eastAsia="Times New Roman" w:hAnsi="Garamond" w:cs="Calibri"/>
                <w:sz w:val="22"/>
                <w:szCs w:val="22"/>
                <w:lang w:val="sr-Latn-ME" w:eastAsia="sr-Latn-ME"/>
              </w:rPr>
              <w:t>, ZzŠ, PU</w:t>
            </w:r>
          </w:p>
        </w:tc>
        <w:tc>
          <w:tcPr>
            <w:tcW w:w="1139" w:type="dxa"/>
            <w:tcBorders>
              <w:top w:val="single" w:sz="4" w:space="0" w:color="auto"/>
              <w:left w:val="nil"/>
              <w:bottom w:val="single" w:sz="4" w:space="0" w:color="auto"/>
              <w:right w:val="single" w:sz="8" w:space="0" w:color="auto"/>
            </w:tcBorders>
            <w:shd w:val="clear" w:color="auto" w:fill="auto"/>
            <w:vAlign w:val="center"/>
          </w:tcPr>
          <w:p w14:paraId="538E856D" w14:textId="1EF83210" w:rsidR="00482DEB" w:rsidRPr="00B35962" w:rsidRDefault="001D53DE" w:rsidP="00482DEB">
            <w:pPr>
              <w:spacing w:line="240" w:lineRule="auto"/>
              <w:ind w:firstLine="0"/>
              <w:jc w:val="right"/>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donatori</w:t>
            </w:r>
            <w:r w:rsidR="00482DEB" w:rsidRPr="00B35962">
              <w:rPr>
                <w:rFonts w:ascii="Garamond" w:eastAsia="Times New Roman" w:hAnsi="Garamond" w:cs="Calibri"/>
                <w:sz w:val="22"/>
                <w:szCs w:val="22"/>
                <w:lang w:val="sr-Latn-ME" w:eastAsia="sr-Latn-ME"/>
              </w:rPr>
              <w:t> </w:t>
            </w:r>
          </w:p>
        </w:tc>
      </w:tr>
      <w:tr w:rsidR="009F0FF9" w:rsidRPr="00B35962" w14:paraId="42BE64FC" w14:textId="77777777" w:rsidTr="00AB1025">
        <w:trPr>
          <w:trHeight w:val="2117"/>
        </w:trPr>
        <w:tc>
          <w:tcPr>
            <w:tcW w:w="3533" w:type="dxa"/>
            <w:vMerge w:val="restart"/>
            <w:tcBorders>
              <w:top w:val="single" w:sz="4" w:space="0" w:color="auto"/>
              <w:left w:val="single" w:sz="4" w:space="0" w:color="auto"/>
              <w:bottom w:val="single" w:sz="4" w:space="0" w:color="auto"/>
              <w:right w:val="single" w:sz="4" w:space="0" w:color="auto"/>
            </w:tcBorders>
            <w:shd w:val="clear" w:color="000000" w:fill="D9E2F3"/>
            <w:textDirection w:val="btLr"/>
            <w:vAlign w:val="center"/>
            <w:hideMark/>
          </w:tcPr>
          <w:p w14:paraId="5B808F8D" w14:textId="06881570" w:rsidR="009F0FF9" w:rsidRPr="00B35962" w:rsidRDefault="00F7338E" w:rsidP="00136D9E">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9F0FF9" w:rsidRPr="00B35962">
              <w:rPr>
                <w:rFonts w:ascii="Garamond" w:eastAsia="Times New Roman" w:hAnsi="Garamond" w:cs="Calibri"/>
                <w:b/>
                <w:bCs/>
                <w:sz w:val="22"/>
                <w:szCs w:val="22"/>
                <w:lang w:val="sr-Latn-ME" w:eastAsia="sr-Latn-ME"/>
              </w:rPr>
              <w:t>2.6: Jačanje podrške roditeljima i porodicama</w:t>
            </w:r>
            <w:r w:rsidR="009F0FF9" w:rsidRPr="00B35962">
              <w:rPr>
                <w:rFonts w:ascii="Garamond" w:eastAsia="Times New Roman" w:hAnsi="Garamond" w:cs="Calibri"/>
                <w:b/>
                <w:bCs/>
                <w:sz w:val="22"/>
                <w:szCs w:val="22"/>
                <w:lang w:val="sr-Latn-ME" w:eastAsia="sr-Latn-ME"/>
              </w:rPr>
              <w:br/>
            </w:r>
            <w:r w:rsidR="009F0FF9" w:rsidRPr="00B35962">
              <w:rPr>
                <w:rFonts w:ascii="Garamond" w:eastAsia="Times New Roman" w:hAnsi="Garamond" w:cs="Calibri"/>
                <w:b/>
                <w:bCs/>
                <w:sz w:val="22"/>
                <w:szCs w:val="22"/>
                <w:lang w:val="sr-Latn-ME" w:eastAsia="sr-Latn-ME"/>
              </w:rPr>
              <w:br/>
            </w:r>
            <w:r w:rsidR="009F0FF9" w:rsidRPr="00B35962">
              <w:rPr>
                <w:rFonts w:ascii="Garamond" w:eastAsia="Times New Roman" w:hAnsi="Garamond" w:cs="Calibri"/>
                <w:sz w:val="22"/>
                <w:szCs w:val="22"/>
                <w:lang w:val="sr-Latn-ME" w:eastAsia="sr-Latn-ME"/>
              </w:rPr>
              <w:t>Indikator 2.6.1 Razviti, pilotirati i usvojiti program pružanja podrške roditeljima djece predškolskog uzrasta (MP) - Ne (2020)       Ne (2022)       Da (202</w:t>
            </w:r>
            <w:r w:rsidR="00136D9E" w:rsidRPr="00B35962">
              <w:rPr>
                <w:rFonts w:ascii="Garamond" w:eastAsia="Times New Roman" w:hAnsi="Garamond" w:cs="Calibri"/>
                <w:sz w:val="22"/>
                <w:szCs w:val="22"/>
                <w:lang w:val="sr-Latn-ME" w:eastAsia="sr-Latn-ME"/>
              </w:rPr>
              <w:t>5</w:t>
            </w:r>
            <w:r w:rsidR="009F0FF9" w:rsidRPr="00B35962">
              <w:rPr>
                <w:rFonts w:ascii="Garamond" w:eastAsia="Times New Roman" w:hAnsi="Garamond" w:cs="Calibri"/>
                <w:sz w:val="22"/>
                <w:szCs w:val="22"/>
                <w:lang w:val="sr-Latn-ME" w:eastAsia="sr-Latn-ME"/>
              </w:rPr>
              <w:t>)</w:t>
            </w:r>
            <w:r w:rsidR="009F0FF9" w:rsidRPr="00B35962">
              <w:rPr>
                <w:rFonts w:ascii="Garamond" w:eastAsia="Times New Roman" w:hAnsi="Garamond" w:cs="Calibri"/>
                <w:sz w:val="22"/>
                <w:szCs w:val="22"/>
                <w:lang w:val="sr-Latn-ME" w:eastAsia="sr-Latn-ME"/>
              </w:rPr>
              <w:br/>
              <w:t>Indikator 2.5.2 Razviti i usvojiti program z akreiranje i produkciju medijsih sadržaja za roditelje (MP) - Ne (2020)       Ne (2022)       Da (202</w:t>
            </w:r>
            <w:r w:rsidR="00AB1025" w:rsidRPr="00B35962">
              <w:rPr>
                <w:rFonts w:ascii="Garamond" w:eastAsia="Times New Roman" w:hAnsi="Garamond" w:cs="Calibri"/>
                <w:sz w:val="22"/>
                <w:szCs w:val="22"/>
                <w:lang w:val="sr-Latn-ME" w:eastAsia="sr-Latn-ME"/>
              </w:rPr>
              <w:t>5</w:t>
            </w:r>
            <w:r w:rsidR="009F0FF9" w:rsidRPr="00B35962">
              <w:rPr>
                <w:rFonts w:ascii="Garamond" w:eastAsia="Times New Roman" w:hAnsi="Garamond" w:cs="Calibri"/>
                <w:sz w:val="22"/>
                <w:szCs w:val="22"/>
                <w:lang w:val="sr-Latn-ME" w:eastAsia="sr-Latn-ME"/>
              </w:rPr>
              <w: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FFE9E" w14:textId="77777777" w:rsidR="009F0FF9" w:rsidRPr="00B35962" w:rsidRDefault="009F0FF9" w:rsidP="00E56E43">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2.6</w:t>
            </w:r>
            <w:r w:rsidR="006B6151" w:rsidRPr="00B35962">
              <w:rPr>
                <w:rFonts w:ascii="Garamond" w:eastAsia="Times New Roman" w:hAnsi="Garamond"/>
                <w:sz w:val="22"/>
                <w:szCs w:val="22"/>
                <w:lang w:val="sr-Latn-ME" w:eastAsia="sr-Latn-ME"/>
              </w:rPr>
              <w:t>.1 Razvoj programa za roditelje</w:t>
            </w:r>
            <w:r w:rsidRPr="00B35962">
              <w:rPr>
                <w:rFonts w:ascii="Garamond" w:eastAsia="Times New Roman" w:hAnsi="Garamond"/>
                <w:sz w:val="22"/>
                <w:szCs w:val="22"/>
                <w:lang w:val="sr-Latn-ME" w:eastAsia="sr-Latn-ME"/>
              </w:rPr>
              <w:t xml:space="preserve"> s modulima za one čija </w:t>
            </w:r>
            <w:r w:rsidR="00E56E43" w:rsidRPr="00B35962">
              <w:rPr>
                <w:rFonts w:ascii="Garamond" w:eastAsia="Times New Roman" w:hAnsi="Garamond"/>
                <w:sz w:val="22"/>
                <w:szCs w:val="22"/>
                <w:lang w:val="sr-Latn-ME" w:eastAsia="sr-Latn-ME"/>
              </w:rPr>
              <w:t>dj</w:t>
            </w:r>
            <w:r w:rsidRPr="00B35962">
              <w:rPr>
                <w:rFonts w:ascii="Garamond" w:eastAsia="Times New Roman" w:hAnsi="Garamond"/>
                <w:sz w:val="22"/>
                <w:szCs w:val="22"/>
                <w:lang w:val="sr-Latn-ME" w:eastAsia="sr-Latn-ME"/>
              </w:rPr>
              <w:t xml:space="preserve">eca pohađaju i one čija </w:t>
            </w:r>
            <w:r w:rsidR="00E56E43" w:rsidRPr="00B35962">
              <w:rPr>
                <w:rFonts w:ascii="Garamond" w:eastAsia="Times New Roman" w:hAnsi="Garamond"/>
                <w:sz w:val="22"/>
                <w:szCs w:val="22"/>
                <w:lang w:val="sr-Latn-ME" w:eastAsia="sr-Latn-ME"/>
              </w:rPr>
              <w:t>dj</w:t>
            </w:r>
            <w:r w:rsidRPr="00B35962">
              <w:rPr>
                <w:rFonts w:ascii="Garamond" w:eastAsia="Times New Roman" w:hAnsi="Garamond"/>
                <w:sz w:val="22"/>
                <w:szCs w:val="22"/>
                <w:lang w:val="sr-Latn-ME" w:eastAsia="sr-Latn-ME"/>
              </w:rPr>
              <w:t xml:space="preserve">eca ne pohađaju PVO, vođenje i primjena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F0E6" w14:textId="77777777" w:rsidR="009F0FF9" w:rsidRPr="00B35962" w:rsidRDefault="009F0FF9" w:rsidP="00E56E43">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Program rada urađen, sproveden</w:t>
            </w:r>
            <w:r w:rsidR="00E56E43" w:rsidRPr="00B35962">
              <w:rPr>
                <w:rFonts w:ascii="Garamond" w:eastAsia="Times New Roman" w:hAnsi="Garamond"/>
                <w:sz w:val="22"/>
                <w:szCs w:val="22"/>
                <w:lang w:val="sr-Latn-ME" w:eastAsia="sr-Latn-ME"/>
              </w:rPr>
              <w:t>a 21</w:t>
            </w:r>
            <w:r w:rsidRPr="00B35962">
              <w:rPr>
                <w:rFonts w:ascii="Garamond" w:eastAsia="Times New Roman" w:hAnsi="Garamond"/>
                <w:sz w:val="22"/>
                <w:szCs w:val="22"/>
                <w:lang w:val="sr-Latn-ME" w:eastAsia="sr-Latn-ME"/>
              </w:rPr>
              <w:t xml:space="preserve"> obuk</w:t>
            </w:r>
            <w:r w:rsidR="00E56E43" w:rsidRPr="00B35962">
              <w:rPr>
                <w:rFonts w:ascii="Garamond" w:eastAsia="Times New Roman" w:hAnsi="Garamond"/>
                <w:sz w:val="22"/>
                <w:szCs w:val="22"/>
                <w:lang w:val="sr-Latn-ME" w:eastAsia="sr-Latn-ME"/>
              </w:rPr>
              <w:t>a</w:t>
            </w:r>
            <w:r w:rsidRPr="00B35962">
              <w:rPr>
                <w:rFonts w:ascii="Garamond" w:eastAsia="Times New Roman" w:hAnsi="Garamond"/>
                <w:sz w:val="22"/>
                <w:szCs w:val="22"/>
                <w:lang w:val="sr-Latn-ME" w:eastAsia="sr-Latn-ME"/>
              </w:rPr>
              <w:t xml:space="preserve">, </w:t>
            </w:r>
            <w:r w:rsidR="00E56E43" w:rsidRPr="00B35962">
              <w:rPr>
                <w:rFonts w:ascii="Garamond" w:eastAsia="Times New Roman" w:hAnsi="Garamond"/>
                <w:sz w:val="22"/>
                <w:szCs w:val="22"/>
                <w:lang w:val="sr-Latn-ME" w:eastAsia="sr-Latn-ME"/>
              </w:rPr>
              <w:t>sprovedena</w:t>
            </w:r>
            <w:r w:rsidRPr="00B35962">
              <w:rPr>
                <w:rFonts w:ascii="Garamond" w:eastAsia="Times New Roman" w:hAnsi="Garamond"/>
                <w:sz w:val="22"/>
                <w:szCs w:val="22"/>
                <w:lang w:val="sr-Latn-ME" w:eastAsia="sr-Latn-ME"/>
              </w:rPr>
              <w:t xml:space="preserve"> evaluacij</w:t>
            </w:r>
            <w:r w:rsidR="00E56E43" w:rsidRPr="00B35962">
              <w:rPr>
                <w:rFonts w:ascii="Garamond" w:eastAsia="Times New Roman" w:hAnsi="Garamond"/>
                <w:sz w:val="22"/>
                <w:szCs w:val="22"/>
                <w:lang w:val="sr-Latn-ME" w:eastAsia="sr-Latn-ME"/>
              </w:rPr>
              <w:t>a programa</w:t>
            </w:r>
            <w:r w:rsidRPr="00B35962">
              <w:rPr>
                <w:rFonts w:ascii="Garamond" w:eastAsia="Times New Roman" w:hAnsi="Garamond"/>
                <w:sz w:val="22"/>
                <w:szCs w:val="22"/>
                <w:lang w:val="sr-Latn-ME" w:eastAsia="sr-Latn-M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B15A" w14:textId="77777777" w:rsidR="009F0FF9" w:rsidRPr="00B35962" w:rsidRDefault="001B723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3E8D7EAC" w14:textId="77777777" w:rsidR="00116C87" w:rsidRPr="00B35962" w:rsidRDefault="00116C87"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 obuka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15012" w14:textId="77777777" w:rsidR="009F0FF9" w:rsidRPr="00B35962" w:rsidRDefault="009F0FF9" w:rsidP="00B5024A">
            <w:pPr>
              <w:spacing w:line="240" w:lineRule="auto"/>
              <w:ind w:firstLine="0"/>
              <w:jc w:val="right"/>
              <w:rPr>
                <w:rFonts w:ascii="Garamond" w:eastAsia="Times New Roman" w:hAnsi="Garamond"/>
                <w:sz w:val="22"/>
                <w:szCs w:val="22"/>
                <w:lang w:val="sr-Latn-ME" w:eastAsia="sr-Latn-ME"/>
              </w:rPr>
            </w:pPr>
            <w:r w:rsidRPr="00B35962">
              <w:rPr>
                <w:rFonts w:ascii="Garamond" w:eastAsia="Times New Roman" w:hAnsi="Garamond"/>
                <w:sz w:val="22"/>
                <w:szCs w:val="22"/>
                <w:lang w:val="sr-Latn-ME" w:eastAsia="sr-Latn-ME"/>
              </w:rPr>
              <w:t>Da</w:t>
            </w:r>
          </w:p>
          <w:p w14:paraId="45A9963C" w14:textId="77777777" w:rsidR="00116C87" w:rsidRPr="00B35962" w:rsidRDefault="00116C87" w:rsidP="00116C87">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21 obuka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5185" w14:textId="77777777" w:rsidR="009F0FF9" w:rsidRPr="00B35962" w:rsidRDefault="009F0FF9"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2021-2022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506FF" w14:textId="77777777" w:rsidR="009F0FF9" w:rsidRPr="00B35962" w:rsidRDefault="00CD3D3E" w:rsidP="00B5024A">
            <w:pPr>
              <w:spacing w:line="240" w:lineRule="auto"/>
              <w:ind w:firstLine="0"/>
              <w:jc w:val="right"/>
              <w:rPr>
                <w:rFonts w:ascii="Garamond" w:eastAsia="Times New Roman" w:hAnsi="Garamond"/>
                <w:sz w:val="22"/>
                <w:szCs w:val="22"/>
                <w:lang w:val="sr-Latn-ME" w:eastAsia="sr-Latn-ME"/>
              </w:rPr>
            </w:pPr>
            <w:r w:rsidRPr="00B35962">
              <w:rPr>
                <w:rFonts w:ascii="Garamond" w:eastAsia="Times New Roman" w:hAnsi="Garamond" w:cs="Calibri"/>
                <w:sz w:val="22"/>
                <w:szCs w:val="22"/>
                <w:lang w:val="sr-Latn-ME" w:eastAsia="sr-Latn-ME"/>
              </w:rPr>
              <w:t>10</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r w:rsidR="009F0FF9" w:rsidRPr="00B35962">
              <w:rPr>
                <w:rFonts w:ascii="Garamond" w:eastAsia="Times New Roman" w:hAnsi="Garamond"/>
                <w:sz w:val="22"/>
                <w:szCs w:val="22"/>
                <w:lang w:val="sr-Latn-ME" w:eastAsia="sr-Latn-ME"/>
              </w:rPr>
              <w:t> </w:t>
            </w:r>
          </w:p>
          <w:p w14:paraId="162A60DF" w14:textId="77777777" w:rsidR="004F4934"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304C7" w14:textId="09577D87" w:rsidR="009F0FF9" w:rsidRPr="00B35962" w:rsidRDefault="00B316BF"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9F0FF9" w:rsidRPr="00B35962">
              <w:rPr>
                <w:rFonts w:ascii="Garamond" w:eastAsia="Times New Roman" w:hAnsi="Garamond"/>
                <w:sz w:val="22"/>
                <w:szCs w:val="22"/>
                <w:lang w:val="sr-Latn-ME" w:eastAsia="sr-Latn-ME"/>
              </w:rPr>
              <w:t>, ZzŠ, Nacionalni savjet za obrazovanje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B4838" w14:textId="77777777" w:rsidR="009F0FF9" w:rsidRPr="00B35962" w:rsidRDefault="009F0FF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donatori </w:t>
            </w:r>
          </w:p>
        </w:tc>
      </w:tr>
      <w:tr w:rsidR="006B6151" w:rsidRPr="00B35962" w14:paraId="496C5805" w14:textId="77777777" w:rsidTr="00AB1025">
        <w:trPr>
          <w:trHeight w:val="1178"/>
        </w:trPr>
        <w:tc>
          <w:tcPr>
            <w:tcW w:w="3533" w:type="dxa"/>
            <w:vMerge/>
            <w:tcBorders>
              <w:top w:val="single" w:sz="4" w:space="0" w:color="auto"/>
              <w:left w:val="single" w:sz="4" w:space="0" w:color="auto"/>
              <w:bottom w:val="single" w:sz="4" w:space="0" w:color="auto"/>
              <w:right w:val="single" w:sz="4" w:space="0" w:color="auto"/>
            </w:tcBorders>
            <w:shd w:val="clear" w:color="000000" w:fill="D9E2F3"/>
            <w:textDirection w:val="btLr"/>
            <w:vAlign w:val="center"/>
          </w:tcPr>
          <w:p w14:paraId="1D34ECD1" w14:textId="77777777" w:rsidR="009F0FF9" w:rsidRPr="00B35962" w:rsidRDefault="009F0FF9" w:rsidP="00B5024A">
            <w:pPr>
              <w:spacing w:line="240" w:lineRule="auto"/>
              <w:ind w:firstLine="0"/>
              <w:jc w:val="center"/>
              <w:rPr>
                <w:rFonts w:ascii="Garamond" w:eastAsia="Times New Roman" w:hAnsi="Garamond" w:cs="Calibri"/>
                <w:b/>
                <w:bCs/>
                <w:sz w:val="22"/>
                <w:szCs w:val="22"/>
                <w:lang w:val="sr-Latn-ME" w:eastAsia="sr-Latn-ME"/>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26DDC87" w14:textId="77777777" w:rsidR="009F0FF9" w:rsidRPr="00B35962" w:rsidRDefault="009F0FF9" w:rsidP="00B9058A">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 xml:space="preserve">2.6.2 Širenje </w:t>
            </w:r>
            <w:r w:rsidR="00C83692" w:rsidRPr="00B35962">
              <w:rPr>
                <w:rFonts w:ascii="Garamond" w:eastAsia="Times New Roman" w:hAnsi="Garamond"/>
                <w:sz w:val="22"/>
                <w:szCs w:val="22"/>
                <w:lang w:val="sr-Latn-ME" w:eastAsia="sr-Latn-ME"/>
              </w:rPr>
              <w:t xml:space="preserve">opšteg </w:t>
            </w:r>
            <w:r w:rsidRPr="00B35962">
              <w:rPr>
                <w:rFonts w:ascii="Garamond" w:eastAsia="Times New Roman" w:hAnsi="Garamond"/>
                <w:sz w:val="22"/>
                <w:szCs w:val="22"/>
                <w:lang w:val="sr-Latn-ME" w:eastAsia="sr-Latn-ME"/>
              </w:rPr>
              <w:t xml:space="preserve">postojećeg programa za roditelje </w:t>
            </w:r>
            <w:r w:rsidR="009E4555" w:rsidRPr="00B35962">
              <w:rPr>
                <w:rFonts w:ascii="Garamond" w:eastAsia="Times New Roman" w:hAnsi="Garamond"/>
                <w:sz w:val="22"/>
                <w:szCs w:val="22"/>
                <w:lang w:val="sr-Latn-ME" w:eastAsia="sr-Latn-ME"/>
              </w:rPr>
              <w:t>"</w:t>
            </w:r>
            <w:r w:rsidRPr="00B35962">
              <w:rPr>
                <w:rFonts w:ascii="Garamond" w:eastAsia="Times New Roman" w:hAnsi="Garamond"/>
                <w:sz w:val="22"/>
                <w:szCs w:val="22"/>
                <w:lang w:val="sr-Latn-ME" w:eastAsia="sr-Latn-ME"/>
              </w:rPr>
              <w:t xml:space="preserve">Roditeljstvo za </w:t>
            </w:r>
            <w:r w:rsidR="00C83692" w:rsidRPr="00B35962">
              <w:rPr>
                <w:rFonts w:ascii="Garamond" w:eastAsia="Times New Roman" w:hAnsi="Garamond"/>
                <w:sz w:val="22"/>
                <w:szCs w:val="22"/>
                <w:lang w:val="sr-Latn-ME" w:eastAsia="sr-Latn-ME"/>
              </w:rPr>
              <w:t>c</w:t>
            </w:r>
            <w:r w:rsidRPr="00B35962">
              <w:rPr>
                <w:rFonts w:ascii="Garamond" w:eastAsia="Times New Roman" w:hAnsi="Garamond"/>
                <w:sz w:val="22"/>
                <w:szCs w:val="22"/>
                <w:lang w:val="sr-Latn-ME" w:eastAsia="sr-Latn-ME"/>
              </w:rPr>
              <w:t>jeloživotno učenje"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1BB1EF47" w14:textId="77777777" w:rsidR="009F0FF9" w:rsidRPr="00B35962" w:rsidRDefault="009F0FF9"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Broj DZ, CSR, PU u kojima se primjenjuje progam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52E2B" w14:textId="77777777" w:rsidR="009F0FF9" w:rsidRPr="00B35962" w:rsidRDefault="009F0FF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8E403" w14:textId="77777777" w:rsidR="009F0FF9" w:rsidRPr="00B35962" w:rsidRDefault="009F0FF9"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90305D" w14:textId="77777777" w:rsidR="009F0FF9" w:rsidRPr="00B35962" w:rsidRDefault="009F0FF9" w:rsidP="005F0508">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202</w:t>
            </w:r>
            <w:r w:rsidR="005F0508" w:rsidRPr="00B35962">
              <w:rPr>
                <w:rFonts w:ascii="Garamond" w:eastAsia="Times New Roman" w:hAnsi="Garamond"/>
                <w:sz w:val="22"/>
                <w:szCs w:val="22"/>
                <w:lang w:val="sr-Latn-ME" w:eastAsia="sr-Latn-ME"/>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9C417F" w14:textId="77777777" w:rsidR="009F0FF9"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10.000 Izvor: projekat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95338" w14:textId="77777777" w:rsidR="009F0FF9" w:rsidRPr="00B35962" w:rsidRDefault="00AF5627" w:rsidP="00DC0BA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sz w:val="22"/>
                <w:szCs w:val="22"/>
                <w:lang w:val="sr-Latn-ME" w:eastAsia="sr-Latn-ME"/>
              </w:rPr>
              <w:t xml:space="preserve"> UNICEF</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4A5A06" w14:textId="3136D0E2" w:rsidR="009F0FF9" w:rsidRPr="00B35962" w:rsidRDefault="001D53DE" w:rsidP="001D53DE">
            <w:pPr>
              <w:spacing w:line="240" w:lineRule="auto"/>
              <w:ind w:firstLine="0"/>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 xml:space="preserve">donatori </w:t>
            </w:r>
          </w:p>
        </w:tc>
      </w:tr>
      <w:tr w:rsidR="00B5024A" w:rsidRPr="00B35962" w14:paraId="0F09A6E4" w14:textId="77777777" w:rsidTr="00AB1025">
        <w:trPr>
          <w:trHeight w:val="1361"/>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5C79885D"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13BBD" w14:textId="77777777" w:rsidR="00B5024A" w:rsidRPr="00B35962" w:rsidRDefault="00B5024A" w:rsidP="00DC0BA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2.6.</w:t>
            </w:r>
            <w:r w:rsidR="00F47CBB" w:rsidRPr="00B35962">
              <w:rPr>
                <w:rFonts w:ascii="Garamond" w:eastAsia="Times New Roman" w:hAnsi="Garamond" w:cs="Calibri"/>
                <w:sz w:val="22"/>
                <w:szCs w:val="22"/>
                <w:lang w:val="sr-Latn-ME" w:eastAsia="sr-Latn-ME"/>
              </w:rPr>
              <w:t>3</w:t>
            </w:r>
            <w:r w:rsidR="006B6151" w:rsidRPr="00B35962">
              <w:rPr>
                <w:rFonts w:ascii="Garamond" w:eastAsia="Times New Roman" w:hAnsi="Garamond" w:cs="Calibri"/>
                <w:sz w:val="22"/>
                <w:szCs w:val="22"/>
                <w:lang w:val="sr-Latn-ME" w:eastAsia="sr-Latn-ME"/>
              </w:rPr>
              <w:t xml:space="preserve"> </w:t>
            </w:r>
            <w:r w:rsidR="00DC0BA7" w:rsidRPr="00B35962">
              <w:rPr>
                <w:rFonts w:ascii="Garamond" w:eastAsia="Times New Roman" w:hAnsi="Garamond" w:cs="Calibri"/>
                <w:sz w:val="22"/>
                <w:szCs w:val="22"/>
                <w:lang w:val="sr-Latn-ME" w:eastAsia="sr-Latn-ME"/>
              </w:rPr>
              <w:t>Produkcija medijskih sadržaja i razvoj materijala za platformu za rano učenje na daljinu</w:t>
            </w:r>
            <w:r w:rsidR="00625641" w:rsidRPr="00B35962">
              <w:rPr>
                <w:rFonts w:ascii="Garamond" w:eastAsia="Times New Roman" w:hAnsi="Garamond" w:cs="Calibri"/>
                <w:sz w:val="22"/>
                <w:szCs w:val="22"/>
                <w:lang w:val="sr-Latn-ME" w:eastAsia="sr-Latn-ME"/>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DA757" w14:textId="77777777" w:rsidR="001B723A" w:rsidRPr="00B35962" w:rsidRDefault="006B615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Urađen</w:t>
            </w:r>
            <w:r w:rsidR="001B723A" w:rsidRPr="00B35962">
              <w:rPr>
                <w:rFonts w:ascii="Garamond" w:eastAsia="Times New Roman" w:hAnsi="Garamond" w:cs="Calibri"/>
                <w:sz w:val="22"/>
                <w:szCs w:val="22"/>
                <w:lang w:val="sr-Latn-ME" w:eastAsia="sr-Latn-ME"/>
              </w:rPr>
              <w:t xml:space="preserve"> 21 materijal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7ABC" w14:textId="77777777" w:rsidR="00B5024A" w:rsidRPr="00B35962" w:rsidRDefault="00FD6B0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urađen 21 materijal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67F1A" w14:textId="77777777" w:rsidR="00B5024A" w:rsidRPr="00B35962" w:rsidRDefault="00FD6B06"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urađen 21 materijal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6C536" w14:textId="77777777" w:rsidR="00B5024A" w:rsidRPr="00B35962" w:rsidRDefault="00B5024A" w:rsidP="00B5024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8E5E" w14:textId="77777777" w:rsidR="004F4934" w:rsidRPr="00B35962" w:rsidRDefault="002039E2"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000 €</w:t>
            </w:r>
          </w:p>
          <w:p w14:paraId="428A9F9D" w14:textId="16FF790B" w:rsidR="00B5024A" w:rsidRPr="00B35962" w:rsidRDefault="00CE42CA" w:rsidP="00B5024A">
            <w:pPr>
              <w:spacing w:line="240" w:lineRule="auto"/>
              <w:ind w:firstLine="0"/>
              <w:jc w:val="right"/>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Izvor: projekat</w:t>
            </w:r>
            <w:r w:rsidR="00B5024A" w:rsidRPr="00B35962">
              <w:rPr>
                <w:rFonts w:ascii="Garamond" w:eastAsia="Times New Roman" w:hAnsi="Garamond" w:cs="Calibri"/>
                <w:sz w:val="22"/>
                <w:szCs w:val="22"/>
                <w:lang w:val="sr-Latn-ME" w:eastAsia="sr-Latn-ME"/>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205A" w14:textId="3EAB4420" w:rsidR="00B5024A" w:rsidRPr="00B35962" w:rsidRDefault="00B316BF" w:rsidP="004339F8">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B5024A" w:rsidRPr="00B35962">
              <w:rPr>
                <w:rFonts w:ascii="Garamond" w:eastAsia="Times New Roman" w:hAnsi="Garamond" w:cs="Calibri"/>
                <w:sz w:val="22"/>
                <w:szCs w:val="22"/>
                <w:lang w:val="sr-Latn-ME" w:eastAsia="sr-Latn-ME"/>
              </w:rPr>
              <w:t>, ZzŠ, Zavod za udžbenike</w:t>
            </w:r>
            <w:r w:rsidR="004339F8" w:rsidRPr="00B35962">
              <w:rPr>
                <w:rFonts w:ascii="Garamond" w:eastAsia="Times New Roman" w:hAnsi="Garamond" w:cs="Calibri"/>
                <w:sz w:val="22"/>
                <w:szCs w:val="22"/>
                <w:lang w:val="sr-Latn-ME" w:eastAsia="sr-Latn-ME"/>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80021" w14:textId="77777777" w:rsidR="00B5024A" w:rsidRPr="00B35962" w:rsidRDefault="004339F8" w:rsidP="004339F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UNICEF</w:t>
            </w:r>
            <w:r w:rsidR="00DC0BA7" w:rsidRPr="00B35962">
              <w:rPr>
                <w:rFonts w:ascii="Garamond" w:eastAsia="Times New Roman" w:hAnsi="Garamond" w:cs="Calibri"/>
                <w:sz w:val="22"/>
                <w:szCs w:val="22"/>
                <w:lang w:val="sr-Latn-ME" w:eastAsia="sr-Latn-ME"/>
              </w:rPr>
              <w:t>, donatori</w:t>
            </w:r>
            <w:r w:rsidR="00B5024A" w:rsidRPr="00B35962">
              <w:rPr>
                <w:rFonts w:ascii="Garamond" w:eastAsia="Times New Roman" w:hAnsi="Garamond" w:cs="Calibri"/>
                <w:sz w:val="22"/>
                <w:szCs w:val="22"/>
                <w:lang w:val="sr-Latn-ME" w:eastAsia="sr-Latn-ME"/>
              </w:rPr>
              <w:t> </w:t>
            </w:r>
          </w:p>
        </w:tc>
      </w:tr>
      <w:tr w:rsidR="00B5024A" w:rsidRPr="00B35962" w14:paraId="6FC19CD0" w14:textId="77777777" w:rsidTr="00AB1025">
        <w:trPr>
          <w:trHeight w:val="940"/>
        </w:trPr>
        <w:tc>
          <w:tcPr>
            <w:tcW w:w="3533" w:type="dxa"/>
            <w:vMerge w:val="restart"/>
            <w:tcBorders>
              <w:top w:val="single" w:sz="4" w:space="0" w:color="auto"/>
              <w:left w:val="single" w:sz="4" w:space="0" w:color="auto"/>
              <w:bottom w:val="single" w:sz="4" w:space="0" w:color="auto"/>
              <w:right w:val="single" w:sz="4" w:space="0" w:color="auto"/>
            </w:tcBorders>
            <w:shd w:val="clear" w:color="000000" w:fill="D9E2F3"/>
            <w:textDirection w:val="btLr"/>
            <w:vAlign w:val="center"/>
            <w:hideMark/>
          </w:tcPr>
          <w:p w14:paraId="00543573" w14:textId="502552EE" w:rsidR="00B5024A" w:rsidRPr="00B35962" w:rsidRDefault="008265F4" w:rsidP="00AB1025">
            <w:pPr>
              <w:spacing w:line="240" w:lineRule="auto"/>
              <w:ind w:firstLine="0"/>
              <w:jc w:val="center"/>
              <w:rPr>
                <w:rFonts w:ascii="Garamond" w:eastAsia="Times New Roman" w:hAnsi="Garamond" w:cs="Calibri"/>
                <w:b/>
                <w:bCs/>
                <w:sz w:val="22"/>
                <w:szCs w:val="22"/>
                <w:lang w:val="sr-Latn-ME" w:eastAsia="sr-Latn-ME"/>
              </w:rPr>
            </w:pPr>
            <w:r w:rsidRPr="00B35962">
              <w:rPr>
                <w:lang w:val="sr-Latn-ME"/>
              </w:rPr>
              <w:br w:type="page"/>
            </w:r>
            <w:r w:rsidR="00F7338E" w:rsidRPr="00B35962">
              <w:rPr>
                <w:i/>
                <w:lang w:val="sr-Latn-ME"/>
              </w:rPr>
              <w:t>Ključno mjerilo</w:t>
            </w:r>
            <w:r w:rsidR="00F7338E" w:rsidRPr="00B35962">
              <w:rPr>
                <w:lang w:val="sr-Latn-ME"/>
              </w:rPr>
              <w:t xml:space="preserve"> </w:t>
            </w:r>
            <w:r w:rsidR="00B5024A" w:rsidRPr="00B35962">
              <w:rPr>
                <w:rFonts w:ascii="Garamond" w:eastAsia="Times New Roman" w:hAnsi="Garamond" w:cs="Calibri"/>
                <w:b/>
                <w:bCs/>
                <w:sz w:val="22"/>
                <w:szCs w:val="22"/>
                <w:lang w:val="sr-Latn-ME" w:eastAsia="sr-Latn-ME"/>
              </w:rPr>
              <w:t>2.7: Unapređenje kvaliteta ishrane u predškolskim ustanovama</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sz w:val="22"/>
                <w:szCs w:val="22"/>
                <w:lang w:val="sr-Latn-ME" w:eastAsia="sr-Latn-ME"/>
              </w:rPr>
              <w:t>Indikator 2.7.1 Broj ustanova koje zadovoljavaju standarde ishrane u predškolskim ustanovama po nacionalnim Smjernicama Instituta za javno zdravlje (MP) - 0 (2020)       10 (2022)       18 (202</w:t>
            </w:r>
            <w:r w:rsidR="00AB1025" w:rsidRPr="00B35962">
              <w:rPr>
                <w:rFonts w:ascii="Garamond" w:eastAsia="Times New Roman" w:hAnsi="Garamond" w:cs="Calibri"/>
                <w:sz w:val="22"/>
                <w:szCs w:val="22"/>
                <w:lang w:val="sr-Latn-ME" w:eastAsia="sr-Latn-ME"/>
              </w:rPr>
              <w:t>5</w:t>
            </w:r>
            <w:r w:rsidR="00B5024A" w:rsidRPr="00B35962">
              <w:rPr>
                <w:rFonts w:ascii="Garamond" w:eastAsia="Times New Roman" w:hAnsi="Garamond" w:cs="Calibri"/>
                <w:sz w:val="22"/>
                <w:szCs w:val="22"/>
                <w:lang w:val="sr-Latn-ME" w:eastAsia="sr-Latn-ME"/>
              </w:rPr>
              <w: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2E3B" w14:textId="77777777" w:rsidR="00B5024A" w:rsidRPr="00B35962" w:rsidRDefault="00B5024A" w:rsidP="001B723A">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2.7.1 Razvoj </w:t>
            </w:r>
            <w:r w:rsidR="000A5467" w:rsidRPr="00B35962">
              <w:rPr>
                <w:rFonts w:ascii="Garamond" w:eastAsia="Times New Roman" w:hAnsi="Garamond" w:cs="Calibri"/>
                <w:sz w:val="22"/>
                <w:szCs w:val="22"/>
                <w:lang w:val="sr-Latn-ME" w:eastAsia="sr-Latn-ME"/>
              </w:rPr>
              <w:t>i primje</w:t>
            </w:r>
            <w:r w:rsidR="008309CF" w:rsidRPr="00B35962">
              <w:rPr>
                <w:rFonts w:ascii="Garamond" w:eastAsia="Times New Roman" w:hAnsi="Garamond" w:cs="Calibri"/>
                <w:sz w:val="22"/>
                <w:szCs w:val="22"/>
                <w:lang w:val="sr-Latn-ME" w:eastAsia="sr-Latn-ME"/>
              </w:rPr>
              <w:t xml:space="preserve">na </w:t>
            </w:r>
            <w:r w:rsidRPr="00B35962">
              <w:rPr>
                <w:rFonts w:ascii="Garamond" w:eastAsia="Times New Roman" w:hAnsi="Garamond" w:cs="Calibri"/>
                <w:sz w:val="22"/>
                <w:szCs w:val="22"/>
                <w:lang w:val="sr-Latn-ME" w:eastAsia="sr-Latn-ME"/>
              </w:rPr>
              <w:t xml:space="preserve">uputstva za </w:t>
            </w:r>
            <w:r w:rsidR="001B723A" w:rsidRPr="00B35962">
              <w:rPr>
                <w:rFonts w:ascii="Garamond" w:eastAsia="Times New Roman" w:hAnsi="Garamond" w:cs="Calibri"/>
                <w:sz w:val="22"/>
                <w:szCs w:val="22"/>
                <w:lang w:val="sr-Latn-ME" w:eastAsia="sr-Latn-ME"/>
              </w:rPr>
              <w:t xml:space="preserve">uvođenje </w:t>
            </w:r>
            <w:r w:rsidRPr="00B35962">
              <w:rPr>
                <w:rFonts w:ascii="Garamond" w:eastAsia="Times New Roman" w:hAnsi="Garamond" w:cs="Calibri"/>
                <w:sz w:val="22"/>
                <w:szCs w:val="22"/>
                <w:lang w:val="sr-Latn-ME" w:eastAsia="sr-Latn-ME"/>
              </w:rPr>
              <w:t>standarda ishrane u PU</w:t>
            </w:r>
            <w:r w:rsidR="000A5467" w:rsidRPr="00B35962">
              <w:rPr>
                <w:rFonts w:ascii="Garamond" w:eastAsia="Times New Roman" w:hAnsi="Garamond" w:cs="Calibri"/>
                <w:sz w:val="22"/>
                <w:szCs w:val="22"/>
                <w:lang w:val="sr-Latn-ME" w:eastAsia="sr-Latn-ME"/>
              </w:rPr>
              <w:t xml:space="preserve"> sa propratnom prezentacijom, obukom, promocijom</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62C7" w14:textId="77777777" w:rsidR="00B5024A" w:rsidRPr="00B35962" w:rsidRDefault="00B5024A" w:rsidP="001B723A">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Uputstvo koje definiše primjenu standarde ishrane u PU je usvojen</w:t>
            </w:r>
            <w:r w:rsidR="001B723A" w:rsidRPr="00B35962">
              <w:rPr>
                <w:rFonts w:ascii="Garamond" w:eastAsia="Times New Roman" w:hAnsi="Garamond" w:cs="Calibri"/>
                <w:sz w:val="22"/>
                <w:szCs w:val="22"/>
                <w:lang w:val="sr-Latn-ME" w:eastAsia="sr-Latn-ME"/>
              </w:rPr>
              <w:t>. Novi standardi uvedeni u svim PU</w:t>
            </w:r>
            <w:r w:rsidR="008309CF" w:rsidRPr="00B35962">
              <w:rPr>
                <w:rFonts w:ascii="Garamond" w:eastAsia="Times New Roman" w:hAnsi="Garamond" w:cs="Calibri"/>
                <w:sz w:val="22"/>
                <w:szCs w:val="22"/>
                <w:lang w:val="sr-Latn-ME" w:eastAsia="sr-Latn-M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503F" w14:textId="77777777" w:rsidR="00B5024A" w:rsidRPr="00B35962" w:rsidRDefault="008309CF"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6690" w14:textId="77777777" w:rsidR="00B5024A" w:rsidRPr="00B35962" w:rsidRDefault="001B723A"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8ED0" w14:textId="77777777" w:rsidR="00B5024A" w:rsidRPr="00B35962" w:rsidRDefault="00B5024A" w:rsidP="005F0508">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r w:rsidR="008309CF" w:rsidRPr="00B35962">
              <w:rPr>
                <w:rFonts w:ascii="Garamond" w:eastAsia="Times New Roman" w:hAnsi="Garamond" w:cs="Calibri"/>
                <w:sz w:val="22"/>
                <w:szCs w:val="22"/>
                <w:lang w:val="sr-Latn-ME" w:eastAsia="sr-Latn-ME"/>
              </w:rPr>
              <w:t xml:space="preserve"> - 202</w:t>
            </w:r>
            <w:r w:rsidR="005F0508" w:rsidRPr="00B35962">
              <w:rPr>
                <w:rFonts w:ascii="Garamond" w:eastAsia="Times New Roman" w:hAnsi="Garamond" w:cs="Calibri"/>
                <w:sz w:val="22"/>
                <w:szCs w:val="22"/>
                <w:lang w:val="sr-Latn-ME" w:eastAsia="sr-Latn-ME"/>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075A3" w14:textId="77777777" w:rsidR="004F4934" w:rsidRPr="00B35962" w:rsidRDefault="002039E2"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3D9DD145" w14:textId="77777777" w:rsidR="00B5024A" w:rsidRPr="00B35962" w:rsidRDefault="004F4934"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r w:rsidR="00B5024A" w:rsidRPr="00B35962">
              <w:rPr>
                <w:rFonts w:ascii="Garamond" w:eastAsia="Times New Roman" w:hAnsi="Garamond" w:cs="Calibri"/>
                <w:sz w:val="22"/>
                <w:szCs w:val="22"/>
                <w:lang w:val="sr-Latn-ME" w:eastAsia="sr-Latn-ME"/>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222D9" w14:textId="347202D4" w:rsidR="00B5024A" w:rsidRPr="00B35962" w:rsidRDefault="00B316BF"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8309CF" w:rsidRPr="00B35962">
              <w:rPr>
                <w:rFonts w:ascii="Garamond" w:eastAsia="Times New Roman" w:hAnsi="Garamond" w:cs="Calibri"/>
                <w:sz w:val="22"/>
                <w:szCs w:val="22"/>
                <w:lang w:val="sr-Latn-ME" w:eastAsia="sr-Latn-ME"/>
              </w:rPr>
              <w:t>, IJZCG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FD66B" w14:textId="77777777" w:rsidR="00B5024A" w:rsidRPr="00B35962" w:rsidRDefault="008309CF" w:rsidP="00B5024A">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PU, donatori</w:t>
            </w:r>
            <w:r w:rsidR="00B5024A" w:rsidRPr="00B35962">
              <w:rPr>
                <w:rFonts w:ascii="Garamond" w:eastAsia="Times New Roman" w:hAnsi="Garamond" w:cs="Calibri"/>
                <w:sz w:val="22"/>
                <w:szCs w:val="22"/>
                <w:lang w:val="sr-Latn-ME" w:eastAsia="sr-Latn-ME"/>
              </w:rPr>
              <w:t> </w:t>
            </w:r>
          </w:p>
        </w:tc>
      </w:tr>
      <w:tr w:rsidR="00420A17" w:rsidRPr="00B35962" w14:paraId="34447A2F" w14:textId="77777777" w:rsidTr="00AB1025">
        <w:trPr>
          <w:trHeight w:val="1016"/>
        </w:trPr>
        <w:tc>
          <w:tcPr>
            <w:tcW w:w="3533" w:type="dxa"/>
            <w:vMerge/>
            <w:tcBorders>
              <w:top w:val="single" w:sz="4" w:space="0" w:color="auto"/>
              <w:left w:val="single" w:sz="4" w:space="0" w:color="auto"/>
              <w:bottom w:val="single" w:sz="4" w:space="0" w:color="auto"/>
              <w:right w:val="single" w:sz="4" w:space="0" w:color="auto"/>
            </w:tcBorders>
            <w:shd w:val="clear" w:color="000000" w:fill="D9E2F3"/>
            <w:textDirection w:val="btLr"/>
            <w:vAlign w:val="center"/>
          </w:tcPr>
          <w:p w14:paraId="71A9BE83" w14:textId="77777777" w:rsidR="00420A17" w:rsidRPr="00B35962" w:rsidRDefault="00420A17" w:rsidP="00420A17">
            <w:pPr>
              <w:spacing w:line="240" w:lineRule="auto"/>
              <w:ind w:firstLine="0"/>
              <w:jc w:val="center"/>
              <w:rPr>
                <w:lang w:val="sr-Latn-ME"/>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7FE979C" w14:textId="77777777" w:rsidR="00420A17" w:rsidRPr="00B35962" w:rsidRDefault="00420A17" w:rsidP="00625641">
            <w:pPr>
              <w:ind w:firstLine="0"/>
              <w:rPr>
                <w:rFonts w:ascii="Garamond" w:eastAsia="Times New Roman" w:hAnsi="Garamond"/>
                <w:sz w:val="22"/>
                <w:szCs w:val="22"/>
                <w:lang w:val="sr-Latn-ME" w:eastAsia="sr-Latn-ME"/>
              </w:rPr>
            </w:pPr>
            <w:r w:rsidRPr="00B35962">
              <w:rPr>
                <w:rFonts w:ascii="Garamond" w:eastAsia="Times New Roman" w:hAnsi="Garamond" w:cs="Calibri"/>
                <w:sz w:val="22"/>
                <w:szCs w:val="22"/>
                <w:lang w:val="sr-Latn-ME" w:eastAsia="sr-Latn-ME"/>
              </w:rPr>
              <w:t>2.7</w:t>
            </w:r>
            <w:r w:rsidRPr="00B35962">
              <w:rPr>
                <w:rFonts w:ascii="Garamond" w:eastAsia="Times New Roman" w:hAnsi="Garamond"/>
                <w:sz w:val="22"/>
                <w:szCs w:val="22"/>
                <w:lang w:val="sr-Latn-ME" w:eastAsia="sr-Latn-ME"/>
              </w:rPr>
              <w:t xml:space="preserve">.2 </w:t>
            </w:r>
            <w:r w:rsidR="008D63D3" w:rsidRPr="00B35962">
              <w:rPr>
                <w:rFonts w:ascii="Garamond" w:eastAsia="Times New Roman" w:hAnsi="Garamond"/>
                <w:sz w:val="22"/>
                <w:szCs w:val="22"/>
                <w:lang w:val="sr-Latn-ME" w:eastAsia="sr-Latn-ME"/>
              </w:rPr>
              <w:t>Uzrasno prilagođavanje reži</w:t>
            </w:r>
            <w:r w:rsidR="00625641" w:rsidRPr="00B35962">
              <w:rPr>
                <w:rFonts w:ascii="Garamond" w:eastAsia="Times New Roman" w:hAnsi="Garamond"/>
                <w:sz w:val="22"/>
                <w:szCs w:val="22"/>
                <w:lang w:val="sr-Latn-ME" w:eastAsia="sr-Latn-ME"/>
              </w:rPr>
              <w:t>ma i fleksibilniji ritam rada.</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1D0B046E" w14:textId="77777777" w:rsidR="00420A17" w:rsidRPr="00B35962" w:rsidRDefault="001B723A" w:rsidP="00420A17">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 Uvedeni novi model režima rada u svim PU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B5B1BF" w14:textId="77777777" w:rsidR="00420A17" w:rsidRPr="00B35962" w:rsidRDefault="008D63D3" w:rsidP="00420A17">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0D8A9" w14:textId="77777777" w:rsidR="00420A17" w:rsidRPr="00B35962" w:rsidRDefault="008D63D3" w:rsidP="00420A17">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490ED" w14:textId="77777777" w:rsidR="00420A17" w:rsidRPr="00B35962" w:rsidRDefault="008D63D3" w:rsidP="001B723A">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r w:rsidR="00420A17" w:rsidRPr="00B35962">
              <w:rPr>
                <w:rFonts w:ascii="Garamond" w:eastAsia="Times New Roman" w:hAnsi="Garamond" w:cs="Calibri"/>
                <w:sz w:val="22"/>
                <w:szCs w:val="22"/>
                <w:lang w:val="sr-Latn-ME" w:eastAsia="sr-Latn-ME"/>
              </w:rPr>
              <w:t>-</w:t>
            </w:r>
            <w:r w:rsidR="001B723A" w:rsidRPr="00B35962">
              <w:rPr>
                <w:rFonts w:ascii="Garamond" w:eastAsia="Times New Roman" w:hAnsi="Garamond" w:cs="Calibri"/>
                <w:sz w:val="22"/>
                <w:szCs w:val="22"/>
                <w:lang w:val="sr-Latn-ME" w:eastAsia="sr-Latn-ME"/>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A8C385" w14:textId="77777777" w:rsidR="00420A17" w:rsidRPr="00B35962" w:rsidRDefault="002039E2" w:rsidP="00420A17">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r w:rsidR="00420A17" w:rsidRPr="00B35962">
              <w:rPr>
                <w:rFonts w:ascii="Garamond" w:eastAsia="Times New Roman" w:hAnsi="Garamond" w:cs="Calibri"/>
                <w:sz w:val="22"/>
                <w:szCs w:val="22"/>
                <w:lang w:val="sr-Latn-ME" w:eastAsia="sr-Latn-ME"/>
              </w:rPr>
              <w:t> </w:t>
            </w:r>
          </w:p>
          <w:p w14:paraId="4B617CB0" w14:textId="77777777" w:rsidR="004F4934" w:rsidRPr="00B35962" w:rsidRDefault="004F4934" w:rsidP="004F4934">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94EB1" w14:textId="343B3995" w:rsidR="00420A17" w:rsidRPr="00B35962" w:rsidRDefault="00B316BF" w:rsidP="00420A17">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8D63D3" w:rsidRPr="00B35962">
              <w:rPr>
                <w:rFonts w:ascii="Garamond" w:eastAsia="Times New Roman" w:hAnsi="Garamond" w:cs="Calibri"/>
                <w:sz w:val="22"/>
                <w:szCs w:val="22"/>
                <w:lang w:val="sr-Latn-ME" w:eastAsia="sr-Latn-ME"/>
              </w:rPr>
              <w:t>, PU</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4CC592" w14:textId="77777777" w:rsidR="00420A17" w:rsidRPr="00B35962" w:rsidRDefault="008D63D3" w:rsidP="00625641">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NVO</w:t>
            </w:r>
            <w:r w:rsidR="00625641" w:rsidRPr="00B35962">
              <w:rPr>
                <w:rFonts w:ascii="Garamond" w:eastAsia="Times New Roman" w:hAnsi="Garamond" w:cs="Calibri"/>
                <w:sz w:val="22"/>
                <w:szCs w:val="22"/>
                <w:lang w:val="sr-Latn-ME" w:eastAsia="sr-Latn-ME"/>
              </w:rPr>
              <w:t> </w:t>
            </w:r>
            <w:r w:rsidR="00420A17" w:rsidRPr="00B35962">
              <w:rPr>
                <w:rFonts w:ascii="Garamond" w:eastAsia="Times New Roman" w:hAnsi="Garamond" w:cs="Calibri"/>
                <w:sz w:val="22"/>
                <w:szCs w:val="22"/>
                <w:lang w:val="sr-Latn-ME" w:eastAsia="sr-Latn-ME"/>
              </w:rPr>
              <w:t> </w:t>
            </w:r>
          </w:p>
        </w:tc>
      </w:tr>
    </w:tbl>
    <w:p w14:paraId="41249DB3" w14:textId="77777777" w:rsidR="00AB1025" w:rsidRPr="00B35962" w:rsidRDefault="00AB1025">
      <w:pPr>
        <w:rPr>
          <w:lang w:val="sr-Latn-ME"/>
        </w:rPr>
      </w:pPr>
      <w:r w:rsidRPr="00B35962">
        <w:rPr>
          <w:lang w:val="sr-Latn-ME"/>
        </w:rPr>
        <w:br w:type="page"/>
      </w:r>
    </w:p>
    <w:tbl>
      <w:tblPr>
        <w:tblW w:w="13755" w:type="dxa"/>
        <w:tblInd w:w="-5" w:type="dxa"/>
        <w:tblLayout w:type="fixed"/>
        <w:tblLook w:val="04A0" w:firstRow="1" w:lastRow="0" w:firstColumn="1" w:lastColumn="0" w:noHBand="0" w:noVBand="1"/>
      </w:tblPr>
      <w:tblGrid>
        <w:gridCol w:w="3537"/>
        <w:gridCol w:w="2125"/>
        <w:gridCol w:w="1851"/>
        <w:gridCol w:w="1127"/>
        <w:gridCol w:w="1141"/>
        <w:gridCol w:w="709"/>
        <w:gridCol w:w="1120"/>
        <w:gridCol w:w="1170"/>
        <w:gridCol w:w="975"/>
      </w:tblGrid>
      <w:tr w:rsidR="00BA541D" w:rsidRPr="00B35962" w14:paraId="18C394F3" w14:textId="77777777" w:rsidTr="00FB585F">
        <w:trPr>
          <w:trHeight w:val="1197"/>
        </w:trPr>
        <w:tc>
          <w:tcPr>
            <w:tcW w:w="3537" w:type="dxa"/>
            <w:vMerge w:val="restart"/>
            <w:tcBorders>
              <w:top w:val="single" w:sz="4" w:space="0" w:color="auto"/>
              <w:left w:val="single" w:sz="4" w:space="0" w:color="auto"/>
              <w:bottom w:val="single" w:sz="4" w:space="0" w:color="auto"/>
              <w:right w:val="single" w:sz="4" w:space="0" w:color="auto"/>
            </w:tcBorders>
            <w:shd w:val="clear" w:color="000000" w:fill="D9E2F3"/>
            <w:textDirection w:val="btLr"/>
            <w:vAlign w:val="center"/>
            <w:hideMark/>
          </w:tcPr>
          <w:p w14:paraId="42103890" w14:textId="381C7DD0" w:rsidR="00BA541D" w:rsidRPr="00B35962" w:rsidRDefault="00F7338E"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BA541D" w:rsidRPr="00B35962">
              <w:rPr>
                <w:rFonts w:ascii="Garamond" w:eastAsia="Times New Roman" w:hAnsi="Garamond" w:cs="Calibri"/>
                <w:b/>
                <w:bCs/>
                <w:sz w:val="22"/>
                <w:szCs w:val="22"/>
                <w:lang w:val="sr-Latn-ME" w:eastAsia="sr-Latn-ME"/>
              </w:rPr>
              <w:t>2.8: Uvezati i učiniti održivim aktivnosti prelaza u osnovnu školu</w:t>
            </w:r>
            <w:r w:rsidR="00BA541D" w:rsidRPr="00B35962">
              <w:rPr>
                <w:rFonts w:ascii="Garamond" w:eastAsia="Times New Roman" w:hAnsi="Garamond" w:cs="Calibri"/>
                <w:b/>
                <w:bCs/>
                <w:sz w:val="22"/>
                <w:szCs w:val="22"/>
                <w:lang w:val="sr-Latn-ME" w:eastAsia="sr-Latn-ME"/>
              </w:rPr>
              <w:br/>
            </w:r>
            <w:r w:rsidR="00BA541D" w:rsidRPr="00B35962">
              <w:rPr>
                <w:rFonts w:ascii="Garamond" w:eastAsia="Times New Roman" w:hAnsi="Garamond" w:cs="Calibri"/>
                <w:b/>
                <w:bCs/>
                <w:sz w:val="22"/>
                <w:szCs w:val="22"/>
                <w:lang w:val="sr-Latn-ME" w:eastAsia="sr-Latn-ME"/>
              </w:rPr>
              <w:br/>
            </w:r>
            <w:r w:rsidR="00BA541D" w:rsidRPr="00B35962">
              <w:rPr>
                <w:rFonts w:ascii="Garamond" w:eastAsia="Times New Roman" w:hAnsi="Garamond" w:cs="Calibri"/>
                <w:sz w:val="22"/>
                <w:szCs w:val="22"/>
                <w:lang w:val="sr-Latn-ME" w:eastAsia="sr-Latn-ME"/>
              </w:rPr>
              <w:t>Indikator 2.8.1 Program podrške prelasku djece iz vrtića u osnovnu školu je razvijen i usvojen - Ne (2020)       Da (2022)       Da (202</w:t>
            </w:r>
            <w:r w:rsidR="00AB1025" w:rsidRPr="00B35962">
              <w:rPr>
                <w:rFonts w:ascii="Garamond" w:eastAsia="Times New Roman" w:hAnsi="Garamond" w:cs="Calibri"/>
                <w:sz w:val="22"/>
                <w:szCs w:val="22"/>
                <w:lang w:val="sr-Latn-ME" w:eastAsia="sr-Latn-ME"/>
              </w:rPr>
              <w:t>5</w:t>
            </w:r>
            <w:r w:rsidR="00BA541D" w:rsidRPr="00B35962">
              <w:rPr>
                <w:rFonts w:ascii="Garamond" w:eastAsia="Times New Roman" w:hAnsi="Garamond" w:cs="Calibri"/>
                <w:sz w:val="22"/>
                <w:szCs w:val="22"/>
                <w:lang w:val="sr-Latn-ME" w:eastAsia="sr-Latn-ME"/>
              </w:rPr>
              <w:t>)</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6BDD7" w14:textId="29D39FF9" w:rsidR="00BA541D" w:rsidRPr="00B35962" w:rsidRDefault="00BA541D" w:rsidP="00BA541D">
            <w:pPr>
              <w:spacing w:line="240" w:lineRule="auto"/>
              <w:ind w:firstLine="0"/>
              <w:rPr>
                <w:rFonts w:ascii="Garamond" w:eastAsia="Times New Roman" w:hAnsi="Garamond" w:cs="Calibri"/>
                <w:sz w:val="22"/>
                <w:szCs w:val="22"/>
                <w:lang w:val="sr-Latn-ME" w:eastAsia="sr-Latn-ME"/>
              </w:rPr>
            </w:pPr>
            <w:r w:rsidRPr="00B35962">
              <w:rPr>
                <w:rFonts w:ascii="Garamond" w:hAnsi="Garamond"/>
                <w:sz w:val="22"/>
                <w:szCs w:val="22"/>
                <w:lang w:val="sr-Latn-ME"/>
              </w:rPr>
              <w:t>2.8.1. Unapređenje vještina vaspitača za praćenje ranog razvoj</w:t>
            </w:r>
            <w:r w:rsidR="00EA000A">
              <w:rPr>
                <w:rFonts w:ascii="Garamond" w:hAnsi="Garamond"/>
                <w:sz w:val="22"/>
                <w:szCs w:val="22"/>
                <w:lang w:val="sr-Latn-ME"/>
              </w:rPr>
              <w:t>a djece kroz praktično vođenje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8632" w14:textId="77777777" w:rsidR="00BA541D" w:rsidRPr="00B35962" w:rsidRDefault="00BA541D" w:rsidP="00BA541D">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 Sprovedeno 170 praktično vođenje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02A1" w14:textId="77777777" w:rsidR="00BA541D" w:rsidRPr="00B35962" w:rsidRDefault="00BA541D"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sprovedeno 63 praktična vođenja</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BCBDA" w14:textId="77777777" w:rsidR="00BA541D" w:rsidRPr="00B35962" w:rsidRDefault="00BA541D" w:rsidP="00A37EA0">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sprovedeno 1</w:t>
            </w:r>
            <w:r w:rsidR="00A37EA0" w:rsidRPr="00B35962">
              <w:rPr>
                <w:rFonts w:ascii="Garamond" w:eastAsia="Times New Roman" w:hAnsi="Garamond" w:cs="Calibri"/>
                <w:sz w:val="22"/>
                <w:szCs w:val="22"/>
                <w:lang w:val="sr-Latn-ME" w:eastAsia="sr-Latn-ME"/>
              </w:rPr>
              <w:t>70 praktičnih</w:t>
            </w:r>
            <w:r w:rsidRPr="00B35962">
              <w:rPr>
                <w:rFonts w:ascii="Garamond" w:eastAsia="Times New Roman" w:hAnsi="Garamond" w:cs="Calibri"/>
                <w:sz w:val="22"/>
                <w:szCs w:val="22"/>
                <w:lang w:val="sr-Latn-ME" w:eastAsia="sr-Latn-ME"/>
              </w:rPr>
              <w:t xml:space="preserve"> vođenja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6394" w14:textId="77777777" w:rsidR="00BA541D" w:rsidRPr="00B35962" w:rsidRDefault="00BA541D" w:rsidP="005F0508">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w:t>
            </w:r>
            <w:r w:rsidR="005F0508" w:rsidRPr="00B35962">
              <w:rPr>
                <w:rFonts w:ascii="Garamond" w:eastAsia="Times New Roman" w:hAnsi="Garamond" w:cs="Calibri"/>
                <w:sz w:val="22"/>
                <w:szCs w:val="22"/>
                <w:lang w:val="sr-Latn-ME" w:eastAsia="sr-Latn-ME"/>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087E" w14:textId="77777777" w:rsidR="004F4934" w:rsidRPr="00B35962" w:rsidRDefault="002039E2"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288FC0E9" w14:textId="77777777" w:rsidR="00BA541D" w:rsidRPr="00B35962" w:rsidRDefault="004F4934"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r w:rsidR="00BA541D" w:rsidRPr="00B35962">
              <w:rPr>
                <w:rFonts w:ascii="Garamond" w:eastAsia="Times New Roman" w:hAnsi="Garamond" w:cs="Calibri"/>
                <w:sz w:val="22"/>
                <w:szCs w:val="22"/>
                <w:lang w:val="sr-Latn-ME" w:eastAsia="sr-Latn-ME"/>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7D24" w14:textId="7E08A071" w:rsidR="00BA541D" w:rsidRPr="00B35962" w:rsidRDefault="00B316BF"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BA541D" w:rsidRPr="00B35962">
              <w:rPr>
                <w:rFonts w:ascii="Garamond" w:eastAsia="Times New Roman" w:hAnsi="Garamond" w:cs="Calibri"/>
                <w:sz w:val="22"/>
                <w:szCs w:val="22"/>
                <w:lang w:val="sr-Latn-ME" w:eastAsia="sr-Latn-ME"/>
              </w:rPr>
              <w:t>, ZzŠ</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A764" w14:textId="77777777" w:rsidR="00BA541D" w:rsidRPr="00B35962" w:rsidRDefault="00BA541D"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PU i donatori </w:t>
            </w:r>
          </w:p>
        </w:tc>
      </w:tr>
      <w:tr w:rsidR="00BA541D" w:rsidRPr="00B35962" w14:paraId="0FB89B7B" w14:textId="77777777" w:rsidTr="00FB585F">
        <w:trPr>
          <w:trHeight w:val="557"/>
        </w:trPr>
        <w:tc>
          <w:tcPr>
            <w:tcW w:w="3537" w:type="dxa"/>
            <w:vMerge/>
            <w:tcBorders>
              <w:top w:val="single" w:sz="4" w:space="0" w:color="auto"/>
              <w:left w:val="single" w:sz="8" w:space="0" w:color="auto"/>
              <w:bottom w:val="single" w:sz="8" w:space="0" w:color="000000"/>
              <w:right w:val="single" w:sz="8" w:space="0" w:color="auto"/>
            </w:tcBorders>
            <w:vAlign w:val="center"/>
            <w:hideMark/>
          </w:tcPr>
          <w:p w14:paraId="2235FE27" w14:textId="77777777" w:rsidR="00BA541D" w:rsidRPr="00B35962" w:rsidRDefault="00BA541D" w:rsidP="00BA541D">
            <w:pPr>
              <w:spacing w:line="240" w:lineRule="auto"/>
              <w:ind w:firstLine="0"/>
              <w:jc w:val="left"/>
              <w:rPr>
                <w:rFonts w:ascii="Garamond" w:eastAsia="Times New Roman" w:hAnsi="Garamond" w:cs="Calibri"/>
                <w:b/>
                <w:bCs/>
                <w:sz w:val="22"/>
                <w:szCs w:val="22"/>
                <w:lang w:val="sr-Latn-ME" w:eastAsia="sr-Latn-ME"/>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0C63E9C6" w14:textId="77777777" w:rsidR="00BA541D" w:rsidRPr="00B35962" w:rsidRDefault="00BA541D" w:rsidP="00BA541D">
            <w:pPr>
              <w:spacing w:line="240" w:lineRule="auto"/>
              <w:ind w:firstLine="0"/>
              <w:rPr>
                <w:rFonts w:ascii="Garamond" w:eastAsia="Times New Roman" w:hAnsi="Garamond" w:cs="Calibri"/>
                <w:sz w:val="22"/>
                <w:szCs w:val="22"/>
                <w:lang w:val="sr-Latn-ME" w:eastAsia="sr-Latn-ME"/>
              </w:rPr>
            </w:pPr>
            <w:r w:rsidRPr="00B35962">
              <w:rPr>
                <w:rFonts w:ascii="Garamond" w:hAnsi="Garamond"/>
                <w:sz w:val="22"/>
                <w:szCs w:val="22"/>
                <w:lang w:val="sr-Latn-ME"/>
              </w:rPr>
              <w:t>2.8.2. Priprema i realizacija programa prelaska iz vrtića u osnovnu školu, uz  saradnju PU,  osnovnih škola i roditelja</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700C0EF8" w14:textId="77777777" w:rsidR="00BA541D" w:rsidRPr="00B35962" w:rsidRDefault="00BA541D" w:rsidP="00BA541D">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Smjernice za unaprijeđenu   podrške prilikom prelaza iz vrtića u osnovnu školi su usvojene</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19A72939" w14:textId="77777777" w:rsidR="00BA541D" w:rsidRPr="00B35962" w:rsidRDefault="00BA541D"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CE51D30" w14:textId="77777777" w:rsidR="00BA541D" w:rsidRPr="00B35962" w:rsidRDefault="00BA541D"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9D9E18" w14:textId="77777777" w:rsidR="00BA541D" w:rsidRPr="00B35962" w:rsidRDefault="00BA541D" w:rsidP="00BA541D">
            <w:pPr>
              <w:spacing w:line="240" w:lineRule="auto"/>
              <w:ind w:firstLine="0"/>
              <w:jc w:val="center"/>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5C6C887" w14:textId="77777777" w:rsidR="004F4934" w:rsidRPr="00B35962" w:rsidRDefault="002039E2"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3607934C" w14:textId="77777777" w:rsidR="00BA541D" w:rsidRPr="00B35962" w:rsidRDefault="004F4934"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r w:rsidR="00BA541D" w:rsidRPr="00B35962">
              <w:rPr>
                <w:rFonts w:ascii="Garamond" w:eastAsia="Times New Roman" w:hAnsi="Garamond" w:cs="Calibri"/>
                <w:sz w:val="22"/>
                <w:szCs w:val="22"/>
                <w:lang w:val="sr-Latn-ME" w:eastAsia="sr-Latn-ME"/>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BAAA38C" w14:textId="645301F1" w:rsidR="00BA541D" w:rsidRPr="00B35962" w:rsidRDefault="00B316BF"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BA541D" w:rsidRPr="00B35962">
              <w:rPr>
                <w:rFonts w:ascii="Garamond" w:eastAsia="Times New Roman" w:hAnsi="Garamond" w:cs="Calibri"/>
                <w:sz w:val="22"/>
                <w:szCs w:val="22"/>
                <w:lang w:val="sr-Latn-ME" w:eastAsia="sr-Latn-ME"/>
              </w:rPr>
              <w:t>, ZzŠ</w:t>
            </w:r>
          </w:p>
        </w:tc>
        <w:tc>
          <w:tcPr>
            <w:tcW w:w="975" w:type="dxa"/>
            <w:tcBorders>
              <w:top w:val="single" w:sz="4" w:space="0" w:color="auto"/>
              <w:left w:val="nil"/>
              <w:bottom w:val="single" w:sz="4" w:space="0" w:color="auto"/>
              <w:right w:val="single" w:sz="8" w:space="0" w:color="auto"/>
            </w:tcBorders>
            <w:shd w:val="clear" w:color="auto" w:fill="auto"/>
            <w:vAlign w:val="center"/>
            <w:hideMark/>
          </w:tcPr>
          <w:p w14:paraId="3C512300" w14:textId="77777777" w:rsidR="00BA541D" w:rsidRPr="00B35962" w:rsidRDefault="00BA541D" w:rsidP="00BA541D">
            <w:pPr>
              <w:spacing w:line="240" w:lineRule="auto"/>
              <w:ind w:firstLine="0"/>
              <w:jc w:val="righ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PU, OŠ, donatori </w:t>
            </w:r>
          </w:p>
        </w:tc>
      </w:tr>
      <w:tr w:rsidR="00B5024A" w:rsidRPr="00B35962" w14:paraId="5F24BD28" w14:textId="77777777" w:rsidTr="00AB1025">
        <w:trPr>
          <w:trHeight w:val="300"/>
        </w:trPr>
        <w:tc>
          <w:tcPr>
            <w:tcW w:w="13755" w:type="dxa"/>
            <w:gridSpan w:val="9"/>
            <w:tcBorders>
              <w:top w:val="single" w:sz="8" w:space="0" w:color="auto"/>
              <w:left w:val="single" w:sz="8" w:space="0" w:color="auto"/>
              <w:bottom w:val="nil"/>
              <w:right w:val="single" w:sz="8" w:space="0" w:color="000000"/>
            </w:tcBorders>
            <w:shd w:val="clear" w:color="000000" w:fill="B4C6E7"/>
            <w:vAlign w:val="center"/>
            <w:hideMark/>
          </w:tcPr>
          <w:p w14:paraId="3831876A" w14:textId="3756F67A" w:rsidR="00B5024A" w:rsidRPr="00B35962" w:rsidRDefault="00823DF7" w:rsidP="00B5024A">
            <w:pPr>
              <w:spacing w:line="240" w:lineRule="auto"/>
              <w:ind w:firstLine="0"/>
              <w:jc w:val="left"/>
              <w:rPr>
                <w:rFonts w:ascii="Garamond" w:eastAsia="Times New Roman" w:hAnsi="Garamond" w:cs="Calibri"/>
                <w:b/>
                <w:bCs/>
                <w:sz w:val="22"/>
                <w:szCs w:val="22"/>
                <w:lang w:val="sr-Latn-ME" w:eastAsia="sr-Latn-ME"/>
              </w:rPr>
            </w:pPr>
            <w:r w:rsidRPr="00B35962">
              <w:rPr>
                <w:lang w:val="sr-Latn-ME"/>
              </w:rPr>
              <w:br w:type="page"/>
            </w:r>
            <w:r w:rsidR="00F7338E" w:rsidRPr="00B35962">
              <w:rPr>
                <w:lang w:val="sr-Latn-ME"/>
              </w:rPr>
              <w:t>O</w:t>
            </w:r>
            <w:r w:rsidR="000A1516" w:rsidRPr="00B35962">
              <w:rPr>
                <w:lang w:val="sr-Latn-ME"/>
              </w:rPr>
              <w:t>perativni</w:t>
            </w:r>
            <w:r w:rsidR="00B5024A" w:rsidRPr="00B35962">
              <w:rPr>
                <w:rFonts w:ascii="Garamond" w:eastAsia="Times New Roman" w:hAnsi="Garamond" w:cs="Calibri"/>
                <w:b/>
                <w:bCs/>
                <w:sz w:val="22"/>
                <w:szCs w:val="22"/>
                <w:lang w:val="sr-Latn-ME" w:eastAsia="sr-Latn-ME"/>
              </w:rPr>
              <w:t xml:space="preserve"> cilj 3: Unapređenje šansi za rani razvoj djece iz osjetljivih grupa</w:t>
            </w:r>
          </w:p>
        </w:tc>
      </w:tr>
      <w:tr w:rsidR="00B5024A" w:rsidRPr="00B35962" w14:paraId="13E085A0" w14:textId="77777777" w:rsidTr="00AB1025">
        <w:trPr>
          <w:trHeight w:val="720"/>
        </w:trPr>
        <w:tc>
          <w:tcPr>
            <w:tcW w:w="13755" w:type="dxa"/>
            <w:gridSpan w:val="9"/>
            <w:tcBorders>
              <w:top w:val="single" w:sz="8" w:space="0" w:color="auto"/>
              <w:left w:val="single" w:sz="8" w:space="0" w:color="auto"/>
              <w:bottom w:val="single" w:sz="8" w:space="0" w:color="auto"/>
              <w:right w:val="single" w:sz="8" w:space="0" w:color="000000"/>
            </w:tcBorders>
            <w:shd w:val="clear" w:color="000000" w:fill="B4C6E7"/>
            <w:vAlign w:val="center"/>
            <w:hideMark/>
          </w:tcPr>
          <w:p w14:paraId="1F798498" w14:textId="12063968" w:rsidR="00B5024A" w:rsidRPr="00B35962" w:rsidRDefault="00B5024A" w:rsidP="00BA3A5D">
            <w:pPr>
              <w:spacing w:line="240" w:lineRule="auto"/>
              <w:ind w:firstLine="0"/>
              <w:jc w:val="lef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Ishod: Do 202</w:t>
            </w:r>
            <w:r w:rsidR="00BA3A5D"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 xml:space="preserve">. godine unaprijediti postojeći sistem za pružanje podrške za rani razvoj djece iz osjetljivih grupa kroz pružanje podrške roditeljima i kroz veću uključenost u kvalitetne programe PVO tako da se poveća indeks ranog razvoja (ECDI) djece iz najsiromašnijih porodica sa 76 na 85, a djece iz romskih naselja sa 77 na 85. </w:t>
            </w:r>
          </w:p>
        </w:tc>
      </w:tr>
      <w:tr w:rsidR="00B5024A" w:rsidRPr="00B35962" w14:paraId="03BD732E" w14:textId="77777777" w:rsidTr="00AB1025">
        <w:trPr>
          <w:trHeight w:val="606"/>
        </w:trPr>
        <w:tc>
          <w:tcPr>
            <w:tcW w:w="13755" w:type="dxa"/>
            <w:gridSpan w:val="9"/>
            <w:tcBorders>
              <w:top w:val="single" w:sz="8" w:space="0" w:color="auto"/>
              <w:left w:val="single" w:sz="8" w:space="0" w:color="auto"/>
              <w:bottom w:val="single" w:sz="4" w:space="0" w:color="auto"/>
              <w:right w:val="single" w:sz="8" w:space="0" w:color="000000"/>
            </w:tcBorders>
            <w:shd w:val="clear" w:color="000000" w:fill="B4C6E7"/>
            <w:vAlign w:val="center"/>
            <w:hideMark/>
          </w:tcPr>
          <w:p w14:paraId="27730CC4" w14:textId="4C918BB9" w:rsidR="00B5024A" w:rsidRPr="00B35962" w:rsidRDefault="00B5024A" w:rsidP="00AB1025">
            <w:pPr>
              <w:spacing w:line="240" w:lineRule="auto"/>
              <w:ind w:firstLine="0"/>
              <w:jc w:val="left"/>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Indikator 3.1 ECDI indeks djece iz donjeg kvintila prema materijalnom sta</w:t>
            </w:r>
            <w:r w:rsidR="00406816" w:rsidRPr="00B35962">
              <w:rPr>
                <w:rFonts w:ascii="Garamond" w:eastAsia="Times New Roman" w:hAnsi="Garamond" w:cs="Calibri"/>
                <w:sz w:val="22"/>
                <w:szCs w:val="22"/>
                <w:lang w:val="sr-Latn-ME" w:eastAsia="sr-Latn-ME"/>
              </w:rPr>
              <w:t>tusu (MICS) - 76 (2020)       -</w:t>
            </w:r>
            <w:r w:rsidRPr="00B35962">
              <w:rPr>
                <w:rFonts w:ascii="Garamond" w:eastAsia="Times New Roman" w:hAnsi="Garamond" w:cs="Calibri"/>
                <w:sz w:val="22"/>
                <w:szCs w:val="22"/>
                <w:lang w:val="sr-Latn-ME" w:eastAsia="sr-Latn-ME"/>
              </w:rPr>
              <w:t xml:space="preserve"> (2022)       85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br/>
              <w:t>Indikator 3.2 ECDI indeks djece iz romskih zajedn</w:t>
            </w:r>
            <w:r w:rsidR="00406816" w:rsidRPr="00B35962">
              <w:rPr>
                <w:rFonts w:ascii="Garamond" w:eastAsia="Times New Roman" w:hAnsi="Garamond" w:cs="Calibri"/>
                <w:sz w:val="22"/>
                <w:szCs w:val="22"/>
                <w:lang w:val="sr-Latn-ME" w:eastAsia="sr-Latn-ME"/>
              </w:rPr>
              <w:t>ica (MICS) - 77 (2020</w:t>
            </w:r>
            <w:r w:rsidR="00D649A5" w:rsidRPr="00B35962">
              <w:rPr>
                <w:rFonts w:ascii="Garamond" w:eastAsia="Times New Roman" w:hAnsi="Garamond" w:cs="Calibri"/>
                <w:sz w:val="22"/>
                <w:szCs w:val="22"/>
                <w:lang w:val="sr-Latn-ME" w:eastAsia="sr-Latn-ME"/>
              </w:rPr>
              <w:t>)</w:t>
            </w:r>
            <w:r w:rsidR="00406816" w:rsidRPr="00B35962">
              <w:rPr>
                <w:rFonts w:ascii="Garamond" w:eastAsia="Times New Roman" w:hAnsi="Garamond" w:cs="Calibri"/>
                <w:sz w:val="22"/>
                <w:szCs w:val="22"/>
                <w:lang w:val="sr-Latn-ME" w:eastAsia="sr-Latn-ME"/>
              </w:rPr>
              <w:t xml:space="preserve">       -</w:t>
            </w:r>
            <w:r w:rsidRPr="00B35962">
              <w:rPr>
                <w:rFonts w:ascii="Garamond" w:eastAsia="Times New Roman" w:hAnsi="Garamond" w:cs="Calibri"/>
                <w:sz w:val="22"/>
                <w:szCs w:val="22"/>
                <w:lang w:val="sr-Latn-ME" w:eastAsia="sr-Latn-ME"/>
              </w:rPr>
              <w:t xml:space="preserve"> (2022)       85 (202</w:t>
            </w:r>
            <w:r w:rsidR="00AB1025" w:rsidRPr="00B35962">
              <w:rPr>
                <w:rFonts w:ascii="Garamond" w:eastAsia="Times New Roman" w:hAnsi="Garamond" w:cs="Calibri"/>
                <w:sz w:val="22"/>
                <w:szCs w:val="22"/>
                <w:lang w:val="sr-Latn-ME" w:eastAsia="sr-Latn-ME"/>
              </w:rPr>
              <w:t>5</w:t>
            </w:r>
            <w:r w:rsidRPr="00B35962">
              <w:rPr>
                <w:rFonts w:ascii="Garamond" w:eastAsia="Times New Roman" w:hAnsi="Garamond" w:cs="Calibri"/>
                <w:sz w:val="22"/>
                <w:szCs w:val="22"/>
                <w:lang w:val="sr-Latn-ME" w:eastAsia="sr-Latn-ME"/>
              </w:rPr>
              <w:t xml:space="preserve">) </w:t>
            </w:r>
          </w:p>
        </w:tc>
      </w:tr>
      <w:tr w:rsidR="00B5024A" w:rsidRPr="00B35962" w14:paraId="688C3917" w14:textId="77777777" w:rsidTr="00FB585F">
        <w:trPr>
          <w:trHeight w:val="1215"/>
        </w:trPr>
        <w:tc>
          <w:tcPr>
            <w:tcW w:w="353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F85320" w14:textId="4126FE13" w:rsidR="00B5024A" w:rsidRPr="00B35962" w:rsidRDefault="00F7338E" w:rsidP="00B5024A">
            <w:pPr>
              <w:spacing w:line="240" w:lineRule="auto"/>
              <w:ind w:firstLine="0"/>
              <w:jc w:val="center"/>
              <w:rPr>
                <w:rFonts w:ascii="Garamond" w:eastAsia="Times New Roman" w:hAnsi="Garamond" w:cs="Calibri"/>
                <w:b/>
                <w:bCs/>
                <w:sz w:val="22"/>
                <w:szCs w:val="22"/>
                <w:lang w:val="sr-Latn-ME" w:eastAsia="sr-Latn-ME"/>
              </w:rPr>
            </w:pPr>
            <w:r w:rsidRPr="00B35962">
              <w:rPr>
                <w:b/>
                <w:lang w:val="sr-Latn-ME"/>
              </w:rPr>
              <w:t>Ključno mjerilo</w:t>
            </w:r>
          </w:p>
        </w:tc>
        <w:tc>
          <w:tcPr>
            <w:tcW w:w="212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299BAEE" w14:textId="77777777" w:rsidR="00B5024A" w:rsidRPr="00B35962" w:rsidRDefault="00B5024A" w:rsidP="00B5024A">
            <w:pPr>
              <w:spacing w:line="240" w:lineRule="auto"/>
              <w:ind w:firstLine="0"/>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Aktivnosti</w:t>
            </w:r>
          </w:p>
        </w:tc>
        <w:tc>
          <w:tcPr>
            <w:tcW w:w="1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A5212B" w14:textId="77777777" w:rsidR="00B5024A" w:rsidRPr="00B35962" w:rsidRDefault="00B5024A" w:rsidP="00B5024A">
            <w:pPr>
              <w:spacing w:line="240" w:lineRule="auto"/>
              <w:ind w:firstLine="0"/>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Indikator/i</w:t>
            </w:r>
          </w:p>
        </w:tc>
        <w:tc>
          <w:tcPr>
            <w:tcW w:w="112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F626E4"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Očekivani rezultat 2022</w:t>
            </w:r>
          </w:p>
        </w:tc>
        <w:tc>
          <w:tcPr>
            <w:tcW w:w="114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3EE27A" w14:textId="27F35364" w:rsidR="00B5024A" w:rsidRPr="00B35962" w:rsidRDefault="00B5024A" w:rsidP="00D649A5">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Očekivani rezultat 202</w:t>
            </w:r>
            <w:r w:rsidR="00D649A5" w:rsidRPr="00B35962">
              <w:rPr>
                <w:rFonts w:ascii="Garamond" w:eastAsia="Times New Roman" w:hAnsi="Garamond" w:cs="Calibri"/>
                <w:b/>
                <w:bCs/>
                <w:sz w:val="22"/>
                <w:szCs w:val="22"/>
                <w:lang w:val="sr-Latn-ME" w:eastAsia="sr-Latn-ME"/>
              </w:rPr>
              <w:t>5</w:t>
            </w:r>
            <w:r w:rsidRPr="00B35962">
              <w:rPr>
                <w:rFonts w:ascii="Garamond" w:eastAsia="Times New Roman" w:hAnsi="Garamond" w:cs="Calibri"/>
                <w:b/>
                <w:bCs/>
                <w:sz w:val="22"/>
                <w:szCs w:val="22"/>
                <w:lang w:val="sr-Latn-ME" w:eastAsia="sr-Latn-ME"/>
              </w:rPr>
              <w:t>.</w:t>
            </w:r>
          </w:p>
        </w:tc>
        <w:tc>
          <w:tcPr>
            <w:tcW w:w="70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8340A7"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Period</w:t>
            </w:r>
          </w:p>
        </w:tc>
        <w:tc>
          <w:tcPr>
            <w:tcW w:w="112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543ACE" w14:textId="77777777" w:rsidR="00B5024A" w:rsidRPr="00B35962" w:rsidRDefault="00B5024A" w:rsidP="00B5024A">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Potrebni resursi u €/izvor finansiranja</w:t>
            </w:r>
          </w:p>
        </w:tc>
        <w:tc>
          <w:tcPr>
            <w:tcW w:w="117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60DFA8" w14:textId="77777777" w:rsidR="00B5024A" w:rsidRPr="00B35962" w:rsidRDefault="00B5024A" w:rsidP="00B5024A">
            <w:pPr>
              <w:spacing w:line="240" w:lineRule="auto"/>
              <w:ind w:firstLine="0"/>
              <w:jc w:val="right"/>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Nosioci aktivnost</w:t>
            </w:r>
          </w:p>
        </w:tc>
        <w:tc>
          <w:tcPr>
            <w:tcW w:w="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70FC4E" w14:textId="77777777" w:rsidR="00B5024A" w:rsidRPr="00B35962" w:rsidRDefault="00B5024A" w:rsidP="00B5024A">
            <w:pPr>
              <w:spacing w:line="240" w:lineRule="auto"/>
              <w:ind w:firstLine="0"/>
              <w:jc w:val="right"/>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Partneri</w:t>
            </w:r>
          </w:p>
        </w:tc>
      </w:tr>
    </w:tbl>
    <w:p w14:paraId="4B77AE82" w14:textId="77777777" w:rsidR="00AB1025" w:rsidRPr="00B35962" w:rsidRDefault="00AB1025">
      <w:pPr>
        <w:rPr>
          <w:lang w:val="sr-Latn-ME"/>
        </w:rPr>
      </w:pPr>
      <w:r w:rsidRPr="00B35962">
        <w:rPr>
          <w:lang w:val="sr-Latn-ME"/>
        </w:rPr>
        <w:br w:type="page"/>
      </w:r>
    </w:p>
    <w:tbl>
      <w:tblPr>
        <w:tblW w:w="13755" w:type="dxa"/>
        <w:tblInd w:w="-10" w:type="dxa"/>
        <w:tblLayout w:type="fixed"/>
        <w:tblLook w:val="04A0" w:firstRow="1" w:lastRow="0" w:firstColumn="1" w:lastColumn="0" w:noHBand="0" w:noVBand="1"/>
      </w:tblPr>
      <w:tblGrid>
        <w:gridCol w:w="2885"/>
        <w:gridCol w:w="2520"/>
        <w:gridCol w:w="2106"/>
        <w:gridCol w:w="1134"/>
        <w:gridCol w:w="1080"/>
        <w:gridCol w:w="720"/>
        <w:gridCol w:w="1080"/>
        <w:gridCol w:w="1080"/>
        <w:gridCol w:w="1150"/>
      </w:tblGrid>
      <w:tr w:rsidR="00B5024A" w:rsidRPr="00B35962" w14:paraId="055709C8" w14:textId="77777777" w:rsidTr="00FB585F">
        <w:trPr>
          <w:trHeight w:val="1800"/>
        </w:trPr>
        <w:tc>
          <w:tcPr>
            <w:tcW w:w="2885" w:type="dxa"/>
            <w:vMerge w:val="restart"/>
            <w:tcBorders>
              <w:top w:val="single" w:sz="4" w:space="0" w:color="auto"/>
              <w:left w:val="single" w:sz="4" w:space="0" w:color="auto"/>
              <w:bottom w:val="single" w:sz="4" w:space="0" w:color="auto"/>
              <w:right w:val="single" w:sz="4" w:space="0" w:color="auto"/>
            </w:tcBorders>
            <w:shd w:val="clear" w:color="000000" w:fill="D9E1F2"/>
            <w:textDirection w:val="btLr"/>
            <w:vAlign w:val="center"/>
            <w:hideMark/>
          </w:tcPr>
          <w:p w14:paraId="667711D4" w14:textId="1F9BCABF" w:rsidR="00B5024A" w:rsidRPr="00B35962" w:rsidRDefault="00F7338E"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B5024A" w:rsidRPr="00B35962">
              <w:rPr>
                <w:rFonts w:ascii="Garamond" w:eastAsia="Times New Roman" w:hAnsi="Garamond" w:cs="Calibri"/>
                <w:b/>
                <w:bCs/>
                <w:sz w:val="22"/>
                <w:szCs w:val="22"/>
                <w:lang w:val="sr-Latn-ME" w:eastAsia="sr-Latn-ME"/>
              </w:rPr>
              <w:t>3.1: Povećanje uključenosti djece iz osjetljivih grupa u PVO</w:t>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b/>
                <w:bCs/>
                <w:sz w:val="22"/>
                <w:szCs w:val="22"/>
                <w:lang w:val="sr-Latn-ME" w:eastAsia="sr-Latn-ME"/>
              </w:rPr>
              <w:br/>
            </w:r>
            <w:r w:rsidR="00B5024A" w:rsidRPr="00B35962">
              <w:rPr>
                <w:rFonts w:ascii="Garamond" w:eastAsia="Times New Roman" w:hAnsi="Garamond" w:cs="Calibri"/>
                <w:sz w:val="22"/>
                <w:szCs w:val="22"/>
                <w:lang w:val="sr-Latn-ME" w:eastAsia="sr-Latn-ME"/>
              </w:rPr>
              <w:t>Indikator 3.1.1 Uključenost djece iz 20% najsiromašnijih porodica u PVO (MICS) - 18% (2020)       - (2022)       40% (202</w:t>
            </w:r>
            <w:r w:rsidR="00AB1025" w:rsidRPr="00B35962">
              <w:rPr>
                <w:rFonts w:ascii="Garamond" w:eastAsia="Times New Roman" w:hAnsi="Garamond" w:cs="Calibri"/>
                <w:sz w:val="22"/>
                <w:szCs w:val="22"/>
                <w:lang w:val="sr-Latn-ME" w:eastAsia="sr-Latn-ME"/>
              </w:rPr>
              <w:t>5</w:t>
            </w:r>
            <w:r w:rsidR="00B5024A" w:rsidRPr="00B35962">
              <w:rPr>
                <w:rFonts w:ascii="Garamond" w:eastAsia="Times New Roman" w:hAnsi="Garamond" w:cs="Calibri"/>
                <w:sz w:val="22"/>
                <w:szCs w:val="22"/>
                <w:lang w:val="sr-Latn-ME" w:eastAsia="sr-Latn-ME"/>
              </w:rPr>
              <w:t xml:space="preserve">) </w:t>
            </w:r>
            <w:r w:rsidR="00B5024A" w:rsidRPr="00B35962">
              <w:rPr>
                <w:rFonts w:ascii="Garamond" w:eastAsia="Times New Roman" w:hAnsi="Garamond" w:cs="Calibri"/>
                <w:sz w:val="22"/>
                <w:szCs w:val="22"/>
                <w:lang w:val="sr-Latn-ME" w:eastAsia="sr-Latn-ME"/>
              </w:rPr>
              <w:br/>
              <w:t>Indikator 3.1.2 Uključenost djece iz Romske zajednice u PVO (MICS) - 16% (2020)       -</w:t>
            </w:r>
            <w:r w:rsidR="00AB1025" w:rsidRPr="00B35962">
              <w:rPr>
                <w:rFonts w:ascii="Garamond" w:eastAsia="Times New Roman" w:hAnsi="Garamond" w:cs="Calibri"/>
                <w:sz w:val="22"/>
                <w:szCs w:val="22"/>
                <w:lang w:val="sr-Latn-ME" w:eastAsia="sr-Latn-ME"/>
              </w:rPr>
              <w:t xml:space="preserve"> (2022)       35% (2025)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D021"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3.1.1 Uspostavljanje mehanizma stalne koordinacije i saradnje između PU, centra za socijalni rad i zdravstvenih ustanova na nivou opštine</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3ADC" w14:textId="77777777" w:rsidR="00B5024A" w:rsidRPr="00B35962" w:rsidRDefault="00B5024A" w:rsidP="001D60A2">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Sporazum o saradnji i koordinaciji između PU, centra za socijalni rad i zdravstvenih ustanova je </w:t>
            </w:r>
            <w:r w:rsidR="001D60A2" w:rsidRPr="00B35962">
              <w:rPr>
                <w:rFonts w:ascii="Garamond" w:eastAsia="Times New Roman" w:hAnsi="Garamond" w:cs="Calibri"/>
                <w:sz w:val="22"/>
                <w:szCs w:val="22"/>
                <w:lang w:val="sr-Latn-ME" w:eastAsia="sr-Latn-ME"/>
              </w:rPr>
              <w:t xml:space="preserve">uspostavljen </w:t>
            </w:r>
            <w:r w:rsidRPr="00B35962">
              <w:rPr>
                <w:rFonts w:ascii="Garamond" w:eastAsia="Times New Roman" w:hAnsi="Garamond" w:cs="Calibri"/>
                <w:sz w:val="22"/>
                <w:szCs w:val="22"/>
                <w:lang w:val="sr-Latn-ME" w:eastAsia="sr-Latn-ME"/>
              </w:rPr>
              <w:t>u svim opštinama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DE97"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235F0"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09C8"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03671" w14:textId="77777777" w:rsidR="00B5024A" w:rsidRPr="00B35962" w:rsidRDefault="00B5024A" w:rsidP="002039E2">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w:t>
            </w:r>
            <w:r w:rsidR="002039E2"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002039E2" w:rsidRPr="00B35962">
              <w:rPr>
                <w:rFonts w:ascii="Garamond" w:eastAsia="Times New Roman" w:hAnsi="Garamond" w:cs="Calibri"/>
                <w:sz w:val="22"/>
                <w:szCs w:val="22"/>
                <w:lang w:val="sr-Latn-ME" w:eastAsia="sr-Latn-ME"/>
              </w:rPr>
              <w:t>100 €</w:t>
            </w:r>
          </w:p>
          <w:p w14:paraId="0D555F67" w14:textId="77777777" w:rsidR="004F4934" w:rsidRPr="00B35962" w:rsidRDefault="004F4934" w:rsidP="002039E2">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9976F" w14:textId="4DBF967E" w:rsidR="00B5024A" w:rsidRPr="00B35962" w:rsidRDefault="00B5024A" w:rsidP="00B316B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w:t>
            </w:r>
            <w:r w:rsidR="00B316BF">
              <w:rPr>
                <w:rFonts w:ascii="Garamond" w:eastAsia="Times New Roman" w:hAnsi="Garamond" w:cs="Calibri"/>
                <w:sz w:val="22"/>
                <w:szCs w:val="22"/>
                <w:lang w:val="sr-Latn-ME" w:eastAsia="sr-Latn-ME"/>
              </w:rPr>
              <w:t>F</w:t>
            </w:r>
            <w:r w:rsidRPr="00B35962">
              <w:rPr>
                <w:rFonts w:ascii="Garamond" w:eastAsia="Times New Roman" w:hAnsi="Garamond" w:cs="Calibri"/>
                <w:sz w:val="22"/>
                <w:szCs w:val="22"/>
                <w:lang w:val="sr-Latn-ME" w:eastAsia="sr-Latn-ME"/>
              </w:rPr>
              <w:t>SS</w:t>
            </w:r>
            <w:r w:rsidR="008E0525" w:rsidRPr="00B35962">
              <w:rPr>
                <w:rFonts w:ascii="Garamond" w:eastAsia="Times New Roman" w:hAnsi="Garamond" w:cs="Calibri"/>
                <w:sz w:val="22"/>
                <w:szCs w:val="22"/>
                <w:lang w:val="sr-Latn-ME" w:eastAsia="sr-Latn-ME"/>
              </w:rPr>
              <w:t>, MP, MZ</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4CD2" w14:textId="236BAF88" w:rsidR="00B5024A" w:rsidRPr="00B35962" w:rsidRDefault="001D60A2" w:rsidP="00FB585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C</w:t>
            </w:r>
            <w:r w:rsidR="00FB585F">
              <w:rPr>
                <w:rFonts w:ascii="Garamond" w:eastAsia="Times New Roman" w:hAnsi="Garamond" w:cs="Calibri"/>
                <w:sz w:val="22"/>
                <w:szCs w:val="22"/>
                <w:lang w:val="sr-Latn-ME" w:eastAsia="sr-Latn-ME"/>
              </w:rPr>
              <w:t>sr</w:t>
            </w:r>
            <w:r w:rsidRPr="00B35962">
              <w:rPr>
                <w:rFonts w:ascii="Garamond" w:eastAsia="Times New Roman" w:hAnsi="Garamond" w:cs="Calibri"/>
                <w:sz w:val="22"/>
                <w:szCs w:val="22"/>
                <w:lang w:val="sr-Latn-ME" w:eastAsia="sr-Latn-ME"/>
              </w:rPr>
              <w:t>, PU</w:t>
            </w:r>
          </w:p>
        </w:tc>
      </w:tr>
      <w:tr w:rsidR="00B5024A" w:rsidRPr="00B35962" w14:paraId="1C8D80C9" w14:textId="77777777" w:rsidTr="00FB585F">
        <w:trPr>
          <w:trHeight w:val="1256"/>
        </w:trPr>
        <w:tc>
          <w:tcPr>
            <w:tcW w:w="2885" w:type="dxa"/>
            <w:vMerge/>
            <w:tcBorders>
              <w:top w:val="single" w:sz="4" w:space="0" w:color="auto"/>
              <w:left w:val="single" w:sz="8" w:space="0" w:color="auto"/>
              <w:bottom w:val="single" w:sz="4" w:space="0" w:color="auto"/>
              <w:right w:val="single" w:sz="8" w:space="0" w:color="auto"/>
            </w:tcBorders>
            <w:vAlign w:val="center"/>
            <w:hideMark/>
          </w:tcPr>
          <w:p w14:paraId="771EE9F0"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78018370" w14:textId="40ADC5C7" w:rsidR="00B5024A" w:rsidRPr="00B35962" w:rsidRDefault="001D60A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3.1.2. </w:t>
            </w:r>
            <w:r w:rsidR="0079632B" w:rsidRPr="00B35962">
              <w:rPr>
                <w:rFonts w:ascii="Garamond" w:hAnsi="Garamond"/>
                <w:sz w:val="22"/>
                <w:szCs w:val="22"/>
                <w:lang w:val="sr-Latn-ME"/>
              </w:rPr>
              <w:t>Nastavak</w:t>
            </w:r>
            <w:r w:rsidRPr="00B35962">
              <w:rPr>
                <w:rFonts w:ascii="Garamond" w:hAnsi="Garamond"/>
                <w:sz w:val="22"/>
                <w:szCs w:val="22"/>
                <w:lang w:val="sr-Latn-ME"/>
              </w:rPr>
              <w:t xml:space="preserve"> i dublj</w:t>
            </w:r>
            <w:r w:rsidR="0079632B" w:rsidRPr="00B35962">
              <w:rPr>
                <w:rFonts w:ascii="Garamond" w:hAnsi="Garamond"/>
                <w:sz w:val="22"/>
                <w:szCs w:val="22"/>
                <w:lang w:val="sr-Latn-ME"/>
              </w:rPr>
              <w:t>a</w:t>
            </w:r>
            <w:r w:rsidR="006F0B79">
              <w:rPr>
                <w:rFonts w:ascii="Garamond" w:hAnsi="Garamond"/>
                <w:sz w:val="22"/>
                <w:szCs w:val="22"/>
                <w:lang w:val="sr-Latn-ME"/>
              </w:rPr>
              <w:t xml:space="preserve"> prim</w:t>
            </w:r>
            <w:r w:rsidRPr="00B35962">
              <w:rPr>
                <w:rFonts w:ascii="Garamond" w:hAnsi="Garamond"/>
                <w:sz w:val="22"/>
                <w:szCs w:val="22"/>
                <w:lang w:val="sr-Latn-ME"/>
              </w:rPr>
              <w:t>jen</w:t>
            </w:r>
            <w:r w:rsidR="0079632B" w:rsidRPr="00B35962">
              <w:rPr>
                <w:rFonts w:ascii="Garamond" w:hAnsi="Garamond"/>
                <w:sz w:val="22"/>
                <w:szCs w:val="22"/>
                <w:lang w:val="sr-Latn-ME"/>
              </w:rPr>
              <w:t xml:space="preserve">a </w:t>
            </w:r>
            <w:r w:rsidRPr="00B35962">
              <w:rPr>
                <w:rFonts w:ascii="Garamond" w:hAnsi="Garamond"/>
                <w:sz w:val="22"/>
                <w:szCs w:val="22"/>
                <w:lang w:val="sr-Latn-ME"/>
              </w:rPr>
              <w:t>terensk</w:t>
            </w:r>
            <w:r w:rsidR="0079632B" w:rsidRPr="00B35962">
              <w:rPr>
                <w:rFonts w:ascii="Garamond" w:hAnsi="Garamond"/>
                <w:sz w:val="22"/>
                <w:szCs w:val="22"/>
                <w:lang w:val="sr-Latn-ME"/>
              </w:rPr>
              <w:t>og</w:t>
            </w:r>
            <w:r w:rsidRPr="00B35962">
              <w:rPr>
                <w:rFonts w:ascii="Garamond" w:hAnsi="Garamond"/>
                <w:sz w:val="22"/>
                <w:szCs w:val="22"/>
                <w:lang w:val="sr-Latn-ME"/>
              </w:rPr>
              <w:t>, neposred</w:t>
            </w:r>
            <w:r w:rsidR="0079632B" w:rsidRPr="00B35962">
              <w:rPr>
                <w:rFonts w:ascii="Garamond" w:hAnsi="Garamond"/>
                <w:sz w:val="22"/>
                <w:szCs w:val="22"/>
                <w:lang w:val="sr-Latn-ME"/>
              </w:rPr>
              <w:t>nog</w:t>
            </w:r>
            <w:r w:rsidRPr="00B35962">
              <w:rPr>
                <w:rFonts w:ascii="Garamond" w:hAnsi="Garamond"/>
                <w:sz w:val="22"/>
                <w:szCs w:val="22"/>
                <w:lang w:val="sr-Latn-ME"/>
              </w:rPr>
              <w:t xml:space="preserve"> rad</w:t>
            </w:r>
            <w:r w:rsidR="0079632B" w:rsidRPr="00B35962">
              <w:rPr>
                <w:rFonts w:ascii="Garamond" w:hAnsi="Garamond"/>
                <w:sz w:val="22"/>
                <w:szCs w:val="22"/>
                <w:lang w:val="sr-Latn-ME"/>
              </w:rPr>
              <w:t>a</w:t>
            </w:r>
            <w:r w:rsidRPr="00B35962">
              <w:rPr>
                <w:rFonts w:ascii="Garamond" w:hAnsi="Garamond"/>
                <w:sz w:val="22"/>
                <w:szCs w:val="22"/>
                <w:lang w:val="sr-Latn-ME"/>
              </w:rPr>
              <w:t xml:space="preserve"> u</w:t>
            </w:r>
            <w:r w:rsidR="006B3A02" w:rsidRPr="00B35962">
              <w:rPr>
                <w:rFonts w:ascii="Garamond" w:hAnsi="Garamond"/>
                <w:sz w:val="22"/>
                <w:szCs w:val="22"/>
                <w:lang w:val="sr-Latn-ME"/>
              </w:rPr>
              <w:t xml:space="preserve"> RE </w:t>
            </w:r>
            <w:r w:rsidR="006F0B79">
              <w:rPr>
                <w:rFonts w:ascii="Garamond" w:hAnsi="Garamond"/>
                <w:sz w:val="22"/>
                <w:szCs w:val="22"/>
                <w:lang w:val="sr-Latn-ME"/>
              </w:rPr>
              <w:t xml:space="preserve"> zajednici </w:t>
            </w:r>
            <w:r w:rsidR="006F0B79" w:rsidRPr="00447B74">
              <w:rPr>
                <w:rFonts w:ascii="Garamond" w:hAnsi="Garamond"/>
                <w:sz w:val="22"/>
                <w:szCs w:val="22"/>
                <w:lang w:val="sr-Latn-ME"/>
              </w:rPr>
              <w:t>uz angažovanje medijatora</w:t>
            </w:r>
          </w:p>
        </w:tc>
        <w:tc>
          <w:tcPr>
            <w:tcW w:w="2106" w:type="dxa"/>
            <w:tcBorders>
              <w:top w:val="single" w:sz="4" w:space="0" w:color="auto"/>
              <w:left w:val="nil"/>
              <w:bottom w:val="single" w:sz="4" w:space="0" w:color="auto"/>
              <w:right w:val="single" w:sz="4" w:space="0" w:color="auto"/>
            </w:tcBorders>
            <w:shd w:val="clear" w:color="auto" w:fill="auto"/>
            <w:vAlign w:val="center"/>
          </w:tcPr>
          <w:p w14:paraId="6D1C4537" w14:textId="77777777" w:rsidR="001D60A2" w:rsidRPr="00B35962" w:rsidRDefault="0094162E"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Povećan broj </w:t>
            </w:r>
            <w:r w:rsidR="001D60A2" w:rsidRPr="00B35962">
              <w:rPr>
                <w:rFonts w:ascii="Garamond" w:eastAsia="Times New Roman" w:hAnsi="Garamond" w:cs="Calibri"/>
                <w:sz w:val="22"/>
                <w:szCs w:val="22"/>
                <w:lang w:val="sr-Latn-ME" w:eastAsia="sr-Latn-ME"/>
              </w:rPr>
              <w:t xml:space="preserve"> uključene </w:t>
            </w:r>
            <w:r w:rsidR="006B3A02" w:rsidRPr="00B35962">
              <w:rPr>
                <w:rFonts w:ascii="Garamond" w:eastAsia="Times New Roman" w:hAnsi="Garamond" w:cs="Calibri"/>
                <w:sz w:val="22"/>
                <w:szCs w:val="22"/>
                <w:lang w:val="sr-Latn-ME" w:eastAsia="sr-Latn-ME"/>
              </w:rPr>
              <w:t>dj</w:t>
            </w:r>
            <w:r w:rsidR="001D60A2" w:rsidRPr="00B35962">
              <w:rPr>
                <w:rFonts w:ascii="Garamond" w:eastAsia="Times New Roman" w:hAnsi="Garamond" w:cs="Calibri"/>
                <w:sz w:val="22"/>
                <w:szCs w:val="22"/>
                <w:lang w:val="sr-Latn-ME" w:eastAsia="sr-Latn-ME"/>
              </w:rPr>
              <w:t>ece.</w:t>
            </w:r>
          </w:p>
          <w:p w14:paraId="70982D9D"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1AC9C3" w14:textId="77777777" w:rsidR="001D60A2" w:rsidRPr="00B35962" w:rsidRDefault="00A37EA0"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w:t>
            </w:r>
            <w:r w:rsidR="001D60A2" w:rsidRPr="00B35962">
              <w:rPr>
                <w:rFonts w:ascii="Garamond" w:eastAsia="Times New Roman" w:hAnsi="Garamond" w:cs="Calibri"/>
                <w:sz w:val="22"/>
                <w:szCs w:val="22"/>
                <w:lang w:val="sr-Latn-ME" w:eastAsia="sr-Latn-ME"/>
              </w:rPr>
              <w:t>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BAFCB5" w14:textId="77777777" w:rsidR="001D60A2" w:rsidRPr="00B35962" w:rsidRDefault="00A37EA0"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30</w:t>
            </w:r>
            <w:r w:rsidR="001D60A2" w:rsidRPr="00B35962">
              <w:rPr>
                <w:rFonts w:ascii="Garamond" w:eastAsia="Times New Roman" w:hAnsi="Garamond" w:cs="Calibri"/>
                <w:sz w:val="22"/>
                <w:szCs w:val="22"/>
                <w:lang w:val="sr-Latn-ME" w:eastAsia="sr-Latn-ME"/>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277D6E71" w14:textId="77777777" w:rsidR="001D60A2" w:rsidRPr="00B35962" w:rsidRDefault="001D60A2" w:rsidP="005F050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w:t>
            </w:r>
            <w:r w:rsidR="005F0508" w:rsidRPr="00B35962">
              <w:rPr>
                <w:rFonts w:ascii="Garamond" w:eastAsia="Times New Roman" w:hAnsi="Garamond" w:cs="Calibri"/>
                <w:sz w:val="22"/>
                <w:szCs w:val="22"/>
                <w:lang w:val="sr-Latn-ME" w:eastAsia="sr-Latn-ME"/>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1202B1DB" w14:textId="77777777" w:rsidR="00B5024A" w:rsidRPr="00B35962" w:rsidRDefault="002039E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4</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0C6DD902" w14:textId="77777777" w:rsidR="004F4934"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080" w:type="dxa"/>
            <w:tcBorders>
              <w:top w:val="single" w:sz="4" w:space="0" w:color="auto"/>
              <w:left w:val="nil"/>
              <w:bottom w:val="single" w:sz="4" w:space="0" w:color="auto"/>
              <w:right w:val="single" w:sz="4" w:space="0" w:color="auto"/>
            </w:tcBorders>
            <w:shd w:val="clear" w:color="auto" w:fill="auto"/>
            <w:vAlign w:val="center"/>
          </w:tcPr>
          <w:p w14:paraId="6D2AC8E9" w14:textId="24D3F1C0" w:rsidR="001D60A2" w:rsidRPr="00B35962" w:rsidRDefault="00B316BF" w:rsidP="00B316B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1D60A2" w:rsidRPr="00B35962">
              <w:rPr>
                <w:rFonts w:ascii="Garamond" w:eastAsia="Times New Roman" w:hAnsi="Garamond" w:cs="Calibri"/>
                <w:sz w:val="22"/>
                <w:szCs w:val="22"/>
                <w:lang w:val="sr-Latn-ME" w:eastAsia="sr-Latn-ME"/>
              </w:rPr>
              <w:t>, M</w:t>
            </w:r>
            <w:r>
              <w:rPr>
                <w:rFonts w:ascii="Garamond" w:eastAsia="Times New Roman" w:hAnsi="Garamond" w:cs="Calibri"/>
                <w:sz w:val="22"/>
                <w:szCs w:val="22"/>
                <w:lang w:val="sr-Latn-ME" w:eastAsia="sr-Latn-ME"/>
              </w:rPr>
              <w:t>F</w:t>
            </w:r>
            <w:r w:rsidR="001D60A2" w:rsidRPr="00B35962">
              <w:rPr>
                <w:rFonts w:ascii="Garamond" w:eastAsia="Times New Roman" w:hAnsi="Garamond" w:cs="Calibri"/>
                <w:sz w:val="22"/>
                <w:szCs w:val="22"/>
                <w:lang w:val="sr-Latn-ME" w:eastAsia="sr-Latn-ME"/>
              </w:rPr>
              <w:t>SS, LZ</w:t>
            </w:r>
          </w:p>
        </w:tc>
        <w:tc>
          <w:tcPr>
            <w:tcW w:w="1150" w:type="dxa"/>
            <w:tcBorders>
              <w:top w:val="single" w:sz="4" w:space="0" w:color="auto"/>
              <w:left w:val="nil"/>
              <w:bottom w:val="single" w:sz="4" w:space="0" w:color="auto"/>
              <w:right w:val="single" w:sz="8" w:space="0" w:color="auto"/>
            </w:tcBorders>
            <w:shd w:val="clear" w:color="auto" w:fill="auto"/>
            <w:vAlign w:val="center"/>
          </w:tcPr>
          <w:p w14:paraId="1D6A92C6" w14:textId="77777777" w:rsidR="00B5024A" w:rsidRPr="00B35962" w:rsidRDefault="001D60A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w:t>
            </w:r>
          </w:p>
        </w:tc>
      </w:tr>
      <w:tr w:rsidR="00B5024A" w:rsidRPr="00B35962" w14:paraId="0FC7EE45" w14:textId="77777777" w:rsidTr="00FB585F">
        <w:trPr>
          <w:trHeight w:val="945"/>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7B92641A" w14:textId="77777777" w:rsidR="00B5024A" w:rsidRPr="00B35962" w:rsidRDefault="00B5024A" w:rsidP="00B5024A">
            <w:pPr>
              <w:spacing w:line="240" w:lineRule="auto"/>
              <w:ind w:firstLine="0"/>
              <w:jc w:val="left"/>
              <w:rPr>
                <w:rFonts w:ascii="Garamond" w:eastAsia="Times New Roman" w:hAnsi="Garamond" w:cs="Calibri"/>
                <w:b/>
                <w:bCs/>
                <w:sz w:val="22"/>
                <w:szCs w:val="22"/>
                <w:lang w:val="sr-Latn-ME" w:eastAsia="sr-Latn-ME"/>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A17256B" w14:textId="77777777" w:rsidR="00B5024A" w:rsidRPr="00B35962" w:rsidRDefault="001D60A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3.1.</w:t>
            </w:r>
            <w:r w:rsidR="00A37EA0" w:rsidRPr="00B35962">
              <w:rPr>
                <w:rFonts w:ascii="Garamond" w:eastAsia="Times New Roman" w:hAnsi="Garamond" w:cs="Calibri"/>
                <w:sz w:val="22"/>
                <w:szCs w:val="22"/>
                <w:lang w:val="sr-Latn-ME" w:eastAsia="sr-Latn-ME"/>
              </w:rPr>
              <w:t>3</w:t>
            </w:r>
            <w:r w:rsidRPr="00B35962">
              <w:rPr>
                <w:rFonts w:ascii="Garamond" w:eastAsia="Times New Roman" w:hAnsi="Garamond" w:cs="Calibri"/>
                <w:sz w:val="22"/>
                <w:szCs w:val="22"/>
                <w:lang w:val="sr-Latn-ME" w:eastAsia="sr-Latn-ME"/>
              </w:rPr>
              <w:t xml:space="preserve">. </w:t>
            </w:r>
            <w:r w:rsidR="0079632B" w:rsidRPr="00B35962">
              <w:rPr>
                <w:rFonts w:ascii="Garamond" w:eastAsia="Times New Roman" w:hAnsi="Garamond" w:cs="Calibri"/>
                <w:sz w:val="22"/>
                <w:szCs w:val="22"/>
                <w:lang w:val="sr-Latn-ME" w:eastAsia="sr-Latn-ME"/>
              </w:rPr>
              <w:t xml:space="preserve">Unapređenje i primjena modela </w:t>
            </w:r>
            <w:r w:rsidRPr="00B35962">
              <w:rPr>
                <w:rFonts w:ascii="Garamond" w:eastAsia="Times New Roman" w:hAnsi="Garamond" w:cs="Calibri"/>
                <w:sz w:val="22"/>
                <w:szCs w:val="22"/>
                <w:lang w:val="sr-Latn-ME" w:eastAsia="sr-Latn-ME"/>
              </w:rPr>
              <w:t>i</w:t>
            </w:r>
            <w:r w:rsidR="00625641" w:rsidRPr="00B35962">
              <w:rPr>
                <w:rFonts w:ascii="Garamond" w:eastAsia="Times New Roman" w:hAnsi="Garamond" w:cs="Calibri"/>
                <w:sz w:val="22"/>
                <w:szCs w:val="22"/>
                <w:lang w:val="sr-Latn-ME" w:eastAsia="sr-Latn-ME"/>
              </w:rPr>
              <w:t>ntersektorske razmjene podataka</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50349F9" w14:textId="77777777" w:rsidR="001D60A2" w:rsidRPr="00B35962" w:rsidRDefault="001D60A2" w:rsidP="001D60A2">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Unaprije</w:t>
            </w:r>
            <w:r w:rsidR="002039E2" w:rsidRPr="00B35962">
              <w:rPr>
                <w:rFonts w:ascii="Garamond" w:eastAsia="Times New Roman" w:hAnsi="Garamond" w:cs="Calibri"/>
                <w:sz w:val="22"/>
                <w:szCs w:val="22"/>
                <w:lang w:val="sr-Latn-ME" w:eastAsia="sr-Latn-ME"/>
              </w:rPr>
              <w:t>đ</w:t>
            </w:r>
            <w:r w:rsidRPr="00B35962">
              <w:rPr>
                <w:rFonts w:ascii="Garamond" w:eastAsia="Times New Roman" w:hAnsi="Garamond" w:cs="Calibri"/>
                <w:sz w:val="22"/>
                <w:szCs w:val="22"/>
                <w:lang w:val="sr-Latn-ME" w:eastAsia="sr-Latn-ME"/>
              </w:rPr>
              <w:t xml:space="preserve">en i u primjeni model razmjene </w:t>
            </w:r>
            <w:r w:rsidR="00AF5627" w:rsidRPr="00B35962">
              <w:rPr>
                <w:rFonts w:ascii="Garamond" w:eastAsia="Times New Roman" w:hAnsi="Garamond" w:cs="Calibri"/>
                <w:sz w:val="22"/>
                <w:szCs w:val="22"/>
                <w:lang w:val="sr-Latn-ME" w:eastAsia="sr-Latn-ME"/>
              </w:rPr>
              <w:t>podataka</w:t>
            </w:r>
          </w:p>
          <w:p w14:paraId="0A398F9B"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6DEFC"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E553CD" w14:textId="77777777" w:rsidR="00B5024A" w:rsidRPr="00B35962" w:rsidRDefault="00B5024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CC8251" w14:textId="77777777" w:rsidR="00B5024A" w:rsidRPr="00B35962" w:rsidRDefault="00B5024A" w:rsidP="001D60A2">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w:t>
            </w:r>
            <w:r w:rsidR="001D60A2" w:rsidRPr="00B35962">
              <w:rPr>
                <w:rFonts w:ascii="Garamond" w:eastAsia="Times New Roman" w:hAnsi="Garamond" w:cs="Calibri"/>
                <w:sz w:val="22"/>
                <w:szCs w:val="22"/>
                <w:lang w:val="sr-Latn-ME" w:eastAsia="sr-Latn-ME"/>
              </w:rPr>
              <w:t>2023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B022A9" w14:textId="77777777" w:rsidR="00B5024A" w:rsidRPr="00B35962" w:rsidRDefault="002039E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022E97F2" w14:textId="77777777" w:rsidR="004F4934"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i projekat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87DDA1" w14:textId="40DFC419" w:rsidR="001D60A2" w:rsidRPr="00B35962" w:rsidRDefault="00B316BF"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1D60A2" w:rsidRPr="00B35962">
              <w:rPr>
                <w:rFonts w:ascii="Garamond" w:eastAsia="Times New Roman" w:hAnsi="Garamond" w:cs="Calibri"/>
                <w:sz w:val="22"/>
                <w:szCs w:val="22"/>
                <w:lang w:val="sr-Latn-ME" w:eastAsia="sr-Latn-ME"/>
              </w:rPr>
              <w:t xml:space="preserve">, </w:t>
            </w:r>
            <w:r w:rsidR="00B5024A" w:rsidRPr="00B35962">
              <w:rPr>
                <w:rFonts w:ascii="Garamond" w:eastAsia="Times New Roman" w:hAnsi="Garamond" w:cs="Calibri"/>
                <w:sz w:val="22"/>
                <w:szCs w:val="22"/>
                <w:lang w:val="sr-Latn-ME" w:eastAsia="sr-Latn-ME"/>
              </w:rPr>
              <w:t>M</w:t>
            </w:r>
            <w:r>
              <w:rPr>
                <w:rFonts w:ascii="Garamond" w:eastAsia="Times New Roman" w:hAnsi="Garamond" w:cs="Calibri"/>
                <w:sz w:val="22"/>
                <w:szCs w:val="22"/>
                <w:lang w:val="sr-Latn-ME" w:eastAsia="sr-Latn-ME"/>
              </w:rPr>
              <w:t>F</w:t>
            </w:r>
            <w:r w:rsidR="00B5024A" w:rsidRPr="00B35962">
              <w:rPr>
                <w:rFonts w:ascii="Garamond" w:eastAsia="Times New Roman" w:hAnsi="Garamond" w:cs="Calibri"/>
                <w:sz w:val="22"/>
                <w:szCs w:val="22"/>
                <w:lang w:val="sr-Latn-ME" w:eastAsia="sr-Latn-ME"/>
              </w:rPr>
              <w:t>SS</w:t>
            </w:r>
            <w:r w:rsidR="001D60A2" w:rsidRPr="00B35962">
              <w:rPr>
                <w:rFonts w:ascii="Garamond" w:eastAsia="Times New Roman" w:hAnsi="Garamond" w:cs="Calibri"/>
                <w:sz w:val="22"/>
                <w:szCs w:val="22"/>
                <w:lang w:val="sr-Latn-ME" w:eastAsia="sr-Latn-ME"/>
              </w:rPr>
              <w:t>, MZ</w:t>
            </w:r>
          </w:p>
          <w:p w14:paraId="074E449B" w14:textId="77777777" w:rsidR="00B5024A" w:rsidRPr="00B35962" w:rsidRDefault="00B5024A" w:rsidP="001D60A2">
            <w:pPr>
              <w:spacing w:line="240" w:lineRule="auto"/>
              <w:ind w:firstLine="0"/>
              <w:rPr>
                <w:rFonts w:ascii="Garamond" w:eastAsia="Times New Roman" w:hAnsi="Garamond" w:cs="Calibri"/>
                <w:sz w:val="22"/>
                <w:szCs w:val="22"/>
                <w:lang w:val="sr-Latn-ME" w:eastAsia="sr-Latn-ME"/>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0AAB3FE" w14:textId="2E26E991" w:rsidR="00B5024A" w:rsidRPr="00B35962" w:rsidRDefault="001D53DE" w:rsidP="00566A90">
            <w:pPr>
              <w:spacing w:line="240" w:lineRule="auto"/>
              <w:ind w:firstLine="0"/>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redovna aktivnost</w:t>
            </w:r>
          </w:p>
        </w:tc>
      </w:tr>
      <w:tr w:rsidR="00A2251A" w:rsidRPr="00B35962" w14:paraId="5832D319" w14:textId="77777777" w:rsidTr="00FB585F">
        <w:trPr>
          <w:trHeight w:val="1145"/>
        </w:trPr>
        <w:tc>
          <w:tcPr>
            <w:tcW w:w="2885" w:type="dxa"/>
            <w:vMerge w:val="restart"/>
            <w:tcBorders>
              <w:top w:val="single" w:sz="4" w:space="0" w:color="auto"/>
              <w:left w:val="single" w:sz="4" w:space="0" w:color="auto"/>
              <w:bottom w:val="single" w:sz="4" w:space="0" w:color="auto"/>
              <w:right w:val="single" w:sz="4" w:space="0" w:color="auto"/>
            </w:tcBorders>
            <w:shd w:val="clear" w:color="000000" w:fill="D9E1F2"/>
            <w:textDirection w:val="btLr"/>
            <w:vAlign w:val="center"/>
            <w:hideMark/>
          </w:tcPr>
          <w:p w14:paraId="6E028DCC" w14:textId="6E047C68" w:rsidR="00A2251A" w:rsidRPr="00B35962" w:rsidRDefault="00F24323" w:rsidP="00AB1025">
            <w:pPr>
              <w:spacing w:line="240" w:lineRule="auto"/>
              <w:ind w:firstLine="0"/>
              <w:jc w:val="center"/>
              <w:rPr>
                <w:rFonts w:ascii="Garamond" w:eastAsia="Times New Roman" w:hAnsi="Garamond" w:cs="Calibri"/>
                <w:b/>
                <w:bCs/>
                <w:sz w:val="22"/>
                <w:szCs w:val="22"/>
                <w:lang w:val="sr-Latn-ME" w:eastAsia="sr-Latn-ME"/>
              </w:rPr>
            </w:pPr>
            <w:r w:rsidRPr="00B35962">
              <w:rPr>
                <w:lang w:val="sr-Latn-ME"/>
              </w:rPr>
              <w:br w:type="page"/>
            </w:r>
            <w:r w:rsidR="00F7338E" w:rsidRPr="00B35962">
              <w:rPr>
                <w:i/>
                <w:lang w:val="sr-Latn-ME"/>
              </w:rPr>
              <w:t>Ključno mjerilo</w:t>
            </w:r>
            <w:r w:rsidR="00F7338E" w:rsidRPr="00B35962">
              <w:rPr>
                <w:lang w:val="sr-Latn-ME"/>
              </w:rPr>
              <w:t xml:space="preserve"> </w:t>
            </w:r>
            <w:r w:rsidR="00A2251A" w:rsidRPr="00B35962">
              <w:rPr>
                <w:rFonts w:ascii="Garamond" w:eastAsia="Times New Roman" w:hAnsi="Garamond" w:cs="Calibri"/>
                <w:b/>
                <w:bCs/>
                <w:sz w:val="22"/>
                <w:szCs w:val="22"/>
                <w:lang w:val="sr-Latn-ME" w:eastAsia="sr-Latn-ME"/>
              </w:rPr>
              <w:t>3.2: Širenje i jačanje interaktivnih službi</w:t>
            </w:r>
            <w:r w:rsidR="00A2251A" w:rsidRPr="00B35962">
              <w:rPr>
                <w:rFonts w:ascii="Garamond" w:eastAsia="Times New Roman" w:hAnsi="Garamond" w:cs="Calibri"/>
                <w:b/>
                <w:bCs/>
                <w:sz w:val="22"/>
                <w:szCs w:val="22"/>
                <w:lang w:val="sr-Latn-ME" w:eastAsia="sr-Latn-ME"/>
              </w:rPr>
              <w:br/>
            </w:r>
            <w:r w:rsidR="00A2251A" w:rsidRPr="00B35962">
              <w:rPr>
                <w:rFonts w:ascii="Garamond" w:eastAsia="Times New Roman" w:hAnsi="Garamond" w:cs="Calibri"/>
                <w:b/>
                <w:bCs/>
                <w:sz w:val="22"/>
                <w:szCs w:val="22"/>
                <w:lang w:val="sr-Latn-ME" w:eastAsia="sr-Latn-ME"/>
              </w:rPr>
              <w:br/>
            </w:r>
            <w:r w:rsidR="00A2251A" w:rsidRPr="00B35962">
              <w:rPr>
                <w:rFonts w:ascii="Garamond" w:eastAsia="Times New Roman" w:hAnsi="Garamond" w:cs="Calibri"/>
                <w:sz w:val="22"/>
                <w:szCs w:val="22"/>
                <w:lang w:val="sr-Latn-ME" w:eastAsia="sr-Latn-ME"/>
              </w:rPr>
              <w:t>Indikator 3.2.1 Broj djece koja su uključena u rad interaktivnih službi (MEIS) - 210 (2020)       250 (2022)       320 (202</w:t>
            </w:r>
            <w:r w:rsidR="00AB1025" w:rsidRPr="00B35962">
              <w:rPr>
                <w:rFonts w:ascii="Garamond" w:eastAsia="Times New Roman" w:hAnsi="Garamond" w:cs="Calibri"/>
                <w:sz w:val="22"/>
                <w:szCs w:val="22"/>
                <w:lang w:val="sr-Latn-ME" w:eastAsia="sr-Latn-ME"/>
              </w:rPr>
              <w:t>5</w:t>
            </w:r>
            <w:r w:rsidR="00A2251A" w:rsidRPr="00B35962">
              <w:rPr>
                <w:rFonts w:ascii="Garamond" w:eastAsia="Times New Roman" w:hAnsi="Garamond" w:cs="Calibri"/>
                <w:sz w:val="22"/>
                <w:szCs w:val="22"/>
                <w:lang w:val="sr-Latn-ME" w:eastAsia="sr-Latn-ME"/>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6B175"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3.2.1 Analiza potreba za širenje usluga interaktivnih uz službi uz produženje vremena boravka </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DA80"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Dokument sa analizom potreba za širenje interaktivne službe sa preporukama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4A39" w14:textId="77777777" w:rsidR="00A2251A" w:rsidRPr="00B35962" w:rsidRDefault="00A2251A" w:rsidP="00A2251A">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r w:rsidR="00A37EA0" w:rsidRPr="00B35962">
              <w:rPr>
                <w:rFonts w:ascii="Garamond" w:eastAsia="Times New Roman" w:hAnsi="Garamond" w:cs="Calibri"/>
                <w:sz w:val="22"/>
                <w:szCs w:val="22"/>
                <w:lang w:val="sr-Latn-ME" w:eastAsia="sr-Latn-ME"/>
              </w:rPr>
              <w:t xml:space="preserve"> </w:t>
            </w:r>
            <w:r w:rsidRPr="00B35962">
              <w:rPr>
                <w:rFonts w:ascii="Garamond" w:eastAsia="Times New Roman" w:hAnsi="Garamond" w:cs="Calibri"/>
                <w:sz w:val="22"/>
                <w:szCs w:val="22"/>
                <w:lang w:val="sr-Latn-ME" w:eastAsia="sr-Latn-ME"/>
              </w:rPr>
              <w:t>50%</w:t>
            </w:r>
          </w:p>
          <w:p w14:paraId="21CD51DD"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4700"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5712C249"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44AF5"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2022-2024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43B6"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w:t>
            </w:r>
            <w:r w:rsidR="002039E2" w:rsidRPr="00B35962">
              <w:rPr>
                <w:rFonts w:ascii="Garamond" w:eastAsia="Times New Roman" w:hAnsi="Garamond" w:cs="Calibri"/>
                <w:sz w:val="22"/>
                <w:szCs w:val="22"/>
                <w:lang w:val="sr-Latn-ME" w:eastAsia="sr-Latn-ME"/>
              </w:rPr>
              <w:t>500 €</w:t>
            </w:r>
          </w:p>
          <w:p w14:paraId="1BAE8B7D" w14:textId="77777777" w:rsidR="004F4934"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0352" w14:textId="631B8621" w:rsidR="00A2251A" w:rsidRPr="00B35962" w:rsidRDefault="00FB585F" w:rsidP="00A2251A">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A2251A" w:rsidRPr="00B35962">
              <w:rPr>
                <w:rFonts w:ascii="Garamond" w:eastAsia="Times New Roman" w:hAnsi="Garamond" w:cs="Calibri"/>
                <w:sz w:val="22"/>
                <w:szCs w:val="22"/>
                <w:lang w:val="sr-Latn-ME" w:eastAsia="sr-Latn-ME"/>
              </w:rPr>
              <w:t>, ZzŠ</w:t>
            </w:r>
          </w:p>
          <w:p w14:paraId="70CE0A26"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PU</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37D6"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w:t>
            </w:r>
          </w:p>
        </w:tc>
      </w:tr>
      <w:tr w:rsidR="00A2251A" w:rsidRPr="00B35962" w14:paraId="7CC57AD4" w14:textId="77777777" w:rsidTr="00FB585F">
        <w:trPr>
          <w:trHeight w:val="873"/>
        </w:trPr>
        <w:tc>
          <w:tcPr>
            <w:tcW w:w="2885" w:type="dxa"/>
            <w:vMerge/>
            <w:tcBorders>
              <w:top w:val="single" w:sz="4" w:space="0" w:color="auto"/>
              <w:left w:val="single" w:sz="8" w:space="0" w:color="auto"/>
              <w:bottom w:val="single" w:sz="4" w:space="0" w:color="auto"/>
              <w:right w:val="single" w:sz="8" w:space="0" w:color="auto"/>
            </w:tcBorders>
            <w:vAlign w:val="center"/>
            <w:hideMark/>
          </w:tcPr>
          <w:p w14:paraId="30D9556D" w14:textId="77777777" w:rsidR="00A2251A" w:rsidRPr="00B35962" w:rsidRDefault="00A2251A" w:rsidP="00B5024A">
            <w:pPr>
              <w:spacing w:line="240" w:lineRule="auto"/>
              <w:ind w:firstLine="0"/>
              <w:jc w:val="left"/>
              <w:rPr>
                <w:rFonts w:ascii="Garamond" w:eastAsia="Times New Roman" w:hAnsi="Garamond" w:cs="Calibri"/>
                <w:b/>
                <w:bCs/>
                <w:sz w:val="22"/>
                <w:szCs w:val="22"/>
                <w:lang w:val="sr-Latn-ME" w:eastAsia="sr-Latn-ME"/>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CAF0D4B" w14:textId="4A6B95C1" w:rsidR="00A2251A" w:rsidRPr="00B35962" w:rsidRDefault="00A2251A" w:rsidP="001D39FE">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3.2.2 </w:t>
            </w:r>
            <w:r w:rsidR="0079632B" w:rsidRPr="00B35962">
              <w:rPr>
                <w:rFonts w:ascii="Garamond" w:eastAsia="Times New Roman" w:hAnsi="Garamond" w:cs="Calibri"/>
                <w:sz w:val="22"/>
                <w:szCs w:val="22"/>
                <w:lang w:val="sr-Latn-ME" w:eastAsia="sr-Latn-ME"/>
              </w:rPr>
              <w:t>Uspostavljanje punktova</w:t>
            </w:r>
            <w:r w:rsidRPr="00B35962">
              <w:rPr>
                <w:rFonts w:ascii="Garamond" w:eastAsia="Times New Roman" w:hAnsi="Garamond" w:cs="Calibri"/>
                <w:sz w:val="22"/>
                <w:szCs w:val="22"/>
                <w:lang w:val="sr-Latn-ME" w:eastAsia="sr-Latn-ME"/>
              </w:rPr>
              <w:t xml:space="preserve"> </w:t>
            </w:r>
            <w:r w:rsidR="001D39FE">
              <w:rPr>
                <w:rFonts w:ascii="Garamond" w:eastAsia="Times New Roman" w:hAnsi="Garamond" w:cs="Calibri"/>
                <w:sz w:val="22"/>
                <w:szCs w:val="22"/>
                <w:lang w:val="sr-Latn-ME" w:eastAsia="sr-Latn-ME"/>
              </w:rPr>
              <w:t>IS</w:t>
            </w:r>
            <w:r w:rsidRPr="00B35962">
              <w:rPr>
                <w:rFonts w:ascii="Garamond" w:eastAsia="Times New Roman" w:hAnsi="Garamond" w:cs="Calibri"/>
                <w:sz w:val="22"/>
                <w:szCs w:val="22"/>
                <w:lang w:val="sr-Latn-ME" w:eastAsia="sr-Latn-ME"/>
              </w:rPr>
              <w:t xml:space="preserve"> na novim lokacijama </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29DAFCC" w14:textId="7C6FF040" w:rsidR="00A2251A" w:rsidRPr="00B35962" w:rsidRDefault="00AF5627" w:rsidP="001D39FE">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Povećan b</w:t>
            </w:r>
            <w:r w:rsidR="00A2251A" w:rsidRPr="00B35962">
              <w:rPr>
                <w:rFonts w:ascii="Garamond" w:eastAsia="Times New Roman" w:hAnsi="Garamond" w:cs="Calibri"/>
                <w:sz w:val="22"/>
                <w:szCs w:val="22"/>
                <w:lang w:val="sr-Latn-ME" w:eastAsia="sr-Latn-ME"/>
              </w:rPr>
              <w:t xml:space="preserve">roj punktova </w:t>
            </w:r>
            <w:r w:rsidR="001D39FE">
              <w:rPr>
                <w:rFonts w:ascii="Garamond" w:eastAsia="Times New Roman" w:hAnsi="Garamond" w:cs="Calibri"/>
                <w:sz w:val="22"/>
                <w:szCs w:val="22"/>
                <w:lang w:val="sr-Latn-ME" w:eastAsia="sr-Latn-ME"/>
              </w:rPr>
              <w:t>IS</w:t>
            </w:r>
            <w:r w:rsidR="00A2251A" w:rsidRPr="00B35962">
              <w:rPr>
                <w:rFonts w:ascii="Garamond" w:eastAsia="Times New Roman" w:hAnsi="Garamond" w:cs="Calibri"/>
                <w:sz w:val="22"/>
                <w:szCs w:val="22"/>
                <w:lang w:val="sr-Latn-ME" w:eastAsia="sr-Latn-ME"/>
              </w:rPr>
              <w:t xml:space="preserve"> (MEIS)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6DC567" w14:textId="77777777" w:rsidR="00A2251A" w:rsidRPr="00B35962" w:rsidRDefault="00AF5627"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3AE545" w14:textId="77777777" w:rsidR="00A2251A" w:rsidRPr="00B35962" w:rsidRDefault="00AF5627"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w:t>
            </w:r>
          </w:p>
        </w:tc>
        <w:tc>
          <w:tcPr>
            <w:tcW w:w="720" w:type="dxa"/>
            <w:tcBorders>
              <w:top w:val="single" w:sz="4" w:space="0" w:color="auto"/>
              <w:left w:val="nil"/>
              <w:bottom w:val="single" w:sz="4" w:space="0" w:color="auto"/>
              <w:right w:val="single" w:sz="4" w:space="0" w:color="auto"/>
            </w:tcBorders>
            <w:shd w:val="clear" w:color="auto" w:fill="auto"/>
            <w:vAlign w:val="center"/>
          </w:tcPr>
          <w:p w14:paraId="2A7A8BB8" w14:textId="77777777" w:rsidR="00A2251A" w:rsidRPr="00B35962" w:rsidRDefault="00A2251A" w:rsidP="0053659D">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2021-2024</w:t>
            </w:r>
          </w:p>
          <w:p w14:paraId="3A4ECADD"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BC962E3" w14:textId="77777777" w:rsidR="00A2251A" w:rsidRPr="00B35962" w:rsidRDefault="00A2251A" w:rsidP="002039E2">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w:t>
            </w:r>
            <w:r w:rsidR="002039E2"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002039E2" w:rsidRPr="00B35962">
              <w:rPr>
                <w:rFonts w:ascii="Garamond" w:eastAsia="Times New Roman" w:hAnsi="Garamond" w:cs="Calibri"/>
                <w:sz w:val="22"/>
                <w:szCs w:val="22"/>
                <w:lang w:val="sr-Latn-ME" w:eastAsia="sr-Latn-ME"/>
              </w:rPr>
              <w:t>500 €</w:t>
            </w:r>
          </w:p>
          <w:p w14:paraId="77E3A02A" w14:textId="77777777" w:rsidR="004F4934" w:rsidRPr="00B35962" w:rsidRDefault="004F4934" w:rsidP="002039E2">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budžet i projekat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845547" w14:textId="02DCAB0B" w:rsidR="00A2251A" w:rsidRPr="00B35962" w:rsidRDefault="00FB585F"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p>
        </w:tc>
        <w:tc>
          <w:tcPr>
            <w:tcW w:w="1150" w:type="dxa"/>
            <w:tcBorders>
              <w:top w:val="single" w:sz="4" w:space="0" w:color="auto"/>
              <w:left w:val="nil"/>
              <w:bottom w:val="single" w:sz="4" w:space="0" w:color="auto"/>
              <w:right w:val="single" w:sz="8" w:space="0" w:color="auto"/>
            </w:tcBorders>
            <w:shd w:val="clear" w:color="auto" w:fill="auto"/>
            <w:vAlign w:val="center"/>
            <w:hideMark/>
          </w:tcPr>
          <w:p w14:paraId="59C885E5" w14:textId="77777777" w:rsidR="00A2251A" w:rsidRPr="00B35962" w:rsidRDefault="00A2251A"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LZ, donatori  </w:t>
            </w:r>
          </w:p>
        </w:tc>
      </w:tr>
    </w:tbl>
    <w:p w14:paraId="30640227" w14:textId="77777777" w:rsidR="00AB1025" w:rsidRPr="00B35962" w:rsidRDefault="00AB1025">
      <w:pPr>
        <w:rPr>
          <w:lang w:val="sr-Latn-ME"/>
        </w:rPr>
      </w:pPr>
      <w:r w:rsidRPr="00B35962">
        <w:rPr>
          <w:lang w:val="sr-Latn-ME"/>
        </w:rPr>
        <w:br w:type="page"/>
      </w:r>
    </w:p>
    <w:tbl>
      <w:tblPr>
        <w:tblW w:w="13755" w:type="dxa"/>
        <w:tblInd w:w="-10" w:type="dxa"/>
        <w:tblLayout w:type="fixed"/>
        <w:tblLook w:val="04A0" w:firstRow="1" w:lastRow="0" w:firstColumn="1" w:lastColumn="0" w:noHBand="0" w:noVBand="1"/>
      </w:tblPr>
      <w:tblGrid>
        <w:gridCol w:w="3245"/>
        <w:gridCol w:w="2417"/>
        <w:gridCol w:w="1851"/>
        <w:gridCol w:w="1418"/>
        <w:gridCol w:w="992"/>
        <w:gridCol w:w="714"/>
        <w:gridCol w:w="978"/>
        <w:gridCol w:w="1143"/>
        <w:gridCol w:w="997"/>
      </w:tblGrid>
      <w:tr w:rsidR="00C0423C" w:rsidRPr="00B35962" w14:paraId="46944172" w14:textId="77777777" w:rsidTr="00FB585F">
        <w:trPr>
          <w:trHeight w:val="1692"/>
        </w:trPr>
        <w:tc>
          <w:tcPr>
            <w:tcW w:w="3245" w:type="dxa"/>
            <w:vMerge w:val="restart"/>
            <w:tcBorders>
              <w:top w:val="single" w:sz="4" w:space="0" w:color="auto"/>
              <w:left w:val="single" w:sz="4" w:space="0" w:color="auto"/>
              <w:bottom w:val="single" w:sz="4" w:space="0" w:color="auto"/>
              <w:right w:val="single" w:sz="4" w:space="0" w:color="auto"/>
            </w:tcBorders>
            <w:shd w:val="clear" w:color="000000" w:fill="D9E2F3"/>
            <w:textDirection w:val="btLr"/>
            <w:vAlign w:val="center"/>
            <w:hideMark/>
          </w:tcPr>
          <w:p w14:paraId="3F0612A6" w14:textId="72857044" w:rsidR="00C0423C" w:rsidRPr="00B35962" w:rsidRDefault="00F7338E" w:rsidP="00AB1025">
            <w:pPr>
              <w:spacing w:line="240" w:lineRule="auto"/>
              <w:ind w:firstLine="0"/>
              <w:jc w:val="center"/>
              <w:rPr>
                <w:rFonts w:ascii="Garamond" w:eastAsia="Times New Roman" w:hAnsi="Garamond" w:cs="Calibri"/>
                <w:b/>
                <w:bCs/>
                <w:sz w:val="22"/>
                <w:szCs w:val="22"/>
                <w:lang w:val="sr-Latn-ME" w:eastAsia="sr-Latn-ME"/>
              </w:rPr>
            </w:pPr>
            <w:r w:rsidRPr="00B35962">
              <w:rPr>
                <w:i/>
                <w:lang w:val="sr-Latn-ME"/>
              </w:rPr>
              <w:t>Ključno mjerilo</w:t>
            </w:r>
            <w:r w:rsidRPr="00B35962">
              <w:rPr>
                <w:lang w:val="sr-Latn-ME"/>
              </w:rPr>
              <w:t xml:space="preserve"> </w:t>
            </w:r>
            <w:r w:rsidR="00C0423C" w:rsidRPr="00B35962">
              <w:rPr>
                <w:rFonts w:ascii="Garamond" w:eastAsia="Times New Roman" w:hAnsi="Garamond" w:cs="Calibri"/>
                <w:b/>
                <w:bCs/>
                <w:sz w:val="22"/>
                <w:szCs w:val="22"/>
                <w:lang w:val="sr-Latn-ME" w:eastAsia="sr-Latn-ME"/>
              </w:rPr>
              <w:t>3.3: Unaprijediti podršku roditeljima u obezbjeđivanju podsticajnijih uslova za rani razvoj u porodičnom okruženju</w:t>
            </w:r>
            <w:r w:rsidR="00C0423C" w:rsidRPr="00B35962">
              <w:rPr>
                <w:rFonts w:ascii="Garamond" w:eastAsia="Times New Roman" w:hAnsi="Garamond" w:cs="Calibri"/>
                <w:b/>
                <w:bCs/>
                <w:sz w:val="22"/>
                <w:szCs w:val="22"/>
                <w:lang w:val="sr-Latn-ME" w:eastAsia="sr-Latn-ME"/>
              </w:rPr>
              <w:br/>
            </w:r>
            <w:r w:rsidR="00C0423C" w:rsidRPr="00B35962">
              <w:rPr>
                <w:rFonts w:ascii="Garamond" w:eastAsia="Times New Roman" w:hAnsi="Garamond" w:cs="Calibri"/>
                <w:b/>
                <w:bCs/>
                <w:sz w:val="22"/>
                <w:szCs w:val="22"/>
                <w:lang w:val="sr-Latn-ME" w:eastAsia="sr-Latn-ME"/>
              </w:rPr>
              <w:br/>
            </w:r>
            <w:r w:rsidR="00C0423C" w:rsidRPr="00B35962">
              <w:rPr>
                <w:rFonts w:ascii="Garamond" w:eastAsia="Times New Roman" w:hAnsi="Garamond" w:cs="Calibri"/>
                <w:sz w:val="22"/>
                <w:szCs w:val="22"/>
                <w:lang w:val="sr-Latn-ME" w:eastAsia="sr-Latn-ME"/>
              </w:rPr>
              <w:t>Indikator 3.3.1  Procenat djece u grupi 20% sa najnižim materijalnim statusom sa kojom odrasli članovi porodice učestvuju u četiri ili više razvojno podsticajnih aktivnosti (MICS) -  69% (2020)    - (2022)     80% (2024)</w:t>
            </w:r>
            <w:r w:rsidR="00C0423C" w:rsidRPr="00B35962">
              <w:rPr>
                <w:rFonts w:ascii="Garamond" w:eastAsia="Times New Roman" w:hAnsi="Garamond" w:cs="Calibri"/>
                <w:sz w:val="22"/>
                <w:szCs w:val="22"/>
                <w:lang w:val="sr-Latn-ME" w:eastAsia="sr-Latn-ME"/>
              </w:rPr>
              <w:br/>
              <w:t>Indikator 3.3.2  Procenat djece u grupi 20% sa najnižim materijalnim statusom koja imaju 3 ili više dečijih knjiga (MICS)  -   21% (2020)       - (2022)       40% (202</w:t>
            </w:r>
            <w:r w:rsidR="00AB1025" w:rsidRPr="00B35962">
              <w:rPr>
                <w:rFonts w:ascii="Garamond" w:eastAsia="Times New Roman" w:hAnsi="Garamond" w:cs="Calibri"/>
                <w:sz w:val="22"/>
                <w:szCs w:val="22"/>
                <w:lang w:val="sr-Latn-ME" w:eastAsia="sr-Latn-ME"/>
              </w:rPr>
              <w:t>5</w:t>
            </w:r>
            <w:r w:rsidR="00C0423C" w:rsidRPr="00B35962">
              <w:rPr>
                <w:rFonts w:ascii="Garamond" w:eastAsia="Times New Roman" w:hAnsi="Garamond" w:cs="Calibri"/>
                <w:sz w:val="22"/>
                <w:szCs w:val="22"/>
                <w:lang w:val="sr-Latn-ME" w:eastAsia="sr-Latn-ME"/>
              </w:rPr>
              <w:t>)</w:t>
            </w:r>
            <w:r w:rsidR="00C0423C" w:rsidRPr="00B35962">
              <w:rPr>
                <w:rFonts w:ascii="Garamond" w:eastAsia="Times New Roman" w:hAnsi="Garamond" w:cs="Calibri"/>
                <w:sz w:val="22"/>
                <w:szCs w:val="22"/>
                <w:lang w:val="sr-Latn-ME" w:eastAsia="sr-Latn-ME"/>
              </w:rPr>
              <w:br/>
              <w:t>Indikator 3.3.3  Procenat djece iz Romske zajednice sa kojom odrasli članovi porodice učestvuju u četiri ili više razvojno podsticajnih aktivnosti (MICS) -   51% (2020)       - (2022)       80% (2024)</w:t>
            </w:r>
            <w:r w:rsidR="00C0423C" w:rsidRPr="00B35962">
              <w:rPr>
                <w:rFonts w:ascii="Garamond" w:eastAsia="Times New Roman" w:hAnsi="Garamond" w:cs="Calibri"/>
                <w:sz w:val="22"/>
                <w:szCs w:val="22"/>
                <w:lang w:val="sr-Latn-ME" w:eastAsia="sr-Latn-ME"/>
              </w:rPr>
              <w:br/>
              <w:t xml:space="preserve">Indikator 3.3.4  Procenat djece iz Romske zajednice koja imaju 3 ili više dečijih knjiga (MICS) -   6% (2020)       </w:t>
            </w:r>
            <w:r w:rsidR="00406816" w:rsidRPr="00B35962">
              <w:rPr>
                <w:rFonts w:ascii="Garamond" w:eastAsia="Times New Roman" w:hAnsi="Garamond" w:cs="Calibri"/>
                <w:sz w:val="22"/>
                <w:szCs w:val="22"/>
                <w:lang w:val="sr-Latn-ME" w:eastAsia="sr-Latn-ME"/>
              </w:rPr>
              <w:t>-</w:t>
            </w:r>
            <w:r w:rsidR="00C0423C" w:rsidRPr="00B35962">
              <w:rPr>
                <w:rFonts w:ascii="Garamond" w:eastAsia="Times New Roman" w:hAnsi="Garamond" w:cs="Calibri"/>
                <w:sz w:val="22"/>
                <w:szCs w:val="22"/>
                <w:lang w:val="sr-Latn-ME" w:eastAsia="sr-Latn-ME"/>
              </w:rPr>
              <w:t xml:space="preserve"> (2022)       40% (202</w:t>
            </w:r>
            <w:r w:rsidR="00AB1025" w:rsidRPr="00B35962">
              <w:rPr>
                <w:rFonts w:ascii="Garamond" w:eastAsia="Times New Roman" w:hAnsi="Garamond" w:cs="Calibri"/>
                <w:sz w:val="22"/>
                <w:szCs w:val="22"/>
                <w:lang w:val="sr-Latn-ME" w:eastAsia="sr-Latn-ME"/>
              </w:rPr>
              <w:t>5</w:t>
            </w:r>
            <w:r w:rsidR="00C0423C" w:rsidRPr="00B35962">
              <w:rPr>
                <w:rFonts w:ascii="Garamond" w:eastAsia="Times New Roman" w:hAnsi="Garamond" w:cs="Calibri"/>
                <w:sz w:val="22"/>
                <w:szCs w:val="22"/>
                <w:lang w:val="sr-Latn-ME" w:eastAsia="sr-Latn-ME"/>
              </w:rPr>
              <w:t>)</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390D" w14:textId="77777777" w:rsidR="00C0423C" w:rsidRPr="00B35962" w:rsidRDefault="00C0423C" w:rsidP="000F1A8C">
            <w:pPr>
              <w:spacing w:line="240" w:lineRule="auto"/>
              <w:ind w:firstLine="0"/>
              <w:rPr>
                <w:rFonts w:ascii="Garamond" w:eastAsia="Times New Roman" w:hAnsi="Garamond" w:cs="Calibri"/>
                <w:sz w:val="22"/>
                <w:szCs w:val="22"/>
                <w:lang w:val="sr-Latn-ME" w:eastAsia="sr-Latn-ME"/>
              </w:rPr>
            </w:pPr>
            <w:r w:rsidRPr="00B35962">
              <w:rPr>
                <w:rFonts w:ascii="Garamond" w:hAnsi="Garamond"/>
                <w:sz w:val="22"/>
                <w:szCs w:val="22"/>
                <w:lang w:val="sr-Latn-ME"/>
              </w:rPr>
              <w:t xml:space="preserve">3.3.1 </w:t>
            </w:r>
            <w:r w:rsidR="00AF5627" w:rsidRPr="00B35962">
              <w:rPr>
                <w:rFonts w:ascii="Garamond" w:hAnsi="Garamond"/>
                <w:sz w:val="22"/>
                <w:szCs w:val="22"/>
                <w:lang w:val="sr-Latn-ME"/>
              </w:rPr>
              <w:t>Prilagođavanje</w:t>
            </w:r>
            <w:r w:rsidR="0079632B" w:rsidRPr="00B35962">
              <w:rPr>
                <w:rFonts w:ascii="Garamond" w:hAnsi="Garamond"/>
                <w:sz w:val="22"/>
                <w:szCs w:val="22"/>
                <w:lang w:val="sr-Latn-ME"/>
              </w:rPr>
              <w:t xml:space="preserve"> i primjena </w:t>
            </w:r>
            <w:r w:rsidRPr="00B35962">
              <w:rPr>
                <w:rFonts w:ascii="Garamond" w:hAnsi="Garamond"/>
                <w:sz w:val="22"/>
                <w:szCs w:val="22"/>
                <w:lang w:val="sr-Latn-ME"/>
              </w:rPr>
              <w:t>program</w:t>
            </w:r>
            <w:r w:rsidR="0079632B" w:rsidRPr="00B35962">
              <w:rPr>
                <w:rFonts w:ascii="Garamond" w:hAnsi="Garamond"/>
                <w:sz w:val="22"/>
                <w:szCs w:val="22"/>
                <w:lang w:val="sr-Latn-ME"/>
              </w:rPr>
              <w:t>a</w:t>
            </w:r>
            <w:r w:rsidRPr="00B35962">
              <w:rPr>
                <w:rFonts w:ascii="Garamond" w:hAnsi="Garamond"/>
                <w:sz w:val="22"/>
                <w:szCs w:val="22"/>
                <w:lang w:val="sr-Latn-ME"/>
              </w:rPr>
              <w:t xml:space="preserve"> roditeljskih kompetencija, za hranitelje</w:t>
            </w:r>
            <w:r w:rsidR="000F1A8C" w:rsidRPr="00B35962">
              <w:rPr>
                <w:rFonts w:ascii="Garamond" w:hAnsi="Garamond"/>
                <w:sz w:val="22"/>
                <w:szCs w:val="22"/>
                <w:lang w:val="sr-Latn-ME"/>
              </w:rPr>
              <w:t xml:space="preserve"> </w:t>
            </w:r>
            <w:r w:rsidRPr="00B35962">
              <w:rPr>
                <w:rFonts w:ascii="Garamond" w:hAnsi="Garamond"/>
                <w:sz w:val="22"/>
                <w:szCs w:val="22"/>
                <w:lang w:val="sr-Latn-ME"/>
              </w:rPr>
              <w:t xml:space="preserve">i roditelje </w:t>
            </w:r>
            <w:r w:rsidR="00AF5627" w:rsidRPr="00B35962">
              <w:rPr>
                <w:rFonts w:ascii="Garamond" w:hAnsi="Garamond"/>
                <w:sz w:val="22"/>
                <w:szCs w:val="22"/>
                <w:lang w:val="sr-Latn-ME"/>
              </w:rPr>
              <w:t>dj</w:t>
            </w:r>
            <w:r w:rsidRPr="00B35962">
              <w:rPr>
                <w:rFonts w:ascii="Garamond" w:hAnsi="Garamond"/>
                <w:sz w:val="22"/>
                <w:szCs w:val="22"/>
                <w:lang w:val="sr-Latn-ME"/>
              </w:rPr>
              <w:t xml:space="preserve">ece sa smetnjama u razvoju.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74C7A440" w14:textId="77777777" w:rsidR="00C0423C" w:rsidRPr="00B35962" w:rsidRDefault="006616B3" w:rsidP="006616B3">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Program prilagođen i primjenjuje se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5271C" w14:textId="77777777" w:rsidR="006616B3" w:rsidRPr="00B35962" w:rsidRDefault="006616B3"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3CEA1A64" w14:textId="77777777" w:rsidR="00C0423C" w:rsidRPr="00B35962" w:rsidRDefault="00C0423C" w:rsidP="00566A90">
            <w:pPr>
              <w:spacing w:line="240" w:lineRule="auto"/>
              <w:ind w:firstLine="0"/>
              <w:rPr>
                <w:rFonts w:ascii="Garamond" w:eastAsia="Times New Roman" w:hAnsi="Garamond" w:cs="Calibri"/>
                <w:sz w:val="22"/>
                <w:szCs w:val="22"/>
                <w:lang w:val="sr-Latn-ME" w:eastAsia="sr-Latn-M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33129" w14:textId="77777777" w:rsidR="006616B3" w:rsidRPr="00B35962" w:rsidRDefault="006616B3"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2181F300" w14:textId="77777777" w:rsidR="00C0423C" w:rsidRPr="00B35962" w:rsidRDefault="00C0423C" w:rsidP="00566A90">
            <w:pPr>
              <w:spacing w:line="240" w:lineRule="auto"/>
              <w:ind w:firstLine="0"/>
              <w:rPr>
                <w:rFonts w:ascii="Garamond" w:eastAsia="Times New Roman" w:hAnsi="Garamond" w:cs="Calibri"/>
                <w:sz w:val="22"/>
                <w:szCs w:val="22"/>
                <w:lang w:val="sr-Latn-ME" w:eastAsia="sr-Latn-ME"/>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153F948" w14:textId="77777777" w:rsidR="00C0423C" w:rsidRPr="00B35962" w:rsidRDefault="006616B3"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8EEE0F" w14:textId="77777777" w:rsidR="00C0423C" w:rsidRPr="00B35962" w:rsidRDefault="002039E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4F4FAA69" w14:textId="77777777" w:rsidR="004F4934"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E496CBD" w14:textId="18611C93" w:rsidR="00C0423C" w:rsidRPr="00B35962" w:rsidRDefault="00FB585F" w:rsidP="00FB585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6616B3" w:rsidRPr="00B35962">
              <w:rPr>
                <w:rFonts w:ascii="Garamond" w:eastAsia="Times New Roman" w:hAnsi="Garamond" w:cs="Calibri"/>
                <w:sz w:val="22"/>
                <w:szCs w:val="22"/>
                <w:lang w:val="sr-Latn-ME" w:eastAsia="sr-Latn-ME"/>
              </w:rPr>
              <w:t>, M</w:t>
            </w:r>
            <w:r>
              <w:rPr>
                <w:rFonts w:ascii="Garamond" w:eastAsia="Times New Roman" w:hAnsi="Garamond" w:cs="Calibri"/>
                <w:sz w:val="22"/>
                <w:szCs w:val="22"/>
                <w:lang w:val="sr-Latn-ME" w:eastAsia="sr-Latn-ME"/>
              </w:rPr>
              <w:t>F</w:t>
            </w:r>
            <w:r w:rsidR="006616B3" w:rsidRPr="00B35962">
              <w:rPr>
                <w:rFonts w:ascii="Garamond" w:eastAsia="Times New Roman" w:hAnsi="Garamond" w:cs="Calibri"/>
                <w:sz w:val="22"/>
                <w:szCs w:val="22"/>
                <w:lang w:val="sr-Latn-ME" w:eastAsia="sr-Latn-ME"/>
              </w:rPr>
              <w:t>SS, MZ, ZzŠ, ZCDZ, RC</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1DD6C66" w14:textId="77777777" w:rsidR="00C0423C" w:rsidRPr="00B35962" w:rsidRDefault="006616B3"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NVO</w:t>
            </w:r>
          </w:p>
        </w:tc>
      </w:tr>
      <w:tr w:rsidR="00C0423C" w:rsidRPr="00B35962" w14:paraId="1C6B740B" w14:textId="77777777" w:rsidTr="00FB585F">
        <w:trPr>
          <w:trHeight w:val="620"/>
        </w:trPr>
        <w:tc>
          <w:tcPr>
            <w:tcW w:w="3245" w:type="dxa"/>
            <w:vMerge/>
            <w:tcBorders>
              <w:top w:val="single" w:sz="4" w:space="0" w:color="auto"/>
              <w:left w:val="single" w:sz="8" w:space="0" w:color="auto"/>
              <w:right w:val="single" w:sz="8" w:space="0" w:color="auto"/>
            </w:tcBorders>
            <w:shd w:val="clear" w:color="000000" w:fill="D9E2F3"/>
            <w:textDirection w:val="btLr"/>
            <w:vAlign w:val="center"/>
          </w:tcPr>
          <w:p w14:paraId="409F9BB0" w14:textId="77777777" w:rsidR="00C0423C" w:rsidRPr="00B35962" w:rsidRDefault="00C0423C" w:rsidP="00B5024A">
            <w:pPr>
              <w:spacing w:line="240" w:lineRule="auto"/>
              <w:ind w:firstLine="0"/>
              <w:jc w:val="center"/>
              <w:rPr>
                <w:rFonts w:ascii="Garamond" w:eastAsia="Times New Roman" w:hAnsi="Garamond" w:cs="Calibri"/>
                <w:b/>
                <w:bCs/>
                <w:sz w:val="22"/>
                <w:szCs w:val="22"/>
                <w:lang w:val="sr-Latn-ME" w:eastAsia="sr-Latn-ME"/>
              </w:rPr>
            </w:pPr>
          </w:p>
        </w:tc>
        <w:tc>
          <w:tcPr>
            <w:tcW w:w="2417" w:type="dxa"/>
            <w:tcBorders>
              <w:top w:val="single" w:sz="4" w:space="0" w:color="auto"/>
              <w:left w:val="nil"/>
              <w:bottom w:val="single" w:sz="4" w:space="0" w:color="auto"/>
              <w:right w:val="single" w:sz="4" w:space="0" w:color="auto"/>
            </w:tcBorders>
            <w:shd w:val="clear" w:color="auto" w:fill="auto"/>
            <w:vAlign w:val="center"/>
          </w:tcPr>
          <w:p w14:paraId="462490A5" w14:textId="77777777" w:rsidR="00C0423C" w:rsidRPr="00B35962" w:rsidRDefault="00C0423C" w:rsidP="00566A90">
            <w:pPr>
              <w:spacing w:line="240" w:lineRule="auto"/>
              <w:ind w:firstLine="0"/>
              <w:rPr>
                <w:rFonts w:ascii="Garamond" w:eastAsia="Times New Roman" w:hAnsi="Garamond" w:cs="Calibri"/>
                <w:sz w:val="22"/>
                <w:szCs w:val="22"/>
                <w:lang w:val="sr-Latn-ME" w:eastAsia="sr-Latn-ME"/>
              </w:rPr>
            </w:pPr>
            <w:r w:rsidRPr="00B35962">
              <w:rPr>
                <w:rFonts w:ascii="Garamond" w:hAnsi="Garamond"/>
                <w:sz w:val="22"/>
                <w:szCs w:val="22"/>
                <w:lang w:val="sr-Latn-ME"/>
              </w:rPr>
              <w:t>3.3.2 Primjena programa „Roditeljstvo za cjeloživotno zdravlje” za roditelje iz osjetljivih grupa</w:t>
            </w:r>
          </w:p>
        </w:tc>
        <w:tc>
          <w:tcPr>
            <w:tcW w:w="1851" w:type="dxa"/>
            <w:tcBorders>
              <w:top w:val="single" w:sz="4" w:space="0" w:color="auto"/>
              <w:left w:val="nil"/>
              <w:bottom w:val="single" w:sz="4" w:space="0" w:color="auto"/>
              <w:right w:val="single" w:sz="4" w:space="0" w:color="auto"/>
            </w:tcBorders>
            <w:shd w:val="clear" w:color="auto" w:fill="auto"/>
            <w:vAlign w:val="center"/>
          </w:tcPr>
          <w:p w14:paraId="03CDDE64" w14:textId="77777777" w:rsidR="00C0423C" w:rsidRPr="00B35962" w:rsidRDefault="003F0558" w:rsidP="003F055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Program u primjeni</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D94AA5" w14:textId="77777777" w:rsidR="00C0423C" w:rsidRPr="00B35962" w:rsidRDefault="003F0558"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992" w:type="dxa"/>
            <w:tcBorders>
              <w:top w:val="single" w:sz="4" w:space="0" w:color="auto"/>
              <w:left w:val="nil"/>
              <w:bottom w:val="single" w:sz="4" w:space="0" w:color="auto"/>
              <w:right w:val="single" w:sz="4" w:space="0" w:color="auto"/>
            </w:tcBorders>
            <w:shd w:val="clear" w:color="auto" w:fill="auto"/>
            <w:vAlign w:val="center"/>
          </w:tcPr>
          <w:p w14:paraId="2A1144C7" w14:textId="77777777" w:rsidR="00C0423C" w:rsidRPr="00B35962" w:rsidRDefault="003F0558"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tc>
        <w:tc>
          <w:tcPr>
            <w:tcW w:w="714" w:type="dxa"/>
            <w:tcBorders>
              <w:top w:val="single" w:sz="4" w:space="0" w:color="auto"/>
              <w:left w:val="nil"/>
              <w:bottom w:val="single" w:sz="4" w:space="0" w:color="auto"/>
              <w:right w:val="single" w:sz="4" w:space="0" w:color="auto"/>
            </w:tcBorders>
            <w:shd w:val="clear" w:color="auto" w:fill="auto"/>
            <w:vAlign w:val="center"/>
          </w:tcPr>
          <w:p w14:paraId="73885FE8" w14:textId="77777777" w:rsidR="00C0423C" w:rsidRPr="00B35962" w:rsidRDefault="003F0558"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2021-2024</w:t>
            </w:r>
          </w:p>
        </w:tc>
        <w:tc>
          <w:tcPr>
            <w:tcW w:w="978" w:type="dxa"/>
            <w:tcBorders>
              <w:top w:val="single" w:sz="4" w:space="0" w:color="auto"/>
              <w:left w:val="nil"/>
              <w:bottom w:val="single" w:sz="4" w:space="0" w:color="auto"/>
              <w:right w:val="single" w:sz="4" w:space="0" w:color="auto"/>
            </w:tcBorders>
            <w:shd w:val="clear" w:color="auto" w:fill="auto"/>
            <w:vAlign w:val="center"/>
          </w:tcPr>
          <w:p w14:paraId="51D42A69" w14:textId="77777777" w:rsidR="00C0423C"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10.000</w:t>
            </w:r>
          </w:p>
          <w:p w14:paraId="536BE3F9" w14:textId="77777777" w:rsidR="004F4934"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43" w:type="dxa"/>
            <w:tcBorders>
              <w:top w:val="single" w:sz="4" w:space="0" w:color="auto"/>
              <w:left w:val="nil"/>
              <w:bottom w:val="single" w:sz="4" w:space="0" w:color="auto"/>
              <w:right w:val="single" w:sz="4" w:space="0" w:color="auto"/>
            </w:tcBorders>
            <w:shd w:val="clear" w:color="auto" w:fill="auto"/>
            <w:vAlign w:val="center"/>
          </w:tcPr>
          <w:p w14:paraId="6D159B86" w14:textId="77777777" w:rsidR="00C0423C" w:rsidRPr="00B35962" w:rsidRDefault="00AF5627"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 UNICEF</w:t>
            </w:r>
          </w:p>
        </w:tc>
        <w:tc>
          <w:tcPr>
            <w:tcW w:w="997" w:type="dxa"/>
            <w:tcBorders>
              <w:top w:val="single" w:sz="4" w:space="0" w:color="auto"/>
              <w:left w:val="nil"/>
              <w:bottom w:val="single" w:sz="4" w:space="0" w:color="auto"/>
              <w:right w:val="single" w:sz="8" w:space="0" w:color="auto"/>
            </w:tcBorders>
            <w:shd w:val="clear" w:color="auto" w:fill="auto"/>
            <w:vAlign w:val="center"/>
          </w:tcPr>
          <w:p w14:paraId="70FC5C3D" w14:textId="77777777" w:rsidR="00C0423C" w:rsidRPr="00B35962" w:rsidRDefault="003F0558"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NVO, donatori</w:t>
            </w:r>
          </w:p>
        </w:tc>
      </w:tr>
      <w:tr w:rsidR="00C0423C" w:rsidRPr="00B35962" w14:paraId="57B8DF13" w14:textId="77777777" w:rsidTr="00FB585F">
        <w:trPr>
          <w:trHeight w:val="620"/>
        </w:trPr>
        <w:tc>
          <w:tcPr>
            <w:tcW w:w="3245" w:type="dxa"/>
            <w:vMerge/>
            <w:tcBorders>
              <w:left w:val="single" w:sz="8" w:space="0" w:color="auto"/>
              <w:bottom w:val="single" w:sz="4" w:space="0" w:color="auto"/>
              <w:right w:val="single" w:sz="8" w:space="0" w:color="auto"/>
            </w:tcBorders>
            <w:shd w:val="clear" w:color="000000" w:fill="D9E2F3"/>
            <w:textDirection w:val="btLr"/>
            <w:vAlign w:val="center"/>
          </w:tcPr>
          <w:p w14:paraId="614F826A" w14:textId="77777777" w:rsidR="00C0423C" w:rsidRPr="00B35962" w:rsidRDefault="00C0423C" w:rsidP="00B5024A">
            <w:pPr>
              <w:spacing w:line="240" w:lineRule="auto"/>
              <w:ind w:firstLine="0"/>
              <w:jc w:val="center"/>
              <w:rPr>
                <w:rFonts w:ascii="Garamond" w:eastAsia="Times New Roman" w:hAnsi="Garamond" w:cs="Calibri"/>
                <w:b/>
                <w:bCs/>
                <w:sz w:val="22"/>
                <w:szCs w:val="22"/>
                <w:lang w:val="sr-Latn-ME" w:eastAsia="sr-Latn-ME"/>
              </w:rPr>
            </w:pPr>
          </w:p>
        </w:tc>
        <w:tc>
          <w:tcPr>
            <w:tcW w:w="2417" w:type="dxa"/>
            <w:tcBorders>
              <w:top w:val="single" w:sz="4" w:space="0" w:color="auto"/>
              <w:left w:val="nil"/>
              <w:bottom w:val="single" w:sz="4" w:space="0" w:color="auto"/>
              <w:right w:val="single" w:sz="4" w:space="0" w:color="auto"/>
            </w:tcBorders>
            <w:shd w:val="clear" w:color="auto" w:fill="auto"/>
            <w:vAlign w:val="center"/>
          </w:tcPr>
          <w:p w14:paraId="424B1418" w14:textId="77777777" w:rsidR="00C0423C" w:rsidRPr="00B35962" w:rsidRDefault="00C0423C" w:rsidP="00600FD5">
            <w:pPr>
              <w:spacing w:line="240" w:lineRule="auto"/>
              <w:ind w:firstLine="0"/>
              <w:rPr>
                <w:rFonts w:ascii="Garamond" w:eastAsia="Times New Roman" w:hAnsi="Garamond" w:cs="Calibri"/>
                <w:sz w:val="22"/>
                <w:szCs w:val="22"/>
                <w:lang w:val="sr-Latn-ME" w:eastAsia="sr-Latn-ME"/>
              </w:rPr>
            </w:pPr>
            <w:r w:rsidRPr="00B35962">
              <w:rPr>
                <w:rFonts w:ascii="Garamond" w:hAnsi="Garamond"/>
                <w:sz w:val="22"/>
                <w:szCs w:val="22"/>
                <w:lang w:val="sr-Latn-ME"/>
              </w:rPr>
              <w:t xml:space="preserve">3.3.3 </w:t>
            </w:r>
            <w:r w:rsidR="0079632B" w:rsidRPr="00B35962">
              <w:rPr>
                <w:rFonts w:ascii="Garamond" w:hAnsi="Garamond"/>
                <w:sz w:val="22"/>
                <w:szCs w:val="22"/>
                <w:lang w:val="sr-Latn-ME"/>
              </w:rPr>
              <w:t>Snaženje</w:t>
            </w:r>
            <w:r w:rsidRPr="00B35962">
              <w:rPr>
                <w:rFonts w:ascii="Garamond" w:hAnsi="Garamond"/>
                <w:sz w:val="22"/>
                <w:szCs w:val="22"/>
                <w:lang w:val="sr-Latn-ME"/>
              </w:rPr>
              <w:t xml:space="preserve"> kompetenci</w:t>
            </w:r>
            <w:r w:rsidR="0079632B" w:rsidRPr="00B35962">
              <w:rPr>
                <w:rFonts w:ascii="Garamond" w:hAnsi="Garamond"/>
                <w:sz w:val="22"/>
                <w:szCs w:val="22"/>
                <w:lang w:val="sr-Latn-ME"/>
              </w:rPr>
              <w:t>ja</w:t>
            </w:r>
            <w:r w:rsidRPr="00B35962">
              <w:rPr>
                <w:rFonts w:ascii="Garamond" w:hAnsi="Garamond"/>
                <w:sz w:val="22"/>
                <w:szCs w:val="22"/>
                <w:lang w:val="sr-Latn-ME"/>
              </w:rPr>
              <w:t xml:space="preserve"> socijalnih radnika, porodičnih saradnika i pedijatar</w:t>
            </w:r>
            <w:r w:rsidR="00600FD5" w:rsidRPr="00B35962">
              <w:rPr>
                <w:rFonts w:ascii="Garamond" w:hAnsi="Garamond"/>
                <w:sz w:val="22"/>
                <w:szCs w:val="22"/>
                <w:lang w:val="sr-Latn-ME"/>
              </w:rPr>
              <w:t>a</w:t>
            </w:r>
            <w:r w:rsidRPr="00B35962">
              <w:rPr>
                <w:rFonts w:ascii="Garamond" w:hAnsi="Garamond"/>
                <w:sz w:val="22"/>
                <w:szCs w:val="22"/>
                <w:lang w:val="sr-Latn-ME"/>
              </w:rPr>
              <w:t xml:space="preserve"> o značaju ranog razvoja, podizanju zainteresovanosti roditelja za uključivanje djece u programe PVO od najranijeg uzrasta  </w:t>
            </w:r>
          </w:p>
        </w:tc>
        <w:tc>
          <w:tcPr>
            <w:tcW w:w="1851" w:type="dxa"/>
            <w:tcBorders>
              <w:top w:val="single" w:sz="4" w:space="0" w:color="auto"/>
              <w:left w:val="nil"/>
              <w:bottom w:val="single" w:sz="4" w:space="0" w:color="auto"/>
              <w:right w:val="single" w:sz="4" w:space="0" w:color="auto"/>
            </w:tcBorders>
            <w:shd w:val="clear" w:color="auto" w:fill="auto"/>
            <w:vAlign w:val="center"/>
          </w:tcPr>
          <w:p w14:paraId="554EB2A9" w14:textId="77777777" w:rsidR="00C0423C" w:rsidRPr="00B35962" w:rsidRDefault="00F47CBB" w:rsidP="00F47CBB">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Organizovana savjetovanja za zaposlene u sektoru zdravstva i socijale. Ukupno obučeno 50 zaposlenih.</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28E459" w14:textId="77777777" w:rsidR="00C0423C" w:rsidRPr="00B35962" w:rsidRDefault="00F47CBB"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06CCF3D7" w14:textId="77777777" w:rsidR="00C0423C" w:rsidRPr="00B35962" w:rsidRDefault="00F47CBB" w:rsidP="00F47CBB">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50</w:t>
            </w:r>
          </w:p>
        </w:tc>
        <w:tc>
          <w:tcPr>
            <w:tcW w:w="714" w:type="dxa"/>
            <w:tcBorders>
              <w:top w:val="single" w:sz="4" w:space="0" w:color="auto"/>
              <w:left w:val="nil"/>
              <w:bottom w:val="single" w:sz="4" w:space="0" w:color="auto"/>
              <w:right w:val="single" w:sz="4" w:space="0" w:color="auto"/>
            </w:tcBorders>
            <w:shd w:val="clear" w:color="auto" w:fill="auto"/>
            <w:vAlign w:val="center"/>
          </w:tcPr>
          <w:p w14:paraId="7FB339D8" w14:textId="77777777" w:rsidR="00C0423C" w:rsidRPr="00B35962" w:rsidRDefault="00B63B1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2021-2024</w:t>
            </w:r>
          </w:p>
        </w:tc>
        <w:tc>
          <w:tcPr>
            <w:tcW w:w="978" w:type="dxa"/>
            <w:tcBorders>
              <w:top w:val="single" w:sz="4" w:space="0" w:color="auto"/>
              <w:left w:val="nil"/>
              <w:bottom w:val="single" w:sz="4" w:space="0" w:color="auto"/>
              <w:right w:val="single" w:sz="4" w:space="0" w:color="auto"/>
            </w:tcBorders>
            <w:shd w:val="clear" w:color="auto" w:fill="auto"/>
            <w:vAlign w:val="center"/>
          </w:tcPr>
          <w:p w14:paraId="19BF2342" w14:textId="77777777" w:rsidR="004F4934" w:rsidRPr="00B35962" w:rsidRDefault="002039E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 xml:space="preserve">500 </w:t>
            </w:r>
            <w:r w:rsidR="004F4934" w:rsidRPr="00B35962">
              <w:rPr>
                <w:rFonts w:ascii="Garamond" w:eastAsia="Times New Roman" w:hAnsi="Garamond" w:cs="Calibri"/>
                <w:sz w:val="22"/>
                <w:szCs w:val="22"/>
                <w:lang w:val="sr-Latn-ME" w:eastAsia="sr-Latn-ME"/>
              </w:rPr>
              <w:t>€</w:t>
            </w:r>
          </w:p>
          <w:p w14:paraId="54B86455" w14:textId="77777777" w:rsidR="00C0423C" w:rsidRPr="00B35962" w:rsidRDefault="004F4934" w:rsidP="004F4934">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Izvor: projekat  </w:t>
            </w:r>
          </w:p>
        </w:tc>
        <w:tc>
          <w:tcPr>
            <w:tcW w:w="1143" w:type="dxa"/>
            <w:tcBorders>
              <w:top w:val="single" w:sz="4" w:space="0" w:color="auto"/>
              <w:left w:val="nil"/>
              <w:bottom w:val="single" w:sz="4" w:space="0" w:color="auto"/>
              <w:right w:val="single" w:sz="4" w:space="0" w:color="auto"/>
            </w:tcBorders>
            <w:shd w:val="clear" w:color="auto" w:fill="auto"/>
            <w:vAlign w:val="center"/>
          </w:tcPr>
          <w:p w14:paraId="40EDE40D" w14:textId="3448D732" w:rsidR="00C0423C" w:rsidRPr="00B35962" w:rsidRDefault="00FB585F" w:rsidP="00FB585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3F0558" w:rsidRPr="00B35962">
              <w:rPr>
                <w:rFonts w:ascii="Garamond" w:eastAsia="Times New Roman" w:hAnsi="Garamond" w:cs="Calibri"/>
                <w:sz w:val="22"/>
                <w:szCs w:val="22"/>
                <w:lang w:val="sr-Latn-ME" w:eastAsia="sr-Latn-ME"/>
              </w:rPr>
              <w:t>, M</w:t>
            </w:r>
            <w:r w:rsidR="005F3185">
              <w:rPr>
                <w:rFonts w:ascii="Garamond" w:eastAsia="Times New Roman" w:hAnsi="Garamond" w:cs="Calibri"/>
                <w:sz w:val="22"/>
                <w:szCs w:val="22"/>
                <w:lang w:val="sr-Latn-ME" w:eastAsia="sr-Latn-ME"/>
              </w:rPr>
              <w:t>F</w:t>
            </w:r>
            <w:r w:rsidR="003F0558" w:rsidRPr="00B35962">
              <w:rPr>
                <w:rFonts w:ascii="Garamond" w:eastAsia="Times New Roman" w:hAnsi="Garamond" w:cs="Calibri"/>
                <w:sz w:val="22"/>
                <w:szCs w:val="22"/>
                <w:lang w:val="sr-Latn-ME" w:eastAsia="sr-Latn-ME"/>
              </w:rPr>
              <w:t>SS, MZ, ZzŠ, ZSDZ, RC</w:t>
            </w:r>
          </w:p>
        </w:tc>
        <w:tc>
          <w:tcPr>
            <w:tcW w:w="997" w:type="dxa"/>
            <w:tcBorders>
              <w:top w:val="single" w:sz="4" w:space="0" w:color="auto"/>
              <w:left w:val="nil"/>
              <w:bottom w:val="single" w:sz="4" w:space="0" w:color="auto"/>
              <w:right w:val="single" w:sz="8" w:space="0" w:color="auto"/>
            </w:tcBorders>
            <w:shd w:val="clear" w:color="auto" w:fill="auto"/>
            <w:vAlign w:val="center"/>
          </w:tcPr>
          <w:p w14:paraId="01529208" w14:textId="3951299A" w:rsidR="00C0423C" w:rsidRPr="00B35962" w:rsidRDefault="001D53DE" w:rsidP="00566A90">
            <w:pPr>
              <w:spacing w:line="240" w:lineRule="auto"/>
              <w:ind w:firstLine="0"/>
              <w:rPr>
                <w:rFonts w:ascii="Garamond" w:eastAsia="Times New Roman" w:hAnsi="Garamond" w:cs="Calibri"/>
                <w:sz w:val="22"/>
                <w:szCs w:val="22"/>
                <w:lang w:val="sr-Latn-ME" w:eastAsia="sr-Latn-ME"/>
              </w:rPr>
            </w:pPr>
            <w:r>
              <w:rPr>
                <w:rFonts w:ascii="Garamond" w:eastAsia="Times New Roman" w:hAnsi="Garamond" w:cs="Calibri"/>
                <w:sz w:val="22"/>
                <w:szCs w:val="22"/>
                <w:lang w:val="sr-Latn-ME" w:eastAsia="sr-Latn-ME"/>
              </w:rPr>
              <w:t>donatori</w:t>
            </w:r>
          </w:p>
        </w:tc>
      </w:tr>
      <w:tr w:rsidR="00B63B11" w:rsidRPr="00B35962" w14:paraId="1E67C4F2" w14:textId="77777777" w:rsidTr="00FB585F">
        <w:trPr>
          <w:trHeight w:val="620"/>
        </w:trPr>
        <w:tc>
          <w:tcPr>
            <w:tcW w:w="3245" w:type="dxa"/>
            <w:vMerge/>
            <w:tcBorders>
              <w:top w:val="single" w:sz="4" w:space="0" w:color="auto"/>
              <w:left w:val="single" w:sz="4" w:space="0" w:color="auto"/>
              <w:bottom w:val="single" w:sz="4" w:space="0" w:color="auto"/>
              <w:right w:val="single" w:sz="4" w:space="0" w:color="auto"/>
            </w:tcBorders>
            <w:shd w:val="clear" w:color="000000" w:fill="D9E2F3"/>
            <w:textDirection w:val="btLr"/>
            <w:vAlign w:val="center"/>
          </w:tcPr>
          <w:p w14:paraId="6A52AF26" w14:textId="77777777" w:rsidR="00B63B11" w:rsidRPr="00B35962" w:rsidRDefault="00B63B11" w:rsidP="00B5024A">
            <w:pPr>
              <w:spacing w:line="240" w:lineRule="auto"/>
              <w:ind w:firstLine="0"/>
              <w:jc w:val="center"/>
              <w:rPr>
                <w:rFonts w:ascii="Garamond" w:eastAsia="Times New Roman" w:hAnsi="Garamond" w:cs="Calibri"/>
                <w:b/>
                <w:bCs/>
                <w:sz w:val="22"/>
                <w:szCs w:val="22"/>
                <w:lang w:val="sr-Latn-ME" w:eastAsia="sr-Latn-ME"/>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0116228B" w14:textId="77777777" w:rsidR="00B63B11" w:rsidRPr="00B35962" w:rsidRDefault="00B63B11" w:rsidP="0079632B">
            <w:pPr>
              <w:spacing w:line="240" w:lineRule="auto"/>
              <w:ind w:firstLine="0"/>
              <w:rPr>
                <w:rFonts w:ascii="Garamond" w:eastAsia="Times New Roman" w:hAnsi="Garamond" w:cs="Calibri"/>
                <w:sz w:val="22"/>
                <w:szCs w:val="22"/>
                <w:lang w:val="sr-Latn-ME" w:eastAsia="sr-Latn-ME"/>
              </w:rPr>
            </w:pPr>
            <w:r w:rsidRPr="00B35962">
              <w:rPr>
                <w:rFonts w:ascii="Garamond" w:hAnsi="Garamond"/>
                <w:sz w:val="22"/>
                <w:szCs w:val="22"/>
                <w:lang w:val="sr-Latn-ME"/>
              </w:rPr>
              <w:t xml:space="preserve">3.3.4 </w:t>
            </w:r>
            <w:r w:rsidR="0079632B" w:rsidRPr="00B35962">
              <w:rPr>
                <w:rFonts w:ascii="Garamond" w:hAnsi="Garamond"/>
                <w:sz w:val="22"/>
                <w:szCs w:val="22"/>
                <w:lang w:val="sr-Latn-ME"/>
              </w:rPr>
              <w:t>Razvoj</w:t>
            </w:r>
            <w:r w:rsidRPr="00B35962">
              <w:rPr>
                <w:rFonts w:ascii="Garamond" w:hAnsi="Garamond"/>
                <w:sz w:val="22"/>
                <w:szCs w:val="22"/>
                <w:lang w:val="sr-Latn-ME"/>
              </w:rPr>
              <w:t xml:space="preserve"> </w:t>
            </w:r>
            <w:r w:rsidR="00A37EA0" w:rsidRPr="00B35962">
              <w:rPr>
                <w:rFonts w:ascii="Garamond" w:hAnsi="Garamond"/>
                <w:sz w:val="22"/>
                <w:szCs w:val="22"/>
                <w:lang w:val="sr-Latn-ME"/>
              </w:rPr>
              <w:t>i prim</w:t>
            </w:r>
            <w:r w:rsidR="0079632B" w:rsidRPr="00B35962">
              <w:rPr>
                <w:rFonts w:ascii="Garamond" w:hAnsi="Garamond"/>
                <w:sz w:val="22"/>
                <w:szCs w:val="22"/>
                <w:lang w:val="sr-Latn-ME"/>
              </w:rPr>
              <w:t>jena</w:t>
            </w:r>
            <w:r w:rsidRPr="00B35962">
              <w:rPr>
                <w:rFonts w:ascii="Garamond" w:hAnsi="Garamond"/>
                <w:sz w:val="22"/>
                <w:szCs w:val="22"/>
                <w:lang w:val="sr-Latn-ME"/>
              </w:rPr>
              <w:t xml:space="preserve"> model</w:t>
            </w:r>
            <w:r w:rsidR="0079632B" w:rsidRPr="00B35962">
              <w:rPr>
                <w:rFonts w:ascii="Garamond" w:hAnsi="Garamond"/>
                <w:sz w:val="22"/>
                <w:szCs w:val="22"/>
                <w:lang w:val="sr-Latn-ME"/>
              </w:rPr>
              <w:t>a</w:t>
            </w:r>
            <w:r w:rsidRPr="00B35962">
              <w:rPr>
                <w:rFonts w:ascii="Garamond" w:hAnsi="Garamond"/>
                <w:sz w:val="22"/>
                <w:szCs w:val="22"/>
                <w:lang w:val="sr-Latn-ME"/>
              </w:rPr>
              <w:t xml:space="preserve"> i mehaniz</w:t>
            </w:r>
            <w:r w:rsidR="0079632B" w:rsidRPr="00B35962">
              <w:rPr>
                <w:rFonts w:ascii="Garamond" w:hAnsi="Garamond"/>
                <w:sz w:val="22"/>
                <w:szCs w:val="22"/>
                <w:lang w:val="sr-Latn-ME"/>
              </w:rPr>
              <w:t>ma</w:t>
            </w:r>
            <w:r w:rsidRPr="00B35962">
              <w:rPr>
                <w:rFonts w:ascii="Garamond" w:hAnsi="Garamond"/>
                <w:sz w:val="22"/>
                <w:szCs w:val="22"/>
                <w:lang w:val="sr-Latn-ME"/>
              </w:rPr>
              <w:t xml:space="preserve"> saradnje između centara za dnevni boravak, domova zdravlja, vrtića i resursnih centara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4937EAE3" w14:textId="77777777" w:rsidR="00B63B11" w:rsidRPr="00B35962" w:rsidRDefault="00B63B11" w:rsidP="00F47CBB">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Model osmišljen, sprovedena</w:t>
            </w:r>
            <w:r w:rsidR="00B73336" w:rsidRPr="00B35962">
              <w:rPr>
                <w:rFonts w:ascii="Garamond" w:eastAsia="Times New Roman" w:hAnsi="Garamond" w:cs="Calibri"/>
                <w:sz w:val="22"/>
                <w:szCs w:val="22"/>
                <w:lang w:val="sr-Latn-ME" w:eastAsia="sr-Latn-ME"/>
              </w:rPr>
              <w:t xml:space="preserve"> 4 regionalna</w:t>
            </w:r>
            <w:r w:rsidRPr="00B35962">
              <w:rPr>
                <w:rFonts w:ascii="Garamond" w:eastAsia="Times New Roman" w:hAnsi="Garamond" w:cs="Calibri"/>
                <w:sz w:val="22"/>
                <w:szCs w:val="22"/>
                <w:lang w:val="sr-Latn-ME" w:eastAsia="sr-Latn-ME"/>
              </w:rPr>
              <w:t xml:space="preserve"> savjetovanja, podrška u primjeni</w:t>
            </w:r>
            <w:r w:rsidR="00F47CBB" w:rsidRPr="00B35962">
              <w:rPr>
                <w:rFonts w:ascii="Garamond" w:eastAsia="Times New Roman" w:hAnsi="Garamond" w:cs="Calibri"/>
                <w:sz w:val="22"/>
                <w:szCs w:val="22"/>
                <w:lang w:val="sr-Latn-ME" w:eastAsia="sr-Latn-ME"/>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3AEFBF" w14:textId="77777777" w:rsidR="00B63B11" w:rsidRPr="00B35962" w:rsidRDefault="00F47CBB"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C12D5" w14:textId="77777777" w:rsidR="00B63B11" w:rsidRPr="00B35962" w:rsidRDefault="00B73336"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3B41CE" w14:textId="77777777" w:rsidR="00B63B11" w:rsidRPr="00B35962" w:rsidRDefault="00B63B1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586BA0" w14:textId="77777777" w:rsidR="00B63B11" w:rsidRPr="00B35962" w:rsidRDefault="002039E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3</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2225D9A1" w14:textId="77777777" w:rsidR="004F4934"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11ABCBF" w14:textId="1FCFB0A5" w:rsidR="00B63B11" w:rsidRPr="00B35962" w:rsidRDefault="00FB585F" w:rsidP="00FB585F">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B63B11" w:rsidRPr="00B35962">
              <w:rPr>
                <w:rFonts w:ascii="Garamond" w:eastAsia="Times New Roman" w:hAnsi="Garamond" w:cs="Calibri"/>
                <w:sz w:val="22"/>
                <w:szCs w:val="22"/>
                <w:lang w:val="sr-Latn-ME" w:eastAsia="sr-Latn-ME"/>
              </w:rPr>
              <w:t>, M</w:t>
            </w:r>
            <w:r>
              <w:rPr>
                <w:rFonts w:ascii="Garamond" w:eastAsia="Times New Roman" w:hAnsi="Garamond" w:cs="Calibri"/>
                <w:sz w:val="22"/>
                <w:szCs w:val="22"/>
                <w:lang w:val="sr-Latn-ME" w:eastAsia="sr-Latn-ME"/>
              </w:rPr>
              <w:t>F</w:t>
            </w:r>
            <w:r w:rsidR="00B63B11" w:rsidRPr="00B35962">
              <w:rPr>
                <w:rFonts w:ascii="Garamond" w:eastAsia="Times New Roman" w:hAnsi="Garamond" w:cs="Calibri"/>
                <w:sz w:val="22"/>
                <w:szCs w:val="22"/>
                <w:lang w:val="sr-Latn-ME" w:eastAsia="sr-Latn-ME"/>
              </w:rPr>
              <w:t>SS, MZ, ZzŠ, ZSDZ, RC, CDB</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9C7BB43" w14:textId="77777777" w:rsidR="00B63B11" w:rsidRPr="00B35962" w:rsidRDefault="00B63B1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NVO, donatori</w:t>
            </w:r>
          </w:p>
        </w:tc>
      </w:tr>
      <w:tr w:rsidR="00C0423C" w:rsidRPr="00B35962" w14:paraId="5BFBE420" w14:textId="77777777" w:rsidTr="00FB585F">
        <w:trPr>
          <w:trHeight w:val="416"/>
        </w:trPr>
        <w:tc>
          <w:tcPr>
            <w:tcW w:w="3245" w:type="dxa"/>
            <w:vMerge/>
            <w:tcBorders>
              <w:top w:val="single" w:sz="4" w:space="0" w:color="auto"/>
              <w:left w:val="single" w:sz="8" w:space="0" w:color="auto"/>
              <w:bottom w:val="single" w:sz="4" w:space="0" w:color="auto"/>
              <w:right w:val="single" w:sz="8" w:space="0" w:color="auto"/>
            </w:tcBorders>
            <w:shd w:val="clear" w:color="000000" w:fill="D9E2F3"/>
            <w:textDirection w:val="btLr"/>
            <w:vAlign w:val="center"/>
          </w:tcPr>
          <w:p w14:paraId="0DFB35F5" w14:textId="77777777" w:rsidR="00C0423C" w:rsidRPr="00B35962" w:rsidRDefault="00C0423C" w:rsidP="00B5024A">
            <w:pPr>
              <w:spacing w:line="240" w:lineRule="auto"/>
              <w:ind w:firstLine="0"/>
              <w:jc w:val="center"/>
              <w:rPr>
                <w:rFonts w:ascii="Garamond" w:eastAsia="Times New Roman" w:hAnsi="Garamond" w:cs="Calibri"/>
                <w:b/>
                <w:bCs/>
                <w:sz w:val="22"/>
                <w:szCs w:val="22"/>
                <w:lang w:val="sr-Latn-ME" w:eastAsia="sr-Latn-ME"/>
              </w:rPr>
            </w:pPr>
          </w:p>
        </w:tc>
        <w:tc>
          <w:tcPr>
            <w:tcW w:w="2417" w:type="dxa"/>
            <w:tcBorders>
              <w:top w:val="single" w:sz="4" w:space="0" w:color="auto"/>
              <w:left w:val="nil"/>
              <w:bottom w:val="single" w:sz="4" w:space="0" w:color="auto"/>
              <w:right w:val="single" w:sz="4" w:space="0" w:color="auto"/>
            </w:tcBorders>
            <w:shd w:val="clear" w:color="auto" w:fill="auto"/>
            <w:vAlign w:val="center"/>
          </w:tcPr>
          <w:p w14:paraId="7951BAC3" w14:textId="74D783AD" w:rsidR="00C0423C" w:rsidRPr="00B35962" w:rsidRDefault="00A37EA0" w:rsidP="0079632B">
            <w:pPr>
              <w:spacing w:line="240" w:lineRule="auto"/>
              <w:ind w:firstLine="0"/>
              <w:rPr>
                <w:rFonts w:ascii="Garamond" w:eastAsia="Times New Roman" w:hAnsi="Garamond" w:cs="Calibri"/>
                <w:sz w:val="22"/>
                <w:szCs w:val="22"/>
                <w:lang w:val="sr-Latn-ME" w:eastAsia="sr-Latn-ME"/>
              </w:rPr>
            </w:pPr>
            <w:r w:rsidRPr="00B35962">
              <w:rPr>
                <w:rFonts w:ascii="Garamond" w:hAnsi="Garamond"/>
                <w:sz w:val="22"/>
                <w:szCs w:val="22"/>
                <w:lang w:val="sr-Latn-ME"/>
              </w:rPr>
              <w:t>3.3.5</w:t>
            </w:r>
            <w:r w:rsidR="00C0423C" w:rsidRPr="00B35962">
              <w:rPr>
                <w:rFonts w:ascii="Garamond" w:hAnsi="Garamond"/>
                <w:sz w:val="22"/>
                <w:szCs w:val="22"/>
                <w:lang w:val="sr-Latn-ME"/>
              </w:rPr>
              <w:t xml:space="preserve"> Razv</w:t>
            </w:r>
            <w:r w:rsidR="0079632B" w:rsidRPr="00B35962">
              <w:rPr>
                <w:rFonts w:ascii="Garamond" w:hAnsi="Garamond"/>
                <w:sz w:val="22"/>
                <w:szCs w:val="22"/>
                <w:lang w:val="sr-Latn-ME"/>
              </w:rPr>
              <w:t>oj</w:t>
            </w:r>
            <w:r w:rsidR="00C0423C" w:rsidRPr="00B35962">
              <w:rPr>
                <w:rFonts w:ascii="Garamond" w:hAnsi="Garamond"/>
                <w:sz w:val="22"/>
                <w:szCs w:val="22"/>
                <w:lang w:val="sr-Latn-ME"/>
              </w:rPr>
              <w:t xml:space="preserve"> i primijen</w:t>
            </w:r>
            <w:r w:rsidR="0079632B" w:rsidRPr="00B35962">
              <w:rPr>
                <w:rFonts w:ascii="Garamond" w:hAnsi="Garamond"/>
                <w:sz w:val="22"/>
                <w:szCs w:val="22"/>
                <w:lang w:val="sr-Latn-ME"/>
              </w:rPr>
              <w:t>a</w:t>
            </w:r>
            <w:r w:rsidR="00C0423C" w:rsidRPr="00B35962">
              <w:rPr>
                <w:rFonts w:ascii="Garamond" w:hAnsi="Garamond"/>
                <w:sz w:val="22"/>
                <w:szCs w:val="22"/>
                <w:lang w:val="sr-Latn-ME"/>
              </w:rPr>
              <w:t xml:space="preserve"> edukativn</w:t>
            </w:r>
            <w:r w:rsidR="0079632B" w:rsidRPr="00B35962">
              <w:rPr>
                <w:rFonts w:ascii="Garamond" w:hAnsi="Garamond"/>
                <w:sz w:val="22"/>
                <w:szCs w:val="22"/>
                <w:lang w:val="sr-Latn-ME"/>
              </w:rPr>
              <w:t>og</w:t>
            </w:r>
            <w:r w:rsidR="00C0423C" w:rsidRPr="00B35962">
              <w:rPr>
                <w:rFonts w:ascii="Garamond" w:hAnsi="Garamond"/>
                <w:sz w:val="22"/>
                <w:szCs w:val="22"/>
                <w:lang w:val="sr-Latn-ME"/>
              </w:rPr>
              <w:t xml:space="preserve"> paket</w:t>
            </w:r>
            <w:r w:rsidR="0079632B" w:rsidRPr="00B35962">
              <w:rPr>
                <w:rFonts w:ascii="Garamond" w:hAnsi="Garamond"/>
                <w:sz w:val="22"/>
                <w:szCs w:val="22"/>
                <w:lang w:val="sr-Latn-ME"/>
              </w:rPr>
              <w:t>a</w:t>
            </w:r>
            <w:r w:rsidR="00C0423C" w:rsidRPr="00B35962">
              <w:rPr>
                <w:rFonts w:ascii="Garamond" w:hAnsi="Garamond"/>
                <w:sz w:val="22"/>
                <w:szCs w:val="22"/>
                <w:lang w:val="sr-Latn-ME"/>
              </w:rPr>
              <w:t xml:space="preserve"> podrške ranom razvoju djece dok su na bolničkom liječenju</w:t>
            </w:r>
          </w:p>
        </w:tc>
        <w:tc>
          <w:tcPr>
            <w:tcW w:w="1851" w:type="dxa"/>
            <w:tcBorders>
              <w:top w:val="single" w:sz="4" w:space="0" w:color="auto"/>
              <w:left w:val="nil"/>
              <w:bottom w:val="single" w:sz="4" w:space="0" w:color="auto"/>
              <w:right w:val="single" w:sz="4" w:space="0" w:color="auto"/>
            </w:tcBorders>
            <w:shd w:val="clear" w:color="auto" w:fill="auto"/>
            <w:vAlign w:val="center"/>
          </w:tcPr>
          <w:p w14:paraId="4F76C4F9" w14:textId="77777777" w:rsidR="00C0423C" w:rsidRPr="00B35962" w:rsidRDefault="00B63B1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Paketi razvijeni i u primjeni</w:t>
            </w:r>
          </w:p>
          <w:p w14:paraId="1A6F614C" w14:textId="77777777" w:rsidR="00B63B11" w:rsidRPr="00B35962" w:rsidRDefault="00B63B11" w:rsidP="00566A90">
            <w:pPr>
              <w:spacing w:line="240" w:lineRule="auto"/>
              <w:ind w:firstLine="0"/>
              <w:rPr>
                <w:rFonts w:ascii="Garamond" w:eastAsia="Times New Roman" w:hAnsi="Garamond" w:cs="Calibri"/>
                <w:sz w:val="22"/>
                <w:szCs w:val="22"/>
                <w:lang w:val="sr-Latn-ME" w:eastAsia="sr-Latn-ME"/>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F4561C" w14:textId="77777777" w:rsidR="00C0423C" w:rsidRPr="00B35962" w:rsidRDefault="00B63B1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61983E2C" w14:textId="77777777" w:rsidR="00B63B11" w:rsidRPr="00B35962" w:rsidRDefault="00B63B11" w:rsidP="00566A90">
            <w:pPr>
              <w:spacing w:line="240" w:lineRule="auto"/>
              <w:ind w:firstLine="0"/>
              <w:rPr>
                <w:rFonts w:ascii="Garamond" w:eastAsia="Times New Roman" w:hAnsi="Garamond" w:cs="Calibri"/>
                <w:sz w:val="22"/>
                <w:szCs w:val="22"/>
                <w:lang w:val="sr-Latn-ME" w:eastAsia="sr-Latn-ME"/>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895FB32" w14:textId="77777777" w:rsidR="00C0423C" w:rsidRPr="00B35962" w:rsidRDefault="00B63B1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Da</w:t>
            </w:r>
          </w:p>
          <w:p w14:paraId="1CD28582" w14:textId="77777777" w:rsidR="00B63B11" w:rsidRPr="00B35962" w:rsidRDefault="00B63B11" w:rsidP="00566A90">
            <w:pPr>
              <w:spacing w:line="240" w:lineRule="auto"/>
              <w:ind w:firstLine="0"/>
              <w:rPr>
                <w:rFonts w:ascii="Garamond" w:eastAsia="Times New Roman" w:hAnsi="Garamond" w:cs="Calibri"/>
                <w:sz w:val="22"/>
                <w:szCs w:val="22"/>
                <w:lang w:val="sr-Latn-ME" w:eastAsia="sr-Latn-ME"/>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5358859F" w14:textId="77777777" w:rsidR="00C0423C" w:rsidRPr="00B35962" w:rsidRDefault="00600FD5" w:rsidP="00600FD5">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2021-2023</w:t>
            </w:r>
          </w:p>
        </w:tc>
        <w:tc>
          <w:tcPr>
            <w:tcW w:w="978" w:type="dxa"/>
            <w:tcBorders>
              <w:top w:val="single" w:sz="4" w:space="0" w:color="auto"/>
              <w:left w:val="nil"/>
              <w:bottom w:val="single" w:sz="4" w:space="0" w:color="auto"/>
              <w:right w:val="single" w:sz="4" w:space="0" w:color="auto"/>
            </w:tcBorders>
            <w:shd w:val="clear" w:color="auto" w:fill="auto"/>
            <w:vAlign w:val="center"/>
          </w:tcPr>
          <w:p w14:paraId="060B03D9" w14:textId="77777777" w:rsidR="00C0423C" w:rsidRPr="00B35962" w:rsidRDefault="002039E2"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w:t>
            </w:r>
            <w:r w:rsidR="00B672BA" w:rsidRPr="00B35962">
              <w:rPr>
                <w:rFonts w:ascii="Garamond" w:eastAsia="Times New Roman" w:hAnsi="Garamond" w:cs="Calibri"/>
                <w:sz w:val="22"/>
                <w:szCs w:val="22"/>
                <w:lang w:val="sr-Latn-ME" w:eastAsia="sr-Latn-ME"/>
              </w:rPr>
              <w:t>.</w:t>
            </w:r>
            <w:r w:rsidRPr="00B35962">
              <w:rPr>
                <w:rFonts w:ascii="Garamond" w:eastAsia="Times New Roman" w:hAnsi="Garamond" w:cs="Calibri"/>
                <w:sz w:val="22"/>
                <w:szCs w:val="22"/>
                <w:lang w:val="sr-Latn-ME" w:eastAsia="sr-Latn-ME"/>
              </w:rPr>
              <w:t>500 €</w:t>
            </w:r>
          </w:p>
          <w:p w14:paraId="6F9F6290" w14:textId="77777777" w:rsidR="004F4934" w:rsidRPr="00B35962" w:rsidRDefault="004F4934"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43" w:type="dxa"/>
            <w:tcBorders>
              <w:top w:val="single" w:sz="4" w:space="0" w:color="auto"/>
              <w:left w:val="nil"/>
              <w:bottom w:val="single" w:sz="4" w:space="0" w:color="auto"/>
              <w:right w:val="single" w:sz="4" w:space="0" w:color="auto"/>
            </w:tcBorders>
            <w:shd w:val="clear" w:color="auto" w:fill="auto"/>
            <w:vAlign w:val="center"/>
          </w:tcPr>
          <w:p w14:paraId="50951A22" w14:textId="6518372B" w:rsidR="00C0423C" w:rsidRPr="00B35962" w:rsidRDefault="00FB585F"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r w:rsidR="00B63B11" w:rsidRPr="00B35962">
              <w:rPr>
                <w:rFonts w:ascii="Garamond" w:eastAsia="Times New Roman" w:hAnsi="Garamond" w:cs="Calibri"/>
                <w:sz w:val="22"/>
                <w:szCs w:val="22"/>
                <w:lang w:val="sr-Latn-ME" w:eastAsia="sr-Latn-ME"/>
              </w:rPr>
              <w:t>, ZzŠ, PU, MZ, KBC</w:t>
            </w:r>
          </w:p>
        </w:tc>
        <w:tc>
          <w:tcPr>
            <w:tcW w:w="997" w:type="dxa"/>
            <w:tcBorders>
              <w:top w:val="single" w:sz="4" w:space="0" w:color="auto"/>
              <w:left w:val="nil"/>
              <w:bottom w:val="single" w:sz="4" w:space="0" w:color="auto"/>
              <w:right w:val="single" w:sz="8" w:space="0" w:color="auto"/>
            </w:tcBorders>
            <w:shd w:val="clear" w:color="auto" w:fill="auto"/>
            <w:vAlign w:val="center"/>
          </w:tcPr>
          <w:p w14:paraId="031872E1" w14:textId="77777777" w:rsidR="00C0423C" w:rsidRPr="00B35962" w:rsidRDefault="00B63B11" w:rsidP="00566A9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 NVO</w:t>
            </w:r>
          </w:p>
        </w:tc>
      </w:tr>
      <w:tr w:rsidR="002D627F" w:rsidRPr="00B35962" w14:paraId="200915CC" w14:textId="77777777" w:rsidTr="00FB585F">
        <w:trPr>
          <w:trHeight w:val="1070"/>
        </w:trPr>
        <w:tc>
          <w:tcPr>
            <w:tcW w:w="3245" w:type="dxa"/>
            <w:tcBorders>
              <w:top w:val="single" w:sz="4" w:space="0" w:color="auto"/>
              <w:left w:val="single" w:sz="8" w:space="0" w:color="auto"/>
              <w:bottom w:val="single" w:sz="4" w:space="0" w:color="auto"/>
              <w:right w:val="single" w:sz="8" w:space="0" w:color="auto"/>
            </w:tcBorders>
            <w:shd w:val="clear" w:color="000000" w:fill="D9E2F3"/>
            <w:textDirection w:val="btLr"/>
            <w:vAlign w:val="center"/>
          </w:tcPr>
          <w:p w14:paraId="696B76EB" w14:textId="77777777" w:rsidR="000C3130" w:rsidRPr="00B35962" w:rsidRDefault="000C3130" w:rsidP="000C3130">
            <w:pPr>
              <w:spacing w:line="240" w:lineRule="auto"/>
              <w:ind w:firstLine="0"/>
              <w:jc w:val="center"/>
              <w:rPr>
                <w:rFonts w:ascii="Garamond" w:eastAsia="Times New Roman" w:hAnsi="Garamond" w:cs="Calibri"/>
                <w:b/>
                <w:bCs/>
                <w:sz w:val="22"/>
                <w:szCs w:val="22"/>
                <w:lang w:val="sr-Latn-ME" w:eastAsia="sr-Latn-ME"/>
              </w:rPr>
            </w:pPr>
            <w:r w:rsidRPr="00B35962">
              <w:rPr>
                <w:rFonts w:ascii="Garamond" w:eastAsia="Times New Roman" w:hAnsi="Garamond" w:cs="Calibri"/>
                <w:b/>
                <w:bCs/>
                <w:sz w:val="22"/>
                <w:szCs w:val="22"/>
                <w:lang w:val="sr-Latn-ME" w:eastAsia="sr-Latn-ME"/>
              </w:rPr>
              <w:t>Evaluacija</w:t>
            </w:r>
          </w:p>
        </w:tc>
        <w:tc>
          <w:tcPr>
            <w:tcW w:w="2417" w:type="dxa"/>
            <w:tcBorders>
              <w:top w:val="single" w:sz="4" w:space="0" w:color="auto"/>
              <w:left w:val="nil"/>
              <w:bottom w:val="single" w:sz="4" w:space="0" w:color="auto"/>
              <w:right w:val="single" w:sz="4" w:space="0" w:color="auto"/>
            </w:tcBorders>
            <w:shd w:val="clear" w:color="auto" w:fill="auto"/>
            <w:vAlign w:val="center"/>
          </w:tcPr>
          <w:p w14:paraId="5ABDF74D" w14:textId="77777777" w:rsidR="000C3130" w:rsidRPr="00B35962" w:rsidRDefault="000C3130" w:rsidP="002D627F">
            <w:pPr>
              <w:spacing w:line="240" w:lineRule="auto"/>
              <w:ind w:firstLine="0"/>
              <w:rPr>
                <w:rFonts w:ascii="Garamond" w:hAnsi="Garamond"/>
                <w:sz w:val="22"/>
                <w:szCs w:val="22"/>
                <w:lang w:val="sr-Latn-ME"/>
              </w:rPr>
            </w:pPr>
            <w:r w:rsidRPr="00B35962">
              <w:rPr>
                <w:rFonts w:ascii="Garamond" w:hAnsi="Garamond"/>
                <w:sz w:val="22"/>
                <w:szCs w:val="22"/>
                <w:lang w:val="sr-Latn-ME"/>
              </w:rPr>
              <w:t xml:space="preserve">Sagledavanje učinka </w:t>
            </w:r>
            <w:r w:rsidR="002D627F" w:rsidRPr="00B35962">
              <w:rPr>
                <w:rFonts w:ascii="Garamond" w:hAnsi="Garamond"/>
                <w:sz w:val="22"/>
                <w:szCs w:val="22"/>
                <w:lang w:val="sr-Latn-ME"/>
              </w:rPr>
              <w:t>Strategije</w:t>
            </w:r>
          </w:p>
        </w:tc>
        <w:tc>
          <w:tcPr>
            <w:tcW w:w="1851" w:type="dxa"/>
            <w:tcBorders>
              <w:top w:val="single" w:sz="4" w:space="0" w:color="auto"/>
              <w:left w:val="nil"/>
              <w:bottom w:val="single" w:sz="4" w:space="0" w:color="auto"/>
              <w:right w:val="single" w:sz="4" w:space="0" w:color="auto"/>
            </w:tcBorders>
            <w:shd w:val="clear" w:color="auto" w:fill="auto"/>
            <w:vAlign w:val="center"/>
          </w:tcPr>
          <w:p w14:paraId="44C52E52" w14:textId="77777777" w:rsidR="000C3130" w:rsidRPr="00B35962" w:rsidRDefault="000C3130" w:rsidP="000C313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Urađena evaluacija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8EE876" w14:textId="77777777" w:rsidR="000C3130" w:rsidRPr="00B35962" w:rsidRDefault="000C3130" w:rsidP="000C313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ne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78ED8E" w14:textId="77777777" w:rsidR="000C3130" w:rsidRPr="00B35962" w:rsidRDefault="000C3130" w:rsidP="000C313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 xml:space="preserve">da </w:t>
            </w:r>
          </w:p>
        </w:tc>
        <w:tc>
          <w:tcPr>
            <w:tcW w:w="714" w:type="dxa"/>
            <w:tcBorders>
              <w:top w:val="single" w:sz="4" w:space="0" w:color="auto"/>
              <w:left w:val="nil"/>
              <w:bottom w:val="single" w:sz="4" w:space="0" w:color="auto"/>
              <w:right w:val="single" w:sz="4" w:space="0" w:color="auto"/>
            </w:tcBorders>
            <w:shd w:val="clear" w:color="auto" w:fill="auto"/>
            <w:vAlign w:val="center"/>
          </w:tcPr>
          <w:p w14:paraId="7E3E2FA2" w14:textId="77777777" w:rsidR="000C3130" w:rsidRPr="00B35962" w:rsidRDefault="000C3130" w:rsidP="005F0508">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202</w:t>
            </w:r>
            <w:r w:rsidR="005F0508" w:rsidRPr="00B35962">
              <w:rPr>
                <w:rFonts w:ascii="Garamond" w:eastAsia="Times New Roman" w:hAnsi="Garamond" w:cs="Calibri"/>
                <w:sz w:val="22"/>
                <w:szCs w:val="22"/>
                <w:lang w:val="sr-Latn-ME" w:eastAsia="sr-Latn-ME"/>
              </w:rPr>
              <w:t>5</w:t>
            </w:r>
          </w:p>
        </w:tc>
        <w:tc>
          <w:tcPr>
            <w:tcW w:w="978" w:type="dxa"/>
            <w:tcBorders>
              <w:top w:val="single" w:sz="4" w:space="0" w:color="auto"/>
              <w:left w:val="nil"/>
              <w:bottom w:val="single" w:sz="4" w:space="0" w:color="auto"/>
              <w:right w:val="single" w:sz="4" w:space="0" w:color="auto"/>
            </w:tcBorders>
            <w:shd w:val="clear" w:color="auto" w:fill="auto"/>
            <w:vAlign w:val="center"/>
          </w:tcPr>
          <w:p w14:paraId="32B64BE5" w14:textId="77777777" w:rsidR="000C3130" w:rsidRPr="00B35962" w:rsidRDefault="000C3130" w:rsidP="000C313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10.000</w:t>
            </w:r>
          </w:p>
          <w:p w14:paraId="168A555A" w14:textId="77777777" w:rsidR="004F4934" w:rsidRPr="00B35962" w:rsidRDefault="004F4934" w:rsidP="000C313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Izvor: projekat </w:t>
            </w:r>
          </w:p>
        </w:tc>
        <w:tc>
          <w:tcPr>
            <w:tcW w:w="1143" w:type="dxa"/>
            <w:tcBorders>
              <w:top w:val="single" w:sz="4" w:space="0" w:color="auto"/>
              <w:left w:val="nil"/>
              <w:bottom w:val="single" w:sz="4" w:space="0" w:color="auto"/>
              <w:right w:val="single" w:sz="4" w:space="0" w:color="auto"/>
            </w:tcBorders>
            <w:shd w:val="clear" w:color="auto" w:fill="auto"/>
            <w:vAlign w:val="center"/>
          </w:tcPr>
          <w:p w14:paraId="53F92A45" w14:textId="78C76825" w:rsidR="000C3130" w:rsidRPr="00B35962" w:rsidRDefault="00FB585F" w:rsidP="000C313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MP</w:t>
            </w:r>
            <w:r>
              <w:rPr>
                <w:rFonts w:ascii="Garamond" w:eastAsia="Times New Roman" w:hAnsi="Garamond" w:cs="Calibri"/>
                <w:sz w:val="22"/>
                <w:szCs w:val="22"/>
                <w:lang w:val="sr-Latn-ME" w:eastAsia="sr-Latn-ME"/>
              </w:rPr>
              <w:t>NKS</w:t>
            </w:r>
          </w:p>
        </w:tc>
        <w:tc>
          <w:tcPr>
            <w:tcW w:w="997" w:type="dxa"/>
            <w:tcBorders>
              <w:top w:val="single" w:sz="4" w:space="0" w:color="auto"/>
              <w:left w:val="nil"/>
              <w:bottom w:val="single" w:sz="4" w:space="0" w:color="auto"/>
              <w:right w:val="single" w:sz="8" w:space="0" w:color="auto"/>
            </w:tcBorders>
            <w:shd w:val="clear" w:color="auto" w:fill="auto"/>
            <w:vAlign w:val="center"/>
          </w:tcPr>
          <w:p w14:paraId="18D78B56" w14:textId="77777777" w:rsidR="000C3130" w:rsidRPr="00B35962" w:rsidRDefault="000C3130" w:rsidP="000C3130">
            <w:pPr>
              <w:spacing w:line="240" w:lineRule="auto"/>
              <w:ind w:firstLine="0"/>
              <w:rPr>
                <w:rFonts w:ascii="Garamond" w:eastAsia="Times New Roman" w:hAnsi="Garamond" w:cs="Calibri"/>
                <w:sz w:val="22"/>
                <w:szCs w:val="22"/>
                <w:lang w:val="sr-Latn-ME" w:eastAsia="sr-Latn-ME"/>
              </w:rPr>
            </w:pPr>
            <w:r w:rsidRPr="00B35962">
              <w:rPr>
                <w:rFonts w:ascii="Garamond" w:eastAsia="Times New Roman" w:hAnsi="Garamond" w:cs="Calibri"/>
                <w:sz w:val="22"/>
                <w:szCs w:val="22"/>
                <w:lang w:val="sr-Latn-ME" w:eastAsia="sr-Latn-ME"/>
              </w:rPr>
              <w:t>donatori</w:t>
            </w:r>
          </w:p>
        </w:tc>
      </w:tr>
    </w:tbl>
    <w:p w14:paraId="1795E564" w14:textId="77777777" w:rsidR="00F43E15" w:rsidRPr="00B35962" w:rsidRDefault="00B5024A" w:rsidP="000C3130">
      <w:pPr>
        <w:ind w:firstLine="0"/>
        <w:rPr>
          <w:lang w:val="sr-Latn-ME"/>
        </w:rPr>
      </w:pPr>
      <w:r w:rsidRPr="00B35962">
        <w:rPr>
          <w:lang w:val="sr-Latn-ME"/>
        </w:rPr>
        <w:fldChar w:fldCharType="end"/>
      </w:r>
    </w:p>
    <w:p w14:paraId="1946B866" w14:textId="24712C92" w:rsidR="0008423C" w:rsidRPr="00B35962" w:rsidRDefault="00FD4FFF" w:rsidP="00A4296E">
      <w:pPr>
        <w:pStyle w:val="Heading1"/>
        <w:jc w:val="right"/>
        <w:rPr>
          <w:rFonts w:cs="Times New Roman"/>
          <w:lang w:val="sr-Latn-ME"/>
        </w:rPr>
      </w:pPr>
      <w:bookmarkStart w:id="23" w:name="_Toc55295099"/>
      <w:r w:rsidRPr="00B35962">
        <w:rPr>
          <w:rFonts w:cs="Times New Roman"/>
          <w:lang w:val="sr-Latn-ME"/>
        </w:rPr>
        <w:t>PRILOZI</w:t>
      </w:r>
      <w:bookmarkEnd w:id="23"/>
    </w:p>
    <w:p w14:paraId="491CE95C" w14:textId="77777777" w:rsidR="00FD4FFF" w:rsidRPr="00B35962" w:rsidRDefault="00FD4FFF" w:rsidP="00FD4FFF">
      <w:pPr>
        <w:spacing w:after="160"/>
        <w:ind w:firstLine="0"/>
        <w:rPr>
          <w:i/>
          <w:iCs/>
          <w:sz w:val="20"/>
          <w:szCs w:val="20"/>
          <w:lang w:val="sr-Latn-ME"/>
        </w:rPr>
      </w:pPr>
      <w:r w:rsidRPr="00B35962">
        <w:rPr>
          <w:sz w:val="20"/>
          <w:szCs w:val="20"/>
          <w:lang w:val="sr-Latn-ME"/>
        </w:rPr>
        <w:t xml:space="preserve">Table </w:t>
      </w:r>
      <w:r w:rsidRPr="00B35962">
        <w:rPr>
          <w:i/>
          <w:iCs/>
          <w:sz w:val="20"/>
          <w:szCs w:val="20"/>
          <w:lang w:val="sr-Latn-ME"/>
        </w:rPr>
        <w:fldChar w:fldCharType="begin"/>
      </w:r>
      <w:r w:rsidRPr="00B35962">
        <w:rPr>
          <w:sz w:val="20"/>
          <w:szCs w:val="20"/>
          <w:lang w:val="sr-Latn-ME"/>
        </w:rPr>
        <w:instrText xml:space="preserve"> SEQ Table \* ARABIC </w:instrText>
      </w:r>
      <w:r w:rsidRPr="00B35962">
        <w:rPr>
          <w:i/>
          <w:iCs/>
          <w:sz w:val="20"/>
          <w:szCs w:val="20"/>
          <w:lang w:val="sr-Latn-ME"/>
        </w:rPr>
        <w:fldChar w:fldCharType="separate"/>
      </w:r>
      <w:r w:rsidRPr="00B35962">
        <w:rPr>
          <w:noProof/>
          <w:sz w:val="20"/>
          <w:szCs w:val="20"/>
          <w:lang w:val="sr-Latn-ME"/>
        </w:rPr>
        <w:t>1</w:t>
      </w:r>
      <w:r w:rsidRPr="00B35962">
        <w:rPr>
          <w:i/>
          <w:iCs/>
          <w:sz w:val="20"/>
          <w:szCs w:val="20"/>
          <w:lang w:val="sr-Latn-ME"/>
        </w:rPr>
        <w:fldChar w:fldCharType="end"/>
      </w:r>
      <w:r w:rsidRPr="00B35962">
        <w:rPr>
          <w:sz w:val="20"/>
          <w:szCs w:val="20"/>
          <w:lang w:val="sr-Latn-ME"/>
        </w:rPr>
        <w:t>. Broj d</w:t>
      </w:r>
      <w:r w:rsidR="00A428F6" w:rsidRPr="00B35962">
        <w:rPr>
          <w:sz w:val="20"/>
          <w:szCs w:val="20"/>
          <w:lang w:val="sr-Latn-ME"/>
        </w:rPr>
        <w:t>j</w:t>
      </w:r>
      <w:r w:rsidRPr="00B35962">
        <w:rPr>
          <w:sz w:val="20"/>
          <w:szCs w:val="20"/>
          <w:lang w:val="sr-Latn-ME"/>
        </w:rPr>
        <w:t>ece koja pohađaju predškolske programe i broj vaspitnih grupa u periodu prim</w:t>
      </w:r>
      <w:r w:rsidR="0013447C" w:rsidRPr="00B35962">
        <w:rPr>
          <w:sz w:val="20"/>
          <w:szCs w:val="20"/>
          <w:lang w:val="sr-Latn-ME"/>
        </w:rPr>
        <w:t>j</w:t>
      </w:r>
      <w:r w:rsidRPr="00B35962">
        <w:rPr>
          <w:sz w:val="20"/>
          <w:szCs w:val="20"/>
          <w:lang w:val="sr-Latn-ME"/>
        </w:rPr>
        <w:t xml:space="preserve">ene prethodne Strategije (po opštinama) </w:t>
      </w:r>
    </w:p>
    <w:tbl>
      <w:tblPr>
        <w:tblW w:w="13195" w:type="dxa"/>
        <w:tblInd w:w="-95" w:type="dxa"/>
        <w:tblLook w:val="04A0" w:firstRow="1" w:lastRow="0" w:firstColumn="1" w:lastColumn="0" w:noHBand="0" w:noVBand="1"/>
      </w:tblPr>
      <w:tblGrid>
        <w:gridCol w:w="1745"/>
        <w:gridCol w:w="1150"/>
        <w:gridCol w:w="1150"/>
        <w:gridCol w:w="1150"/>
        <w:gridCol w:w="1150"/>
        <w:gridCol w:w="1151"/>
        <w:gridCol w:w="1140"/>
        <w:gridCol w:w="1140"/>
        <w:gridCol w:w="1140"/>
        <w:gridCol w:w="1140"/>
        <w:gridCol w:w="1140"/>
      </w:tblGrid>
      <w:tr w:rsidR="00FD4FFF" w:rsidRPr="00B35962" w14:paraId="320D4A2F" w14:textId="77777777" w:rsidTr="00566A90">
        <w:trPr>
          <w:trHeight w:val="280"/>
        </w:trPr>
        <w:tc>
          <w:tcPr>
            <w:tcW w:w="174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31531F"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Opština</w:t>
            </w:r>
          </w:p>
        </w:tc>
        <w:tc>
          <w:tcPr>
            <w:tcW w:w="5751"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004ED143"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Broj upisane djece</w:t>
            </w:r>
          </w:p>
        </w:tc>
        <w:tc>
          <w:tcPr>
            <w:tcW w:w="5698"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6ABEBAB3"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Broj vaspitnih jedinica</w:t>
            </w:r>
          </w:p>
        </w:tc>
      </w:tr>
      <w:tr w:rsidR="00FD4FFF" w:rsidRPr="00B35962" w14:paraId="20F48670" w14:textId="77777777" w:rsidTr="00566A90">
        <w:trPr>
          <w:trHeight w:val="280"/>
        </w:trPr>
        <w:tc>
          <w:tcPr>
            <w:tcW w:w="1745" w:type="dxa"/>
            <w:vMerge/>
            <w:tcBorders>
              <w:top w:val="single" w:sz="4" w:space="0" w:color="auto"/>
              <w:left w:val="single" w:sz="4" w:space="0" w:color="auto"/>
              <w:bottom w:val="single" w:sz="4" w:space="0" w:color="auto"/>
              <w:right w:val="single" w:sz="4" w:space="0" w:color="auto"/>
            </w:tcBorders>
            <w:vAlign w:val="center"/>
            <w:hideMark/>
          </w:tcPr>
          <w:p w14:paraId="42E3B72E" w14:textId="77777777" w:rsidR="00FD4FFF" w:rsidRPr="00B35962" w:rsidRDefault="00FD4FFF" w:rsidP="00106DA9">
            <w:pPr>
              <w:spacing w:line="240" w:lineRule="auto"/>
              <w:ind w:firstLine="0"/>
              <w:jc w:val="left"/>
              <w:rPr>
                <w:rFonts w:eastAsia="Times New Roman"/>
                <w:b/>
                <w:bCs/>
                <w:color w:val="000000"/>
                <w:sz w:val="20"/>
                <w:szCs w:val="20"/>
                <w:lang w:val="sr-Latn-ME"/>
              </w:rPr>
            </w:pPr>
          </w:p>
        </w:tc>
        <w:tc>
          <w:tcPr>
            <w:tcW w:w="1150" w:type="dxa"/>
            <w:tcBorders>
              <w:top w:val="nil"/>
              <w:left w:val="nil"/>
              <w:bottom w:val="single" w:sz="4" w:space="0" w:color="auto"/>
              <w:right w:val="single" w:sz="4" w:space="0" w:color="auto"/>
            </w:tcBorders>
            <w:shd w:val="clear" w:color="000000" w:fill="D9D9D9"/>
            <w:noWrap/>
            <w:vAlign w:val="center"/>
            <w:hideMark/>
          </w:tcPr>
          <w:p w14:paraId="34F72BD7"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2015/16</w:t>
            </w:r>
          </w:p>
        </w:tc>
        <w:tc>
          <w:tcPr>
            <w:tcW w:w="1150" w:type="dxa"/>
            <w:tcBorders>
              <w:top w:val="nil"/>
              <w:left w:val="nil"/>
              <w:bottom w:val="single" w:sz="4" w:space="0" w:color="auto"/>
              <w:right w:val="single" w:sz="4" w:space="0" w:color="auto"/>
            </w:tcBorders>
            <w:shd w:val="clear" w:color="000000" w:fill="D9D9D9"/>
            <w:noWrap/>
            <w:vAlign w:val="bottom"/>
            <w:hideMark/>
          </w:tcPr>
          <w:p w14:paraId="09599F91"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2016/17</w:t>
            </w:r>
          </w:p>
        </w:tc>
        <w:tc>
          <w:tcPr>
            <w:tcW w:w="1150" w:type="dxa"/>
            <w:tcBorders>
              <w:top w:val="nil"/>
              <w:left w:val="nil"/>
              <w:bottom w:val="single" w:sz="4" w:space="0" w:color="auto"/>
              <w:right w:val="single" w:sz="4" w:space="0" w:color="auto"/>
            </w:tcBorders>
            <w:shd w:val="clear" w:color="000000" w:fill="D9D9D9"/>
            <w:noWrap/>
            <w:vAlign w:val="bottom"/>
            <w:hideMark/>
          </w:tcPr>
          <w:p w14:paraId="4E4B2397"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2017/18</w:t>
            </w:r>
          </w:p>
        </w:tc>
        <w:tc>
          <w:tcPr>
            <w:tcW w:w="1150" w:type="dxa"/>
            <w:tcBorders>
              <w:top w:val="nil"/>
              <w:left w:val="nil"/>
              <w:bottom w:val="single" w:sz="4" w:space="0" w:color="auto"/>
              <w:right w:val="single" w:sz="4" w:space="0" w:color="auto"/>
            </w:tcBorders>
            <w:shd w:val="clear" w:color="000000" w:fill="D9D9D9"/>
            <w:noWrap/>
            <w:vAlign w:val="bottom"/>
            <w:hideMark/>
          </w:tcPr>
          <w:p w14:paraId="33A12E40"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2018/19</w:t>
            </w:r>
          </w:p>
        </w:tc>
        <w:tc>
          <w:tcPr>
            <w:tcW w:w="1150" w:type="dxa"/>
            <w:tcBorders>
              <w:top w:val="nil"/>
              <w:left w:val="nil"/>
              <w:bottom w:val="single" w:sz="4" w:space="0" w:color="auto"/>
              <w:right w:val="single" w:sz="4" w:space="0" w:color="auto"/>
            </w:tcBorders>
            <w:shd w:val="clear" w:color="000000" w:fill="D9D9D9"/>
            <w:noWrap/>
            <w:vAlign w:val="bottom"/>
            <w:hideMark/>
          </w:tcPr>
          <w:p w14:paraId="49781149"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2019/20</w:t>
            </w:r>
          </w:p>
        </w:tc>
        <w:tc>
          <w:tcPr>
            <w:tcW w:w="1140" w:type="dxa"/>
            <w:tcBorders>
              <w:top w:val="nil"/>
              <w:left w:val="nil"/>
              <w:bottom w:val="single" w:sz="4" w:space="0" w:color="auto"/>
              <w:right w:val="single" w:sz="4" w:space="0" w:color="auto"/>
            </w:tcBorders>
            <w:shd w:val="clear" w:color="000000" w:fill="D9D9D9"/>
            <w:noWrap/>
            <w:vAlign w:val="center"/>
            <w:hideMark/>
          </w:tcPr>
          <w:p w14:paraId="1E3BF4AA"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2015/16</w:t>
            </w:r>
          </w:p>
        </w:tc>
        <w:tc>
          <w:tcPr>
            <w:tcW w:w="1140" w:type="dxa"/>
            <w:tcBorders>
              <w:top w:val="nil"/>
              <w:left w:val="nil"/>
              <w:bottom w:val="single" w:sz="4" w:space="0" w:color="auto"/>
              <w:right w:val="single" w:sz="4" w:space="0" w:color="auto"/>
            </w:tcBorders>
            <w:shd w:val="clear" w:color="000000" w:fill="D9D9D9"/>
            <w:noWrap/>
            <w:vAlign w:val="bottom"/>
            <w:hideMark/>
          </w:tcPr>
          <w:p w14:paraId="7D25DABF"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2016/17</w:t>
            </w:r>
          </w:p>
        </w:tc>
        <w:tc>
          <w:tcPr>
            <w:tcW w:w="1140" w:type="dxa"/>
            <w:tcBorders>
              <w:top w:val="nil"/>
              <w:left w:val="nil"/>
              <w:bottom w:val="single" w:sz="4" w:space="0" w:color="auto"/>
              <w:right w:val="single" w:sz="4" w:space="0" w:color="auto"/>
            </w:tcBorders>
            <w:shd w:val="clear" w:color="000000" w:fill="D9D9D9"/>
            <w:noWrap/>
            <w:vAlign w:val="bottom"/>
            <w:hideMark/>
          </w:tcPr>
          <w:p w14:paraId="3045CC0C"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2017/18</w:t>
            </w:r>
          </w:p>
        </w:tc>
        <w:tc>
          <w:tcPr>
            <w:tcW w:w="1140" w:type="dxa"/>
            <w:tcBorders>
              <w:top w:val="nil"/>
              <w:left w:val="nil"/>
              <w:bottom w:val="single" w:sz="4" w:space="0" w:color="auto"/>
              <w:right w:val="single" w:sz="4" w:space="0" w:color="auto"/>
            </w:tcBorders>
            <w:shd w:val="clear" w:color="000000" w:fill="D9D9D9"/>
            <w:noWrap/>
            <w:vAlign w:val="bottom"/>
            <w:hideMark/>
          </w:tcPr>
          <w:p w14:paraId="00B1A92D"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2018/19</w:t>
            </w:r>
          </w:p>
        </w:tc>
        <w:tc>
          <w:tcPr>
            <w:tcW w:w="1140" w:type="dxa"/>
            <w:tcBorders>
              <w:top w:val="nil"/>
              <w:left w:val="nil"/>
              <w:bottom w:val="single" w:sz="4" w:space="0" w:color="auto"/>
              <w:right w:val="single" w:sz="4" w:space="0" w:color="auto"/>
            </w:tcBorders>
            <w:shd w:val="clear" w:color="000000" w:fill="D9D9D9"/>
            <w:noWrap/>
            <w:vAlign w:val="bottom"/>
            <w:hideMark/>
          </w:tcPr>
          <w:p w14:paraId="3AB3DB65"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2019/20</w:t>
            </w:r>
          </w:p>
        </w:tc>
      </w:tr>
      <w:tr w:rsidR="00FD4FFF" w:rsidRPr="00B35962" w14:paraId="4E949874"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5FD64656"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Andrijevica</w:t>
            </w:r>
          </w:p>
        </w:tc>
        <w:tc>
          <w:tcPr>
            <w:tcW w:w="1150" w:type="dxa"/>
            <w:tcBorders>
              <w:top w:val="nil"/>
              <w:left w:val="nil"/>
              <w:bottom w:val="single" w:sz="4" w:space="0" w:color="auto"/>
              <w:right w:val="single" w:sz="4" w:space="0" w:color="auto"/>
            </w:tcBorders>
            <w:shd w:val="clear" w:color="auto" w:fill="auto"/>
            <w:noWrap/>
            <w:vAlign w:val="bottom"/>
            <w:hideMark/>
          </w:tcPr>
          <w:p w14:paraId="3A552E4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32</w:t>
            </w:r>
          </w:p>
        </w:tc>
        <w:tc>
          <w:tcPr>
            <w:tcW w:w="1150" w:type="dxa"/>
            <w:tcBorders>
              <w:top w:val="nil"/>
              <w:left w:val="nil"/>
              <w:bottom w:val="single" w:sz="4" w:space="0" w:color="auto"/>
              <w:right w:val="single" w:sz="4" w:space="0" w:color="auto"/>
            </w:tcBorders>
            <w:shd w:val="clear" w:color="auto" w:fill="auto"/>
            <w:noWrap/>
            <w:vAlign w:val="bottom"/>
            <w:hideMark/>
          </w:tcPr>
          <w:p w14:paraId="70DE30B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78</w:t>
            </w:r>
          </w:p>
        </w:tc>
        <w:tc>
          <w:tcPr>
            <w:tcW w:w="1150" w:type="dxa"/>
            <w:tcBorders>
              <w:top w:val="nil"/>
              <w:left w:val="nil"/>
              <w:bottom w:val="single" w:sz="4" w:space="0" w:color="auto"/>
              <w:right w:val="single" w:sz="4" w:space="0" w:color="auto"/>
            </w:tcBorders>
            <w:shd w:val="clear" w:color="auto" w:fill="auto"/>
            <w:noWrap/>
            <w:vAlign w:val="bottom"/>
            <w:hideMark/>
          </w:tcPr>
          <w:p w14:paraId="1700AAA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73</w:t>
            </w:r>
          </w:p>
        </w:tc>
        <w:tc>
          <w:tcPr>
            <w:tcW w:w="1150" w:type="dxa"/>
            <w:tcBorders>
              <w:top w:val="nil"/>
              <w:left w:val="nil"/>
              <w:bottom w:val="single" w:sz="4" w:space="0" w:color="auto"/>
              <w:right w:val="single" w:sz="4" w:space="0" w:color="auto"/>
            </w:tcBorders>
            <w:shd w:val="clear" w:color="auto" w:fill="auto"/>
            <w:noWrap/>
            <w:vAlign w:val="bottom"/>
            <w:hideMark/>
          </w:tcPr>
          <w:p w14:paraId="0F9FF3B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75</w:t>
            </w:r>
          </w:p>
        </w:tc>
        <w:tc>
          <w:tcPr>
            <w:tcW w:w="1150" w:type="dxa"/>
            <w:tcBorders>
              <w:top w:val="nil"/>
              <w:left w:val="nil"/>
              <w:bottom w:val="single" w:sz="4" w:space="0" w:color="auto"/>
              <w:right w:val="single" w:sz="4" w:space="0" w:color="auto"/>
            </w:tcBorders>
            <w:shd w:val="clear" w:color="auto" w:fill="auto"/>
            <w:noWrap/>
            <w:vAlign w:val="bottom"/>
            <w:hideMark/>
          </w:tcPr>
          <w:p w14:paraId="06561AB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102</w:t>
            </w:r>
          </w:p>
        </w:tc>
        <w:tc>
          <w:tcPr>
            <w:tcW w:w="1140" w:type="dxa"/>
            <w:tcBorders>
              <w:top w:val="nil"/>
              <w:left w:val="nil"/>
              <w:bottom w:val="single" w:sz="4" w:space="0" w:color="auto"/>
              <w:right w:val="single" w:sz="4" w:space="0" w:color="auto"/>
            </w:tcBorders>
            <w:shd w:val="clear" w:color="auto" w:fill="auto"/>
            <w:noWrap/>
            <w:vAlign w:val="bottom"/>
            <w:hideMark/>
          </w:tcPr>
          <w:p w14:paraId="304B806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5B8A93F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w:t>
            </w:r>
          </w:p>
        </w:tc>
        <w:tc>
          <w:tcPr>
            <w:tcW w:w="1140" w:type="dxa"/>
            <w:tcBorders>
              <w:top w:val="nil"/>
              <w:left w:val="nil"/>
              <w:bottom w:val="single" w:sz="4" w:space="0" w:color="auto"/>
              <w:right w:val="single" w:sz="4" w:space="0" w:color="auto"/>
            </w:tcBorders>
            <w:shd w:val="clear" w:color="auto" w:fill="auto"/>
            <w:noWrap/>
            <w:vAlign w:val="bottom"/>
            <w:hideMark/>
          </w:tcPr>
          <w:p w14:paraId="6E5A3CD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16DC2DF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17DB2E8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r>
      <w:tr w:rsidR="00FD4FFF" w:rsidRPr="00B35962" w14:paraId="3C7655D4"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35A988D0"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Bar</w:t>
            </w:r>
          </w:p>
        </w:tc>
        <w:tc>
          <w:tcPr>
            <w:tcW w:w="1150" w:type="dxa"/>
            <w:tcBorders>
              <w:top w:val="nil"/>
              <w:left w:val="nil"/>
              <w:bottom w:val="single" w:sz="4" w:space="0" w:color="auto"/>
              <w:right w:val="single" w:sz="4" w:space="0" w:color="auto"/>
            </w:tcBorders>
            <w:shd w:val="clear" w:color="auto" w:fill="auto"/>
            <w:noWrap/>
            <w:vAlign w:val="bottom"/>
            <w:hideMark/>
          </w:tcPr>
          <w:p w14:paraId="43F251E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940</w:t>
            </w:r>
          </w:p>
        </w:tc>
        <w:tc>
          <w:tcPr>
            <w:tcW w:w="1150" w:type="dxa"/>
            <w:tcBorders>
              <w:top w:val="nil"/>
              <w:left w:val="nil"/>
              <w:bottom w:val="single" w:sz="4" w:space="0" w:color="auto"/>
              <w:right w:val="single" w:sz="4" w:space="0" w:color="auto"/>
            </w:tcBorders>
            <w:shd w:val="clear" w:color="auto" w:fill="auto"/>
            <w:noWrap/>
            <w:vAlign w:val="bottom"/>
            <w:hideMark/>
          </w:tcPr>
          <w:p w14:paraId="423CE98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1136</w:t>
            </w:r>
          </w:p>
        </w:tc>
        <w:tc>
          <w:tcPr>
            <w:tcW w:w="1150" w:type="dxa"/>
            <w:tcBorders>
              <w:top w:val="nil"/>
              <w:left w:val="nil"/>
              <w:bottom w:val="single" w:sz="4" w:space="0" w:color="auto"/>
              <w:right w:val="single" w:sz="4" w:space="0" w:color="auto"/>
            </w:tcBorders>
            <w:shd w:val="clear" w:color="auto" w:fill="auto"/>
            <w:noWrap/>
            <w:vAlign w:val="bottom"/>
            <w:hideMark/>
          </w:tcPr>
          <w:p w14:paraId="35D8AFD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1230</w:t>
            </w:r>
          </w:p>
        </w:tc>
        <w:tc>
          <w:tcPr>
            <w:tcW w:w="1150" w:type="dxa"/>
            <w:tcBorders>
              <w:top w:val="nil"/>
              <w:left w:val="nil"/>
              <w:bottom w:val="single" w:sz="4" w:space="0" w:color="auto"/>
              <w:right w:val="single" w:sz="4" w:space="0" w:color="auto"/>
            </w:tcBorders>
            <w:shd w:val="clear" w:color="auto" w:fill="auto"/>
            <w:noWrap/>
            <w:vAlign w:val="bottom"/>
            <w:hideMark/>
          </w:tcPr>
          <w:p w14:paraId="54DFDC3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1326</w:t>
            </w:r>
          </w:p>
        </w:tc>
        <w:tc>
          <w:tcPr>
            <w:tcW w:w="1150" w:type="dxa"/>
            <w:tcBorders>
              <w:top w:val="nil"/>
              <w:left w:val="nil"/>
              <w:bottom w:val="single" w:sz="4" w:space="0" w:color="auto"/>
              <w:right w:val="single" w:sz="4" w:space="0" w:color="auto"/>
            </w:tcBorders>
            <w:shd w:val="clear" w:color="auto" w:fill="auto"/>
            <w:noWrap/>
            <w:vAlign w:val="bottom"/>
            <w:hideMark/>
          </w:tcPr>
          <w:p w14:paraId="2B0F505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1484</w:t>
            </w:r>
          </w:p>
        </w:tc>
        <w:tc>
          <w:tcPr>
            <w:tcW w:w="1140" w:type="dxa"/>
            <w:tcBorders>
              <w:top w:val="nil"/>
              <w:left w:val="nil"/>
              <w:bottom w:val="single" w:sz="4" w:space="0" w:color="auto"/>
              <w:right w:val="single" w:sz="4" w:space="0" w:color="auto"/>
            </w:tcBorders>
            <w:shd w:val="clear" w:color="auto" w:fill="auto"/>
            <w:noWrap/>
            <w:vAlign w:val="bottom"/>
            <w:hideMark/>
          </w:tcPr>
          <w:p w14:paraId="058AF6B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11</w:t>
            </w:r>
          </w:p>
        </w:tc>
        <w:tc>
          <w:tcPr>
            <w:tcW w:w="1140" w:type="dxa"/>
            <w:tcBorders>
              <w:top w:val="nil"/>
              <w:left w:val="nil"/>
              <w:bottom w:val="single" w:sz="4" w:space="0" w:color="auto"/>
              <w:right w:val="single" w:sz="4" w:space="0" w:color="auto"/>
            </w:tcBorders>
            <w:shd w:val="clear" w:color="auto" w:fill="auto"/>
            <w:noWrap/>
            <w:vAlign w:val="bottom"/>
            <w:hideMark/>
          </w:tcPr>
          <w:p w14:paraId="3F26EE9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11</w:t>
            </w:r>
          </w:p>
        </w:tc>
        <w:tc>
          <w:tcPr>
            <w:tcW w:w="1140" w:type="dxa"/>
            <w:tcBorders>
              <w:top w:val="nil"/>
              <w:left w:val="nil"/>
              <w:bottom w:val="single" w:sz="4" w:space="0" w:color="auto"/>
              <w:right w:val="single" w:sz="4" w:space="0" w:color="auto"/>
            </w:tcBorders>
            <w:shd w:val="clear" w:color="auto" w:fill="auto"/>
            <w:noWrap/>
            <w:vAlign w:val="bottom"/>
            <w:hideMark/>
          </w:tcPr>
          <w:p w14:paraId="539D091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12</w:t>
            </w:r>
          </w:p>
        </w:tc>
        <w:tc>
          <w:tcPr>
            <w:tcW w:w="1140" w:type="dxa"/>
            <w:tcBorders>
              <w:top w:val="nil"/>
              <w:left w:val="nil"/>
              <w:bottom w:val="single" w:sz="4" w:space="0" w:color="auto"/>
              <w:right w:val="single" w:sz="4" w:space="0" w:color="auto"/>
            </w:tcBorders>
            <w:shd w:val="clear" w:color="auto" w:fill="auto"/>
            <w:noWrap/>
            <w:vAlign w:val="bottom"/>
            <w:hideMark/>
          </w:tcPr>
          <w:p w14:paraId="4A720A6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13</w:t>
            </w:r>
          </w:p>
        </w:tc>
        <w:tc>
          <w:tcPr>
            <w:tcW w:w="1140" w:type="dxa"/>
            <w:tcBorders>
              <w:top w:val="nil"/>
              <w:left w:val="nil"/>
              <w:bottom w:val="single" w:sz="4" w:space="0" w:color="auto"/>
              <w:right w:val="single" w:sz="4" w:space="0" w:color="auto"/>
            </w:tcBorders>
            <w:shd w:val="clear" w:color="auto" w:fill="auto"/>
            <w:noWrap/>
            <w:vAlign w:val="bottom"/>
            <w:hideMark/>
          </w:tcPr>
          <w:p w14:paraId="1405C57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14</w:t>
            </w:r>
          </w:p>
        </w:tc>
      </w:tr>
      <w:tr w:rsidR="00FD4FFF" w:rsidRPr="00B35962" w14:paraId="763555F1"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22C784CD"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Berane</w:t>
            </w:r>
          </w:p>
        </w:tc>
        <w:tc>
          <w:tcPr>
            <w:tcW w:w="1150" w:type="dxa"/>
            <w:tcBorders>
              <w:top w:val="nil"/>
              <w:left w:val="nil"/>
              <w:bottom w:val="single" w:sz="4" w:space="0" w:color="auto"/>
              <w:right w:val="single" w:sz="4" w:space="0" w:color="auto"/>
            </w:tcBorders>
            <w:shd w:val="clear" w:color="auto" w:fill="auto"/>
            <w:noWrap/>
            <w:vAlign w:val="bottom"/>
            <w:hideMark/>
          </w:tcPr>
          <w:p w14:paraId="5B3E7DB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507</w:t>
            </w:r>
          </w:p>
        </w:tc>
        <w:tc>
          <w:tcPr>
            <w:tcW w:w="1150" w:type="dxa"/>
            <w:tcBorders>
              <w:top w:val="nil"/>
              <w:left w:val="nil"/>
              <w:bottom w:val="single" w:sz="4" w:space="0" w:color="auto"/>
              <w:right w:val="single" w:sz="4" w:space="0" w:color="auto"/>
            </w:tcBorders>
            <w:shd w:val="clear" w:color="auto" w:fill="auto"/>
            <w:noWrap/>
            <w:vAlign w:val="bottom"/>
            <w:hideMark/>
          </w:tcPr>
          <w:p w14:paraId="0768EB9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606</w:t>
            </w:r>
          </w:p>
        </w:tc>
        <w:tc>
          <w:tcPr>
            <w:tcW w:w="1150" w:type="dxa"/>
            <w:tcBorders>
              <w:top w:val="nil"/>
              <w:left w:val="nil"/>
              <w:bottom w:val="single" w:sz="4" w:space="0" w:color="auto"/>
              <w:right w:val="single" w:sz="4" w:space="0" w:color="auto"/>
            </w:tcBorders>
            <w:shd w:val="clear" w:color="auto" w:fill="auto"/>
            <w:noWrap/>
            <w:vAlign w:val="bottom"/>
            <w:hideMark/>
          </w:tcPr>
          <w:p w14:paraId="5F23804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707</w:t>
            </w:r>
          </w:p>
        </w:tc>
        <w:tc>
          <w:tcPr>
            <w:tcW w:w="1150" w:type="dxa"/>
            <w:tcBorders>
              <w:top w:val="nil"/>
              <w:left w:val="nil"/>
              <w:bottom w:val="single" w:sz="4" w:space="0" w:color="auto"/>
              <w:right w:val="single" w:sz="4" w:space="0" w:color="auto"/>
            </w:tcBorders>
            <w:shd w:val="clear" w:color="auto" w:fill="auto"/>
            <w:noWrap/>
            <w:vAlign w:val="bottom"/>
            <w:hideMark/>
          </w:tcPr>
          <w:p w14:paraId="6FFC53D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741</w:t>
            </w:r>
          </w:p>
        </w:tc>
        <w:tc>
          <w:tcPr>
            <w:tcW w:w="1150" w:type="dxa"/>
            <w:tcBorders>
              <w:top w:val="nil"/>
              <w:left w:val="nil"/>
              <w:bottom w:val="single" w:sz="4" w:space="0" w:color="auto"/>
              <w:right w:val="single" w:sz="4" w:space="0" w:color="auto"/>
            </w:tcBorders>
            <w:shd w:val="clear" w:color="auto" w:fill="auto"/>
            <w:noWrap/>
            <w:vAlign w:val="bottom"/>
            <w:hideMark/>
          </w:tcPr>
          <w:p w14:paraId="3E29669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816</w:t>
            </w:r>
          </w:p>
        </w:tc>
        <w:tc>
          <w:tcPr>
            <w:tcW w:w="1140" w:type="dxa"/>
            <w:tcBorders>
              <w:top w:val="nil"/>
              <w:left w:val="nil"/>
              <w:bottom w:val="single" w:sz="4" w:space="0" w:color="auto"/>
              <w:right w:val="single" w:sz="4" w:space="0" w:color="auto"/>
            </w:tcBorders>
            <w:shd w:val="clear" w:color="auto" w:fill="auto"/>
            <w:noWrap/>
            <w:vAlign w:val="bottom"/>
            <w:hideMark/>
          </w:tcPr>
          <w:p w14:paraId="5550FED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1F4CD44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617933C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w:t>
            </w:r>
          </w:p>
        </w:tc>
        <w:tc>
          <w:tcPr>
            <w:tcW w:w="1140" w:type="dxa"/>
            <w:tcBorders>
              <w:top w:val="nil"/>
              <w:left w:val="nil"/>
              <w:bottom w:val="single" w:sz="4" w:space="0" w:color="auto"/>
              <w:right w:val="single" w:sz="4" w:space="0" w:color="auto"/>
            </w:tcBorders>
            <w:shd w:val="clear" w:color="auto" w:fill="auto"/>
            <w:noWrap/>
            <w:vAlign w:val="bottom"/>
            <w:hideMark/>
          </w:tcPr>
          <w:p w14:paraId="01C581F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11</w:t>
            </w:r>
          </w:p>
        </w:tc>
        <w:tc>
          <w:tcPr>
            <w:tcW w:w="1140" w:type="dxa"/>
            <w:tcBorders>
              <w:top w:val="nil"/>
              <w:left w:val="nil"/>
              <w:bottom w:val="single" w:sz="4" w:space="0" w:color="auto"/>
              <w:right w:val="single" w:sz="4" w:space="0" w:color="auto"/>
            </w:tcBorders>
            <w:shd w:val="clear" w:color="auto" w:fill="auto"/>
            <w:noWrap/>
            <w:vAlign w:val="bottom"/>
            <w:hideMark/>
          </w:tcPr>
          <w:p w14:paraId="11188F1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11</w:t>
            </w:r>
          </w:p>
        </w:tc>
      </w:tr>
      <w:tr w:rsidR="00FD4FFF" w:rsidRPr="00B35962" w14:paraId="2E8FDC0B"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72EFC6D"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Bijelo Polje</w:t>
            </w:r>
          </w:p>
        </w:tc>
        <w:tc>
          <w:tcPr>
            <w:tcW w:w="1150" w:type="dxa"/>
            <w:tcBorders>
              <w:top w:val="nil"/>
              <w:left w:val="nil"/>
              <w:bottom w:val="single" w:sz="4" w:space="0" w:color="auto"/>
              <w:right w:val="single" w:sz="4" w:space="0" w:color="auto"/>
            </w:tcBorders>
            <w:shd w:val="clear" w:color="auto" w:fill="auto"/>
            <w:noWrap/>
            <w:vAlign w:val="bottom"/>
            <w:hideMark/>
          </w:tcPr>
          <w:p w14:paraId="6096E7C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831</w:t>
            </w:r>
          </w:p>
        </w:tc>
        <w:tc>
          <w:tcPr>
            <w:tcW w:w="1150" w:type="dxa"/>
            <w:tcBorders>
              <w:top w:val="nil"/>
              <w:left w:val="nil"/>
              <w:bottom w:val="single" w:sz="4" w:space="0" w:color="auto"/>
              <w:right w:val="single" w:sz="4" w:space="0" w:color="auto"/>
            </w:tcBorders>
            <w:shd w:val="clear" w:color="auto" w:fill="auto"/>
            <w:noWrap/>
            <w:vAlign w:val="bottom"/>
            <w:hideMark/>
          </w:tcPr>
          <w:p w14:paraId="18473CE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872</w:t>
            </w:r>
          </w:p>
        </w:tc>
        <w:tc>
          <w:tcPr>
            <w:tcW w:w="1150" w:type="dxa"/>
            <w:tcBorders>
              <w:top w:val="nil"/>
              <w:left w:val="nil"/>
              <w:bottom w:val="single" w:sz="4" w:space="0" w:color="auto"/>
              <w:right w:val="single" w:sz="4" w:space="0" w:color="auto"/>
            </w:tcBorders>
            <w:shd w:val="clear" w:color="auto" w:fill="auto"/>
            <w:noWrap/>
            <w:vAlign w:val="bottom"/>
            <w:hideMark/>
          </w:tcPr>
          <w:p w14:paraId="7FF726F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930</w:t>
            </w:r>
          </w:p>
        </w:tc>
        <w:tc>
          <w:tcPr>
            <w:tcW w:w="1150" w:type="dxa"/>
            <w:tcBorders>
              <w:top w:val="nil"/>
              <w:left w:val="nil"/>
              <w:bottom w:val="single" w:sz="4" w:space="0" w:color="auto"/>
              <w:right w:val="single" w:sz="4" w:space="0" w:color="auto"/>
            </w:tcBorders>
            <w:shd w:val="clear" w:color="auto" w:fill="auto"/>
            <w:noWrap/>
            <w:vAlign w:val="bottom"/>
            <w:hideMark/>
          </w:tcPr>
          <w:p w14:paraId="479E46B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988</w:t>
            </w:r>
          </w:p>
        </w:tc>
        <w:tc>
          <w:tcPr>
            <w:tcW w:w="1150" w:type="dxa"/>
            <w:tcBorders>
              <w:top w:val="nil"/>
              <w:left w:val="nil"/>
              <w:bottom w:val="single" w:sz="4" w:space="0" w:color="auto"/>
              <w:right w:val="single" w:sz="4" w:space="0" w:color="auto"/>
            </w:tcBorders>
            <w:shd w:val="clear" w:color="auto" w:fill="auto"/>
            <w:noWrap/>
            <w:vAlign w:val="bottom"/>
            <w:hideMark/>
          </w:tcPr>
          <w:p w14:paraId="1E0BBFD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1052</w:t>
            </w:r>
          </w:p>
        </w:tc>
        <w:tc>
          <w:tcPr>
            <w:tcW w:w="1140" w:type="dxa"/>
            <w:tcBorders>
              <w:top w:val="nil"/>
              <w:left w:val="nil"/>
              <w:bottom w:val="single" w:sz="4" w:space="0" w:color="auto"/>
              <w:right w:val="single" w:sz="4" w:space="0" w:color="auto"/>
            </w:tcBorders>
            <w:shd w:val="clear" w:color="auto" w:fill="auto"/>
            <w:noWrap/>
            <w:vAlign w:val="bottom"/>
            <w:hideMark/>
          </w:tcPr>
          <w:p w14:paraId="43CC2B8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w:t>
            </w:r>
          </w:p>
        </w:tc>
        <w:tc>
          <w:tcPr>
            <w:tcW w:w="1140" w:type="dxa"/>
            <w:tcBorders>
              <w:top w:val="nil"/>
              <w:left w:val="nil"/>
              <w:bottom w:val="single" w:sz="4" w:space="0" w:color="auto"/>
              <w:right w:val="single" w:sz="4" w:space="0" w:color="auto"/>
            </w:tcBorders>
            <w:shd w:val="clear" w:color="auto" w:fill="auto"/>
            <w:noWrap/>
            <w:vAlign w:val="bottom"/>
            <w:hideMark/>
          </w:tcPr>
          <w:p w14:paraId="0AAF5E6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11</w:t>
            </w:r>
          </w:p>
        </w:tc>
        <w:tc>
          <w:tcPr>
            <w:tcW w:w="1140" w:type="dxa"/>
            <w:tcBorders>
              <w:top w:val="nil"/>
              <w:left w:val="nil"/>
              <w:bottom w:val="single" w:sz="4" w:space="0" w:color="auto"/>
              <w:right w:val="single" w:sz="4" w:space="0" w:color="auto"/>
            </w:tcBorders>
            <w:shd w:val="clear" w:color="auto" w:fill="auto"/>
            <w:noWrap/>
            <w:vAlign w:val="bottom"/>
            <w:hideMark/>
          </w:tcPr>
          <w:p w14:paraId="04C6106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12</w:t>
            </w:r>
          </w:p>
        </w:tc>
        <w:tc>
          <w:tcPr>
            <w:tcW w:w="1140" w:type="dxa"/>
            <w:tcBorders>
              <w:top w:val="nil"/>
              <w:left w:val="nil"/>
              <w:bottom w:val="single" w:sz="4" w:space="0" w:color="auto"/>
              <w:right w:val="single" w:sz="4" w:space="0" w:color="auto"/>
            </w:tcBorders>
            <w:shd w:val="clear" w:color="auto" w:fill="auto"/>
            <w:noWrap/>
            <w:vAlign w:val="bottom"/>
            <w:hideMark/>
          </w:tcPr>
          <w:p w14:paraId="3D71127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14</w:t>
            </w:r>
          </w:p>
        </w:tc>
        <w:tc>
          <w:tcPr>
            <w:tcW w:w="1140" w:type="dxa"/>
            <w:tcBorders>
              <w:top w:val="nil"/>
              <w:left w:val="nil"/>
              <w:bottom w:val="single" w:sz="4" w:space="0" w:color="auto"/>
              <w:right w:val="single" w:sz="4" w:space="0" w:color="auto"/>
            </w:tcBorders>
            <w:shd w:val="clear" w:color="auto" w:fill="auto"/>
            <w:noWrap/>
            <w:vAlign w:val="bottom"/>
            <w:hideMark/>
          </w:tcPr>
          <w:p w14:paraId="35DE5C8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13</w:t>
            </w:r>
          </w:p>
        </w:tc>
      </w:tr>
      <w:tr w:rsidR="00FD4FFF" w:rsidRPr="00B35962" w14:paraId="2DC3C47E"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5FF94C4A"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Budva</w:t>
            </w:r>
          </w:p>
        </w:tc>
        <w:tc>
          <w:tcPr>
            <w:tcW w:w="1150" w:type="dxa"/>
            <w:tcBorders>
              <w:top w:val="nil"/>
              <w:left w:val="nil"/>
              <w:bottom w:val="single" w:sz="4" w:space="0" w:color="auto"/>
              <w:right w:val="single" w:sz="4" w:space="0" w:color="auto"/>
            </w:tcBorders>
            <w:shd w:val="clear" w:color="auto" w:fill="auto"/>
            <w:noWrap/>
            <w:vAlign w:val="bottom"/>
            <w:hideMark/>
          </w:tcPr>
          <w:p w14:paraId="79F098D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1041</w:t>
            </w:r>
          </w:p>
        </w:tc>
        <w:tc>
          <w:tcPr>
            <w:tcW w:w="1150" w:type="dxa"/>
            <w:tcBorders>
              <w:top w:val="nil"/>
              <w:left w:val="nil"/>
              <w:bottom w:val="single" w:sz="4" w:space="0" w:color="auto"/>
              <w:right w:val="single" w:sz="4" w:space="0" w:color="auto"/>
            </w:tcBorders>
            <w:shd w:val="clear" w:color="auto" w:fill="auto"/>
            <w:noWrap/>
            <w:vAlign w:val="bottom"/>
            <w:hideMark/>
          </w:tcPr>
          <w:p w14:paraId="1E2511E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1075</w:t>
            </w:r>
          </w:p>
        </w:tc>
        <w:tc>
          <w:tcPr>
            <w:tcW w:w="1150" w:type="dxa"/>
            <w:tcBorders>
              <w:top w:val="nil"/>
              <w:left w:val="nil"/>
              <w:bottom w:val="single" w:sz="4" w:space="0" w:color="auto"/>
              <w:right w:val="single" w:sz="4" w:space="0" w:color="auto"/>
            </w:tcBorders>
            <w:shd w:val="clear" w:color="auto" w:fill="auto"/>
            <w:noWrap/>
            <w:vAlign w:val="bottom"/>
            <w:hideMark/>
          </w:tcPr>
          <w:p w14:paraId="0F2DA16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1319</w:t>
            </w:r>
          </w:p>
        </w:tc>
        <w:tc>
          <w:tcPr>
            <w:tcW w:w="1150" w:type="dxa"/>
            <w:tcBorders>
              <w:top w:val="nil"/>
              <w:left w:val="nil"/>
              <w:bottom w:val="single" w:sz="4" w:space="0" w:color="auto"/>
              <w:right w:val="single" w:sz="4" w:space="0" w:color="auto"/>
            </w:tcBorders>
            <w:shd w:val="clear" w:color="auto" w:fill="auto"/>
            <w:noWrap/>
            <w:vAlign w:val="bottom"/>
            <w:hideMark/>
          </w:tcPr>
          <w:p w14:paraId="6496440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1312</w:t>
            </w:r>
          </w:p>
        </w:tc>
        <w:tc>
          <w:tcPr>
            <w:tcW w:w="1150" w:type="dxa"/>
            <w:tcBorders>
              <w:top w:val="nil"/>
              <w:left w:val="nil"/>
              <w:bottom w:val="single" w:sz="4" w:space="0" w:color="auto"/>
              <w:right w:val="single" w:sz="4" w:space="0" w:color="auto"/>
            </w:tcBorders>
            <w:shd w:val="clear" w:color="auto" w:fill="auto"/>
            <w:noWrap/>
            <w:vAlign w:val="bottom"/>
            <w:hideMark/>
          </w:tcPr>
          <w:p w14:paraId="73BDEA8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1348</w:t>
            </w:r>
          </w:p>
        </w:tc>
        <w:tc>
          <w:tcPr>
            <w:tcW w:w="1140" w:type="dxa"/>
            <w:tcBorders>
              <w:top w:val="nil"/>
              <w:left w:val="nil"/>
              <w:bottom w:val="single" w:sz="4" w:space="0" w:color="auto"/>
              <w:right w:val="single" w:sz="4" w:space="0" w:color="auto"/>
            </w:tcBorders>
            <w:shd w:val="clear" w:color="auto" w:fill="auto"/>
            <w:noWrap/>
            <w:vAlign w:val="bottom"/>
            <w:hideMark/>
          </w:tcPr>
          <w:p w14:paraId="57DA6F1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w:t>
            </w:r>
          </w:p>
        </w:tc>
        <w:tc>
          <w:tcPr>
            <w:tcW w:w="1140" w:type="dxa"/>
            <w:tcBorders>
              <w:top w:val="nil"/>
              <w:left w:val="nil"/>
              <w:bottom w:val="single" w:sz="4" w:space="0" w:color="auto"/>
              <w:right w:val="single" w:sz="4" w:space="0" w:color="auto"/>
            </w:tcBorders>
            <w:shd w:val="clear" w:color="auto" w:fill="auto"/>
            <w:noWrap/>
            <w:vAlign w:val="bottom"/>
            <w:hideMark/>
          </w:tcPr>
          <w:p w14:paraId="71E5AF5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w:t>
            </w:r>
          </w:p>
        </w:tc>
        <w:tc>
          <w:tcPr>
            <w:tcW w:w="1140" w:type="dxa"/>
            <w:tcBorders>
              <w:top w:val="nil"/>
              <w:left w:val="nil"/>
              <w:bottom w:val="single" w:sz="4" w:space="0" w:color="auto"/>
              <w:right w:val="single" w:sz="4" w:space="0" w:color="auto"/>
            </w:tcBorders>
            <w:shd w:val="clear" w:color="auto" w:fill="auto"/>
            <w:noWrap/>
            <w:vAlign w:val="bottom"/>
            <w:hideMark/>
          </w:tcPr>
          <w:p w14:paraId="13843D2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w:t>
            </w:r>
          </w:p>
        </w:tc>
        <w:tc>
          <w:tcPr>
            <w:tcW w:w="1140" w:type="dxa"/>
            <w:tcBorders>
              <w:top w:val="nil"/>
              <w:left w:val="nil"/>
              <w:bottom w:val="single" w:sz="4" w:space="0" w:color="auto"/>
              <w:right w:val="single" w:sz="4" w:space="0" w:color="auto"/>
            </w:tcBorders>
            <w:shd w:val="clear" w:color="auto" w:fill="auto"/>
            <w:noWrap/>
            <w:vAlign w:val="bottom"/>
            <w:hideMark/>
          </w:tcPr>
          <w:p w14:paraId="5329C82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9</w:t>
            </w:r>
          </w:p>
        </w:tc>
        <w:tc>
          <w:tcPr>
            <w:tcW w:w="1140" w:type="dxa"/>
            <w:tcBorders>
              <w:top w:val="nil"/>
              <w:left w:val="nil"/>
              <w:bottom w:val="single" w:sz="4" w:space="0" w:color="auto"/>
              <w:right w:val="single" w:sz="4" w:space="0" w:color="auto"/>
            </w:tcBorders>
            <w:shd w:val="clear" w:color="auto" w:fill="auto"/>
            <w:noWrap/>
            <w:vAlign w:val="bottom"/>
            <w:hideMark/>
          </w:tcPr>
          <w:p w14:paraId="04F107C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9</w:t>
            </w:r>
          </w:p>
        </w:tc>
      </w:tr>
      <w:tr w:rsidR="00FD4FFF" w:rsidRPr="00B35962" w14:paraId="0E58A00F"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A55EAE4"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Cetinje</w:t>
            </w:r>
          </w:p>
        </w:tc>
        <w:tc>
          <w:tcPr>
            <w:tcW w:w="1150" w:type="dxa"/>
            <w:tcBorders>
              <w:top w:val="nil"/>
              <w:left w:val="nil"/>
              <w:bottom w:val="single" w:sz="4" w:space="0" w:color="auto"/>
              <w:right w:val="single" w:sz="4" w:space="0" w:color="auto"/>
            </w:tcBorders>
            <w:shd w:val="clear" w:color="auto" w:fill="auto"/>
            <w:noWrap/>
            <w:vAlign w:val="bottom"/>
            <w:hideMark/>
          </w:tcPr>
          <w:p w14:paraId="5D2113D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542</w:t>
            </w:r>
          </w:p>
        </w:tc>
        <w:tc>
          <w:tcPr>
            <w:tcW w:w="1150" w:type="dxa"/>
            <w:tcBorders>
              <w:top w:val="nil"/>
              <w:left w:val="nil"/>
              <w:bottom w:val="single" w:sz="4" w:space="0" w:color="auto"/>
              <w:right w:val="single" w:sz="4" w:space="0" w:color="auto"/>
            </w:tcBorders>
            <w:shd w:val="clear" w:color="auto" w:fill="auto"/>
            <w:noWrap/>
            <w:vAlign w:val="bottom"/>
            <w:hideMark/>
          </w:tcPr>
          <w:p w14:paraId="5903890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565</w:t>
            </w:r>
          </w:p>
        </w:tc>
        <w:tc>
          <w:tcPr>
            <w:tcW w:w="1150" w:type="dxa"/>
            <w:tcBorders>
              <w:top w:val="nil"/>
              <w:left w:val="nil"/>
              <w:bottom w:val="single" w:sz="4" w:space="0" w:color="auto"/>
              <w:right w:val="single" w:sz="4" w:space="0" w:color="auto"/>
            </w:tcBorders>
            <w:shd w:val="clear" w:color="auto" w:fill="auto"/>
            <w:noWrap/>
            <w:vAlign w:val="bottom"/>
            <w:hideMark/>
          </w:tcPr>
          <w:p w14:paraId="77ACD4E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574</w:t>
            </w:r>
          </w:p>
        </w:tc>
        <w:tc>
          <w:tcPr>
            <w:tcW w:w="1150" w:type="dxa"/>
            <w:tcBorders>
              <w:top w:val="nil"/>
              <w:left w:val="nil"/>
              <w:bottom w:val="single" w:sz="4" w:space="0" w:color="auto"/>
              <w:right w:val="single" w:sz="4" w:space="0" w:color="auto"/>
            </w:tcBorders>
            <w:shd w:val="clear" w:color="auto" w:fill="auto"/>
            <w:noWrap/>
            <w:vAlign w:val="bottom"/>
            <w:hideMark/>
          </w:tcPr>
          <w:p w14:paraId="3C7018A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612</w:t>
            </w:r>
          </w:p>
        </w:tc>
        <w:tc>
          <w:tcPr>
            <w:tcW w:w="1150" w:type="dxa"/>
            <w:tcBorders>
              <w:top w:val="nil"/>
              <w:left w:val="nil"/>
              <w:bottom w:val="single" w:sz="4" w:space="0" w:color="auto"/>
              <w:right w:val="single" w:sz="4" w:space="0" w:color="auto"/>
            </w:tcBorders>
            <w:shd w:val="clear" w:color="auto" w:fill="auto"/>
            <w:noWrap/>
            <w:vAlign w:val="bottom"/>
            <w:hideMark/>
          </w:tcPr>
          <w:p w14:paraId="336D9E3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614</w:t>
            </w:r>
          </w:p>
        </w:tc>
        <w:tc>
          <w:tcPr>
            <w:tcW w:w="1140" w:type="dxa"/>
            <w:tcBorders>
              <w:top w:val="nil"/>
              <w:left w:val="nil"/>
              <w:bottom w:val="single" w:sz="4" w:space="0" w:color="auto"/>
              <w:right w:val="single" w:sz="4" w:space="0" w:color="auto"/>
            </w:tcBorders>
            <w:shd w:val="clear" w:color="auto" w:fill="auto"/>
            <w:noWrap/>
            <w:vAlign w:val="bottom"/>
            <w:hideMark/>
          </w:tcPr>
          <w:p w14:paraId="0F5CB4D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w:t>
            </w:r>
          </w:p>
        </w:tc>
        <w:tc>
          <w:tcPr>
            <w:tcW w:w="1140" w:type="dxa"/>
            <w:tcBorders>
              <w:top w:val="nil"/>
              <w:left w:val="nil"/>
              <w:bottom w:val="single" w:sz="4" w:space="0" w:color="auto"/>
              <w:right w:val="single" w:sz="4" w:space="0" w:color="auto"/>
            </w:tcBorders>
            <w:shd w:val="clear" w:color="auto" w:fill="auto"/>
            <w:noWrap/>
            <w:vAlign w:val="bottom"/>
            <w:hideMark/>
          </w:tcPr>
          <w:p w14:paraId="7292BA2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w:t>
            </w:r>
          </w:p>
        </w:tc>
        <w:tc>
          <w:tcPr>
            <w:tcW w:w="1140" w:type="dxa"/>
            <w:tcBorders>
              <w:top w:val="nil"/>
              <w:left w:val="nil"/>
              <w:bottom w:val="single" w:sz="4" w:space="0" w:color="auto"/>
              <w:right w:val="single" w:sz="4" w:space="0" w:color="auto"/>
            </w:tcBorders>
            <w:shd w:val="clear" w:color="auto" w:fill="auto"/>
            <w:noWrap/>
            <w:vAlign w:val="bottom"/>
            <w:hideMark/>
          </w:tcPr>
          <w:p w14:paraId="01FB60E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w:t>
            </w:r>
          </w:p>
        </w:tc>
        <w:tc>
          <w:tcPr>
            <w:tcW w:w="1140" w:type="dxa"/>
            <w:tcBorders>
              <w:top w:val="nil"/>
              <w:left w:val="nil"/>
              <w:bottom w:val="single" w:sz="4" w:space="0" w:color="auto"/>
              <w:right w:val="single" w:sz="4" w:space="0" w:color="auto"/>
            </w:tcBorders>
            <w:shd w:val="clear" w:color="auto" w:fill="auto"/>
            <w:noWrap/>
            <w:vAlign w:val="bottom"/>
            <w:hideMark/>
          </w:tcPr>
          <w:p w14:paraId="23C13A6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w:t>
            </w:r>
          </w:p>
        </w:tc>
        <w:tc>
          <w:tcPr>
            <w:tcW w:w="1140" w:type="dxa"/>
            <w:tcBorders>
              <w:top w:val="nil"/>
              <w:left w:val="nil"/>
              <w:bottom w:val="single" w:sz="4" w:space="0" w:color="auto"/>
              <w:right w:val="single" w:sz="4" w:space="0" w:color="auto"/>
            </w:tcBorders>
            <w:shd w:val="clear" w:color="auto" w:fill="auto"/>
            <w:noWrap/>
            <w:vAlign w:val="bottom"/>
            <w:hideMark/>
          </w:tcPr>
          <w:p w14:paraId="46E9B1D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w:t>
            </w:r>
          </w:p>
        </w:tc>
      </w:tr>
      <w:tr w:rsidR="00FD4FFF" w:rsidRPr="00B35962" w14:paraId="77FCF459"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9012B33"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Danilovgrad</w:t>
            </w:r>
          </w:p>
        </w:tc>
        <w:tc>
          <w:tcPr>
            <w:tcW w:w="1150" w:type="dxa"/>
            <w:tcBorders>
              <w:top w:val="nil"/>
              <w:left w:val="nil"/>
              <w:bottom w:val="single" w:sz="4" w:space="0" w:color="auto"/>
              <w:right w:val="single" w:sz="4" w:space="0" w:color="auto"/>
            </w:tcBorders>
            <w:shd w:val="clear" w:color="auto" w:fill="auto"/>
            <w:noWrap/>
            <w:vAlign w:val="bottom"/>
            <w:hideMark/>
          </w:tcPr>
          <w:p w14:paraId="3CE335D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394</w:t>
            </w:r>
          </w:p>
        </w:tc>
        <w:tc>
          <w:tcPr>
            <w:tcW w:w="1150" w:type="dxa"/>
            <w:tcBorders>
              <w:top w:val="nil"/>
              <w:left w:val="nil"/>
              <w:bottom w:val="single" w:sz="4" w:space="0" w:color="auto"/>
              <w:right w:val="single" w:sz="4" w:space="0" w:color="auto"/>
            </w:tcBorders>
            <w:shd w:val="clear" w:color="auto" w:fill="auto"/>
            <w:noWrap/>
            <w:vAlign w:val="bottom"/>
            <w:hideMark/>
          </w:tcPr>
          <w:p w14:paraId="739666A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466</w:t>
            </w:r>
          </w:p>
        </w:tc>
        <w:tc>
          <w:tcPr>
            <w:tcW w:w="1150" w:type="dxa"/>
            <w:tcBorders>
              <w:top w:val="nil"/>
              <w:left w:val="nil"/>
              <w:bottom w:val="single" w:sz="4" w:space="0" w:color="auto"/>
              <w:right w:val="single" w:sz="4" w:space="0" w:color="auto"/>
            </w:tcBorders>
            <w:shd w:val="clear" w:color="auto" w:fill="auto"/>
            <w:noWrap/>
            <w:vAlign w:val="bottom"/>
            <w:hideMark/>
          </w:tcPr>
          <w:p w14:paraId="6BEE03A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542</w:t>
            </w:r>
          </w:p>
        </w:tc>
        <w:tc>
          <w:tcPr>
            <w:tcW w:w="1150" w:type="dxa"/>
            <w:tcBorders>
              <w:top w:val="nil"/>
              <w:left w:val="nil"/>
              <w:bottom w:val="single" w:sz="4" w:space="0" w:color="auto"/>
              <w:right w:val="single" w:sz="4" w:space="0" w:color="auto"/>
            </w:tcBorders>
            <w:shd w:val="clear" w:color="auto" w:fill="auto"/>
            <w:noWrap/>
            <w:vAlign w:val="bottom"/>
            <w:hideMark/>
          </w:tcPr>
          <w:p w14:paraId="250F84A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551</w:t>
            </w:r>
          </w:p>
        </w:tc>
        <w:tc>
          <w:tcPr>
            <w:tcW w:w="1150" w:type="dxa"/>
            <w:tcBorders>
              <w:top w:val="nil"/>
              <w:left w:val="nil"/>
              <w:bottom w:val="single" w:sz="4" w:space="0" w:color="auto"/>
              <w:right w:val="single" w:sz="4" w:space="0" w:color="auto"/>
            </w:tcBorders>
            <w:shd w:val="clear" w:color="auto" w:fill="auto"/>
            <w:noWrap/>
            <w:vAlign w:val="bottom"/>
            <w:hideMark/>
          </w:tcPr>
          <w:p w14:paraId="5F61945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563</w:t>
            </w:r>
          </w:p>
        </w:tc>
        <w:tc>
          <w:tcPr>
            <w:tcW w:w="1140" w:type="dxa"/>
            <w:tcBorders>
              <w:top w:val="nil"/>
              <w:left w:val="nil"/>
              <w:bottom w:val="single" w:sz="4" w:space="0" w:color="auto"/>
              <w:right w:val="single" w:sz="4" w:space="0" w:color="auto"/>
            </w:tcBorders>
            <w:shd w:val="clear" w:color="auto" w:fill="auto"/>
            <w:noWrap/>
            <w:vAlign w:val="bottom"/>
            <w:hideMark/>
          </w:tcPr>
          <w:p w14:paraId="3D8405D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0CE0490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135EF93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3D8BCB7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370939D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r>
      <w:tr w:rsidR="00FD4FFF" w:rsidRPr="00B35962" w14:paraId="7CCD92E6"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3E36F537"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Herceg Novi</w:t>
            </w:r>
          </w:p>
        </w:tc>
        <w:tc>
          <w:tcPr>
            <w:tcW w:w="1150" w:type="dxa"/>
            <w:tcBorders>
              <w:top w:val="nil"/>
              <w:left w:val="nil"/>
              <w:bottom w:val="single" w:sz="4" w:space="0" w:color="auto"/>
              <w:right w:val="single" w:sz="4" w:space="0" w:color="auto"/>
            </w:tcBorders>
            <w:shd w:val="clear" w:color="auto" w:fill="auto"/>
            <w:noWrap/>
            <w:vAlign w:val="bottom"/>
            <w:hideMark/>
          </w:tcPr>
          <w:p w14:paraId="5D6A149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1035</w:t>
            </w:r>
          </w:p>
        </w:tc>
        <w:tc>
          <w:tcPr>
            <w:tcW w:w="1150" w:type="dxa"/>
            <w:tcBorders>
              <w:top w:val="nil"/>
              <w:left w:val="nil"/>
              <w:bottom w:val="single" w:sz="4" w:space="0" w:color="auto"/>
              <w:right w:val="single" w:sz="4" w:space="0" w:color="auto"/>
            </w:tcBorders>
            <w:shd w:val="clear" w:color="auto" w:fill="auto"/>
            <w:noWrap/>
            <w:vAlign w:val="bottom"/>
            <w:hideMark/>
          </w:tcPr>
          <w:p w14:paraId="49A6093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1002</w:t>
            </w:r>
          </w:p>
        </w:tc>
        <w:tc>
          <w:tcPr>
            <w:tcW w:w="1150" w:type="dxa"/>
            <w:tcBorders>
              <w:top w:val="nil"/>
              <w:left w:val="nil"/>
              <w:bottom w:val="single" w:sz="4" w:space="0" w:color="auto"/>
              <w:right w:val="single" w:sz="4" w:space="0" w:color="auto"/>
            </w:tcBorders>
            <w:shd w:val="clear" w:color="auto" w:fill="auto"/>
            <w:noWrap/>
            <w:vAlign w:val="bottom"/>
            <w:hideMark/>
          </w:tcPr>
          <w:p w14:paraId="01BBE9E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1092</w:t>
            </w:r>
          </w:p>
        </w:tc>
        <w:tc>
          <w:tcPr>
            <w:tcW w:w="1150" w:type="dxa"/>
            <w:tcBorders>
              <w:top w:val="nil"/>
              <w:left w:val="nil"/>
              <w:bottom w:val="single" w:sz="4" w:space="0" w:color="auto"/>
              <w:right w:val="single" w:sz="4" w:space="0" w:color="auto"/>
            </w:tcBorders>
            <w:shd w:val="clear" w:color="auto" w:fill="auto"/>
            <w:noWrap/>
            <w:vAlign w:val="bottom"/>
            <w:hideMark/>
          </w:tcPr>
          <w:p w14:paraId="21083C5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1090</w:t>
            </w:r>
          </w:p>
        </w:tc>
        <w:tc>
          <w:tcPr>
            <w:tcW w:w="1150" w:type="dxa"/>
            <w:tcBorders>
              <w:top w:val="nil"/>
              <w:left w:val="nil"/>
              <w:bottom w:val="single" w:sz="4" w:space="0" w:color="auto"/>
              <w:right w:val="single" w:sz="4" w:space="0" w:color="auto"/>
            </w:tcBorders>
            <w:shd w:val="clear" w:color="auto" w:fill="auto"/>
            <w:noWrap/>
            <w:vAlign w:val="bottom"/>
            <w:hideMark/>
          </w:tcPr>
          <w:p w14:paraId="53FFF37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1126</w:t>
            </w:r>
          </w:p>
        </w:tc>
        <w:tc>
          <w:tcPr>
            <w:tcW w:w="1140" w:type="dxa"/>
            <w:tcBorders>
              <w:top w:val="nil"/>
              <w:left w:val="nil"/>
              <w:bottom w:val="single" w:sz="4" w:space="0" w:color="auto"/>
              <w:right w:val="single" w:sz="4" w:space="0" w:color="auto"/>
            </w:tcBorders>
            <w:shd w:val="clear" w:color="auto" w:fill="auto"/>
            <w:noWrap/>
            <w:vAlign w:val="bottom"/>
            <w:hideMark/>
          </w:tcPr>
          <w:p w14:paraId="1D2C9BA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535C846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1F502D6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61E97A1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w:t>
            </w:r>
          </w:p>
        </w:tc>
        <w:tc>
          <w:tcPr>
            <w:tcW w:w="1140" w:type="dxa"/>
            <w:tcBorders>
              <w:top w:val="nil"/>
              <w:left w:val="nil"/>
              <w:bottom w:val="single" w:sz="4" w:space="0" w:color="auto"/>
              <w:right w:val="single" w:sz="4" w:space="0" w:color="auto"/>
            </w:tcBorders>
            <w:shd w:val="clear" w:color="auto" w:fill="auto"/>
            <w:noWrap/>
            <w:vAlign w:val="bottom"/>
            <w:hideMark/>
          </w:tcPr>
          <w:p w14:paraId="54FCAED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w:t>
            </w:r>
          </w:p>
        </w:tc>
      </w:tr>
      <w:tr w:rsidR="00FD4FFF" w:rsidRPr="00B35962" w14:paraId="525E3F2D"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589855A"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Kolašin</w:t>
            </w:r>
          </w:p>
        </w:tc>
        <w:tc>
          <w:tcPr>
            <w:tcW w:w="1150" w:type="dxa"/>
            <w:tcBorders>
              <w:top w:val="nil"/>
              <w:left w:val="nil"/>
              <w:bottom w:val="single" w:sz="4" w:space="0" w:color="auto"/>
              <w:right w:val="single" w:sz="4" w:space="0" w:color="auto"/>
            </w:tcBorders>
            <w:shd w:val="clear" w:color="auto" w:fill="auto"/>
            <w:noWrap/>
            <w:vAlign w:val="bottom"/>
            <w:hideMark/>
          </w:tcPr>
          <w:p w14:paraId="37CDBB0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147</w:t>
            </w:r>
          </w:p>
        </w:tc>
        <w:tc>
          <w:tcPr>
            <w:tcW w:w="1150" w:type="dxa"/>
            <w:tcBorders>
              <w:top w:val="nil"/>
              <w:left w:val="nil"/>
              <w:bottom w:val="single" w:sz="4" w:space="0" w:color="auto"/>
              <w:right w:val="single" w:sz="4" w:space="0" w:color="auto"/>
            </w:tcBorders>
            <w:shd w:val="clear" w:color="auto" w:fill="auto"/>
            <w:noWrap/>
            <w:vAlign w:val="bottom"/>
            <w:hideMark/>
          </w:tcPr>
          <w:p w14:paraId="6A8C62E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178</w:t>
            </w:r>
          </w:p>
        </w:tc>
        <w:tc>
          <w:tcPr>
            <w:tcW w:w="1150" w:type="dxa"/>
            <w:tcBorders>
              <w:top w:val="nil"/>
              <w:left w:val="nil"/>
              <w:bottom w:val="single" w:sz="4" w:space="0" w:color="auto"/>
              <w:right w:val="single" w:sz="4" w:space="0" w:color="auto"/>
            </w:tcBorders>
            <w:shd w:val="clear" w:color="auto" w:fill="auto"/>
            <w:noWrap/>
            <w:vAlign w:val="bottom"/>
            <w:hideMark/>
          </w:tcPr>
          <w:p w14:paraId="26BAA7E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217</w:t>
            </w:r>
          </w:p>
        </w:tc>
        <w:tc>
          <w:tcPr>
            <w:tcW w:w="1150" w:type="dxa"/>
            <w:tcBorders>
              <w:top w:val="nil"/>
              <w:left w:val="nil"/>
              <w:bottom w:val="single" w:sz="4" w:space="0" w:color="auto"/>
              <w:right w:val="single" w:sz="4" w:space="0" w:color="auto"/>
            </w:tcBorders>
            <w:shd w:val="clear" w:color="auto" w:fill="auto"/>
            <w:noWrap/>
            <w:vAlign w:val="bottom"/>
            <w:hideMark/>
          </w:tcPr>
          <w:p w14:paraId="61C767E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225</w:t>
            </w:r>
          </w:p>
        </w:tc>
        <w:tc>
          <w:tcPr>
            <w:tcW w:w="1150" w:type="dxa"/>
            <w:tcBorders>
              <w:top w:val="nil"/>
              <w:left w:val="nil"/>
              <w:bottom w:val="single" w:sz="4" w:space="0" w:color="auto"/>
              <w:right w:val="single" w:sz="4" w:space="0" w:color="auto"/>
            </w:tcBorders>
            <w:shd w:val="clear" w:color="auto" w:fill="auto"/>
            <w:noWrap/>
            <w:vAlign w:val="bottom"/>
            <w:hideMark/>
          </w:tcPr>
          <w:p w14:paraId="39E940B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240</w:t>
            </w:r>
          </w:p>
        </w:tc>
        <w:tc>
          <w:tcPr>
            <w:tcW w:w="1140" w:type="dxa"/>
            <w:tcBorders>
              <w:top w:val="nil"/>
              <w:left w:val="nil"/>
              <w:bottom w:val="single" w:sz="4" w:space="0" w:color="auto"/>
              <w:right w:val="single" w:sz="4" w:space="0" w:color="auto"/>
            </w:tcBorders>
            <w:shd w:val="clear" w:color="auto" w:fill="auto"/>
            <w:noWrap/>
            <w:vAlign w:val="bottom"/>
            <w:hideMark/>
          </w:tcPr>
          <w:p w14:paraId="446375E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36AE1FB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510292C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6AC6C9F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673E0BF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r>
      <w:tr w:rsidR="00FD4FFF" w:rsidRPr="00B35962" w14:paraId="29E8AC0E"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4AA7486"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Kotor</w:t>
            </w:r>
          </w:p>
        </w:tc>
        <w:tc>
          <w:tcPr>
            <w:tcW w:w="1150" w:type="dxa"/>
            <w:tcBorders>
              <w:top w:val="nil"/>
              <w:left w:val="nil"/>
              <w:bottom w:val="single" w:sz="4" w:space="0" w:color="auto"/>
              <w:right w:val="single" w:sz="4" w:space="0" w:color="auto"/>
            </w:tcBorders>
            <w:shd w:val="clear" w:color="auto" w:fill="auto"/>
            <w:noWrap/>
            <w:vAlign w:val="bottom"/>
            <w:hideMark/>
          </w:tcPr>
          <w:p w14:paraId="1A44DD9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850</w:t>
            </w:r>
          </w:p>
        </w:tc>
        <w:tc>
          <w:tcPr>
            <w:tcW w:w="1150" w:type="dxa"/>
            <w:tcBorders>
              <w:top w:val="nil"/>
              <w:left w:val="nil"/>
              <w:bottom w:val="single" w:sz="4" w:space="0" w:color="auto"/>
              <w:right w:val="single" w:sz="4" w:space="0" w:color="auto"/>
            </w:tcBorders>
            <w:shd w:val="clear" w:color="auto" w:fill="auto"/>
            <w:noWrap/>
            <w:vAlign w:val="bottom"/>
            <w:hideMark/>
          </w:tcPr>
          <w:p w14:paraId="5EF6E54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870</w:t>
            </w:r>
          </w:p>
        </w:tc>
        <w:tc>
          <w:tcPr>
            <w:tcW w:w="1150" w:type="dxa"/>
            <w:tcBorders>
              <w:top w:val="nil"/>
              <w:left w:val="nil"/>
              <w:bottom w:val="single" w:sz="4" w:space="0" w:color="auto"/>
              <w:right w:val="single" w:sz="4" w:space="0" w:color="auto"/>
            </w:tcBorders>
            <w:shd w:val="clear" w:color="auto" w:fill="auto"/>
            <w:noWrap/>
            <w:vAlign w:val="bottom"/>
            <w:hideMark/>
          </w:tcPr>
          <w:p w14:paraId="40C7417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850</w:t>
            </w:r>
          </w:p>
        </w:tc>
        <w:tc>
          <w:tcPr>
            <w:tcW w:w="1150" w:type="dxa"/>
            <w:tcBorders>
              <w:top w:val="nil"/>
              <w:left w:val="nil"/>
              <w:bottom w:val="single" w:sz="4" w:space="0" w:color="auto"/>
              <w:right w:val="single" w:sz="4" w:space="0" w:color="auto"/>
            </w:tcBorders>
            <w:shd w:val="clear" w:color="auto" w:fill="auto"/>
            <w:noWrap/>
            <w:vAlign w:val="bottom"/>
            <w:hideMark/>
          </w:tcPr>
          <w:p w14:paraId="3728510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850</w:t>
            </w:r>
          </w:p>
        </w:tc>
        <w:tc>
          <w:tcPr>
            <w:tcW w:w="1150" w:type="dxa"/>
            <w:tcBorders>
              <w:top w:val="nil"/>
              <w:left w:val="nil"/>
              <w:bottom w:val="single" w:sz="4" w:space="0" w:color="auto"/>
              <w:right w:val="single" w:sz="4" w:space="0" w:color="auto"/>
            </w:tcBorders>
            <w:shd w:val="clear" w:color="auto" w:fill="auto"/>
            <w:noWrap/>
            <w:vAlign w:val="bottom"/>
            <w:hideMark/>
          </w:tcPr>
          <w:p w14:paraId="20B9FDC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958</w:t>
            </w:r>
          </w:p>
        </w:tc>
        <w:tc>
          <w:tcPr>
            <w:tcW w:w="1140" w:type="dxa"/>
            <w:tcBorders>
              <w:top w:val="nil"/>
              <w:left w:val="nil"/>
              <w:bottom w:val="single" w:sz="4" w:space="0" w:color="auto"/>
              <w:right w:val="single" w:sz="4" w:space="0" w:color="auto"/>
            </w:tcBorders>
            <w:shd w:val="clear" w:color="auto" w:fill="auto"/>
            <w:noWrap/>
            <w:vAlign w:val="bottom"/>
            <w:hideMark/>
          </w:tcPr>
          <w:p w14:paraId="1A49423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w:t>
            </w:r>
          </w:p>
        </w:tc>
        <w:tc>
          <w:tcPr>
            <w:tcW w:w="1140" w:type="dxa"/>
            <w:tcBorders>
              <w:top w:val="nil"/>
              <w:left w:val="nil"/>
              <w:bottom w:val="single" w:sz="4" w:space="0" w:color="auto"/>
              <w:right w:val="single" w:sz="4" w:space="0" w:color="auto"/>
            </w:tcBorders>
            <w:shd w:val="clear" w:color="auto" w:fill="auto"/>
            <w:noWrap/>
            <w:vAlign w:val="bottom"/>
            <w:hideMark/>
          </w:tcPr>
          <w:p w14:paraId="077CFA3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w:t>
            </w:r>
          </w:p>
        </w:tc>
        <w:tc>
          <w:tcPr>
            <w:tcW w:w="1140" w:type="dxa"/>
            <w:tcBorders>
              <w:top w:val="nil"/>
              <w:left w:val="nil"/>
              <w:bottom w:val="single" w:sz="4" w:space="0" w:color="auto"/>
              <w:right w:val="single" w:sz="4" w:space="0" w:color="auto"/>
            </w:tcBorders>
            <w:shd w:val="clear" w:color="auto" w:fill="auto"/>
            <w:noWrap/>
            <w:vAlign w:val="bottom"/>
            <w:hideMark/>
          </w:tcPr>
          <w:p w14:paraId="6096D99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w:t>
            </w:r>
          </w:p>
        </w:tc>
        <w:tc>
          <w:tcPr>
            <w:tcW w:w="1140" w:type="dxa"/>
            <w:tcBorders>
              <w:top w:val="nil"/>
              <w:left w:val="nil"/>
              <w:bottom w:val="single" w:sz="4" w:space="0" w:color="auto"/>
              <w:right w:val="single" w:sz="4" w:space="0" w:color="auto"/>
            </w:tcBorders>
            <w:shd w:val="clear" w:color="auto" w:fill="auto"/>
            <w:noWrap/>
            <w:vAlign w:val="bottom"/>
            <w:hideMark/>
          </w:tcPr>
          <w:p w14:paraId="1626E4C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w:t>
            </w:r>
          </w:p>
        </w:tc>
        <w:tc>
          <w:tcPr>
            <w:tcW w:w="1140" w:type="dxa"/>
            <w:tcBorders>
              <w:top w:val="nil"/>
              <w:left w:val="nil"/>
              <w:bottom w:val="single" w:sz="4" w:space="0" w:color="auto"/>
              <w:right w:val="single" w:sz="4" w:space="0" w:color="auto"/>
            </w:tcBorders>
            <w:shd w:val="clear" w:color="auto" w:fill="auto"/>
            <w:noWrap/>
            <w:vAlign w:val="bottom"/>
            <w:hideMark/>
          </w:tcPr>
          <w:p w14:paraId="6D246FF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w:t>
            </w:r>
          </w:p>
        </w:tc>
      </w:tr>
      <w:tr w:rsidR="00FD4FFF" w:rsidRPr="00B35962" w14:paraId="6BA239C3"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5E1D4DA8"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Mojkovac</w:t>
            </w:r>
          </w:p>
        </w:tc>
        <w:tc>
          <w:tcPr>
            <w:tcW w:w="1150" w:type="dxa"/>
            <w:tcBorders>
              <w:top w:val="nil"/>
              <w:left w:val="nil"/>
              <w:bottom w:val="single" w:sz="4" w:space="0" w:color="auto"/>
              <w:right w:val="single" w:sz="4" w:space="0" w:color="auto"/>
            </w:tcBorders>
            <w:shd w:val="clear" w:color="auto" w:fill="auto"/>
            <w:noWrap/>
            <w:vAlign w:val="bottom"/>
            <w:hideMark/>
          </w:tcPr>
          <w:p w14:paraId="2539053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132</w:t>
            </w:r>
          </w:p>
        </w:tc>
        <w:tc>
          <w:tcPr>
            <w:tcW w:w="1150" w:type="dxa"/>
            <w:tcBorders>
              <w:top w:val="nil"/>
              <w:left w:val="nil"/>
              <w:bottom w:val="single" w:sz="4" w:space="0" w:color="auto"/>
              <w:right w:val="single" w:sz="4" w:space="0" w:color="auto"/>
            </w:tcBorders>
            <w:shd w:val="clear" w:color="auto" w:fill="auto"/>
            <w:noWrap/>
            <w:vAlign w:val="bottom"/>
            <w:hideMark/>
          </w:tcPr>
          <w:p w14:paraId="1788F68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146</w:t>
            </w:r>
          </w:p>
        </w:tc>
        <w:tc>
          <w:tcPr>
            <w:tcW w:w="1150" w:type="dxa"/>
            <w:tcBorders>
              <w:top w:val="nil"/>
              <w:left w:val="nil"/>
              <w:bottom w:val="single" w:sz="4" w:space="0" w:color="auto"/>
              <w:right w:val="single" w:sz="4" w:space="0" w:color="auto"/>
            </w:tcBorders>
            <w:shd w:val="clear" w:color="auto" w:fill="auto"/>
            <w:noWrap/>
            <w:vAlign w:val="bottom"/>
            <w:hideMark/>
          </w:tcPr>
          <w:p w14:paraId="7C65743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165</w:t>
            </w:r>
          </w:p>
        </w:tc>
        <w:tc>
          <w:tcPr>
            <w:tcW w:w="1150" w:type="dxa"/>
            <w:tcBorders>
              <w:top w:val="nil"/>
              <w:left w:val="nil"/>
              <w:bottom w:val="single" w:sz="4" w:space="0" w:color="auto"/>
              <w:right w:val="single" w:sz="4" w:space="0" w:color="auto"/>
            </w:tcBorders>
            <w:shd w:val="clear" w:color="auto" w:fill="auto"/>
            <w:noWrap/>
            <w:vAlign w:val="bottom"/>
            <w:hideMark/>
          </w:tcPr>
          <w:p w14:paraId="5B27B15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163</w:t>
            </w:r>
          </w:p>
        </w:tc>
        <w:tc>
          <w:tcPr>
            <w:tcW w:w="1150" w:type="dxa"/>
            <w:tcBorders>
              <w:top w:val="nil"/>
              <w:left w:val="nil"/>
              <w:bottom w:val="single" w:sz="4" w:space="0" w:color="auto"/>
              <w:right w:val="single" w:sz="4" w:space="0" w:color="auto"/>
            </w:tcBorders>
            <w:shd w:val="clear" w:color="auto" w:fill="auto"/>
            <w:noWrap/>
            <w:vAlign w:val="bottom"/>
            <w:hideMark/>
          </w:tcPr>
          <w:p w14:paraId="1CCBA80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180</w:t>
            </w:r>
          </w:p>
        </w:tc>
        <w:tc>
          <w:tcPr>
            <w:tcW w:w="1140" w:type="dxa"/>
            <w:tcBorders>
              <w:top w:val="nil"/>
              <w:left w:val="nil"/>
              <w:bottom w:val="single" w:sz="4" w:space="0" w:color="auto"/>
              <w:right w:val="single" w:sz="4" w:space="0" w:color="auto"/>
            </w:tcBorders>
            <w:shd w:val="clear" w:color="auto" w:fill="auto"/>
            <w:noWrap/>
            <w:vAlign w:val="bottom"/>
            <w:hideMark/>
          </w:tcPr>
          <w:p w14:paraId="4BFA08A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522BE9E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79B8417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2CB36AB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7A10A54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r>
      <w:tr w:rsidR="00FD4FFF" w:rsidRPr="00B35962" w14:paraId="2A62288F"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98ED012"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Nikšić</w:t>
            </w:r>
          </w:p>
        </w:tc>
        <w:tc>
          <w:tcPr>
            <w:tcW w:w="1150" w:type="dxa"/>
            <w:tcBorders>
              <w:top w:val="nil"/>
              <w:left w:val="nil"/>
              <w:bottom w:val="single" w:sz="4" w:space="0" w:color="auto"/>
              <w:right w:val="single" w:sz="4" w:space="0" w:color="auto"/>
            </w:tcBorders>
            <w:shd w:val="clear" w:color="auto" w:fill="auto"/>
            <w:noWrap/>
            <w:vAlign w:val="bottom"/>
            <w:hideMark/>
          </w:tcPr>
          <w:p w14:paraId="06D1217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1838</w:t>
            </w:r>
          </w:p>
        </w:tc>
        <w:tc>
          <w:tcPr>
            <w:tcW w:w="1150" w:type="dxa"/>
            <w:tcBorders>
              <w:top w:val="nil"/>
              <w:left w:val="nil"/>
              <w:bottom w:val="single" w:sz="4" w:space="0" w:color="auto"/>
              <w:right w:val="single" w:sz="4" w:space="0" w:color="auto"/>
            </w:tcBorders>
            <w:shd w:val="clear" w:color="auto" w:fill="auto"/>
            <w:noWrap/>
            <w:vAlign w:val="bottom"/>
            <w:hideMark/>
          </w:tcPr>
          <w:p w14:paraId="1FFDFE1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1990</w:t>
            </w:r>
          </w:p>
        </w:tc>
        <w:tc>
          <w:tcPr>
            <w:tcW w:w="1150" w:type="dxa"/>
            <w:tcBorders>
              <w:top w:val="nil"/>
              <w:left w:val="nil"/>
              <w:bottom w:val="single" w:sz="4" w:space="0" w:color="auto"/>
              <w:right w:val="single" w:sz="4" w:space="0" w:color="auto"/>
            </w:tcBorders>
            <w:shd w:val="clear" w:color="auto" w:fill="auto"/>
            <w:noWrap/>
            <w:vAlign w:val="bottom"/>
            <w:hideMark/>
          </w:tcPr>
          <w:p w14:paraId="6E0A929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2136</w:t>
            </w:r>
          </w:p>
        </w:tc>
        <w:tc>
          <w:tcPr>
            <w:tcW w:w="1150" w:type="dxa"/>
            <w:tcBorders>
              <w:top w:val="nil"/>
              <w:left w:val="nil"/>
              <w:bottom w:val="single" w:sz="4" w:space="0" w:color="auto"/>
              <w:right w:val="single" w:sz="4" w:space="0" w:color="auto"/>
            </w:tcBorders>
            <w:shd w:val="clear" w:color="auto" w:fill="auto"/>
            <w:noWrap/>
            <w:vAlign w:val="bottom"/>
            <w:hideMark/>
          </w:tcPr>
          <w:p w14:paraId="26A6DF4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2211</w:t>
            </w:r>
          </w:p>
        </w:tc>
        <w:tc>
          <w:tcPr>
            <w:tcW w:w="1150" w:type="dxa"/>
            <w:tcBorders>
              <w:top w:val="nil"/>
              <w:left w:val="nil"/>
              <w:bottom w:val="single" w:sz="4" w:space="0" w:color="auto"/>
              <w:right w:val="single" w:sz="4" w:space="0" w:color="auto"/>
            </w:tcBorders>
            <w:shd w:val="clear" w:color="auto" w:fill="auto"/>
            <w:noWrap/>
            <w:vAlign w:val="bottom"/>
            <w:hideMark/>
          </w:tcPr>
          <w:p w14:paraId="6AD0B5F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2320</w:t>
            </w:r>
          </w:p>
        </w:tc>
        <w:tc>
          <w:tcPr>
            <w:tcW w:w="1140" w:type="dxa"/>
            <w:tcBorders>
              <w:top w:val="nil"/>
              <w:left w:val="nil"/>
              <w:bottom w:val="single" w:sz="4" w:space="0" w:color="auto"/>
              <w:right w:val="single" w:sz="4" w:space="0" w:color="auto"/>
            </w:tcBorders>
            <w:shd w:val="clear" w:color="auto" w:fill="auto"/>
            <w:noWrap/>
            <w:vAlign w:val="bottom"/>
            <w:hideMark/>
          </w:tcPr>
          <w:p w14:paraId="63E23C7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23</w:t>
            </w:r>
          </w:p>
        </w:tc>
        <w:tc>
          <w:tcPr>
            <w:tcW w:w="1140" w:type="dxa"/>
            <w:tcBorders>
              <w:top w:val="nil"/>
              <w:left w:val="nil"/>
              <w:bottom w:val="single" w:sz="4" w:space="0" w:color="auto"/>
              <w:right w:val="single" w:sz="4" w:space="0" w:color="auto"/>
            </w:tcBorders>
            <w:shd w:val="clear" w:color="auto" w:fill="auto"/>
            <w:noWrap/>
            <w:vAlign w:val="bottom"/>
            <w:hideMark/>
          </w:tcPr>
          <w:p w14:paraId="7935A85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26</w:t>
            </w:r>
          </w:p>
        </w:tc>
        <w:tc>
          <w:tcPr>
            <w:tcW w:w="1140" w:type="dxa"/>
            <w:tcBorders>
              <w:top w:val="nil"/>
              <w:left w:val="nil"/>
              <w:bottom w:val="single" w:sz="4" w:space="0" w:color="auto"/>
              <w:right w:val="single" w:sz="4" w:space="0" w:color="auto"/>
            </w:tcBorders>
            <w:shd w:val="clear" w:color="auto" w:fill="auto"/>
            <w:noWrap/>
            <w:vAlign w:val="bottom"/>
            <w:hideMark/>
          </w:tcPr>
          <w:p w14:paraId="1A891EE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26</w:t>
            </w:r>
          </w:p>
        </w:tc>
        <w:tc>
          <w:tcPr>
            <w:tcW w:w="1140" w:type="dxa"/>
            <w:tcBorders>
              <w:top w:val="nil"/>
              <w:left w:val="nil"/>
              <w:bottom w:val="single" w:sz="4" w:space="0" w:color="auto"/>
              <w:right w:val="single" w:sz="4" w:space="0" w:color="auto"/>
            </w:tcBorders>
            <w:shd w:val="clear" w:color="auto" w:fill="auto"/>
            <w:noWrap/>
            <w:vAlign w:val="bottom"/>
            <w:hideMark/>
          </w:tcPr>
          <w:p w14:paraId="1972539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26</w:t>
            </w:r>
          </w:p>
        </w:tc>
        <w:tc>
          <w:tcPr>
            <w:tcW w:w="1140" w:type="dxa"/>
            <w:tcBorders>
              <w:top w:val="nil"/>
              <w:left w:val="nil"/>
              <w:bottom w:val="single" w:sz="4" w:space="0" w:color="auto"/>
              <w:right w:val="single" w:sz="4" w:space="0" w:color="auto"/>
            </w:tcBorders>
            <w:shd w:val="clear" w:color="auto" w:fill="auto"/>
            <w:noWrap/>
            <w:vAlign w:val="bottom"/>
            <w:hideMark/>
          </w:tcPr>
          <w:p w14:paraId="51FE788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26</w:t>
            </w:r>
          </w:p>
        </w:tc>
      </w:tr>
      <w:tr w:rsidR="00FD4FFF" w:rsidRPr="00B35962" w14:paraId="2BB22723"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12BAD02A"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Plav</w:t>
            </w:r>
          </w:p>
        </w:tc>
        <w:tc>
          <w:tcPr>
            <w:tcW w:w="1150" w:type="dxa"/>
            <w:tcBorders>
              <w:top w:val="nil"/>
              <w:left w:val="nil"/>
              <w:bottom w:val="single" w:sz="4" w:space="0" w:color="auto"/>
              <w:right w:val="single" w:sz="4" w:space="0" w:color="auto"/>
            </w:tcBorders>
            <w:shd w:val="clear" w:color="auto" w:fill="auto"/>
            <w:noWrap/>
            <w:vAlign w:val="bottom"/>
            <w:hideMark/>
          </w:tcPr>
          <w:p w14:paraId="23D0A96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195</w:t>
            </w:r>
          </w:p>
        </w:tc>
        <w:tc>
          <w:tcPr>
            <w:tcW w:w="1150" w:type="dxa"/>
            <w:tcBorders>
              <w:top w:val="nil"/>
              <w:left w:val="nil"/>
              <w:bottom w:val="single" w:sz="4" w:space="0" w:color="auto"/>
              <w:right w:val="single" w:sz="4" w:space="0" w:color="auto"/>
            </w:tcBorders>
            <w:shd w:val="clear" w:color="auto" w:fill="auto"/>
            <w:noWrap/>
            <w:vAlign w:val="bottom"/>
            <w:hideMark/>
          </w:tcPr>
          <w:p w14:paraId="16FFE5E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235</w:t>
            </w:r>
          </w:p>
        </w:tc>
        <w:tc>
          <w:tcPr>
            <w:tcW w:w="1150" w:type="dxa"/>
            <w:tcBorders>
              <w:top w:val="nil"/>
              <w:left w:val="nil"/>
              <w:bottom w:val="single" w:sz="4" w:space="0" w:color="auto"/>
              <w:right w:val="single" w:sz="4" w:space="0" w:color="auto"/>
            </w:tcBorders>
            <w:shd w:val="clear" w:color="auto" w:fill="auto"/>
            <w:noWrap/>
            <w:vAlign w:val="bottom"/>
            <w:hideMark/>
          </w:tcPr>
          <w:p w14:paraId="7224AB8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293</w:t>
            </w:r>
          </w:p>
        </w:tc>
        <w:tc>
          <w:tcPr>
            <w:tcW w:w="1150" w:type="dxa"/>
            <w:tcBorders>
              <w:top w:val="nil"/>
              <w:left w:val="nil"/>
              <w:bottom w:val="single" w:sz="4" w:space="0" w:color="auto"/>
              <w:right w:val="single" w:sz="4" w:space="0" w:color="auto"/>
            </w:tcBorders>
            <w:shd w:val="clear" w:color="auto" w:fill="auto"/>
            <w:noWrap/>
            <w:vAlign w:val="bottom"/>
            <w:hideMark/>
          </w:tcPr>
          <w:p w14:paraId="03D66D7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284</w:t>
            </w:r>
          </w:p>
        </w:tc>
        <w:tc>
          <w:tcPr>
            <w:tcW w:w="1150" w:type="dxa"/>
            <w:tcBorders>
              <w:top w:val="nil"/>
              <w:left w:val="nil"/>
              <w:bottom w:val="single" w:sz="4" w:space="0" w:color="auto"/>
              <w:right w:val="single" w:sz="4" w:space="0" w:color="auto"/>
            </w:tcBorders>
            <w:shd w:val="clear" w:color="auto" w:fill="auto"/>
            <w:noWrap/>
            <w:vAlign w:val="bottom"/>
            <w:hideMark/>
          </w:tcPr>
          <w:p w14:paraId="5431F98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330</w:t>
            </w:r>
          </w:p>
        </w:tc>
        <w:tc>
          <w:tcPr>
            <w:tcW w:w="1140" w:type="dxa"/>
            <w:tcBorders>
              <w:top w:val="nil"/>
              <w:left w:val="nil"/>
              <w:bottom w:val="single" w:sz="4" w:space="0" w:color="auto"/>
              <w:right w:val="single" w:sz="4" w:space="0" w:color="auto"/>
            </w:tcBorders>
            <w:shd w:val="clear" w:color="auto" w:fill="auto"/>
            <w:noWrap/>
            <w:vAlign w:val="bottom"/>
            <w:hideMark/>
          </w:tcPr>
          <w:p w14:paraId="1C3F33B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w:t>
            </w:r>
          </w:p>
        </w:tc>
        <w:tc>
          <w:tcPr>
            <w:tcW w:w="1140" w:type="dxa"/>
            <w:tcBorders>
              <w:top w:val="nil"/>
              <w:left w:val="nil"/>
              <w:bottom w:val="single" w:sz="4" w:space="0" w:color="auto"/>
              <w:right w:val="single" w:sz="4" w:space="0" w:color="auto"/>
            </w:tcBorders>
            <w:shd w:val="clear" w:color="auto" w:fill="auto"/>
            <w:noWrap/>
            <w:vAlign w:val="bottom"/>
            <w:hideMark/>
          </w:tcPr>
          <w:p w14:paraId="3FB0EF9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w:t>
            </w:r>
          </w:p>
        </w:tc>
        <w:tc>
          <w:tcPr>
            <w:tcW w:w="1140" w:type="dxa"/>
            <w:tcBorders>
              <w:top w:val="nil"/>
              <w:left w:val="nil"/>
              <w:bottom w:val="single" w:sz="4" w:space="0" w:color="auto"/>
              <w:right w:val="single" w:sz="4" w:space="0" w:color="auto"/>
            </w:tcBorders>
            <w:shd w:val="clear" w:color="auto" w:fill="auto"/>
            <w:noWrap/>
            <w:vAlign w:val="bottom"/>
            <w:hideMark/>
          </w:tcPr>
          <w:p w14:paraId="01E45F7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w:t>
            </w:r>
          </w:p>
        </w:tc>
        <w:tc>
          <w:tcPr>
            <w:tcW w:w="1140" w:type="dxa"/>
            <w:tcBorders>
              <w:top w:val="nil"/>
              <w:left w:val="nil"/>
              <w:bottom w:val="single" w:sz="4" w:space="0" w:color="auto"/>
              <w:right w:val="single" w:sz="4" w:space="0" w:color="auto"/>
            </w:tcBorders>
            <w:shd w:val="clear" w:color="auto" w:fill="auto"/>
            <w:noWrap/>
            <w:vAlign w:val="bottom"/>
            <w:hideMark/>
          </w:tcPr>
          <w:p w14:paraId="312EB8B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w:t>
            </w:r>
          </w:p>
        </w:tc>
        <w:tc>
          <w:tcPr>
            <w:tcW w:w="1140" w:type="dxa"/>
            <w:tcBorders>
              <w:top w:val="nil"/>
              <w:left w:val="nil"/>
              <w:bottom w:val="single" w:sz="4" w:space="0" w:color="auto"/>
              <w:right w:val="single" w:sz="4" w:space="0" w:color="auto"/>
            </w:tcBorders>
            <w:shd w:val="clear" w:color="auto" w:fill="auto"/>
            <w:noWrap/>
            <w:vAlign w:val="bottom"/>
            <w:hideMark/>
          </w:tcPr>
          <w:p w14:paraId="686FFFB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w:t>
            </w:r>
          </w:p>
        </w:tc>
      </w:tr>
      <w:tr w:rsidR="00FD4FFF" w:rsidRPr="00B35962" w14:paraId="190B810A"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6C9435C4"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Pljevlja</w:t>
            </w:r>
          </w:p>
        </w:tc>
        <w:tc>
          <w:tcPr>
            <w:tcW w:w="1150" w:type="dxa"/>
            <w:tcBorders>
              <w:top w:val="nil"/>
              <w:left w:val="nil"/>
              <w:bottom w:val="single" w:sz="4" w:space="0" w:color="auto"/>
              <w:right w:val="single" w:sz="4" w:space="0" w:color="auto"/>
            </w:tcBorders>
            <w:shd w:val="clear" w:color="auto" w:fill="auto"/>
            <w:noWrap/>
            <w:vAlign w:val="bottom"/>
            <w:hideMark/>
          </w:tcPr>
          <w:p w14:paraId="0CDF880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465</w:t>
            </w:r>
          </w:p>
        </w:tc>
        <w:tc>
          <w:tcPr>
            <w:tcW w:w="1150" w:type="dxa"/>
            <w:tcBorders>
              <w:top w:val="nil"/>
              <w:left w:val="nil"/>
              <w:bottom w:val="single" w:sz="4" w:space="0" w:color="auto"/>
              <w:right w:val="single" w:sz="4" w:space="0" w:color="auto"/>
            </w:tcBorders>
            <w:shd w:val="clear" w:color="auto" w:fill="auto"/>
            <w:noWrap/>
            <w:vAlign w:val="bottom"/>
            <w:hideMark/>
          </w:tcPr>
          <w:p w14:paraId="767351A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522</w:t>
            </w:r>
          </w:p>
        </w:tc>
        <w:tc>
          <w:tcPr>
            <w:tcW w:w="1150" w:type="dxa"/>
            <w:tcBorders>
              <w:top w:val="nil"/>
              <w:left w:val="nil"/>
              <w:bottom w:val="single" w:sz="4" w:space="0" w:color="auto"/>
              <w:right w:val="single" w:sz="4" w:space="0" w:color="auto"/>
            </w:tcBorders>
            <w:shd w:val="clear" w:color="auto" w:fill="auto"/>
            <w:noWrap/>
            <w:vAlign w:val="bottom"/>
            <w:hideMark/>
          </w:tcPr>
          <w:p w14:paraId="410F97C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573</w:t>
            </w:r>
          </w:p>
        </w:tc>
        <w:tc>
          <w:tcPr>
            <w:tcW w:w="1150" w:type="dxa"/>
            <w:tcBorders>
              <w:top w:val="nil"/>
              <w:left w:val="nil"/>
              <w:bottom w:val="single" w:sz="4" w:space="0" w:color="auto"/>
              <w:right w:val="single" w:sz="4" w:space="0" w:color="auto"/>
            </w:tcBorders>
            <w:shd w:val="clear" w:color="auto" w:fill="auto"/>
            <w:noWrap/>
            <w:vAlign w:val="bottom"/>
            <w:hideMark/>
          </w:tcPr>
          <w:p w14:paraId="0E3F9FAB"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600</w:t>
            </w:r>
          </w:p>
        </w:tc>
        <w:tc>
          <w:tcPr>
            <w:tcW w:w="1150" w:type="dxa"/>
            <w:tcBorders>
              <w:top w:val="nil"/>
              <w:left w:val="nil"/>
              <w:bottom w:val="single" w:sz="4" w:space="0" w:color="auto"/>
              <w:right w:val="single" w:sz="4" w:space="0" w:color="auto"/>
            </w:tcBorders>
            <w:shd w:val="clear" w:color="auto" w:fill="auto"/>
            <w:noWrap/>
            <w:vAlign w:val="bottom"/>
            <w:hideMark/>
          </w:tcPr>
          <w:p w14:paraId="39DD10D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621</w:t>
            </w:r>
          </w:p>
        </w:tc>
        <w:tc>
          <w:tcPr>
            <w:tcW w:w="1140" w:type="dxa"/>
            <w:tcBorders>
              <w:top w:val="nil"/>
              <w:left w:val="nil"/>
              <w:bottom w:val="single" w:sz="4" w:space="0" w:color="auto"/>
              <w:right w:val="single" w:sz="4" w:space="0" w:color="auto"/>
            </w:tcBorders>
            <w:shd w:val="clear" w:color="auto" w:fill="auto"/>
            <w:noWrap/>
            <w:vAlign w:val="bottom"/>
            <w:hideMark/>
          </w:tcPr>
          <w:p w14:paraId="70DB673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w:t>
            </w:r>
          </w:p>
        </w:tc>
        <w:tc>
          <w:tcPr>
            <w:tcW w:w="1140" w:type="dxa"/>
            <w:tcBorders>
              <w:top w:val="nil"/>
              <w:left w:val="nil"/>
              <w:bottom w:val="single" w:sz="4" w:space="0" w:color="auto"/>
              <w:right w:val="single" w:sz="4" w:space="0" w:color="auto"/>
            </w:tcBorders>
            <w:shd w:val="clear" w:color="auto" w:fill="auto"/>
            <w:noWrap/>
            <w:vAlign w:val="bottom"/>
            <w:hideMark/>
          </w:tcPr>
          <w:p w14:paraId="2C13666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7F4D14F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4B2A893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w:t>
            </w:r>
          </w:p>
        </w:tc>
        <w:tc>
          <w:tcPr>
            <w:tcW w:w="1140" w:type="dxa"/>
            <w:tcBorders>
              <w:top w:val="nil"/>
              <w:left w:val="nil"/>
              <w:bottom w:val="single" w:sz="4" w:space="0" w:color="auto"/>
              <w:right w:val="single" w:sz="4" w:space="0" w:color="auto"/>
            </w:tcBorders>
            <w:shd w:val="clear" w:color="auto" w:fill="auto"/>
            <w:noWrap/>
            <w:vAlign w:val="bottom"/>
            <w:hideMark/>
          </w:tcPr>
          <w:p w14:paraId="39DE1D0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w:t>
            </w:r>
          </w:p>
        </w:tc>
      </w:tr>
      <w:tr w:rsidR="00FD4FFF" w:rsidRPr="00B35962" w14:paraId="728AA636"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69620FA8"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Plužine</w:t>
            </w:r>
          </w:p>
        </w:tc>
        <w:tc>
          <w:tcPr>
            <w:tcW w:w="1150" w:type="dxa"/>
            <w:tcBorders>
              <w:top w:val="nil"/>
              <w:left w:val="nil"/>
              <w:bottom w:val="single" w:sz="4" w:space="0" w:color="auto"/>
              <w:right w:val="single" w:sz="4" w:space="0" w:color="auto"/>
            </w:tcBorders>
            <w:shd w:val="clear" w:color="auto" w:fill="auto"/>
            <w:noWrap/>
            <w:vAlign w:val="bottom"/>
            <w:hideMark/>
          </w:tcPr>
          <w:p w14:paraId="71FF949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26</w:t>
            </w:r>
          </w:p>
        </w:tc>
        <w:tc>
          <w:tcPr>
            <w:tcW w:w="1150" w:type="dxa"/>
            <w:tcBorders>
              <w:top w:val="nil"/>
              <w:left w:val="nil"/>
              <w:bottom w:val="single" w:sz="4" w:space="0" w:color="auto"/>
              <w:right w:val="single" w:sz="4" w:space="0" w:color="auto"/>
            </w:tcBorders>
            <w:shd w:val="clear" w:color="auto" w:fill="auto"/>
            <w:noWrap/>
            <w:vAlign w:val="bottom"/>
            <w:hideMark/>
          </w:tcPr>
          <w:p w14:paraId="74F5638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53</w:t>
            </w:r>
          </w:p>
        </w:tc>
        <w:tc>
          <w:tcPr>
            <w:tcW w:w="1150" w:type="dxa"/>
            <w:tcBorders>
              <w:top w:val="nil"/>
              <w:left w:val="nil"/>
              <w:bottom w:val="single" w:sz="4" w:space="0" w:color="auto"/>
              <w:right w:val="single" w:sz="4" w:space="0" w:color="auto"/>
            </w:tcBorders>
            <w:shd w:val="clear" w:color="auto" w:fill="auto"/>
            <w:noWrap/>
            <w:vAlign w:val="bottom"/>
            <w:hideMark/>
          </w:tcPr>
          <w:p w14:paraId="04F78B0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48</w:t>
            </w:r>
          </w:p>
        </w:tc>
        <w:tc>
          <w:tcPr>
            <w:tcW w:w="1150" w:type="dxa"/>
            <w:tcBorders>
              <w:top w:val="nil"/>
              <w:left w:val="nil"/>
              <w:bottom w:val="single" w:sz="4" w:space="0" w:color="auto"/>
              <w:right w:val="single" w:sz="4" w:space="0" w:color="auto"/>
            </w:tcBorders>
            <w:shd w:val="clear" w:color="auto" w:fill="auto"/>
            <w:noWrap/>
            <w:vAlign w:val="bottom"/>
            <w:hideMark/>
          </w:tcPr>
          <w:p w14:paraId="279C8D4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46</w:t>
            </w:r>
          </w:p>
        </w:tc>
        <w:tc>
          <w:tcPr>
            <w:tcW w:w="1150" w:type="dxa"/>
            <w:tcBorders>
              <w:top w:val="nil"/>
              <w:left w:val="nil"/>
              <w:bottom w:val="single" w:sz="4" w:space="0" w:color="auto"/>
              <w:right w:val="single" w:sz="4" w:space="0" w:color="auto"/>
            </w:tcBorders>
            <w:shd w:val="clear" w:color="auto" w:fill="auto"/>
            <w:noWrap/>
            <w:vAlign w:val="bottom"/>
            <w:hideMark/>
          </w:tcPr>
          <w:p w14:paraId="3BE5274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39</w:t>
            </w:r>
          </w:p>
        </w:tc>
        <w:tc>
          <w:tcPr>
            <w:tcW w:w="1140" w:type="dxa"/>
            <w:tcBorders>
              <w:top w:val="nil"/>
              <w:left w:val="nil"/>
              <w:bottom w:val="single" w:sz="4" w:space="0" w:color="auto"/>
              <w:right w:val="single" w:sz="4" w:space="0" w:color="auto"/>
            </w:tcBorders>
            <w:shd w:val="clear" w:color="auto" w:fill="auto"/>
            <w:noWrap/>
            <w:vAlign w:val="bottom"/>
            <w:hideMark/>
          </w:tcPr>
          <w:p w14:paraId="611F942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13833DB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2CE43D8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4B190A8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1AB6D15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r>
      <w:tr w:rsidR="00FD4FFF" w:rsidRPr="00B35962" w14:paraId="5B2DBB43"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C17661E"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Podgorica</w:t>
            </w:r>
          </w:p>
        </w:tc>
        <w:tc>
          <w:tcPr>
            <w:tcW w:w="1150" w:type="dxa"/>
            <w:tcBorders>
              <w:top w:val="nil"/>
              <w:left w:val="nil"/>
              <w:bottom w:val="single" w:sz="4" w:space="0" w:color="auto"/>
              <w:right w:val="single" w:sz="4" w:space="0" w:color="auto"/>
            </w:tcBorders>
            <w:shd w:val="clear" w:color="auto" w:fill="auto"/>
            <w:noWrap/>
            <w:vAlign w:val="bottom"/>
            <w:hideMark/>
          </w:tcPr>
          <w:p w14:paraId="38B57A8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6825</w:t>
            </w:r>
          </w:p>
        </w:tc>
        <w:tc>
          <w:tcPr>
            <w:tcW w:w="1150" w:type="dxa"/>
            <w:tcBorders>
              <w:top w:val="nil"/>
              <w:left w:val="nil"/>
              <w:bottom w:val="single" w:sz="4" w:space="0" w:color="auto"/>
              <w:right w:val="single" w:sz="4" w:space="0" w:color="auto"/>
            </w:tcBorders>
            <w:shd w:val="clear" w:color="auto" w:fill="auto"/>
            <w:noWrap/>
            <w:vAlign w:val="bottom"/>
            <w:hideMark/>
          </w:tcPr>
          <w:p w14:paraId="252A103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7848</w:t>
            </w:r>
          </w:p>
        </w:tc>
        <w:tc>
          <w:tcPr>
            <w:tcW w:w="1150" w:type="dxa"/>
            <w:tcBorders>
              <w:top w:val="nil"/>
              <w:left w:val="nil"/>
              <w:bottom w:val="single" w:sz="4" w:space="0" w:color="auto"/>
              <w:right w:val="single" w:sz="4" w:space="0" w:color="auto"/>
            </w:tcBorders>
            <w:shd w:val="clear" w:color="auto" w:fill="auto"/>
            <w:noWrap/>
            <w:vAlign w:val="bottom"/>
            <w:hideMark/>
          </w:tcPr>
          <w:p w14:paraId="59BBF36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8465</w:t>
            </w:r>
          </w:p>
        </w:tc>
        <w:tc>
          <w:tcPr>
            <w:tcW w:w="1150" w:type="dxa"/>
            <w:tcBorders>
              <w:top w:val="nil"/>
              <w:left w:val="nil"/>
              <w:bottom w:val="single" w:sz="4" w:space="0" w:color="auto"/>
              <w:right w:val="single" w:sz="4" w:space="0" w:color="auto"/>
            </w:tcBorders>
            <w:shd w:val="clear" w:color="auto" w:fill="auto"/>
            <w:noWrap/>
            <w:vAlign w:val="bottom"/>
            <w:hideMark/>
          </w:tcPr>
          <w:p w14:paraId="1A759AD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8901</w:t>
            </w:r>
          </w:p>
        </w:tc>
        <w:tc>
          <w:tcPr>
            <w:tcW w:w="1150" w:type="dxa"/>
            <w:tcBorders>
              <w:top w:val="nil"/>
              <w:left w:val="nil"/>
              <w:bottom w:val="single" w:sz="4" w:space="0" w:color="auto"/>
              <w:right w:val="single" w:sz="4" w:space="0" w:color="auto"/>
            </w:tcBorders>
            <w:shd w:val="clear" w:color="auto" w:fill="auto"/>
            <w:noWrap/>
            <w:vAlign w:val="bottom"/>
            <w:hideMark/>
          </w:tcPr>
          <w:p w14:paraId="2CC1536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9492</w:t>
            </w:r>
          </w:p>
        </w:tc>
        <w:tc>
          <w:tcPr>
            <w:tcW w:w="1140" w:type="dxa"/>
            <w:tcBorders>
              <w:top w:val="nil"/>
              <w:left w:val="nil"/>
              <w:bottom w:val="single" w:sz="4" w:space="0" w:color="auto"/>
              <w:right w:val="single" w:sz="4" w:space="0" w:color="auto"/>
            </w:tcBorders>
            <w:shd w:val="clear" w:color="auto" w:fill="auto"/>
            <w:noWrap/>
            <w:vAlign w:val="bottom"/>
            <w:hideMark/>
          </w:tcPr>
          <w:p w14:paraId="0FA9DD4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30</w:t>
            </w:r>
          </w:p>
        </w:tc>
        <w:tc>
          <w:tcPr>
            <w:tcW w:w="1140" w:type="dxa"/>
            <w:tcBorders>
              <w:top w:val="nil"/>
              <w:left w:val="nil"/>
              <w:bottom w:val="single" w:sz="4" w:space="0" w:color="auto"/>
              <w:right w:val="single" w:sz="4" w:space="0" w:color="auto"/>
            </w:tcBorders>
            <w:shd w:val="clear" w:color="auto" w:fill="auto"/>
            <w:noWrap/>
            <w:vAlign w:val="bottom"/>
            <w:hideMark/>
          </w:tcPr>
          <w:p w14:paraId="029AC97C"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35</w:t>
            </w:r>
          </w:p>
        </w:tc>
        <w:tc>
          <w:tcPr>
            <w:tcW w:w="1140" w:type="dxa"/>
            <w:tcBorders>
              <w:top w:val="nil"/>
              <w:left w:val="nil"/>
              <w:bottom w:val="single" w:sz="4" w:space="0" w:color="auto"/>
              <w:right w:val="single" w:sz="4" w:space="0" w:color="auto"/>
            </w:tcBorders>
            <w:shd w:val="clear" w:color="auto" w:fill="auto"/>
            <w:noWrap/>
            <w:vAlign w:val="bottom"/>
            <w:hideMark/>
          </w:tcPr>
          <w:p w14:paraId="0730419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37</w:t>
            </w:r>
          </w:p>
        </w:tc>
        <w:tc>
          <w:tcPr>
            <w:tcW w:w="1140" w:type="dxa"/>
            <w:tcBorders>
              <w:top w:val="nil"/>
              <w:left w:val="nil"/>
              <w:bottom w:val="single" w:sz="4" w:space="0" w:color="auto"/>
              <w:right w:val="single" w:sz="4" w:space="0" w:color="auto"/>
            </w:tcBorders>
            <w:shd w:val="clear" w:color="auto" w:fill="auto"/>
            <w:noWrap/>
            <w:vAlign w:val="bottom"/>
            <w:hideMark/>
          </w:tcPr>
          <w:p w14:paraId="6151D3E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43</w:t>
            </w:r>
          </w:p>
        </w:tc>
        <w:tc>
          <w:tcPr>
            <w:tcW w:w="1140" w:type="dxa"/>
            <w:tcBorders>
              <w:top w:val="nil"/>
              <w:left w:val="nil"/>
              <w:bottom w:val="single" w:sz="4" w:space="0" w:color="auto"/>
              <w:right w:val="single" w:sz="4" w:space="0" w:color="auto"/>
            </w:tcBorders>
            <w:shd w:val="clear" w:color="auto" w:fill="auto"/>
            <w:noWrap/>
            <w:vAlign w:val="bottom"/>
            <w:hideMark/>
          </w:tcPr>
          <w:p w14:paraId="1B3BAB7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48</w:t>
            </w:r>
          </w:p>
        </w:tc>
      </w:tr>
      <w:tr w:rsidR="00FD4FFF" w:rsidRPr="00B35962" w14:paraId="719966E1"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475DAAD"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Rožaje</w:t>
            </w:r>
          </w:p>
        </w:tc>
        <w:tc>
          <w:tcPr>
            <w:tcW w:w="1150" w:type="dxa"/>
            <w:tcBorders>
              <w:top w:val="nil"/>
              <w:left w:val="nil"/>
              <w:bottom w:val="single" w:sz="4" w:space="0" w:color="auto"/>
              <w:right w:val="single" w:sz="4" w:space="0" w:color="auto"/>
            </w:tcBorders>
            <w:shd w:val="clear" w:color="auto" w:fill="auto"/>
            <w:noWrap/>
            <w:vAlign w:val="bottom"/>
            <w:hideMark/>
          </w:tcPr>
          <w:p w14:paraId="3852D07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174</w:t>
            </w:r>
          </w:p>
        </w:tc>
        <w:tc>
          <w:tcPr>
            <w:tcW w:w="1150" w:type="dxa"/>
            <w:tcBorders>
              <w:top w:val="nil"/>
              <w:left w:val="nil"/>
              <w:bottom w:val="single" w:sz="4" w:space="0" w:color="auto"/>
              <w:right w:val="single" w:sz="4" w:space="0" w:color="auto"/>
            </w:tcBorders>
            <w:shd w:val="clear" w:color="auto" w:fill="auto"/>
            <w:noWrap/>
            <w:vAlign w:val="bottom"/>
            <w:hideMark/>
          </w:tcPr>
          <w:p w14:paraId="5C13AF0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160</w:t>
            </w:r>
          </w:p>
        </w:tc>
        <w:tc>
          <w:tcPr>
            <w:tcW w:w="1150" w:type="dxa"/>
            <w:tcBorders>
              <w:top w:val="nil"/>
              <w:left w:val="nil"/>
              <w:bottom w:val="single" w:sz="4" w:space="0" w:color="auto"/>
              <w:right w:val="single" w:sz="4" w:space="0" w:color="auto"/>
            </w:tcBorders>
            <w:shd w:val="clear" w:color="auto" w:fill="auto"/>
            <w:noWrap/>
            <w:vAlign w:val="bottom"/>
            <w:hideMark/>
          </w:tcPr>
          <w:p w14:paraId="7A2F9FC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363</w:t>
            </w:r>
          </w:p>
        </w:tc>
        <w:tc>
          <w:tcPr>
            <w:tcW w:w="1150" w:type="dxa"/>
            <w:tcBorders>
              <w:top w:val="nil"/>
              <w:left w:val="nil"/>
              <w:bottom w:val="single" w:sz="4" w:space="0" w:color="auto"/>
              <w:right w:val="single" w:sz="4" w:space="0" w:color="auto"/>
            </w:tcBorders>
            <w:shd w:val="clear" w:color="auto" w:fill="auto"/>
            <w:noWrap/>
            <w:vAlign w:val="bottom"/>
            <w:hideMark/>
          </w:tcPr>
          <w:p w14:paraId="10115A2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366</w:t>
            </w:r>
          </w:p>
        </w:tc>
        <w:tc>
          <w:tcPr>
            <w:tcW w:w="1150" w:type="dxa"/>
            <w:tcBorders>
              <w:top w:val="nil"/>
              <w:left w:val="nil"/>
              <w:bottom w:val="single" w:sz="4" w:space="0" w:color="auto"/>
              <w:right w:val="single" w:sz="4" w:space="0" w:color="auto"/>
            </w:tcBorders>
            <w:shd w:val="clear" w:color="auto" w:fill="auto"/>
            <w:noWrap/>
            <w:vAlign w:val="bottom"/>
            <w:hideMark/>
          </w:tcPr>
          <w:p w14:paraId="04BC615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405</w:t>
            </w:r>
          </w:p>
        </w:tc>
        <w:tc>
          <w:tcPr>
            <w:tcW w:w="1140" w:type="dxa"/>
            <w:tcBorders>
              <w:top w:val="nil"/>
              <w:left w:val="nil"/>
              <w:bottom w:val="single" w:sz="4" w:space="0" w:color="auto"/>
              <w:right w:val="single" w:sz="4" w:space="0" w:color="auto"/>
            </w:tcBorders>
            <w:shd w:val="clear" w:color="auto" w:fill="auto"/>
            <w:noWrap/>
            <w:vAlign w:val="bottom"/>
            <w:hideMark/>
          </w:tcPr>
          <w:p w14:paraId="49EDF70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492BA861"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2AE7785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0D00790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66309A3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r>
      <w:tr w:rsidR="00FD4FFF" w:rsidRPr="00B35962" w14:paraId="0A78BF27"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250CAE57"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Tivat</w:t>
            </w:r>
          </w:p>
        </w:tc>
        <w:tc>
          <w:tcPr>
            <w:tcW w:w="1150" w:type="dxa"/>
            <w:tcBorders>
              <w:top w:val="nil"/>
              <w:left w:val="nil"/>
              <w:bottom w:val="single" w:sz="4" w:space="0" w:color="auto"/>
              <w:right w:val="single" w:sz="4" w:space="0" w:color="auto"/>
            </w:tcBorders>
            <w:shd w:val="clear" w:color="auto" w:fill="auto"/>
            <w:noWrap/>
            <w:vAlign w:val="bottom"/>
            <w:hideMark/>
          </w:tcPr>
          <w:p w14:paraId="728908F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639</w:t>
            </w:r>
          </w:p>
        </w:tc>
        <w:tc>
          <w:tcPr>
            <w:tcW w:w="1150" w:type="dxa"/>
            <w:tcBorders>
              <w:top w:val="nil"/>
              <w:left w:val="nil"/>
              <w:bottom w:val="single" w:sz="4" w:space="0" w:color="auto"/>
              <w:right w:val="single" w:sz="4" w:space="0" w:color="auto"/>
            </w:tcBorders>
            <w:shd w:val="clear" w:color="auto" w:fill="auto"/>
            <w:noWrap/>
            <w:vAlign w:val="bottom"/>
            <w:hideMark/>
          </w:tcPr>
          <w:p w14:paraId="0E29988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756</w:t>
            </w:r>
          </w:p>
        </w:tc>
        <w:tc>
          <w:tcPr>
            <w:tcW w:w="1150" w:type="dxa"/>
            <w:tcBorders>
              <w:top w:val="nil"/>
              <w:left w:val="nil"/>
              <w:bottom w:val="single" w:sz="4" w:space="0" w:color="auto"/>
              <w:right w:val="single" w:sz="4" w:space="0" w:color="auto"/>
            </w:tcBorders>
            <w:shd w:val="clear" w:color="auto" w:fill="auto"/>
            <w:noWrap/>
            <w:vAlign w:val="bottom"/>
            <w:hideMark/>
          </w:tcPr>
          <w:p w14:paraId="6CCDB19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764</w:t>
            </w:r>
          </w:p>
        </w:tc>
        <w:tc>
          <w:tcPr>
            <w:tcW w:w="1150" w:type="dxa"/>
            <w:tcBorders>
              <w:top w:val="nil"/>
              <w:left w:val="nil"/>
              <w:bottom w:val="single" w:sz="4" w:space="0" w:color="auto"/>
              <w:right w:val="single" w:sz="4" w:space="0" w:color="auto"/>
            </w:tcBorders>
            <w:shd w:val="clear" w:color="auto" w:fill="auto"/>
            <w:noWrap/>
            <w:vAlign w:val="bottom"/>
            <w:hideMark/>
          </w:tcPr>
          <w:p w14:paraId="2A229DF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818</w:t>
            </w:r>
          </w:p>
        </w:tc>
        <w:tc>
          <w:tcPr>
            <w:tcW w:w="1150" w:type="dxa"/>
            <w:tcBorders>
              <w:top w:val="nil"/>
              <w:left w:val="nil"/>
              <w:bottom w:val="single" w:sz="4" w:space="0" w:color="auto"/>
              <w:right w:val="single" w:sz="4" w:space="0" w:color="auto"/>
            </w:tcBorders>
            <w:shd w:val="clear" w:color="auto" w:fill="auto"/>
            <w:noWrap/>
            <w:vAlign w:val="bottom"/>
            <w:hideMark/>
          </w:tcPr>
          <w:p w14:paraId="0D12B186"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849</w:t>
            </w:r>
          </w:p>
        </w:tc>
        <w:tc>
          <w:tcPr>
            <w:tcW w:w="1140" w:type="dxa"/>
            <w:tcBorders>
              <w:top w:val="nil"/>
              <w:left w:val="nil"/>
              <w:bottom w:val="single" w:sz="4" w:space="0" w:color="auto"/>
              <w:right w:val="single" w:sz="4" w:space="0" w:color="auto"/>
            </w:tcBorders>
            <w:shd w:val="clear" w:color="auto" w:fill="auto"/>
            <w:noWrap/>
            <w:vAlign w:val="bottom"/>
            <w:hideMark/>
          </w:tcPr>
          <w:p w14:paraId="21311C4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741684EA"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1EF5FCE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5DF3A8A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6799986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r>
      <w:tr w:rsidR="00FD4FFF" w:rsidRPr="00B35962" w14:paraId="2C9E1C9F"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5549E7D3"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Ulcinj</w:t>
            </w:r>
          </w:p>
        </w:tc>
        <w:tc>
          <w:tcPr>
            <w:tcW w:w="1150" w:type="dxa"/>
            <w:tcBorders>
              <w:top w:val="nil"/>
              <w:left w:val="nil"/>
              <w:bottom w:val="single" w:sz="4" w:space="0" w:color="auto"/>
              <w:right w:val="single" w:sz="4" w:space="0" w:color="auto"/>
            </w:tcBorders>
            <w:shd w:val="clear" w:color="auto" w:fill="auto"/>
            <w:noWrap/>
            <w:vAlign w:val="bottom"/>
            <w:hideMark/>
          </w:tcPr>
          <w:p w14:paraId="0F4F6D63"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345</w:t>
            </w:r>
          </w:p>
        </w:tc>
        <w:tc>
          <w:tcPr>
            <w:tcW w:w="1150" w:type="dxa"/>
            <w:tcBorders>
              <w:top w:val="nil"/>
              <w:left w:val="nil"/>
              <w:bottom w:val="single" w:sz="4" w:space="0" w:color="auto"/>
              <w:right w:val="single" w:sz="4" w:space="0" w:color="auto"/>
            </w:tcBorders>
            <w:shd w:val="clear" w:color="auto" w:fill="auto"/>
            <w:noWrap/>
            <w:vAlign w:val="bottom"/>
            <w:hideMark/>
          </w:tcPr>
          <w:p w14:paraId="7524195F"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382</w:t>
            </w:r>
          </w:p>
        </w:tc>
        <w:tc>
          <w:tcPr>
            <w:tcW w:w="1150" w:type="dxa"/>
            <w:tcBorders>
              <w:top w:val="nil"/>
              <w:left w:val="nil"/>
              <w:bottom w:val="single" w:sz="4" w:space="0" w:color="auto"/>
              <w:right w:val="single" w:sz="4" w:space="0" w:color="auto"/>
            </w:tcBorders>
            <w:shd w:val="clear" w:color="auto" w:fill="auto"/>
            <w:noWrap/>
            <w:vAlign w:val="bottom"/>
            <w:hideMark/>
          </w:tcPr>
          <w:p w14:paraId="04EE4A6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397</w:t>
            </w:r>
          </w:p>
        </w:tc>
        <w:tc>
          <w:tcPr>
            <w:tcW w:w="1150" w:type="dxa"/>
            <w:tcBorders>
              <w:top w:val="nil"/>
              <w:left w:val="nil"/>
              <w:bottom w:val="single" w:sz="4" w:space="0" w:color="auto"/>
              <w:right w:val="single" w:sz="4" w:space="0" w:color="auto"/>
            </w:tcBorders>
            <w:shd w:val="clear" w:color="auto" w:fill="auto"/>
            <w:noWrap/>
            <w:vAlign w:val="bottom"/>
            <w:hideMark/>
          </w:tcPr>
          <w:p w14:paraId="44A7F7E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477</w:t>
            </w:r>
          </w:p>
        </w:tc>
        <w:tc>
          <w:tcPr>
            <w:tcW w:w="1150" w:type="dxa"/>
            <w:tcBorders>
              <w:top w:val="nil"/>
              <w:left w:val="nil"/>
              <w:bottom w:val="single" w:sz="4" w:space="0" w:color="auto"/>
              <w:right w:val="single" w:sz="4" w:space="0" w:color="auto"/>
            </w:tcBorders>
            <w:shd w:val="clear" w:color="auto" w:fill="auto"/>
            <w:noWrap/>
            <w:vAlign w:val="bottom"/>
            <w:hideMark/>
          </w:tcPr>
          <w:p w14:paraId="7ADE272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516</w:t>
            </w:r>
          </w:p>
        </w:tc>
        <w:tc>
          <w:tcPr>
            <w:tcW w:w="1140" w:type="dxa"/>
            <w:tcBorders>
              <w:top w:val="nil"/>
              <w:left w:val="nil"/>
              <w:bottom w:val="single" w:sz="4" w:space="0" w:color="auto"/>
              <w:right w:val="single" w:sz="4" w:space="0" w:color="auto"/>
            </w:tcBorders>
            <w:shd w:val="clear" w:color="auto" w:fill="auto"/>
            <w:noWrap/>
            <w:vAlign w:val="bottom"/>
            <w:hideMark/>
          </w:tcPr>
          <w:p w14:paraId="3790823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4</w:t>
            </w:r>
          </w:p>
        </w:tc>
        <w:tc>
          <w:tcPr>
            <w:tcW w:w="1140" w:type="dxa"/>
            <w:tcBorders>
              <w:top w:val="nil"/>
              <w:left w:val="nil"/>
              <w:bottom w:val="single" w:sz="4" w:space="0" w:color="auto"/>
              <w:right w:val="single" w:sz="4" w:space="0" w:color="auto"/>
            </w:tcBorders>
            <w:shd w:val="clear" w:color="auto" w:fill="auto"/>
            <w:noWrap/>
            <w:vAlign w:val="bottom"/>
            <w:hideMark/>
          </w:tcPr>
          <w:p w14:paraId="3DDF843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42E019D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2A4BD0C7"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c>
          <w:tcPr>
            <w:tcW w:w="1140" w:type="dxa"/>
            <w:tcBorders>
              <w:top w:val="nil"/>
              <w:left w:val="nil"/>
              <w:bottom w:val="single" w:sz="4" w:space="0" w:color="auto"/>
              <w:right w:val="single" w:sz="4" w:space="0" w:color="auto"/>
            </w:tcBorders>
            <w:shd w:val="clear" w:color="auto" w:fill="auto"/>
            <w:noWrap/>
            <w:vAlign w:val="bottom"/>
            <w:hideMark/>
          </w:tcPr>
          <w:p w14:paraId="3995385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5</w:t>
            </w:r>
          </w:p>
        </w:tc>
      </w:tr>
      <w:tr w:rsidR="00FD4FFF" w:rsidRPr="00B35962" w14:paraId="5A1F1CFE"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8BCC525" w14:textId="77777777" w:rsidR="00FD4FFF" w:rsidRPr="00B35962" w:rsidRDefault="00FD4FFF" w:rsidP="00106DA9">
            <w:pPr>
              <w:spacing w:line="240" w:lineRule="auto"/>
              <w:ind w:firstLine="0"/>
              <w:jc w:val="left"/>
              <w:rPr>
                <w:rFonts w:eastAsia="Times New Roman"/>
                <w:color w:val="000000"/>
                <w:sz w:val="20"/>
                <w:szCs w:val="20"/>
                <w:lang w:val="sr-Latn-ME"/>
              </w:rPr>
            </w:pPr>
            <w:r w:rsidRPr="00B35962">
              <w:rPr>
                <w:rFonts w:eastAsia="Times New Roman"/>
                <w:color w:val="000000"/>
                <w:sz w:val="20"/>
                <w:szCs w:val="20"/>
                <w:lang w:val="sr-Latn-ME"/>
              </w:rPr>
              <w:t>Šavnik</w:t>
            </w:r>
          </w:p>
        </w:tc>
        <w:tc>
          <w:tcPr>
            <w:tcW w:w="1150" w:type="dxa"/>
            <w:tcBorders>
              <w:top w:val="nil"/>
              <w:left w:val="nil"/>
              <w:bottom w:val="single" w:sz="4" w:space="0" w:color="auto"/>
              <w:right w:val="single" w:sz="4" w:space="0" w:color="auto"/>
            </w:tcBorders>
            <w:shd w:val="clear" w:color="auto" w:fill="auto"/>
            <w:noWrap/>
            <w:vAlign w:val="bottom"/>
            <w:hideMark/>
          </w:tcPr>
          <w:p w14:paraId="0CE3FDED"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14</w:t>
            </w:r>
          </w:p>
        </w:tc>
        <w:tc>
          <w:tcPr>
            <w:tcW w:w="1150" w:type="dxa"/>
            <w:tcBorders>
              <w:top w:val="nil"/>
              <w:left w:val="nil"/>
              <w:bottom w:val="single" w:sz="4" w:space="0" w:color="auto"/>
              <w:right w:val="single" w:sz="4" w:space="0" w:color="auto"/>
            </w:tcBorders>
            <w:shd w:val="clear" w:color="auto" w:fill="auto"/>
            <w:noWrap/>
            <w:vAlign w:val="bottom"/>
            <w:hideMark/>
          </w:tcPr>
          <w:p w14:paraId="21912CA4"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17</w:t>
            </w:r>
          </w:p>
        </w:tc>
        <w:tc>
          <w:tcPr>
            <w:tcW w:w="1150" w:type="dxa"/>
            <w:tcBorders>
              <w:top w:val="nil"/>
              <w:left w:val="nil"/>
              <w:bottom w:val="single" w:sz="4" w:space="0" w:color="auto"/>
              <w:right w:val="single" w:sz="4" w:space="0" w:color="auto"/>
            </w:tcBorders>
            <w:shd w:val="clear" w:color="auto" w:fill="auto"/>
            <w:noWrap/>
            <w:vAlign w:val="bottom"/>
            <w:hideMark/>
          </w:tcPr>
          <w:p w14:paraId="596A444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28</w:t>
            </w:r>
          </w:p>
        </w:tc>
        <w:tc>
          <w:tcPr>
            <w:tcW w:w="1150" w:type="dxa"/>
            <w:tcBorders>
              <w:top w:val="nil"/>
              <w:left w:val="nil"/>
              <w:bottom w:val="single" w:sz="4" w:space="0" w:color="auto"/>
              <w:right w:val="single" w:sz="4" w:space="0" w:color="auto"/>
            </w:tcBorders>
            <w:shd w:val="clear" w:color="auto" w:fill="auto"/>
            <w:noWrap/>
            <w:vAlign w:val="bottom"/>
            <w:hideMark/>
          </w:tcPr>
          <w:p w14:paraId="5CC93FB0"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26</w:t>
            </w:r>
          </w:p>
        </w:tc>
        <w:tc>
          <w:tcPr>
            <w:tcW w:w="1150" w:type="dxa"/>
            <w:tcBorders>
              <w:top w:val="nil"/>
              <w:left w:val="nil"/>
              <w:bottom w:val="single" w:sz="4" w:space="0" w:color="auto"/>
              <w:right w:val="single" w:sz="4" w:space="0" w:color="auto"/>
            </w:tcBorders>
            <w:shd w:val="clear" w:color="auto" w:fill="auto"/>
            <w:noWrap/>
            <w:vAlign w:val="bottom"/>
            <w:hideMark/>
          </w:tcPr>
          <w:p w14:paraId="2F9D271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25</w:t>
            </w:r>
          </w:p>
        </w:tc>
        <w:tc>
          <w:tcPr>
            <w:tcW w:w="1140" w:type="dxa"/>
            <w:tcBorders>
              <w:top w:val="nil"/>
              <w:left w:val="nil"/>
              <w:bottom w:val="single" w:sz="4" w:space="0" w:color="auto"/>
              <w:right w:val="single" w:sz="4" w:space="0" w:color="auto"/>
            </w:tcBorders>
            <w:shd w:val="clear" w:color="auto" w:fill="auto"/>
            <w:noWrap/>
            <w:vAlign w:val="bottom"/>
            <w:hideMark/>
          </w:tcPr>
          <w:p w14:paraId="3AF27E1E"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03DD2509"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55E27F78"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6D40F715"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c>
          <w:tcPr>
            <w:tcW w:w="1140" w:type="dxa"/>
            <w:tcBorders>
              <w:top w:val="nil"/>
              <w:left w:val="nil"/>
              <w:bottom w:val="single" w:sz="4" w:space="0" w:color="auto"/>
              <w:right w:val="single" w:sz="4" w:space="0" w:color="auto"/>
            </w:tcBorders>
            <w:shd w:val="clear" w:color="auto" w:fill="auto"/>
            <w:noWrap/>
            <w:vAlign w:val="bottom"/>
            <w:hideMark/>
          </w:tcPr>
          <w:p w14:paraId="7053CE52" w14:textId="77777777" w:rsidR="00FD4FFF" w:rsidRPr="00B35962" w:rsidRDefault="00FD4FFF" w:rsidP="00106DA9">
            <w:pPr>
              <w:spacing w:line="240" w:lineRule="auto"/>
              <w:ind w:firstLine="0"/>
              <w:jc w:val="center"/>
              <w:rPr>
                <w:rFonts w:eastAsia="Times New Roman"/>
                <w:color w:val="000000"/>
                <w:sz w:val="20"/>
                <w:szCs w:val="20"/>
                <w:lang w:val="sr-Latn-ME"/>
              </w:rPr>
            </w:pPr>
            <w:r w:rsidRPr="00B35962">
              <w:rPr>
                <w:rFonts w:eastAsia="Times New Roman"/>
                <w:color w:val="000000"/>
                <w:sz w:val="20"/>
                <w:szCs w:val="20"/>
                <w:lang w:val="sr-Latn-ME"/>
              </w:rPr>
              <w:t>1</w:t>
            </w:r>
          </w:p>
        </w:tc>
      </w:tr>
      <w:tr w:rsidR="00FD4FFF" w:rsidRPr="00B35962" w14:paraId="26E695B5" w14:textId="77777777" w:rsidTr="00566A90">
        <w:trPr>
          <w:trHeight w:val="280"/>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6A82A31" w14:textId="77777777" w:rsidR="00FD4FFF" w:rsidRPr="00B35962" w:rsidRDefault="00FD4FFF" w:rsidP="00106DA9">
            <w:pPr>
              <w:spacing w:line="240" w:lineRule="auto"/>
              <w:ind w:firstLine="0"/>
              <w:jc w:val="left"/>
              <w:rPr>
                <w:rFonts w:eastAsia="Times New Roman"/>
                <w:b/>
                <w:bCs/>
                <w:color w:val="000000"/>
                <w:sz w:val="20"/>
                <w:szCs w:val="20"/>
                <w:lang w:val="sr-Latn-ME"/>
              </w:rPr>
            </w:pPr>
            <w:r w:rsidRPr="00B35962">
              <w:rPr>
                <w:rFonts w:eastAsia="Times New Roman"/>
                <w:b/>
                <w:bCs/>
                <w:color w:val="000000"/>
                <w:sz w:val="20"/>
                <w:szCs w:val="20"/>
                <w:lang w:val="sr-Latn-ME"/>
              </w:rPr>
              <w:t>Ukupno</w:t>
            </w:r>
          </w:p>
        </w:tc>
        <w:tc>
          <w:tcPr>
            <w:tcW w:w="1150" w:type="dxa"/>
            <w:tcBorders>
              <w:top w:val="nil"/>
              <w:left w:val="nil"/>
              <w:bottom w:val="single" w:sz="4" w:space="0" w:color="auto"/>
              <w:right w:val="single" w:sz="4" w:space="0" w:color="auto"/>
            </w:tcBorders>
            <w:shd w:val="clear" w:color="auto" w:fill="auto"/>
            <w:noWrap/>
            <w:vAlign w:val="bottom"/>
            <w:hideMark/>
          </w:tcPr>
          <w:p w14:paraId="2C67858D"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16972</w:t>
            </w:r>
          </w:p>
        </w:tc>
        <w:tc>
          <w:tcPr>
            <w:tcW w:w="1150" w:type="dxa"/>
            <w:tcBorders>
              <w:top w:val="nil"/>
              <w:left w:val="nil"/>
              <w:bottom w:val="single" w:sz="4" w:space="0" w:color="auto"/>
              <w:right w:val="single" w:sz="4" w:space="0" w:color="auto"/>
            </w:tcBorders>
            <w:shd w:val="clear" w:color="auto" w:fill="auto"/>
            <w:noWrap/>
            <w:vAlign w:val="bottom"/>
            <w:hideMark/>
          </w:tcPr>
          <w:p w14:paraId="1A7B2D7E"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18957</w:t>
            </w:r>
          </w:p>
        </w:tc>
        <w:tc>
          <w:tcPr>
            <w:tcW w:w="1150" w:type="dxa"/>
            <w:tcBorders>
              <w:top w:val="nil"/>
              <w:left w:val="nil"/>
              <w:bottom w:val="single" w:sz="4" w:space="0" w:color="auto"/>
              <w:right w:val="single" w:sz="4" w:space="0" w:color="auto"/>
            </w:tcBorders>
            <w:shd w:val="clear" w:color="auto" w:fill="auto"/>
            <w:noWrap/>
            <w:vAlign w:val="bottom"/>
            <w:hideMark/>
          </w:tcPr>
          <w:p w14:paraId="028D0841"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20766</w:t>
            </w:r>
          </w:p>
        </w:tc>
        <w:tc>
          <w:tcPr>
            <w:tcW w:w="1150" w:type="dxa"/>
            <w:tcBorders>
              <w:top w:val="nil"/>
              <w:left w:val="nil"/>
              <w:bottom w:val="single" w:sz="4" w:space="0" w:color="auto"/>
              <w:right w:val="single" w:sz="4" w:space="0" w:color="auto"/>
            </w:tcBorders>
            <w:shd w:val="clear" w:color="auto" w:fill="auto"/>
            <w:noWrap/>
            <w:vAlign w:val="bottom"/>
            <w:hideMark/>
          </w:tcPr>
          <w:p w14:paraId="7782520B"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21662</w:t>
            </w:r>
          </w:p>
        </w:tc>
        <w:tc>
          <w:tcPr>
            <w:tcW w:w="1150" w:type="dxa"/>
            <w:tcBorders>
              <w:top w:val="nil"/>
              <w:left w:val="nil"/>
              <w:bottom w:val="single" w:sz="4" w:space="0" w:color="auto"/>
              <w:right w:val="single" w:sz="4" w:space="0" w:color="auto"/>
            </w:tcBorders>
            <w:shd w:val="clear" w:color="auto" w:fill="auto"/>
            <w:noWrap/>
            <w:vAlign w:val="bottom"/>
            <w:hideMark/>
          </w:tcPr>
          <w:p w14:paraId="5D92652F"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23080</w:t>
            </w:r>
          </w:p>
        </w:tc>
        <w:tc>
          <w:tcPr>
            <w:tcW w:w="1140" w:type="dxa"/>
            <w:tcBorders>
              <w:top w:val="nil"/>
              <w:left w:val="nil"/>
              <w:bottom w:val="single" w:sz="4" w:space="0" w:color="auto"/>
              <w:right w:val="single" w:sz="4" w:space="0" w:color="auto"/>
            </w:tcBorders>
            <w:shd w:val="clear" w:color="auto" w:fill="auto"/>
            <w:noWrap/>
            <w:vAlign w:val="bottom"/>
            <w:hideMark/>
          </w:tcPr>
          <w:p w14:paraId="5440B049"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123</w:t>
            </w:r>
          </w:p>
        </w:tc>
        <w:tc>
          <w:tcPr>
            <w:tcW w:w="1140" w:type="dxa"/>
            <w:tcBorders>
              <w:top w:val="nil"/>
              <w:left w:val="nil"/>
              <w:bottom w:val="single" w:sz="4" w:space="0" w:color="auto"/>
              <w:right w:val="single" w:sz="4" w:space="0" w:color="auto"/>
            </w:tcBorders>
            <w:shd w:val="clear" w:color="auto" w:fill="auto"/>
            <w:noWrap/>
            <w:vAlign w:val="bottom"/>
            <w:hideMark/>
          </w:tcPr>
          <w:p w14:paraId="50B7D628"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142</w:t>
            </w:r>
          </w:p>
        </w:tc>
        <w:tc>
          <w:tcPr>
            <w:tcW w:w="1140" w:type="dxa"/>
            <w:tcBorders>
              <w:top w:val="nil"/>
              <w:left w:val="nil"/>
              <w:bottom w:val="single" w:sz="4" w:space="0" w:color="auto"/>
              <w:right w:val="single" w:sz="4" w:space="0" w:color="auto"/>
            </w:tcBorders>
            <w:shd w:val="clear" w:color="auto" w:fill="auto"/>
            <w:noWrap/>
            <w:vAlign w:val="bottom"/>
            <w:hideMark/>
          </w:tcPr>
          <w:p w14:paraId="379F9D1D"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147</w:t>
            </w:r>
          </w:p>
        </w:tc>
        <w:tc>
          <w:tcPr>
            <w:tcW w:w="1140" w:type="dxa"/>
            <w:tcBorders>
              <w:top w:val="nil"/>
              <w:left w:val="nil"/>
              <w:bottom w:val="single" w:sz="4" w:space="0" w:color="auto"/>
              <w:right w:val="single" w:sz="4" w:space="0" w:color="auto"/>
            </w:tcBorders>
            <w:shd w:val="clear" w:color="auto" w:fill="auto"/>
            <w:noWrap/>
            <w:vAlign w:val="bottom"/>
            <w:hideMark/>
          </w:tcPr>
          <w:p w14:paraId="015B408C"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165</w:t>
            </w:r>
          </w:p>
        </w:tc>
        <w:tc>
          <w:tcPr>
            <w:tcW w:w="1140" w:type="dxa"/>
            <w:tcBorders>
              <w:top w:val="nil"/>
              <w:left w:val="nil"/>
              <w:bottom w:val="single" w:sz="4" w:space="0" w:color="auto"/>
              <w:right w:val="single" w:sz="4" w:space="0" w:color="auto"/>
            </w:tcBorders>
            <w:shd w:val="clear" w:color="auto" w:fill="auto"/>
            <w:noWrap/>
            <w:vAlign w:val="bottom"/>
            <w:hideMark/>
          </w:tcPr>
          <w:p w14:paraId="24C7FAA0" w14:textId="77777777" w:rsidR="00FD4FFF" w:rsidRPr="00B35962" w:rsidRDefault="00FD4FFF" w:rsidP="00106DA9">
            <w:pPr>
              <w:spacing w:line="240" w:lineRule="auto"/>
              <w:ind w:firstLine="0"/>
              <w:jc w:val="center"/>
              <w:rPr>
                <w:rFonts w:eastAsia="Times New Roman"/>
                <w:b/>
                <w:bCs/>
                <w:color w:val="000000"/>
                <w:sz w:val="20"/>
                <w:szCs w:val="20"/>
                <w:lang w:val="sr-Latn-ME"/>
              </w:rPr>
            </w:pPr>
            <w:r w:rsidRPr="00B35962">
              <w:rPr>
                <w:rFonts w:eastAsia="Times New Roman"/>
                <w:b/>
                <w:bCs/>
                <w:color w:val="000000"/>
                <w:sz w:val="20"/>
                <w:szCs w:val="20"/>
                <w:lang w:val="sr-Latn-ME"/>
              </w:rPr>
              <w:t>170</w:t>
            </w:r>
          </w:p>
        </w:tc>
      </w:tr>
    </w:tbl>
    <w:p w14:paraId="770A0DF7" w14:textId="77777777" w:rsidR="00FD4FFF" w:rsidRPr="00B35962" w:rsidRDefault="00FD4FFF" w:rsidP="002F0F6A">
      <w:pPr>
        <w:rPr>
          <w:lang w:val="sr-Latn-ME"/>
        </w:rPr>
      </w:pPr>
    </w:p>
    <w:p w14:paraId="57C6B0AE" w14:textId="77777777" w:rsidR="00CB23C0" w:rsidRPr="00B35962" w:rsidRDefault="00CB23C0" w:rsidP="002F0F6A">
      <w:pPr>
        <w:rPr>
          <w:lang w:val="sr-Latn-ME"/>
        </w:rPr>
        <w:sectPr w:rsidR="00CB23C0" w:rsidRPr="00B35962" w:rsidSect="00406816">
          <w:pgSz w:w="15840" w:h="12240" w:orient="landscape"/>
          <w:pgMar w:top="1440" w:right="1440" w:bottom="1440" w:left="1440" w:header="709" w:footer="709" w:gutter="0"/>
          <w:cols w:space="708"/>
          <w:docGrid w:linePitch="360"/>
        </w:sectPr>
      </w:pPr>
    </w:p>
    <w:tbl>
      <w:tblPr>
        <w:tblStyle w:val="TableGrid0"/>
        <w:tblW w:w="13796" w:type="dxa"/>
        <w:tblLayout w:type="fixed"/>
        <w:tblLook w:val="04A0" w:firstRow="1" w:lastRow="0" w:firstColumn="1" w:lastColumn="0" w:noHBand="0" w:noVBand="1"/>
      </w:tblPr>
      <w:tblGrid>
        <w:gridCol w:w="1116"/>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tblGrid>
      <w:tr w:rsidR="0003633C" w:rsidRPr="00B35962" w14:paraId="5C5B13C9" w14:textId="77777777" w:rsidTr="00765C23">
        <w:trPr>
          <w:trHeight w:val="288"/>
        </w:trPr>
        <w:tc>
          <w:tcPr>
            <w:tcW w:w="1116" w:type="dxa"/>
          </w:tcPr>
          <w:p w14:paraId="7C74F3AD" w14:textId="77777777" w:rsidR="0003633C" w:rsidRPr="00B35962" w:rsidRDefault="0003633C" w:rsidP="00CB23C0">
            <w:pPr>
              <w:ind w:firstLine="0"/>
              <w:jc w:val="left"/>
              <w:rPr>
                <w:rFonts w:eastAsia="Times New Roman"/>
                <w:b/>
                <w:bCs/>
                <w:color w:val="000000"/>
                <w:sz w:val="18"/>
                <w:szCs w:val="18"/>
                <w:lang w:val="sr-Latn-ME"/>
              </w:rPr>
            </w:pPr>
          </w:p>
        </w:tc>
        <w:tc>
          <w:tcPr>
            <w:tcW w:w="3170" w:type="dxa"/>
            <w:gridSpan w:val="5"/>
            <w:noWrap/>
          </w:tcPr>
          <w:p w14:paraId="2DB52657" w14:textId="694A099D" w:rsidR="0003633C" w:rsidRPr="00B35962" w:rsidRDefault="0003633C" w:rsidP="00315587">
            <w:pPr>
              <w:ind w:firstLine="0"/>
              <w:jc w:val="center"/>
              <w:rPr>
                <w:rFonts w:eastAsia="Times New Roman"/>
                <w:b/>
                <w:bCs/>
                <w:color w:val="000000"/>
                <w:sz w:val="18"/>
                <w:szCs w:val="18"/>
                <w:lang w:val="sr-Latn-ME"/>
              </w:rPr>
            </w:pPr>
            <w:r w:rsidRPr="00B35962">
              <w:rPr>
                <w:rFonts w:eastAsia="Times New Roman"/>
                <w:b/>
                <w:bCs/>
                <w:color w:val="000000"/>
                <w:sz w:val="18"/>
                <w:szCs w:val="18"/>
                <w:lang w:val="sr-Latn-ME"/>
              </w:rPr>
              <w:t xml:space="preserve">Vaspitači </w:t>
            </w:r>
          </w:p>
        </w:tc>
        <w:tc>
          <w:tcPr>
            <w:tcW w:w="3170" w:type="dxa"/>
            <w:gridSpan w:val="5"/>
            <w:noWrap/>
          </w:tcPr>
          <w:p w14:paraId="198CA010" w14:textId="77777777" w:rsidR="0003633C" w:rsidRPr="00B35962" w:rsidRDefault="0003633C" w:rsidP="00CB23C0">
            <w:pPr>
              <w:ind w:firstLine="0"/>
              <w:jc w:val="center"/>
              <w:rPr>
                <w:rFonts w:eastAsia="Times New Roman"/>
                <w:b/>
                <w:bCs/>
                <w:color w:val="000000"/>
                <w:sz w:val="18"/>
                <w:szCs w:val="18"/>
                <w:lang w:val="sr-Latn-ME"/>
              </w:rPr>
            </w:pPr>
            <w:r w:rsidRPr="00B35962">
              <w:rPr>
                <w:rFonts w:eastAsia="Times New Roman"/>
                <w:b/>
                <w:bCs/>
                <w:color w:val="000000"/>
                <w:sz w:val="18"/>
                <w:szCs w:val="18"/>
                <w:lang w:val="sr-Latn-ME"/>
              </w:rPr>
              <w:t>Medicinske sestre</w:t>
            </w:r>
          </w:p>
        </w:tc>
        <w:tc>
          <w:tcPr>
            <w:tcW w:w="3170" w:type="dxa"/>
            <w:gridSpan w:val="5"/>
            <w:noWrap/>
          </w:tcPr>
          <w:p w14:paraId="42E55217" w14:textId="77777777" w:rsidR="0003633C" w:rsidRPr="00B35962" w:rsidRDefault="0003633C"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Stručni saradnici (pedagog, psiholog, logoped, defektolog, nutricionista)</w:t>
            </w:r>
          </w:p>
        </w:tc>
        <w:tc>
          <w:tcPr>
            <w:tcW w:w="3170" w:type="dxa"/>
            <w:gridSpan w:val="5"/>
            <w:noWrap/>
          </w:tcPr>
          <w:p w14:paraId="728B12BF" w14:textId="77777777" w:rsidR="0003633C" w:rsidRPr="00B35962" w:rsidRDefault="0003633C" w:rsidP="0003633C">
            <w:pPr>
              <w:ind w:firstLine="0"/>
              <w:jc w:val="center"/>
              <w:rPr>
                <w:rFonts w:eastAsia="Times New Roman"/>
                <w:b/>
                <w:bCs/>
                <w:color w:val="000000"/>
                <w:sz w:val="18"/>
                <w:szCs w:val="18"/>
                <w:lang w:val="sr-Latn-ME"/>
              </w:rPr>
            </w:pPr>
            <w:r w:rsidRPr="00B35962">
              <w:rPr>
                <w:rFonts w:eastAsia="Times New Roman"/>
                <w:b/>
                <w:bCs/>
                <w:color w:val="000000"/>
                <w:sz w:val="18"/>
                <w:szCs w:val="18"/>
                <w:lang w:val="sr-Latn-ME"/>
              </w:rPr>
              <w:t>Administrativno i pomoćno osoblje</w:t>
            </w:r>
          </w:p>
        </w:tc>
      </w:tr>
      <w:tr w:rsidR="00CB23C0" w:rsidRPr="00B35962" w14:paraId="56F3327A" w14:textId="77777777" w:rsidTr="00CB23C0">
        <w:trPr>
          <w:trHeight w:val="288"/>
        </w:trPr>
        <w:tc>
          <w:tcPr>
            <w:tcW w:w="1116" w:type="dxa"/>
            <w:hideMark/>
          </w:tcPr>
          <w:p w14:paraId="2D12DD2A" w14:textId="77777777" w:rsidR="00CB23C0" w:rsidRPr="00B35962" w:rsidRDefault="00CB23C0" w:rsidP="00CB23C0">
            <w:pPr>
              <w:ind w:firstLine="0"/>
              <w:jc w:val="left"/>
              <w:rPr>
                <w:rFonts w:eastAsia="Times New Roman"/>
                <w:b/>
                <w:bCs/>
                <w:color w:val="000000"/>
                <w:sz w:val="18"/>
                <w:szCs w:val="18"/>
                <w:lang w:val="sr-Latn-ME"/>
              </w:rPr>
            </w:pPr>
          </w:p>
        </w:tc>
        <w:tc>
          <w:tcPr>
            <w:tcW w:w="634" w:type="dxa"/>
            <w:noWrap/>
            <w:hideMark/>
          </w:tcPr>
          <w:p w14:paraId="47BB5140"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2015/16</w:t>
            </w:r>
          </w:p>
        </w:tc>
        <w:tc>
          <w:tcPr>
            <w:tcW w:w="634" w:type="dxa"/>
            <w:noWrap/>
            <w:hideMark/>
          </w:tcPr>
          <w:p w14:paraId="7828D88B"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2016/17</w:t>
            </w:r>
          </w:p>
        </w:tc>
        <w:tc>
          <w:tcPr>
            <w:tcW w:w="634" w:type="dxa"/>
            <w:noWrap/>
            <w:hideMark/>
          </w:tcPr>
          <w:p w14:paraId="52083399"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2017/18</w:t>
            </w:r>
          </w:p>
        </w:tc>
        <w:tc>
          <w:tcPr>
            <w:tcW w:w="634" w:type="dxa"/>
            <w:noWrap/>
            <w:hideMark/>
          </w:tcPr>
          <w:p w14:paraId="1FB04C07"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2018/19</w:t>
            </w:r>
          </w:p>
        </w:tc>
        <w:tc>
          <w:tcPr>
            <w:tcW w:w="634" w:type="dxa"/>
            <w:noWrap/>
            <w:hideMark/>
          </w:tcPr>
          <w:p w14:paraId="49615B0B"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2019/20</w:t>
            </w:r>
          </w:p>
        </w:tc>
        <w:tc>
          <w:tcPr>
            <w:tcW w:w="634" w:type="dxa"/>
            <w:noWrap/>
            <w:hideMark/>
          </w:tcPr>
          <w:p w14:paraId="36EE9F2C"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2015/16</w:t>
            </w:r>
          </w:p>
        </w:tc>
        <w:tc>
          <w:tcPr>
            <w:tcW w:w="634" w:type="dxa"/>
            <w:noWrap/>
            <w:hideMark/>
          </w:tcPr>
          <w:p w14:paraId="7B5D1D38"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2016/17</w:t>
            </w:r>
          </w:p>
        </w:tc>
        <w:tc>
          <w:tcPr>
            <w:tcW w:w="634" w:type="dxa"/>
            <w:noWrap/>
            <w:hideMark/>
          </w:tcPr>
          <w:p w14:paraId="3E36DD10"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2017/18</w:t>
            </w:r>
          </w:p>
        </w:tc>
        <w:tc>
          <w:tcPr>
            <w:tcW w:w="634" w:type="dxa"/>
            <w:noWrap/>
            <w:hideMark/>
          </w:tcPr>
          <w:p w14:paraId="59CB820E"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2018/19</w:t>
            </w:r>
          </w:p>
        </w:tc>
        <w:tc>
          <w:tcPr>
            <w:tcW w:w="634" w:type="dxa"/>
            <w:noWrap/>
            <w:hideMark/>
          </w:tcPr>
          <w:p w14:paraId="6F494BB8"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2019/20</w:t>
            </w:r>
          </w:p>
        </w:tc>
        <w:tc>
          <w:tcPr>
            <w:tcW w:w="634" w:type="dxa"/>
            <w:noWrap/>
            <w:hideMark/>
          </w:tcPr>
          <w:p w14:paraId="69EABC9D"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2015/16</w:t>
            </w:r>
          </w:p>
        </w:tc>
        <w:tc>
          <w:tcPr>
            <w:tcW w:w="634" w:type="dxa"/>
            <w:noWrap/>
            <w:hideMark/>
          </w:tcPr>
          <w:p w14:paraId="6D52CD17"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2016/17</w:t>
            </w:r>
          </w:p>
        </w:tc>
        <w:tc>
          <w:tcPr>
            <w:tcW w:w="634" w:type="dxa"/>
            <w:noWrap/>
            <w:hideMark/>
          </w:tcPr>
          <w:p w14:paraId="1C92E770"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2017/18</w:t>
            </w:r>
          </w:p>
        </w:tc>
        <w:tc>
          <w:tcPr>
            <w:tcW w:w="634" w:type="dxa"/>
            <w:noWrap/>
            <w:hideMark/>
          </w:tcPr>
          <w:p w14:paraId="4AC585BC"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2018/19</w:t>
            </w:r>
          </w:p>
        </w:tc>
        <w:tc>
          <w:tcPr>
            <w:tcW w:w="634" w:type="dxa"/>
            <w:noWrap/>
            <w:hideMark/>
          </w:tcPr>
          <w:p w14:paraId="16A8532B"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2019/20</w:t>
            </w:r>
          </w:p>
        </w:tc>
        <w:tc>
          <w:tcPr>
            <w:tcW w:w="634" w:type="dxa"/>
            <w:noWrap/>
            <w:hideMark/>
          </w:tcPr>
          <w:p w14:paraId="528B523D"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2015/16</w:t>
            </w:r>
          </w:p>
        </w:tc>
        <w:tc>
          <w:tcPr>
            <w:tcW w:w="634" w:type="dxa"/>
            <w:noWrap/>
            <w:hideMark/>
          </w:tcPr>
          <w:p w14:paraId="45DEE226"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2016/17</w:t>
            </w:r>
          </w:p>
        </w:tc>
        <w:tc>
          <w:tcPr>
            <w:tcW w:w="634" w:type="dxa"/>
            <w:noWrap/>
            <w:hideMark/>
          </w:tcPr>
          <w:p w14:paraId="1296AC8A"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2017/18</w:t>
            </w:r>
          </w:p>
        </w:tc>
        <w:tc>
          <w:tcPr>
            <w:tcW w:w="634" w:type="dxa"/>
            <w:noWrap/>
            <w:hideMark/>
          </w:tcPr>
          <w:p w14:paraId="3965F0B7"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2018/19</w:t>
            </w:r>
          </w:p>
        </w:tc>
        <w:tc>
          <w:tcPr>
            <w:tcW w:w="634" w:type="dxa"/>
            <w:noWrap/>
            <w:hideMark/>
          </w:tcPr>
          <w:p w14:paraId="16D07A5E"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2019/20</w:t>
            </w:r>
          </w:p>
        </w:tc>
      </w:tr>
      <w:tr w:rsidR="00CB23C0" w:rsidRPr="00B35962" w14:paraId="59D88464" w14:textId="77777777" w:rsidTr="00CB23C0">
        <w:trPr>
          <w:trHeight w:val="288"/>
        </w:trPr>
        <w:tc>
          <w:tcPr>
            <w:tcW w:w="1116" w:type="dxa"/>
            <w:noWrap/>
            <w:hideMark/>
          </w:tcPr>
          <w:p w14:paraId="4AE4535A"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Andrijevica</w:t>
            </w:r>
          </w:p>
        </w:tc>
        <w:tc>
          <w:tcPr>
            <w:tcW w:w="634" w:type="dxa"/>
            <w:noWrap/>
            <w:hideMark/>
          </w:tcPr>
          <w:p w14:paraId="345E862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294D539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168BD3D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0D4BBE9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2DDBA9F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5F14D71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3D8BEC6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3BF86EC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44BF8A5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032AD33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1CF6CEB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365DAA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358195F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7636DD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C7998A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FE2772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24</w:t>
            </w:r>
          </w:p>
        </w:tc>
        <w:tc>
          <w:tcPr>
            <w:tcW w:w="634" w:type="dxa"/>
            <w:noWrap/>
            <w:hideMark/>
          </w:tcPr>
          <w:p w14:paraId="5E01818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22</w:t>
            </w:r>
          </w:p>
        </w:tc>
        <w:tc>
          <w:tcPr>
            <w:tcW w:w="634" w:type="dxa"/>
            <w:noWrap/>
            <w:hideMark/>
          </w:tcPr>
          <w:p w14:paraId="7AD430E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w:t>
            </w:r>
          </w:p>
        </w:tc>
        <w:tc>
          <w:tcPr>
            <w:tcW w:w="634" w:type="dxa"/>
            <w:noWrap/>
            <w:hideMark/>
          </w:tcPr>
          <w:p w14:paraId="3965D61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22</w:t>
            </w:r>
          </w:p>
        </w:tc>
        <w:tc>
          <w:tcPr>
            <w:tcW w:w="634" w:type="dxa"/>
            <w:noWrap/>
            <w:hideMark/>
          </w:tcPr>
          <w:p w14:paraId="12D393C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w:t>
            </w:r>
          </w:p>
        </w:tc>
      </w:tr>
      <w:tr w:rsidR="00CB23C0" w:rsidRPr="00B35962" w14:paraId="516FAF20" w14:textId="77777777" w:rsidTr="00CB23C0">
        <w:trPr>
          <w:trHeight w:val="288"/>
        </w:trPr>
        <w:tc>
          <w:tcPr>
            <w:tcW w:w="1116" w:type="dxa"/>
            <w:noWrap/>
            <w:hideMark/>
          </w:tcPr>
          <w:p w14:paraId="625BE763"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Bar</w:t>
            </w:r>
          </w:p>
        </w:tc>
        <w:tc>
          <w:tcPr>
            <w:tcW w:w="634" w:type="dxa"/>
            <w:noWrap/>
            <w:hideMark/>
          </w:tcPr>
          <w:p w14:paraId="7AC8B2D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51</w:t>
            </w:r>
          </w:p>
        </w:tc>
        <w:tc>
          <w:tcPr>
            <w:tcW w:w="634" w:type="dxa"/>
            <w:noWrap/>
            <w:hideMark/>
          </w:tcPr>
          <w:p w14:paraId="0082590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48</w:t>
            </w:r>
          </w:p>
        </w:tc>
        <w:tc>
          <w:tcPr>
            <w:tcW w:w="634" w:type="dxa"/>
            <w:noWrap/>
            <w:hideMark/>
          </w:tcPr>
          <w:p w14:paraId="239CF59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58</w:t>
            </w:r>
          </w:p>
        </w:tc>
        <w:tc>
          <w:tcPr>
            <w:tcW w:w="634" w:type="dxa"/>
            <w:noWrap/>
            <w:hideMark/>
          </w:tcPr>
          <w:p w14:paraId="5786A29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63</w:t>
            </w:r>
          </w:p>
        </w:tc>
        <w:tc>
          <w:tcPr>
            <w:tcW w:w="634" w:type="dxa"/>
            <w:noWrap/>
            <w:hideMark/>
          </w:tcPr>
          <w:p w14:paraId="631815B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78</w:t>
            </w:r>
          </w:p>
        </w:tc>
        <w:tc>
          <w:tcPr>
            <w:tcW w:w="634" w:type="dxa"/>
            <w:noWrap/>
            <w:hideMark/>
          </w:tcPr>
          <w:p w14:paraId="2E05FF1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37173D7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119DD59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6F18207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24</w:t>
            </w:r>
          </w:p>
        </w:tc>
        <w:tc>
          <w:tcPr>
            <w:tcW w:w="634" w:type="dxa"/>
            <w:noWrap/>
            <w:hideMark/>
          </w:tcPr>
          <w:p w14:paraId="0BA2D69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33</w:t>
            </w:r>
          </w:p>
        </w:tc>
        <w:tc>
          <w:tcPr>
            <w:tcW w:w="634" w:type="dxa"/>
            <w:noWrap/>
            <w:hideMark/>
          </w:tcPr>
          <w:p w14:paraId="01102D4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64A5303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303795C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5F79085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4142F6A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40FC81B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320818C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7BAC3E7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27</w:t>
            </w:r>
          </w:p>
        </w:tc>
        <w:tc>
          <w:tcPr>
            <w:tcW w:w="634" w:type="dxa"/>
            <w:noWrap/>
            <w:hideMark/>
          </w:tcPr>
          <w:p w14:paraId="19E5852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34</w:t>
            </w:r>
          </w:p>
        </w:tc>
        <w:tc>
          <w:tcPr>
            <w:tcW w:w="634" w:type="dxa"/>
            <w:noWrap/>
            <w:hideMark/>
          </w:tcPr>
          <w:p w14:paraId="15329AF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39</w:t>
            </w:r>
          </w:p>
        </w:tc>
      </w:tr>
      <w:tr w:rsidR="00CB23C0" w:rsidRPr="00B35962" w14:paraId="45DAEFDA" w14:textId="77777777" w:rsidTr="00CB23C0">
        <w:trPr>
          <w:trHeight w:val="288"/>
        </w:trPr>
        <w:tc>
          <w:tcPr>
            <w:tcW w:w="1116" w:type="dxa"/>
            <w:noWrap/>
            <w:hideMark/>
          </w:tcPr>
          <w:p w14:paraId="449E3DB6"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Berane</w:t>
            </w:r>
          </w:p>
        </w:tc>
        <w:tc>
          <w:tcPr>
            <w:tcW w:w="634" w:type="dxa"/>
            <w:noWrap/>
            <w:hideMark/>
          </w:tcPr>
          <w:p w14:paraId="05B235D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33</w:t>
            </w:r>
          </w:p>
        </w:tc>
        <w:tc>
          <w:tcPr>
            <w:tcW w:w="634" w:type="dxa"/>
            <w:noWrap/>
            <w:hideMark/>
          </w:tcPr>
          <w:p w14:paraId="20C8B1A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33</w:t>
            </w:r>
          </w:p>
        </w:tc>
        <w:tc>
          <w:tcPr>
            <w:tcW w:w="634" w:type="dxa"/>
            <w:noWrap/>
            <w:hideMark/>
          </w:tcPr>
          <w:p w14:paraId="4E543C1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36</w:t>
            </w:r>
          </w:p>
        </w:tc>
        <w:tc>
          <w:tcPr>
            <w:tcW w:w="634" w:type="dxa"/>
            <w:noWrap/>
            <w:hideMark/>
          </w:tcPr>
          <w:p w14:paraId="10932CA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36</w:t>
            </w:r>
          </w:p>
        </w:tc>
        <w:tc>
          <w:tcPr>
            <w:tcW w:w="634" w:type="dxa"/>
            <w:noWrap/>
            <w:hideMark/>
          </w:tcPr>
          <w:p w14:paraId="7925EA9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37</w:t>
            </w:r>
          </w:p>
        </w:tc>
        <w:tc>
          <w:tcPr>
            <w:tcW w:w="634" w:type="dxa"/>
            <w:noWrap/>
            <w:hideMark/>
          </w:tcPr>
          <w:p w14:paraId="3EA6C6A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1F20D0D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48F964F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22A3E1F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c>
          <w:tcPr>
            <w:tcW w:w="634" w:type="dxa"/>
            <w:noWrap/>
            <w:hideMark/>
          </w:tcPr>
          <w:p w14:paraId="04200F4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5CF6F52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0926C0C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2EBDE78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6674AE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03B26B1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EC3615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587B315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0920702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3C7B860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15</w:t>
            </w:r>
          </w:p>
        </w:tc>
        <w:tc>
          <w:tcPr>
            <w:tcW w:w="634" w:type="dxa"/>
            <w:noWrap/>
            <w:hideMark/>
          </w:tcPr>
          <w:p w14:paraId="69D25A3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w:t>
            </w:r>
          </w:p>
        </w:tc>
      </w:tr>
      <w:tr w:rsidR="00CB23C0" w:rsidRPr="00B35962" w14:paraId="1A8FC9BF" w14:textId="77777777" w:rsidTr="00CB23C0">
        <w:trPr>
          <w:trHeight w:val="288"/>
        </w:trPr>
        <w:tc>
          <w:tcPr>
            <w:tcW w:w="1116" w:type="dxa"/>
            <w:noWrap/>
            <w:hideMark/>
          </w:tcPr>
          <w:p w14:paraId="7B30672B"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Bijelo Polje</w:t>
            </w:r>
          </w:p>
        </w:tc>
        <w:tc>
          <w:tcPr>
            <w:tcW w:w="634" w:type="dxa"/>
            <w:noWrap/>
            <w:hideMark/>
          </w:tcPr>
          <w:p w14:paraId="0AF2C8D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55</w:t>
            </w:r>
          </w:p>
        </w:tc>
        <w:tc>
          <w:tcPr>
            <w:tcW w:w="634" w:type="dxa"/>
            <w:noWrap/>
            <w:hideMark/>
          </w:tcPr>
          <w:p w14:paraId="1F0EDED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62</w:t>
            </w:r>
          </w:p>
        </w:tc>
        <w:tc>
          <w:tcPr>
            <w:tcW w:w="634" w:type="dxa"/>
            <w:noWrap/>
            <w:hideMark/>
          </w:tcPr>
          <w:p w14:paraId="188844B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63</w:t>
            </w:r>
          </w:p>
        </w:tc>
        <w:tc>
          <w:tcPr>
            <w:tcW w:w="634" w:type="dxa"/>
            <w:noWrap/>
            <w:hideMark/>
          </w:tcPr>
          <w:p w14:paraId="3EC1BD9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65</w:t>
            </w:r>
          </w:p>
        </w:tc>
        <w:tc>
          <w:tcPr>
            <w:tcW w:w="634" w:type="dxa"/>
            <w:noWrap/>
            <w:hideMark/>
          </w:tcPr>
          <w:p w14:paraId="2992DC7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68</w:t>
            </w:r>
          </w:p>
        </w:tc>
        <w:tc>
          <w:tcPr>
            <w:tcW w:w="634" w:type="dxa"/>
            <w:noWrap/>
            <w:hideMark/>
          </w:tcPr>
          <w:p w14:paraId="021F905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21</w:t>
            </w:r>
          </w:p>
        </w:tc>
        <w:tc>
          <w:tcPr>
            <w:tcW w:w="634" w:type="dxa"/>
            <w:noWrap/>
            <w:hideMark/>
          </w:tcPr>
          <w:p w14:paraId="0FF09F9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33</w:t>
            </w:r>
          </w:p>
        </w:tc>
        <w:tc>
          <w:tcPr>
            <w:tcW w:w="634" w:type="dxa"/>
            <w:noWrap/>
            <w:hideMark/>
          </w:tcPr>
          <w:p w14:paraId="1D280D4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34</w:t>
            </w:r>
          </w:p>
        </w:tc>
        <w:tc>
          <w:tcPr>
            <w:tcW w:w="634" w:type="dxa"/>
            <w:noWrap/>
            <w:hideMark/>
          </w:tcPr>
          <w:p w14:paraId="2491181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33</w:t>
            </w:r>
          </w:p>
        </w:tc>
        <w:tc>
          <w:tcPr>
            <w:tcW w:w="634" w:type="dxa"/>
            <w:noWrap/>
            <w:hideMark/>
          </w:tcPr>
          <w:p w14:paraId="6D56A51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35</w:t>
            </w:r>
          </w:p>
        </w:tc>
        <w:tc>
          <w:tcPr>
            <w:tcW w:w="634" w:type="dxa"/>
            <w:noWrap/>
            <w:hideMark/>
          </w:tcPr>
          <w:p w14:paraId="30074E2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234ED57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225FE3C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53B280A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01FDFFA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0844741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35</w:t>
            </w:r>
          </w:p>
        </w:tc>
        <w:tc>
          <w:tcPr>
            <w:tcW w:w="634" w:type="dxa"/>
            <w:noWrap/>
            <w:hideMark/>
          </w:tcPr>
          <w:p w14:paraId="4527785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37</w:t>
            </w:r>
          </w:p>
        </w:tc>
        <w:tc>
          <w:tcPr>
            <w:tcW w:w="634" w:type="dxa"/>
            <w:noWrap/>
            <w:hideMark/>
          </w:tcPr>
          <w:p w14:paraId="163FAEF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37</w:t>
            </w:r>
          </w:p>
        </w:tc>
        <w:tc>
          <w:tcPr>
            <w:tcW w:w="634" w:type="dxa"/>
            <w:noWrap/>
            <w:hideMark/>
          </w:tcPr>
          <w:p w14:paraId="2427BB0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32</w:t>
            </w:r>
          </w:p>
        </w:tc>
        <w:tc>
          <w:tcPr>
            <w:tcW w:w="634" w:type="dxa"/>
            <w:noWrap/>
            <w:hideMark/>
          </w:tcPr>
          <w:p w14:paraId="233DF29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34</w:t>
            </w:r>
          </w:p>
        </w:tc>
      </w:tr>
      <w:tr w:rsidR="00CB23C0" w:rsidRPr="00B35962" w14:paraId="71FF3AF6" w14:textId="77777777" w:rsidTr="00CB23C0">
        <w:trPr>
          <w:trHeight w:val="288"/>
        </w:trPr>
        <w:tc>
          <w:tcPr>
            <w:tcW w:w="1116" w:type="dxa"/>
            <w:noWrap/>
            <w:hideMark/>
          </w:tcPr>
          <w:p w14:paraId="193B5DC9"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Budva</w:t>
            </w:r>
          </w:p>
        </w:tc>
        <w:tc>
          <w:tcPr>
            <w:tcW w:w="634" w:type="dxa"/>
            <w:noWrap/>
            <w:hideMark/>
          </w:tcPr>
          <w:p w14:paraId="1589A0B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58</w:t>
            </w:r>
          </w:p>
        </w:tc>
        <w:tc>
          <w:tcPr>
            <w:tcW w:w="634" w:type="dxa"/>
            <w:noWrap/>
            <w:hideMark/>
          </w:tcPr>
          <w:p w14:paraId="5BE85FC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54</w:t>
            </w:r>
          </w:p>
        </w:tc>
        <w:tc>
          <w:tcPr>
            <w:tcW w:w="634" w:type="dxa"/>
            <w:noWrap/>
            <w:hideMark/>
          </w:tcPr>
          <w:p w14:paraId="7CAE5AE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58</w:t>
            </w:r>
          </w:p>
        </w:tc>
        <w:tc>
          <w:tcPr>
            <w:tcW w:w="634" w:type="dxa"/>
            <w:noWrap/>
            <w:hideMark/>
          </w:tcPr>
          <w:p w14:paraId="47E36B4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59</w:t>
            </w:r>
          </w:p>
        </w:tc>
        <w:tc>
          <w:tcPr>
            <w:tcW w:w="634" w:type="dxa"/>
            <w:noWrap/>
            <w:hideMark/>
          </w:tcPr>
          <w:p w14:paraId="7A973E5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61</w:t>
            </w:r>
          </w:p>
        </w:tc>
        <w:tc>
          <w:tcPr>
            <w:tcW w:w="634" w:type="dxa"/>
            <w:noWrap/>
            <w:hideMark/>
          </w:tcPr>
          <w:p w14:paraId="174038C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w:t>
            </w:r>
          </w:p>
        </w:tc>
        <w:tc>
          <w:tcPr>
            <w:tcW w:w="634" w:type="dxa"/>
            <w:noWrap/>
            <w:hideMark/>
          </w:tcPr>
          <w:p w14:paraId="15CEC66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w:t>
            </w:r>
          </w:p>
        </w:tc>
        <w:tc>
          <w:tcPr>
            <w:tcW w:w="634" w:type="dxa"/>
            <w:noWrap/>
            <w:hideMark/>
          </w:tcPr>
          <w:p w14:paraId="389DC89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18</w:t>
            </w:r>
          </w:p>
        </w:tc>
        <w:tc>
          <w:tcPr>
            <w:tcW w:w="634" w:type="dxa"/>
            <w:noWrap/>
            <w:hideMark/>
          </w:tcPr>
          <w:p w14:paraId="18250FA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28</w:t>
            </w:r>
          </w:p>
        </w:tc>
        <w:tc>
          <w:tcPr>
            <w:tcW w:w="634" w:type="dxa"/>
            <w:noWrap/>
            <w:hideMark/>
          </w:tcPr>
          <w:p w14:paraId="60D6B92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32</w:t>
            </w:r>
          </w:p>
        </w:tc>
        <w:tc>
          <w:tcPr>
            <w:tcW w:w="634" w:type="dxa"/>
            <w:noWrap/>
            <w:hideMark/>
          </w:tcPr>
          <w:p w14:paraId="288B246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7D00659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1345904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6EBD69A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738A444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1A69CB6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29</w:t>
            </w:r>
          </w:p>
        </w:tc>
        <w:tc>
          <w:tcPr>
            <w:tcW w:w="634" w:type="dxa"/>
            <w:noWrap/>
            <w:hideMark/>
          </w:tcPr>
          <w:p w14:paraId="67AE15F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31</w:t>
            </w:r>
          </w:p>
        </w:tc>
        <w:tc>
          <w:tcPr>
            <w:tcW w:w="634" w:type="dxa"/>
            <w:noWrap/>
            <w:hideMark/>
          </w:tcPr>
          <w:p w14:paraId="1C8ECC1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29</w:t>
            </w:r>
          </w:p>
        </w:tc>
        <w:tc>
          <w:tcPr>
            <w:tcW w:w="634" w:type="dxa"/>
            <w:noWrap/>
            <w:hideMark/>
          </w:tcPr>
          <w:p w14:paraId="2D37D91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32</w:t>
            </w:r>
          </w:p>
        </w:tc>
        <w:tc>
          <w:tcPr>
            <w:tcW w:w="634" w:type="dxa"/>
            <w:noWrap/>
            <w:hideMark/>
          </w:tcPr>
          <w:p w14:paraId="528FCED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31</w:t>
            </w:r>
          </w:p>
        </w:tc>
      </w:tr>
      <w:tr w:rsidR="00CB23C0" w:rsidRPr="00B35962" w14:paraId="15A01F9E" w14:textId="77777777" w:rsidTr="00CB23C0">
        <w:trPr>
          <w:trHeight w:val="288"/>
        </w:trPr>
        <w:tc>
          <w:tcPr>
            <w:tcW w:w="1116" w:type="dxa"/>
            <w:noWrap/>
            <w:hideMark/>
          </w:tcPr>
          <w:p w14:paraId="6785F14A"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Cetinje</w:t>
            </w:r>
          </w:p>
        </w:tc>
        <w:tc>
          <w:tcPr>
            <w:tcW w:w="634" w:type="dxa"/>
            <w:noWrap/>
            <w:hideMark/>
          </w:tcPr>
          <w:p w14:paraId="1886A2E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38</w:t>
            </w:r>
          </w:p>
        </w:tc>
        <w:tc>
          <w:tcPr>
            <w:tcW w:w="634" w:type="dxa"/>
            <w:noWrap/>
            <w:hideMark/>
          </w:tcPr>
          <w:p w14:paraId="0023B3B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41</w:t>
            </w:r>
          </w:p>
        </w:tc>
        <w:tc>
          <w:tcPr>
            <w:tcW w:w="634" w:type="dxa"/>
            <w:noWrap/>
            <w:hideMark/>
          </w:tcPr>
          <w:p w14:paraId="74B301E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42</w:t>
            </w:r>
          </w:p>
        </w:tc>
        <w:tc>
          <w:tcPr>
            <w:tcW w:w="634" w:type="dxa"/>
            <w:noWrap/>
            <w:hideMark/>
          </w:tcPr>
          <w:p w14:paraId="125C9CC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41</w:t>
            </w:r>
          </w:p>
        </w:tc>
        <w:tc>
          <w:tcPr>
            <w:tcW w:w="634" w:type="dxa"/>
            <w:noWrap/>
            <w:hideMark/>
          </w:tcPr>
          <w:p w14:paraId="05F7B72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41</w:t>
            </w:r>
          </w:p>
        </w:tc>
        <w:tc>
          <w:tcPr>
            <w:tcW w:w="634" w:type="dxa"/>
            <w:noWrap/>
            <w:hideMark/>
          </w:tcPr>
          <w:p w14:paraId="0B39BE0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413C56E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42DFC55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1DA3B05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2BB0E9D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3D08076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781168B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4EEA197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05DF582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6446727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7DA1267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w:t>
            </w:r>
          </w:p>
        </w:tc>
        <w:tc>
          <w:tcPr>
            <w:tcW w:w="634" w:type="dxa"/>
            <w:noWrap/>
            <w:hideMark/>
          </w:tcPr>
          <w:p w14:paraId="2A4CFBF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17</w:t>
            </w:r>
          </w:p>
        </w:tc>
        <w:tc>
          <w:tcPr>
            <w:tcW w:w="634" w:type="dxa"/>
            <w:noWrap/>
            <w:hideMark/>
          </w:tcPr>
          <w:p w14:paraId="666B2C0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17</w:t>
            </w:r>
          </w:p>
        </w:tc>
        <w:tc>
          <w:tcPr>
            <w:tcW w:w="634" w:type="dxa"/>
            <w:noWrap/>
            <w:hideMark/>
          </w:tcPr>
          <w:p w14:paraId="3885586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18</w:t>
            </w:r>
          </w:p>
        </w:tc>
        <w:tc>
          <w:tcPr>
            <w:tcW w:w="634" w:type="dxa"/>
            <w:noWrap/>
            <w:hideMark/>
          </w:tcPr>
          <w:p w14:paraId="6E9CEF9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17</w:t>
            </w:r>
          </w:p>
        </w:tc>
      </w:tr>
      <w:tr w:rsidR="00CB23C0" w:rsidRPr="00B35962" w14:paraId="77617E43" w14:textId="77777777" w:rsidTr="00CB23C0">
        <w:trPr>
          <w:trHeight w:val="288"/>
        </w:trPr>
        <w:tc>
          <w:tcPr>
            <w:tcW w:w="1116" w:type="dxa"/>
            <w:noWrap/>
            <w:hideMark/>
          </w:tcPr>
          <w:p w14:paraId="3AE9A6DF"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Danilovgrad</w:t>
            </w:r>
          </w:p>
        </w:tc>
        <w:tc>
          <w:tcPr>
            <w:tcW w:w="634" w:type="dxa"/>
            <w:noWrap/>
            <w:hideMark/>
          </w:tcPr>
          <w:p w14:paraId="30B394E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7463235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21</w:t>
            </w:r>
          </w:p>
        </w:tc>
        <w:tc>
          <w:tcPr>
            <w:tcW w:w="634" w:type="dxa"/>
            <w:noWrap/>
            <w:hideMark/>
          </w:tcPr>
          <w:p w14:paraId="1A50F71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27</w:t>
            </w:r>
          </w:p>
        </w:tc>
        <w:tc>
          <w:tcPr>
            <w:tcW w:w="634" w:type="dxa"/>
            <w:noWrap/>
            <w:hideMark/>
          </w:tcPr>
          <w:p w14:paraId="2F23DF5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24</w:t>
            </w:r>
          </w:p>
        </w:tc>
        <w:tc>
          <w:tcPr>
            <w:tcW w:w="634" w:type="dxa"/>
            <w:noWrap/>
            <w:hideMark/>
          </w:tcPr>
          <w:p w14:paraId="0E3B9FA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28</w:t>
            </w:r>
          </w:p>
        </w:tc>
        <w:tc>
          <w:tcPr>
            <w:tcW w:w="634" w:type="dxa"/>
            <w:noWrap/>
            <w:hideMark/>
          </w:tcPr>
          <w:p w14:paraId="20680F4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531FC3B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04A3BC3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18784C1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5A0B09F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7489D76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719EE6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68DC9B3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723C9CF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1A5DE0A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1E815B4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6397E4D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55323C4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15</w:t>
            </w:r>
          </w:p>
        </w:tc>
        <w:tc>
          <w:tcPr>
            <w:tcW w:w="634" w:type="dxa"/>
            <w:noWrap/>
            <w:hideMark/>
          </w:tcPr>
          <w:p w14:paraId="03406B6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18</w:t>
            </w:r>
          </w:p>
        </w:tc>
        <w:tc>
          <w:tcPr>
            <w:tcW w:w="634" w:type="dxa"/>
            <w:noWrap/>
            <w:hideMark/>
          </w:tcPr>
          <w:p w14:paraId="5964496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18</w:t>
            </w:r>
          </w:p>
        </w:tc>
      </w:tr>
      <w:tr w:rsidR="00CB23C0" w:rsidRPr="00B35962" w14:paraId="2C1A8003" w14:textId="77777777" w:rsidTr="00CB23C0">
        <w:trPr>
          <w:trHeight w:val="288"/>
        </w:trPr>
        <w:tc>
          <w:tcPr>
            <w:tcW w:w="1116" w:type="dxa"/>
            <w:noWrap/>
            <w:hideMark/>
          </w:tcPr>
          <w:p w14:paraId="7235D2DD"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Herceg Novi</w:t>
            </w:r>
          </w:p>
        </w:tc>
        <w:tc>
          <w:tcPr>
            <w:tcW w:w="634" w:type="dxa"/>
            <w:noWrap/>
            <w:hideMark/>
          </w:tcPr>
          <w:p w14:paraId="15E7525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56</w:t>
            </w:r>
          </w:p>
        </w:tc>
        <w:tc>
          <w:tcPr>
            <w:tcW w:w="634" w:type="dxa"/>
            <w:noWrap/>
            <w:hideMark/>
          </w:tcPr>
          <w:p w14:paraId="664D7B6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58</w:t>
            </w:r>
          </w:p>
        </w:tc>
        <w:tc>
          <w:tcPr>
            <w:tcW w:w="634" w:type="dxa"/>
            <w:noWrap/>
            <w:hideMark/>
          </w:tcPr>
          <w:p w14:paraId="4585504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63</w:t>
            </w:r>
          </w:p>
        </w:tc>
        <w:tc>
          <w:tcPr>
            <w:tcW w:w="634" w:type="dxa"/>
            <w:noWrap/>
            <w:hideMark/>
          </w:tcPr>
          <w:p w14:paraId="26649BE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62</w:t>
            </w:r>
          </w:p>
        </w:tc>
        <w:tc>
          <w:tcPr>
            <w:tcW w:w="634" w:type="dxa"/>
            <w:noWrap/>
            <w:hideMark/>
          </w:tcPr>
          <w:p w14:paraId="7CBE32B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62</w:t>
            </w:r>
          </w:p>
        </w:tc>
        <w:tc>
          <w:tcPr>
            <w:tcW w:w="634" w:type="dxa"/>
            <w:noWrap/>
            <w:hideMark/>
          </w:tcPr>
          <w:p w14:paraId="27ACF7C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31AAE1B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03A2017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791E55B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1BCA5AF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3D11872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6479FA6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3688B74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35EB376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1BB8DE0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1E2B9A0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29</w:t>
            </w:r>
          </w:p>
        </w:tc>
        <w:tc>
          <w:tcPr>
            <w:tcW w:w="634" w:type="dxa"/>
            <w:noWrap/>
            <w:hideMark/>
          </w:tcPr>
          <w:p w14:paraId="09C1ABD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29</w:t>
            </w:r>
          </w:p>
        </w:tc>
        <w:tc>
          <w:tcPr>
            <w:tcW w:w="634" w:type="dxa"/>
            <w:noWrap/>
            <w:hideMark/>
          </w:tcPr>
          <w:p w14:paraId="65E9CC5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30</w:t>
            </w:r>
          </w:p>
        </w:tc>
        <w:tc>
          <w:tcPr>
            <w:tcW w:w="634" w:type="dxa"/>
            <w:noWrap/>
            <w:hideMark/>
          </w:tcPr>
          <w:p w14:paraId="5550134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31</w:t>
            </w:r>
          </w:p>
        </w:tc>
        <w:tc>
          <w:tcPr>
            <w:tcW w:w="634" w:type="dxa"/>
            <w:noWrap/>
            <w:hideMark/>
          </w:tcPr>
          <w:p w14:paraId="7C0021B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30</w:t>
            </w:r>
          </w:p>
        </w:tc>
      </w:tr>
      <w:tr w:rsidR="00CB23C0" w:rsidRPr="00B35962" w14:paraId="503F74B5" w14:textId="77777777" w:rsidTr="00CB23C0">
        <w:trPr>
          <w:trHeight w:val="288"/>
        </w:trPr>
        <w:tc>
          <w:tcPr>
            <w:tcW w:w="1116" w:type="dxa"/>
            <w:noWrap/>
            <w:hideMark/>
          </w:tcPr>
          <w:p w14:paraId="0FADC9C9"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Kolašin</w:t>
            </w:r>
          </w:p>
        </w:tc>
        <w:tc>
          <w:tcPr>
            <w:tcW w:w="634" w:type="dxa"/>
            <w:noWrap/>
            <w:hideMark/>
          </w:tcPr>
          <w:p w14:paraId="1922DD9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699ACA5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725103B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2909098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5ABE7B5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588EC4D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78237A0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040E12C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2AF4007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6DC1AAD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39C3F85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2E1BBDC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794D869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2E321BC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535FE2E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208F9FD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40F2D2B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3E8B973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0C3605A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0F83D99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r>
      <w:tr w:rsidR="00CB23C0" w:rsidRPr="00B35962" w14:paraId="1B480086" w14:textId="77777777" w:rsidTr="00CB23C0">
        <w:trPr>
          <w:trHeight w:val="288"/>
        </w:trPr>
        <w:tc>
          <w:tcPr>
            <w:tcW w:w="1116" w:type="dxa"/>
            <w:noWrap/>
            <w:hideMark/>
          </w:tcPr>
          <w:p w14:paraId="2D6D3173"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Kotor</w:t>
            </w:r>
          </w:p>
        </w:tc>
        <w:tc>
          <w:tcPr>
            <w:tcW w:w="634" w:type="dxa"/>
            <w:noWrap/>
            <w:hideMark/>
          </w:tcPr>
          <w:p w14:paraId="510EDF9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54</w:t>
            </w:r>
          </w:p>
        </w:tc>
        <w:tc>
          <w:tcPr>
            <w:tcW w:w="634" w:type="dxa"/>
            <w:noWrap/>
            <w:hideMark/>
          </w:tcPr>
          <w:p w14:paraId="42A59E3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51</w:t>
            </w:r>
          </w:p>
        </w:tc>
        <w:tc>
          <w:tcPr>
            <w:tcW w:w="634" w:type="dxa"/>
            <w:noWrap/>
            <w:hideMark/>
          </w:tcPr>
          <w:p w14:paraId="66B4954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54</w:t>
            </w:r>
          </w:p>
        </w:tc>
        <w:tc>
          <w:tcPr>
            <w:tcW w:w="634" w:type="dxa"/>
            <w:noWrap/>
            <w:hideMark/>
          </w:tcPr>
          <w:p w14:paraId="38D0909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53</w:t>
            </w:r>
          </w:p>
        </w:tc>
        <w:tc>
          <w:tcPr>
            <w:tcW w:w="634" w:type="dxa"/>
            <w:noWrap/>
            <w:hideMark/>
          </w:tcPr>
          <w:p w14:paraId="34473CE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52</w:t>
            </w:r>
          </w:p>
        </w:tc>
        <w:tc>
          <w:tcPr>
            <w:tcW w:w="634" w:type="dxa"/>
            <w:noWrap/>
            <w:hideMark/>
          </w:tcPr>
          <w:p w14:paraId="2BF9550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21</w:t>
            </w:r>
          </w:p>
        </w:tc>
        <w:tc>
          <w:tcPr>
            <w:tcW w:w="634" w:type="dxa"/>
            <w:noWrap/>
            <w:hideMark/>
          </w:tcPr>
          <w:p w14:paraId="173F838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7AA4817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1406B1E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w:t>
            </w:r>
          </w:p>
        </w:tc>
        <w:tc>
          <w:tcPr>
            <w:tcW w:w="634" w:type="dxa"/>
            <w:noWrap/>
            <w:hideMark/>
          </w:tcPr>
          <w:p w14:paraId="5FE2D8E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w:t>
            </w:r>
          </w:p>
        </w:tc>
        <w:tc>
          <w:tcPr>
            <w:tcW w:w="634" w:type="dxa"/>
            <w:noWrap/>
            <w:hideMark/>
          </w:tcPr>
          <w:p w14:paraId="1CA72F4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54CD236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5CD3651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34D9A17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1C14D72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68DF8F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w:t>
            </w:r>
          </w:p>
        </w:tc>
        <w:tc>
          <w:tcPr>
            <w:tcW w:w="634" w:type="dxa"/>
            <w:noWrap/>
            <w:hideMark/>
          </w:tcPr>
          <w:p w14:paraId="6F94C56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26</w:t>
            </w:r>
          </w:p>
        </w:tc>
        <w:tc>
          <w:tcPr>
            <w:tcW w:w="634" w:type="dxa"/>
            <w:noWrap/>
            <w:hideMark/>
          </w:tcPr>
          <w:p w14:paraId="396566D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27</w:t>
            </w:r>
          </w:p>
        </w:tc>
        <w:tc>
          <w:tcPr>
            <w:tcW w:w="634" w:type="dxa"/>
            <w:noWrap/>
            <w:hideMark/>
          </w:tcPr>
          <w:p w14:paraId="02282EE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26</w:t>
            </w:r>
          </w:p>
        </w:tc>
        <w:tc>
          <w:tcPr>
            <w:tcW w:w="634" w:type="dxa"/>
            <w:noWrap/>
            <w:hideMark/>
          </w:tcPr>
          <w:p w14:paraId="5A9B84F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26</w:t>
            </w:r>
          </w:p>
        </w:tc>
      </w:tr>
      <w:tr w:rsidR="00CB23C0" w:rsidRPr="00B35962" w14:paraId="504C1F11" w14:textId="77777777" w:rsidTr="00CB23C0">
        <w:trPr>
          <w:trHeight w:val="288"/>
        </w:trPr>
        <w:tc>
          <w:tcPr>
            <w:tcW w:w="1116" w:type="dxa"/>
            <w:noWrap/>
            <w:hideMark/>
          </w:tcPr>
          <w:p w14:paraId="3448DF89"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Mojkovac</w:t>
            </w:r>
          </w:p>
        </w:tc>
        <w:tc>
          <w:tcPr>
            <w:tcW w:w="634" w:type="dxa"/>
            <w:noWrap/>
            <w:hideMark/>
          </w:tcPr>
          <w:p w14:paraId="6AB44FD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22684A2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15F223A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054E4A7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278C2CD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47A1445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10C7B0B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57D2768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4019048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1ACFD52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3231541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2974F50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06E8666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1CAE6AD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6A45B4F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0F3D238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3789C9A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3C0A58B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73FB76F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1110E5C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r>
      <w:tr w:rsidR="00CB23C0" w:rsidRPr="00B35962" w14:paraId="2C64160D" w14:textId="77777777" w:rsidTr="00CB23C0">
        <w:trPr>
          <w:trHeight w:val="288"/>
        </w:trPr>
        <w:tc>
          <w:tcPr>
            <w:tcW w:w="1116" w:type="dxa"/>
            <w:noWrap/>
            <w:hideMark/>
          </w:tcPr>
          <w:p w14:paraId="1350C138"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Nikšić</w:t>
            </w:r>
          </w:p>
        </w:tc>
        <w:tc>
          <w:tcPr>
            <w:tcW w:w="634" w:type="dxa"/>
            <w:noWrap/>
            <w:hideMark/>
          </w:tcPr>
          <w:p w14:paraId="1C11465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133</w:t>
            </w:r>
          </w:p>
        </w:tc>
        <w:tc>
          <w:tcPr>
            <w:tcW w:w="634" w:type="dxa"/>
            <w:noWrap/>
            <w:hideMark/>
          </w:tcPr>
          <w:p w14:paraId="5DC4CFB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146</w:t>
            </w:r>
          </w:p>
        </w:tc>
        <w:tc>
          <w:tcPr>
            <w:tcW w:w="634" w:type="dxa"/>
            <w:noWrap/>
            <w:hideMark/>
          </w:tcPr>
          <w:p w14:paraId="6260DA2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153</w:t>
            </w:r>
          </w:p>
        </w:tc>
        <w:tc>
          <w:tcPr>
            <w:tcW w:w="634" w:type="dxa"/>
            <w:noWrap/>
            <w:hideMark/>
          </w:tcPr>
          <w:p w14:paraId="389EA32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167</w:t>
            </w:r>
          </w:p>
        </w:tc>
        <w:tc>
          <w:tcPr>
            <w:tcW w:w="634" w:type="dxa"/>
            <w:noWrap/>
            <w:hideMark/>
          </w:tcPr>
          <w:p w14:paraId="38E5C87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167</w:t>
            </w:r>
          </w:p>
        </w:tc>
        <w:tc>
          <w:tcPr>
            <w:tcW w:w="634" w:type="dxa"/>
            <w:noWrap/>
            <w:hideMark/>
          </w:tcPr>
          <w:p w14:paraId="62493B8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35</w:t>
            </w:r>
          </w:p>
        </w:tc>
        <w:tc>
          <w:tcPr>
            <w:tcW w:w="634" w:type="dxa"/>
            <w:noWrap/>
            <w:hideMark/>
          </w:tcPr>
          <w:p w14:paraId="2E7D74E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37</w:t>
            </w:r>
          </w:p>
        </w:tc>
        <w:tc>
          <w:tcPr>
            <w:tcW w:w="634" w:type="dxa"/>
            <w:noWrap/>
            <w:hideMark/>
          </w:tcPr>
          <w:p w14:paraId="1DFA60A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43</w:t>
            </w:r>
          </w:p>
        </w:tc>
        <w:tc>
          <w:tcPr>
            <w:tcW w:w="634" w:type="dxa"/>
            <w:noWrap/>
            <w:hideMark/>
          </w:tcPr>
          <w:p w14:paraId="295A393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56</w:t>
            </w:r>
          </w:p>
        </w:tc>
        <w:tc>
          <w:tcPr>
            <w:tcW w:w="634" w:type="dxa"/>
            <w:noWrap/>
            <w:hideMark/>
          </w:tcPr>
          <w:p w14:paraId="0550B67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55</w:t>
            </w:r>
          </w:p>
        </w:tc>
        <w:tc>
          <w:tcPr>
            <w:tcW w:w="634" w:type="dxa"/>
            <w:noWrap/>
            <w:hideMark/>
          </w:tcPr>
          <w:p w14:paraId="0474A66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0A20BFF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25706A6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64AFA45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413FDDF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4A342AF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44</w:t>
            </w:r>
          </w:p>
        </w:tc>
        <w:tc>
          <w:tcPr>
            <w:tcW w:w="634" w:type="dxa"/>
            <w:noWrap/>
            <w:hideMark/>
          </w:tcPr>
          <w:p w14:paraId="4E605F4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43</w:t>
            </w:r>
          </w:p>
        </w:tc>
        <w:tc>
          <w:tcPr>
            <w:tcW w:w="634" w:type="dxa"/>
            <w:noWrap/>
            <w:hideMark/>
          </w:tcPr>
          <w:p w14:paraId="6235018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41</w:t>
            </w:r>
          </w:p>
        </w:tc>
        <w:tc>
          <w:tcPr>
            <w:tcW w:w="634" w:type="dxa"/>
            <w:noWrap/>
            <w:hideMark/>
          </w:tcPr>
          <w:p w14:paraId="2689BD1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55</w:t>
            </w:r>
          </w:p>
        </w:tc>
        <w:tc>
          <w:tcPr>
            <w:tcW w:w="634" w:type="dxa"/>
            <w:noWrap/>
            <w:hideMark/>
          </w:tcPr>
          <w:p w14:paraId="0D27012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50</w:t>
            </w:r>
          </w:p>
        </w:tc>
      </w:tr>
      <w:tr w:rsidR="00CB23C0" w:rsidRPr="00B35962" w14:paraId="2ACF1457" w14:textId="77777777" w:rsidTr="00CB23C0">
        <w:trPr>
          <w:trHeight w:val="288"/>
        </w:trPr>
        <w:tc>
          <w:tcPr>
            <w:tcW w:w="1116" w:type="dxa"/>
            <w:noWrap/>
            <w:hideMark/>
          </w:tcPr>
          <w:p w14:paraId="16AEC53F"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Plav</w:t>
            </w:r>
          </w:p>
        </w:tc>
        <w:tc>
          <w:tcPr>
            <w:tcW w:w="634" w:type="dxa"/>
            <w:noWrap/>
            <w:hideMark/>
          </w:tcPr>
          <w:p w14:paraId="49D1B12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0C8689B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205D720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3BEBE31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6372ADF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4188855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2D7045A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472DED5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47F7073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6ADD607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c>
          <w:tcPr>
            <w:tcW w:w="634" w:type="dxa"/>
            <w:noWrap/>
            <w:hideMark/>
          </w:tcPr>
          <w:p w14:paraId="49CA7CA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781C571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72464AC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0DAF6EF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1E40B5E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338F0CE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11EFA7C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32055D2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12</w:t>
            </w:r>
          </w:p>
        </w:tc>
        <w:tc>
          <w:tcPr>
            <w:tcW w:w="634" w:type="dxa"/>
            <w:noWrap/>
            <w:hideMark/>
          </w:tcPr>
          <w:p w14:paraId="12D3A0C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w:t>
            </w:r>
          </w:p>
        </w:tc>
        <w:tc>
          <w:tcPr>
            <w:tcW w:w="634" w:type="dxa"/>
            <w:noWrap/>
            <w:hideMark/>
          </w:tcPr>
          <w:p w14:paraId="5BCB8C3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w:t>
            </w:r>
          </w:p>
        </w:tc>
      </w:tr>
      <w:tr w:rsidR="00CB23C0" w:rsidRPr="00B35962" w14:paraId="0B861061" w14:textId="77777777" w:rsidTr="00CB23C0">
        <w:trPr>
          <w:trHeight w:val="288"/>
        </w:trPr>
        <w:tc>
          <w:tcPr>
            <w:tcW w:w="1116" w:type="dxa"/>
            <w:noWrap/>
            <w:hideMark/>
          </w:tcPr>
          <w:p w14:paraId="654C18D5"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Pljevlja</w:t>
            </w:r>
          </w:p>
        </w:tc>
        <w:tc>
          <w:tcPr>
            <w:tcW w:w="634" w:type="dxa"/>
            <w:noWrap/>
            <w:hideMark/>
          </w:tcPr>
          <w:p w14:paraId="33618B4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30</w:t>
            </w:r>
          </w:p>
        </w:tc>
        <w:tc>
          <w:tcPr>
            <w:tcW w:w="634" w:type="dxa"/>
            <w:noWrap/>
            <w:hideMark/>
          </w:tcPr>
          <w:p w14:paraId="402A06B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32</w:t>
            </w:r>
          </w:p>
        </w:tc>
        <w:tc>
          <w:tcPr>
            <w:tcW w:w="634" w:type="dxa"/>
            <w:noWrap/>
            <w:hideMark/>
          </w:tcPr>
          <w:p w14:paraId="274FF94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36</w:t>
            </w:r>
          </w:p>
        </w:tc>
        <w:tc>
          <w:tcPr>
            <w:tcW w:w="634" w:type="dxa"/>
            <w:noWrap/>
            <w:hideMark/>
          </w:tcPr>
          <w:p w14:paraId="421B53D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42</w:t>
            </w:r>
          </w:p>
        </w:tc>
        <w:tc>
          <w:tcPr>
            <w:tcW w:w="634" w:type="dxa"/>
            <w:noWrap/>
            <w:hideMark/>
          </w:tcPr>
          <w:p w14:paraId="2D6B3AC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43</w:t>
            </w:r>
          </w:p>
        </w:tc>
        <w:tc>
          <w:tcPr>
            <w:tcW w:w="634" w:type="dxa"/>
            <w:noWrap/>
            <w:hideMark/>
          </w:tcPr>
          <w:p w14:paraId="05BB244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c>
          <w:tcPr>
            <w:tcW w:w="634" w:type="dxa"/>
            <w:noWrap/>
            <w:hideMark/>
          </w:tcPr>
          <w:p w14:paraId="776ADFC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c>
          <w:tcPr>
            <w:tcW w:w="634" w:type="dxa"/>
            <w:noWrap/>
            <w:hideMark/>
          </w:tcPr>
          <w:p w14:paraId="5A16B88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c>
          <w:tcPr>
            <w:tcW w:w="634" w:type="dxa"/>
            <w:noWrap/>
            <w:hideMark/>
          </w:tcPr>
          <w:p w14:paraId="34B286A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12</w:t>
            </w:r>
          </w:p>
        </w:tc>
        <w:tc>
          <w:tcPr>
            <w:tcW w:w="634" w:type="dxa"/>
            <w:noWrap/>
            <w:hideMark/>
          </w:tcPr>
          <w:p w14:paraId="3FE3E26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15</w:t>
            </w:r>
          </w:p>
        </w:tc>
        <w:tc>
          <w:tcPr>
            <w:tcW w:w="634" w:type="dxa"/>
            <w:noWrap/>
            <w:hideMark/>
          </w:tcPr>
          <w:p w14:paraId="24712BF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24B04C1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1A63F26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0756864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1D69074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148702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18</w:t>
            </w:r>
          </w:p>
        </w:tc>
        <w:tc>
          <w:tcPr>
            <w:tcW w:w="634" w:type="dxa"/>
            <w:noWrap/>
            <w:hideMark/>
          </w:tcPr>
          <w:p w14:paraId="330367B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w:t>
            </w:r>
          </w:p>
        </w:tc>
        <w:tc>
          <w:tcPr>
            <w:tcW w:w="634" w:type="dxa"/>
            <w:noWrap/>
            <w:hideMark/>
          </w:tcPr>
          <w:p w14:paraId="24AE2E9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20</w:t>
            </w:r>
          </w:p>
        </w:tc>
        <w:tc>
          <w:tcPr>
            <w:tcW w:w="634" w:type="dxa"/>
            <w:noWrap/>
            <w:hideMark/>
          </w:tcPr>
          <w:p w14:paraId="493D6A2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24</w:t>
            </w:r>
          </w:p>
        </w:tc>
        <w:tc>
          <w:tcPr>
            <w:tcW w:w="634" w:type="dxa"/>
            <w:noWrap/>
            <w:hideMark/>
          </w:tcPr>
          <w:p w14:paraId="541D850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w:t>
            </w:r>
          </w:p>
        </w:tc>
      </w:tr>
      <w:tr w:rsidR="00CB23C0" w:rsidRPr="00B35962" w14:paraId="75321EFC" w14:textId="77777777" w:rsidTr="00CB23C0">
        <w:trPr>
          <w:trHeight w:val="288"/>
        </w:trPr>
        <w:tc>
          <w:tcPr>
            <w:tcW w:w="1116" w:type="dxa"/>
            <w:noWrap/>
            <w:hideMark/>
          </w:tcPr>
          <w:p w14:paraId="312F05BF"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Plužine</w:t>
            </w:r>
          </w:p>
        </w:tc>
        <w:tc>
          <w:tcPr>
            <w:tcW w:w="634" w:type="dxa"/>
            <w:noWrap/>
            <w:hideMark/>
          </w:tcPr>
          <w:p w14:paraId="73FC462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301D2BB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6</w:t>
            </w:r>
          </w:p>
        </w:tc>
        <w:tc>
          <w:tcPr>
            <w:tcW w:w="634" w:type="dxa"/>
            <w:noWrap/>
            <w:hideMark/>
          </w:tcPr>
          <w:p w14:paraId="6A23505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67CD13C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417CD02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6C4927C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D86DF9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A3BB06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EEAC9B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0484B3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307A549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00B4BD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2C69590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089979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198A711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F20B63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26</w:t>
            </w:r>
          </w:p>
        </w:tc>
        <w:tc>
          <w:tcPr>
            <w:tcW w:w="634" w:type="dxa"/>
            <w:noWrap/>
            <w:hideMark/>
          </w:tcPr>
          <w:p w14:paraId="54FB9E1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24</w:t>
            </w:r>
          </w:p>
        </w:tc>
        <w:tc>
          <w:tcPr>
            <w:tcW w:w="634" w:type="dxa"/>
            <w:noWrap/>
            <w:hideMark/>
          </w:tcPr>
          <w:p w14:paraId="53EDD70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w:t>
            </w:r>
          </w:p>
        </w:tc>
        <w:tc>
          <w:tcPr>
            <w:tcW w:w="634" w:type="dxa"/>
            <w:noWrap/>
            <w:hideMark/>
          </w:tcPr>
          <w:p w14:paraId="665E806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28</w:t>
            </w:r>
          </w:p>
        </w:tc>
        <w:tc>
          <w:tcPr>
            <w:tcW w:w="634" w:type="dxa"/>
            <w:noWrap/>
            <w:hideMark/>
          </w:tcPr>
          <w:p w14:paraId="5271DCD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30</w:t>
            </w:r>
          </w:p>
        </w:tc>
      </w:tr>
      <w:tr w:rsidR="00CB23C0" w:rsidRPr="00B35962" w14:paraId="3510C8EF" w14:textId="77777777" w:rsidTr="00CB23C0">
        <w:trPr>
          <w:trHeight w:val="288"/>
        </w:trPr>
        <w:tc>
          <w:tcPr>
            <w:tcW w:w="1116" w:type="dxa"/>
            <w:noWrap/>
            <w:hideMark/>
          </w:tcPr>
          <w:p w14:paraId="1EDBA58E"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Podgorica</w:t>
            </w:r>
          </w:p>
        </w:tc>
        <w:tc>
          <w:tcPr>
            <w:tcW w:w="634" w:type="dxa"/>
            <w:noWrap/>
            <w:hideMark/>
          </w:tcPr>
          <w:p w14:paraId="6B6B03B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384</w:t>
            </w:r>
          </w:p>
        </w:tc>
        <w:tc>
          <w:tcPr>
            <w:tcW w:w="634" w:type="dxa"/>
            <w:noWrap/>
            <w:hideMark/>
          </w:tcPr>
          <w:p w14:paraId="037B4A9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401</w:t>
            </w:r>
          </w:p>
        </w:tc>
        <w:tc>
          <w:tcPr>
            <w:tcW w:w="634" w:type="dxa"/>
            <w:noWrap/>
            <w:hideMark/>
          </w:tcPr>
          <w:p w14:paraId="2BEA6B0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448</w:t>
            </w:r>
          </w:p>
        </w:tc>
        <w:tc>
          <w:tcPr>
            <w:tcW w:w="634" w:type="dxa"/>
            <w:noWrap/>
            <w:hideMark/>
          </w:tcPr>
          <w:p w14:paraId="5B1917B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483</w:t>
            </w:r>
          </w:p>
        </w:tc>
        <w:tc>
          <w:tcPr>
            <w:tcW w:w="634" w:type="dxa"/>
            <w:noWrap/>
            <w:hideMark/>
          </w:tcPr>
          <w:p w14:paraId="6CB0242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498</w:t>
            </w:r>
          </w:p>
        </w:tc>
        <w:tc>
          <w:tcPr>
            <w:tcW w:w="634" w:type="dxa"/>
            <w:noWrap/>
            <w:hideMark/>
          </w:tcPr>
          <w:p w14:paraId="3C6776A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165</w:t>
            </w:r>
          </w:p>
        </w:tc>
        <w:tc>
          <w:tcPr>
            <w:tcW w:w="634" w:type="dxa"/>
            <w:noWrap/>
            <w:hideMark/>
          </w:tcPr>
          <w:p w14:paraId="683FF55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192</w:t>
            </w:r>
          </w:p>
        </w:tc>
        <w:tc>
          <w:tcPr>
            <w:tcW w:w="634" w:type="dxa"/>
            <w:noWrap/>
            <w:hideMark/>
          </w:tcPr>
          <w:p w14:paraId="78B4743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232</w:t>
            </w:r>
          </w:p>
        </w:tc>
        <w:tc>
          <w:tcPr>
            <w:tcW w:w="634" w:type="dxa"/>
            <w:noWrap/>
            <w:hideMark/>
          </w:tcPr>
          <w:p w14:paraId="3DDBE2E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250</w:t>
            </w:r>
          </w:p>
        </w:tc>
        <w:tc>
          <w:tcPr>
            <w:tcW w:w="634" w:type="dxa"/>
            <w:noWrap/>
            <w:hideMark/>
          </w:tcPr>
          <w:p w14:paraId="379CD8A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281</w:t>
            </w:r>
          </w:p>
        </w:tc>
        <w:tc>
          <w:tcPr>
            <w:tcW w:w="634" w:type="dxa"/>
            <w:noWrap/>
            <w:hideMark/>
          </w:tcPr>
          <w:p w14:paraId="172FD6C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215084C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2902043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12</w:t>
            </w:r>
          </w:p>
        </w:tc>
        <w:tc>
          <w:tcPr>
            <w:tcW w:w="634" w:type="dxa"/>
            <w:noWrap/>
            <w:hideMark/>
          </w:tcPr>
          <w:p w14:paraId="4D68372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32189B1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7502F64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190</w:t>
            </w:r>
          </w:p>
        </w:tc>
        <w:tc>
          <w:tcPr>
            <w:tcW w:w="634" w:type="dxa"/>
            <w:noWrap/>
            <w:hideMark/>
          </w:tcPr>
          <w:p w14:paraId="0DB0019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195</w:t>
            </w:r>
          </w:p>
        </w:tc>
        <w:tc>
          <w:tcPr>
            <w:tcW w:w="634" w:type="dxa"/>
            <w:noWrap/>
            <w:hideMark/>
          </w:tcPr>
          <w:p w14:paraId="34394C5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221</w:t>
            </w:r>
          </w:p>
        </w:tc>
        <w:tc>
          <w:tcPr>
            <w:tcW w:w="634" w:type="dxa"/>
            <w:noWrap/>
            <w:hideMark/>
          </w:tcPr>
          <w:p w14:paraId="153209E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248</w:t>
            </w:r>
          </w:p>
        </w:tc>
        <w:tc>
          <w:tcPr>
            <w:tcW w:w="634" w:type="dxa"/>
            <w:noWrap/>
            <w:hideMark/>
          </w:tcPr>
          <w:p w14:paraId="3BB1F50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253</w:t>
            </w:r>
          </w:p>
        </w:tc>
      </w:tr>
      <w:tr w:rsidR="00CB23C0" w:rsidRPr="00B35962" w14:paraId="73D36819" w14:textId="77777777" w:rsidTr="00CB23C0">
        <w:trPr>
          <w:trHeight w:val="288"/>
        </w:trPr>
        <w:tc>
          <w:tcPr>
            <w:tcW w:w="1116" w:type="dxa"/>
            <w:noWrap/>
            <w:hideMark/>
          </w:tcPr>
          <w:p w14:paraId="5FF93AAF"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Rožaje</w:t>
            </w:r>
          </w:p>
        </w:tc>
        <w:tc>
          <w:tcPr>
            <w:tcW w:w="634" w:type="dxa"/>
            <w:noWrap/>
            <w:hideMark/>
          </w:tcPr>
          <w:p w14:paraId="774D3ED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12</w:t>
            </w:r>
          </w:p>
        </w:tc>
        <w:tc>
          <w:tcPr>
            <w:tcW w:w="634" w:type="dxa"/>
            <w:noWrap/>
            <w:hideMark/>
          </w:tcPr>
          <w:p w14:paraId="696F995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795A681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1C58DB4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21</w:t>
            </w:r>
          </w:p>
        </w:tc>
        <w:tc>
          <w:tcPr>
            <w:tcW w:w="634" w:type="dxa"/>
            <w:noWrap/>
            <w:hideMark/>
          </w:tcPr>
          <w:p w14:paraId="17E11C3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w:t>
            </w:r>
          </w:p>
        </w:tc>
        <w:tc>
          <w:tcPr>
            <w:tcW w:w="634" w:type="dxa"/>
            <w:noWrap/>
            <w:hideMark/>
          </w:tcPr>
          <w:p w14:paraId="320459A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6BEF1B5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4EF834F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2313C9B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7</w:t>
            </w:r>
          </w:p>
        </w:tc>
        <w:tc>
          <w:tcPr>
            <w:tcW w:w="634" w:type="dxa"/>
            <w:noWrap/>
            <w:hideMark/>
          </w:tcPr>
          <w:p w14:paraId="492DFB85"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0417043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0208B4B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23091C4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2F8DD2A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ED7A78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244170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6935428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8</w:t>
            </w:r>
          </w:p>
        </w:tc>
        <w:tc>
          <w:tcPr>
            <w:tcW w:w="634" w:type="dxa"/>
            <w:noWrap/>
            <w:hideMark/>
          </w:tcPr>
          <w:p w14:paraId="3B46626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c>
          <w:tcPr>
            <w:tcW w:w="634" w:type="dxa"/>
            <w:noWrap/>
            <w:hideMark/>
          </w:tcPr>
          <w:p w14:paraId="163AD59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9</w:t>
            </w:r>
          </w:p>
        </w:tc>
        <w:tc>
          <w:tcPr>
            <w:tcW w:w="634" w:type="dxa"/>
            <w:noWrap/>
            <w:hideMark/>
          </w:tcPr>
          <w:p w14:paraId="6A204A6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r>
      <w:tr w:rsidR="00CB23C0" w:rsidRPr="00B35962" w14:paraId="30FDEB33" w14:textId="77777777" w:rsidTr="00CB23C0">
        <w:trPr>
          <w:trHeight w:val="288"/>
        </w:trPr>
        <w:tc>
          <w:tcPr>
            <w:tcW w:w="1116" w:type="dxa"/>
            <w:noWrap/>
            <w:hideMark/>
          </w:tcPr>
          <w:p w14:paraId="104D6BA4"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Tivat</w:t>
            </w:r>
          </w:p>
        </w:tc>
        <w:tc>
          <w:tcPr>
            <w:tcW w:w="634" w:type="dxa"/>
            <w:noWrap/>
            <w:hideMark/>
          </w:tcPr>
          <w:p w14:paraId="05271D1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35</w:t>
            </w:r>
          </w:p>
        </w:tc>
        <w:tc>
          <w:tcPr>
            <w:tcW w:w="634" w:type="dxa"/>
            <w:noWrap/>
            <w:hideMark/>
          </w:tcPr>
          <w:p w14:paraId="4892C84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34</w:t>
            </w:r>
          </w:p>
        </w:tc>
        <w:tc>
          <w:tcPr>
            <w:tcW w:w="634" w:type="dxa"/>
            <w:noWrap/>
            <w:hideMark/>
          </w:tcPr>
          <w:p w14:paraId="421A20F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37</w:t>
            </w:r>
          </w:p>
        </w:tc>
        <w:tc>
          <w:tcPr>
            <w:tcW w:w="634" w:type="dxa"/>
            <w:noWrap/>
            <w:hideMark/>
          </w:tcPr>
          <w:p w14:paraId="7F70518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38</w:t>
            </w:r>
          </w:p>
        </w:tc>
        <w:tc>
          <w:tcPr>
            <w:tcW w:w="634" w:type="dxa"/>
            <w:noWrap/>
            <w:hideMark/>
          </w:tcPr>
          <w:p w14:paraId="12F50DD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38</w:t>
            </w:r>
          </w:p>
        </w:tc>
        <w:tc>
          <w:tcPr>
            <w:tcW w:w="634" w:type="dxa"/>
            <w:noWrap/>
            <w:hideMark/>
          </w:tcPr>
          <w:p w14:paraId="5E211B4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13</w:t>
            </w:r>
          </w:p>
        </w:tc>
        <w:tc>
          <w:tcPr>
            <w:tcW w:w="634" w:type="dxa"/>
            <w:noWrap/>
            <w:hideMark/>
          </w:tcPr>
          <w:p w14:paraId="371FECF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18</w:t>
            </w:r>
          </w:p>
        </w:tc>
        <w:tc>
          <w:tcPr>
            <w:tcW w:w="634" w:type="dxa"/>
            <w:noWrap/>
            <w:hideMark/>
          </w:tcPr>
          <w:p w14:paraId="5ED1F9A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16</w:t>
            </w:r>
          </w:p>
        </w:tc>
        <w:tc>
          <w:tcPr>
            <w:tcW w:w="634" w:type="dxa"/>
            <w:noWrap/>
            <w:hideMark/>
          </w:tcPr>
          <w:p w14:paraId="38641BB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738737D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2575BAC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308A1F9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3DEB5E9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0997B1A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1B87FAE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4AB0A36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19</w:t>
            </w:r>
          </w:p>
        </w:tc>
        <w:tc>
          <w:tcPr>
            <w:tcW w:w="634" w:type="dxa"/>
            <w:noWrap/>
            <w:hideMark/>
          </w:tcPr>
          <w:p w14:paraId="757A084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26</w:t>
            </w:r>
          </w:p>
        </w:tc>
        <w:tc>
          <w:tcPr>
            <w:tcW w:w="634" w:type="dxa"/>
            <w:noWrap/>
            <w:hideMark/>
          </w:tcPr>
          <w:p w14:paraId="659B6AE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w:t>
            </w:r>
          </w:p>
        </w:tc>
        <w:tc>
          <w:tcPr>
            <w:tcW w:w="634" w:type="dxa"/>
            <w:noWrap/>
            <w:hideMark/>
          </w:tcPr>
          <w:p w14:paraId="1661BA5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24</w:t>
            </w:r>
          </w:p>
        </w:tc>
        <w:tc>
          <w:tcPr>
            <w:tcW w:w="634" w:type="dxa"/>
            <w:noWrap/>
            <w:hideMark/>
          </w:tcPr>
          <w:p w14:paraId="3E35CCC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w:t>
            </w:r>
          </w:p>
        </w:tc>
      </w:tr>
      <w:tr w:rsidR="00CB23C0" w:rsidRPr="00B35962" w14:paraId="5D8F18B2" w14:textId="77777777" w:rsidTr="00CB23C0">
        <w:trPr>
          <w:trHeight w:val="288"/>
        </w:trPr>
        <w:tc>
          <w:tcPr>
            <w:tcW w:w="1116" w:type="dxa"/>
            <w:noWrap/>
            <w:hideMark/>
          </w:tcPr>
          <w:p w14:paraId="1834D580"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Ulcinj</w:t>
            </w:r>
          </w:p>
        </w:tc>
        <w:tc>
          <w:tcPr>
            <w:tcW w:w="634" w:type="dxa"/>
            <w:noWrap/>
            <w:hideMark/>
          </w:tcPr>
          <w:p w14:paraId="3DEF5E6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23</w:t>
            </w:r>
          </w:p>
        </w:tc>
        <w:tc>
          <w:tcPr>
            <w:tcW w:w="634" w:type="dxa"/>
            <w:noWrap/>
            <w:hideMark/>
          </w:tcPr>
          <w:p w14:paraId="2305532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28</w:t>
            </w:r>
          </w:p>
        </w:tc>
        <w:tc>
          <w:tcPr>
            <w:tcW w:w="634" w:type="dxa"/>
            <w:noWrap/>
            <w:hideMark/>
          </w:tcPr>
          <w:p w14:paraId="1E54192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25</w:t>
            </w:r>
          </w:p>
        </w:tc>
        <w:tc>
          <w:tcPr>
            <w:tcW w:w="634" w:type="dxa"/>
            <w:noWrap/>
            <w:hideMark/>
          </w:tcPr>
          <w:p w14:paraId="1B5584B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29</w:t>
            </w:r>
          </w:p>
        </w:tc>
        <w:tc>
          <w:tcPr>
            <w:tcW w:w="634" w:type="dxa"/>
            <w:noWrap/>
            <w:hideMark/>
          </w:tcPr>
          <w:p w14:paraId="3AD07BD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36</w:t>
            </w:r>
          </w:p>
        </w:tc>
        <w:tc>
          <w:tcPr>
            <w:tcW w:w="634" w:type="dxa"/>
            <w:noWrap/>
            <w:hideMark/>
          </w:tcPr>
          <w:p w14:paraId="6B2C3634"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1A286B3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4</w:t>
            </w:r>
          </w:p>
        </w:tc>
        <w:tc>
          <w:tcPr>
            <w:tcW w:w="634" w:type="dxa"/>
            <w:noWrap/>
            <w:hideMark/>
          </w:tcPr>
          <w:p w14:paraId="1BA50BD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3</w:t>
            </w:r>
          </w:p>
        </w:tc>
        <w:tc>
          <w:tcPr>
            <w:tcW w:w="634" w:type="dxa"/>
            <w:noWrap/>
            <w:hideMark/>
          </w:tcPr>
          <w:p w14:paraId="25C43D8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747938A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5</w:t>
            </w:r>
          </w:p>
        </w:tc>
        <w:tc>
          <w:tcPr>
            <w:tcW w:w="634" w:type="dxa"/>
            <w:noWrap/>
            <w:hideMark/>
          </w:tcPr>
          <w:p w14:paraId="697EA1D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3A1308F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074C12D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0C7ADE6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60B1EBC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24AF288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6EB1B65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32AC89B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202BD2D3"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11</w:t>
            </w:r>
          </w:p>
        </w:tc>
        <w:tc>
          <w:tcPr>
            <w:tcW w:w="634" w:type="dxa"/>
            <w:noWrap/>
            <w:hideMark/>
          </w:tcPr>
          <w:p w14:paraId="4C43BBF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12</w:t>
            </w:r>
          </w:p>
        </w:tc>
      </w:tr>
      <w:tr w:rsidR="00CB23C0" w:rsidRPr="00B35962" w14:paraId="4D7A4287" w14:textId="77777777" w:rsidTr="00CB23C0">
        <w:trPr>
          <w:trHeight w:val="288"/>
        </w:trPr>
        <w:tc>
          <w:tcPr>
            <w:tcW w:w="1116" w:type="dxa"/>
            <w:noWrap/>
            <w:hideMark/>
          </w:tcPr>
          <w:p w14:paraId="55B34B51" w14:textId="77777777" w:rsidR="00CB23C0" w:rsidRPr="00B35962" w:rsidRDefault="00CB23C0" w:rsidP="00CB23C0">
            <w:pPr>
              <w:ind w:firstLine="0"/>
              <w:jc w:val="left"/>
              <w:rPr>
                <w:rFonts w:eastAsia="Times New Roman"/>
                <w:color w:val="000000"/>
                <w:sz w:val="18"/>
                <w:szCs w:val="18"/>
                <w:lang w:val="sr-Latn-ME"/>
              </w:rPr>
            </w:pPr>
            <w:r w:rsidRPr="00B35962">
              <w:rPr>
                <w:rFonts w:eastAsia="Times New Roman"/>
                <w:color w:val="000000"/>
                <w:sz w:val="18"/>
                <w:szCs w:val="18"/>
                <w:lang w:val="sr-Latn-ME"/>
              </w:rPr>
              <w:t>Šavnik</w:t>
            </w:r>
          </w:p>
        </w:tc>
        <w:tc>
          <w:tcPr>
            <w:tcW w:w="634" w:type="dxa"/>
            <w:noWrap/>
            <w:hideMark/>
          </w:tcPr>
          <w:p w14:paraId="5A5D366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4FD987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FCECEC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BE0191D"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6F303F6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2</w:t>
            </w:r>
          </w:p>
        </w:tc>
        <w:tc>
          <w:tcPr>
            <w:tcW w:w="634" w:type="dxa"/>
            <w:noWrap/>
            <w:hideMark/>
          </w:tcPr>
          <w:p w14:paraId="28FE4D42"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3EE69ED7"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30686AF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30DD06F6"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2A60D4CC"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5FD0703F"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5A6F0E6E"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0</w:t>
            </w:r>
          </w:p>
        </w:tc>
        <w:tc>
          <w:tcPr>
            <w:tcW w:w="634" w:type="dxa"/>
            <w:noWrap/>
            <w:hideMark/>
          </w:tcPr>
          <w:p w14:paraId="7189813A"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432F8428"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10EDD690"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w:t>
            </w:r>
          </w:p>
        </w:tc>
        <w:tc>
          <w:tcPr>
            <w:tcW w:w="634" w:type="dxa"/>
            <w:noWrap/>
            <w:hideMark/>
          </w:tcPr>
          <w:p w14:paraId="0F4D189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10</w:t>
            </w:r>
          </w:p>
        </w:tc>
        <w:tc>
          <w:tcPr>
            <w:tcW w:w="634" w:type="dxa"/>
            <w:noWrap/>
            <w:hideMark/>
          </w:tcPr>
          <w:p w14:paraId="1BB5679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19540D09"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c>
          <w:tcPr>
            <w:tcW w:w="634" w:type="dxa"/>
            <w:noWrap/>
            <w:hideMark/>
          </w:tcPr>
          <w:p w14:paraId="4884CB71"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15</w:t>
            </w:r>
          </w:p>
        </w:tc>
        <w:tc>
          <w:tcPr>
            <w:tcW w:w="634" w:type="dxa"/>
            <w:noWrap/>
            <w:hideMark/>
          </w:tcPr>
          <w:p w14:paraId="297D783B" w14:textId="77777777" w:rsidR="00CB23C0" w:rsidRPr="00B35962" w:rsidRDefault="00CB23C0" w:rsidP="00CB23C0">
            <w:pPr>
              <w:ind w:firstLine="0"/>
              <w:jc w:val="right"/>
              <w:rPr>
                <w:rFonts w:eastAsia="Times New Roman"/>
                <w:color w:val="000000"/>
                <w:sz w:val="18"/>
                <w:szCs w:val="18"/>
                <w:lang w:val="sr-Latn-ME"/>
              </w:rPr>
            </w:pPr>
            <w:r w:rsidRPr="00B35962">
              <w:rPr>
                <w:rFonts w:eastAsia="Times New Roman"/>
                <w:color w:val="000000"/>
                <w:sz w:val="18"/>
                <w:szCs w:val="18"/>
                <w:lang w:val="sr-Latn-ME"/>
              </w:rPr>
              <w:t>14</w:t>
            </w:r>
          </w:p>
        </w:tc>
      </w:tr>
      <w:tr w:rsidR="00CB23C0" w:rsidRPr="00B35962" w14:paraId="402E0163" w14:textId="77777777" w:rsidTr="00CB23C0">
        <w:trPr>
          <w:trHeight w:val="288"/>
        </w:trPr>
        <w:tc>
          <w:tcPr>
            <w:tcW w:w="1116" w:type="dxa"/>
            <w:noWrap/>
            <w:hideMark/>
          </w:tcPr>
          <w:p w14:paraId="66571FBD" w14:textId="77777777" w:rsidR="00CB23C0" w:rsidRPr="00B35962" w:rsidRDefault="00CB23C0" w:rsidP="00CB23C0">
            <w:pPr>
              <w:ind w:firstLine="0"/>
              <w:jc w:val="left"/>
              <w:rPr>
                <w:rFonts w:eastAsia="Times New Roman"/>
                <w:b/>
                <w:bCs/>
                <w:color w:val="000000"/>
                <w:sz w:val="18"/>
                <w:szCs w:val="18"/>
                <w:lang w:val="sr-Latn-ME"/>
              </w:rPr>
            </w:pPr>
            <w:r w:rsidRPr="00B35962">
              <w:rPr>
                <w:rFonts w:eastAsia="Times New Roman"/>
                <w:b/>
                <w:bCs/>
                <w:color w:val="000000"/>
                <w:sz w:val="18"/>
                <w:szCs w:val="18"/>
                <w:lang w:val="sr-Latn-ME"/>
              </w:rPr>
              <w:t>Ukupno</w:t>
            </w:r>
          </w:p>
        </w:tc>
        <w:tc>
          <w:tcPr>
            <w:tcW w:w="634" w:type="dxa"/>
            <w:noWrap/>
            <w:hideMark/>
          </w:tcPr>
          <w:p w14:paraId="376988AD"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1015</w:t>
            </w:r>
          </w:p>
        </w:tc>
        <w:tc>
          <w:tcPr>
            <w:tcW w:w="634" w:type="dxa"/>
            <w:noWrap/>
            <w:hideMark/>
          </w:tcPr>
          <w:p w14:paraId="66AD27B7"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1056</w:t>
            </w:r>
          </w:p>
        </w:tc>
        <w:tc>
          <w:tcPr>
            <w:tcW w:w="634" w:type="dxa"/>
            <w:noWrap/>
            <w:hideMark/>
          </w:tcPr>
          <w:p w14:paraId="1BD993A4"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1166</w:t>
            </w:r>
          </w:p>
        </w:tc>
        <w:tc>
          <w:tcPr>
            <w:tcW w:w="634" w:type="dxa"/>
            <w:noWrap/>
            <w:hideMark/>
          </w:tcPr>
          <w:p w14:paraId="0501AD3C"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1233</w:t>
            </w:r>
          </w:p>
        </w:tc>
        <w:tc>
          <w:tcPr>
            <w:tcW w:w="634" w:type="dxa"/>
            <w:noWrap/>
            <w:hideMark/>
          </w:tcPr>
          <w:p w14:paraId="2C5F822F"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1290</w:t>
            </w:r>
          </w:p>
        </w:tc>
        <w:tc>
          <w:tcPr>
            <w:tcW w:w="634" w:type="dxa"/>
            <w:noWrap/>
            <w:hideMark/>
          </w:tcPr>
          <w:p w14:paraId="6711FF11"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357</w:t>
            </w:r>
          </w:p>
        </w:tc>
        <w:tc>
          <w:tcPr>
            <w:tcW w:w="634" w:type="dxa"/>
            <w:noWrap/>
            <w:hideMark/>
          </w:tcPr>
          <w:p w14:paraId="38731FA5"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397</w:t>
            </w:r>
          </w:p>
        </w:tc>
        <w:tc>
          <w:tcPr>
            <w:tcW w:w="634" w:type="dxa"/>
            <w:noWrap/>
            <w:hideMark/>
          </w:tcPr>
          <w:p w14:paraId="3391C912"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456</w:t>
            </w:r>
          </w:p>
        </w:tc>
        <w:tc>
          <w:tcPr>
            <w:tcW w:w="634" w:type="dxa"/>
            <w:noWrap/>
            <w:hideMark/>
          </w:tcPr>
          <w:p w14:paraId="7ADB7FFE"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516</w:t>
            </w:r>
          </w:p>
        </w:tc>
        <w:tc>
          <w:tcPr>
            <w:tcW w:w="634" w:type="dxa"/>
            <w:noWrap/>
            <w:hideMark/>
          </w:tcPr>
          <w:p w14:paraId="51CA25EA"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572</w:t>
            </w:r>
          </w:p>
        </w:tc>
        <w:tc>
          <w:tcPr>
            <w:tcW w:w="634" w:type="dxa"/>
            <w:noWrap/>
            <w:hideMark/>
          </w:tcPr>
          <w:p w14:paraId="531D588D"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34</w:t>
            </w:r>
          </w:p>
        </w:tc>
        <w:tc>
          <w:tcPr>
            <w:tcW w:w="634" w:type="dxa"/>
            <w:noWrap/>
            <w:hideMark/>
          </w:tcPr>
          <w:p w14:paraId="27DAEB32"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41</w:t>
            </w:r>
          </w:p>
        </w:tc>
        <w:tc>
          <w:tcPr>
            <w:tcW w:w="634" w:type="dxa"/>
            <w:noWrap/>
            <w:hideMark/>
          </w:tcPr>
          <w:p w14:paraId="147DAC11"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43</w:t>
            </w:r>
          </w:p>
        </w:tc>
        <w:tc>
          <w:tcPr>
            <w:tcW w:w="634" w:type="dxa"/>
            <w:noWrap/>
            <w:hideMark/>
          </w:tcPr>
          <w:p w14:paraId="343EC5EB"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47</w:t>
            </w:r>
          </w:p>
        </w:tc>
        <w:tc>
          <w:tcPr>
            <w:tcW w:w="634" w:type="dxa"/>
            <w:noWrap/>
            <w:hideMark/>
          </w:tcPr>
          <w:p w14:paraId="673B959F"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49</w:t>
            </w:r>
          </w:p>
        </w:tc>
        <w:tc>
          <w:tcPr>
            <w:tcW w:w="634" w:type="dxa"/>
            <w:noWrap/>
            <w:hideMark/>
          </w:tcPr>
          <w:p w14:paraId="73E7D903"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559</w:t>
            </w:r>
          </w:p>
        </w:tc>
        <w:tc>
          <w:tcPr>
            <w:tcW w:w="634" w:type="dxa"/>
            <w:noWrap/>
            <w:hideMark/>
          </w:tcPr>
          <w:p w14:paraId="207D49A5"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574</w:t>
            </w:r>
          </w:p>
        </w:tc>
        <w:tc>
          <w:tcPr>
            <w:tcW w:w="634" w:type="dxa"/>
            <w:noWrap/>
            <w:hideMark/>
          </w:tcPr>
          <w:p w14:paraId="017EF4AB"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612</w:t>
            </w:r>
          </w:p>
        </w:tc>
        <w:tc>
          <w:tcPr>
            <w:tcW w:w="634" w:type="dxa"/>
            <w:noWrap/>
            <w:hideMark/>
          </w:tcPr>
          <w:p w14:paraId="7E7D00A9"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673</w:t>
            </w:r>
          </w:p>
        </w:tc>
        <w:tc>
          <w:tcPr>
            <w:tcW w:w="634" w:type="dxa"/>
            <w:noWrap/>
            <w:hideMark/>
          </w:tcPr>
          <w:p w14:paraId="1C8F4A9C" w14:textId="77777777" w:rsidR="00CB23C0" w:rsidRPr="00B35962" w:rsidRDefault="00CB23C0" w:rsidP="00CB23C0">
            <w:pPr>
              <w:ind w:firstLine="0"/>
              <w:jc w:val="right"/>
              <w:rPr>
                <w:rFonts w:eastAsia="Times New Roman"/>
                <w:b/>
                <w:bCs/>
                <w:color w:val="000000"/>
                <w:sz w:val="18"/>
                <w:szCs w:val="18"/>
                <w:lang w:val="sr-Latn-ME"/>
              </w:rPr>
            </w:pPr>
            <w:r w:rsidRPr="00B35962">
              <w:rPr>
                <w:rFonts w:eastAsia="Times New Roman"/>
                <w:b/>
                <w:bCs/>
                <w:color w:val="000000"/>
                <w:sz w:val="18"/>
                <w:szCs w:val="18"/>
                <w:lang w:val="sr-Latn-ME"/>
              </w:rPr>
              <w:t>682</w:t>
            </w:r>
          </w:p>
        </w:tc>
      </w:tr>
    </w:tbl>
    <w:p w14:paraId="3FF80E14" w14:textId="70E2D1E1" w:rsidR="00FD4FFF" w:rsidRPr="00B35962" w:rsidRDefault="00FD4FFF" w:rsidP="00CB23C0">
      <w:pPr>
        <w:ind w:firstLine="0"/>
        <w:rPr>
          <w:lang w:val="sr-Latn-ME"/>
        </w:rPr>
      </w:pPr>
    </w:p>
    <w:p w14:paraId="7402214F" w14:textId="7C7F94A2" w:rsidR="0066035E" w:rsidRPr="00B35962" w:rsidRDefault="0066035E" w:rsidP="00517F30">
      <w:pPr>
        <w:spacing w:after="160"/>
        <w:ind w:firstLine="0"/>
        <w:rPr>
          <w:lang w:val="sr-Latn-ME"/>
        </w:rPr>
      </w:pPr>
    </w:p>
    <w:sectPr w:rsidR="0066035E" w:rsidRPr="00B35962" w:rsidSect="00406816">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DED5" w14:textId="77777777" w:rsidR="00CA0A28" w:rsidRDefault="00CA0A28" w:rsidP="002C0493">
      <w:pPr>
        <w:spacing w:line="240" w:lineRule="auto"/>
      </w:pPr>
      <w:r>
        <w:separator/>
      </w:r>
    </w:p>
  </w:endnote>
  <w:endnote w:type="continuationSeparator" w:id="0">
    <w:p w14:paraId="6C8D3745" w14:textId="77777777" w:rsidR="00CA0A28" w:rsidRDefault="00CA0A28" w:rsidP="002C0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037838"/>
      <w:docPartObj>
        <w:docPartGallery w:val="Page Numbers (Bottom of Page)"/>
        <w:docPartUnique/>
      </w:docPartObj>
    </w:sdtPr>
    <w:sdtEndPr>
      <w:rPr>
        <w:noProof/>
        <w:sz w:val="20"/>
        <w:szCs w:val="20"/>
      </w:rPr>
    </w:sdtEndPr>
    <w:sdtContent>
      <w:p w14:paraId="4FBA0DB8" w14:textId="5F604F9E" w:rsidR="00A26247" w:rsidRPr="00315587" w:rsidRDefault="00A26247">
        <w:pPr>
          <w:pStyle w:val="Footer"/>
          <w:jc w:val="center"/>
          <w:rPr>
            <w:sz w:val="20"/>
            <w:szCs w:val="20"/>
          </w:rPr>
        </w:pPr>
        <w:r w:rsidRPr="00315587">
          <w:rPr>
            <w:sz w:val="20"/>
            <w:szCs w:val="20"/>
          </w:rPr>
          <w:fldChar w:fldCharType="begin"/>
        </w:r>
        <w:r w:rsidRPr="00315587">
          <w:rPr>
            <w:sz w:val="20"/>
            <w:szCs w:val="20"/>
          </w:rPr>
          <w:instrText xml:space="preserve"> PAGE   \* MERGEFORMAT </w:instrText>
        </w:r>
        <w:r w:rsidRPr="00315587">
          <w:rPr>
            <w:sz w:val="20"/>
            <w:szCs w:val="20"/>
          </w:rPr>
          <w:fldChar w:fldCharType="separate"/>
        </w:r>
        <w:r w:rsidR="00D2252E">
          <w:rPr>
            <w:noProof/>
            <w:sz w:val="20"/>
            <w:szCs w:val="20"/>
          </w:rPr>
          <w:t>1</w:t>
        </w:r>
        <w:r w:rsidRPr="00315587">
          <w:rPr>
            <w:noProof/>
            <w:sz w:val="20"/>
            <w:szCs w:val="20"/>
          </w:rPr>
          <w:fldChar w:fldCharType="end"/>
        </w:r>
      </w:p>
    </w:sdtContent>
  </w:sdt>
  <w:p w14:paraId="2FAD3678" w14:textId="77777777" w:rsidR="00A26247" w:rsidRDefault="00A2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88D1" w14:textId="77777777" w:rsidR="00CA0A28" w:rsidRDefault="00CA0A28" w:rsidP="002C0493">
      <w:pPr>
        <w:spacing w:line="240" w:lineRule="auto"/>
      </w:pPr>
      <w:r>
        <w:separator/>
      </w:r>
    </w:p>
  </w:footnote>
  <w:footnote w:type="continuationSeparator" w:id="0">
    <w:p w14:paraId="5557579E" w14:textId="77777777" w:rsidR="00CA0A28" w:rsidRDefault="00CA0A28" w:rsidP="002C0493">
      <w:pPr>
        <w:spacing w:line="240" w:lineRule="auto"/>
      </w:pPr>
      <w:r>
        <w:continuationSeparator/>
      </w:r>
    </w:p>
  </w:footnote>
  <w:footnote w:id="1">
    <w:p w14:paraId="3002DD70" w14:textId="77777777" w:rsidR="00A26247" w:rsidRPr="0030781B" w:rsidRDefault="00A26247" w:rsidP="002C0493">
      <w:pPr>
        <w:pStyle w:val="FootnoteText"/>
        <w:ind w:firstLine="0"/>
        <w:rPr>
          <w:lang w:val="sr-Latn-ME"/>
        </w:rPr>
      </w:pPr>
      <w:r>
        <w:rPr>
          <w:rStyle w:val="FootnoteReference"/>
        </w:rPr>
        <w:footnoteRef/>
      </w:r>
      <w:r>
        <w:t xml:space="preserve"> </w:t>
      </w:r>
      <w:r w:rsidRPr="0030781B">
        <w:rPr>
          <w:lang w:val="sr-Latn-ME"/>
        </w:rPr>
        <w:t xml:space="preserve">Zakon o predškolskom vaspitanju i obrazovanju </w:t>
      </w:r>
      <w:r>
        <w:rPr>
          <w:lang w:val="sr-Latn-ME"/>
        </w:rPr>
        <w:t>(„Sl. list RCG“</w:t>
      </w:r>
      <w:r w:rsidRPr="0030781B">
        <w:rPr>
          <w:lang w:val="sr-Latn-ME"/>
        </w:rPr>
        <w:t xml:space="preserve">, br. 64/02, 49/07, </w:t>
      </w:r>
      <w:r>
        <w:rPr>
          <w:lang w:val="sr-Latn-ME"/>
        </w:rPr>
        <w:t>„Sl. list CG“</w:t>
      </w:r>
      <w:r w:rsidRPr="0030781B">
        <w:rPr>
          <w:lang w:val="sr-Latn-ME"/>
        </w:rPr>
        <w:t>, br. 80/10, 40/11, 40/16</w:t>
      </w:r>
      <w:r>
        <w:rPr>
          <w:lang w:val="sr-Latn-ME"/>
        </w:rPr>
        <w:t>, 47/17</w:t>
      </w:r>
      <w:r w:rsidRPr="0030781B">
        <w:rPr>
          <w:lang w:val="sr-Latn-ME"/>
        </w:rPr>
        <w:t>)</w:t>
      </w:r>
    </w:p>
  </w:footnote>
  <w:footnote w:id="2">
    <w:p w14:paraId="78F5EE39" w14:textId="77777777" w:rsidR="00A26247" w:rsidRPr="00D02854" w:rsidRDefault="00A26247" w:rsidP="00D02854">
      <w:pPr>
        <w:pStyle w:val="FootnoteText"/>
        <w:ind w:firstLine="0"/>
        <w:rPr>
          <w:lang w:val="sr-Latn-RS"/>
        </w:rPr>
      </w:pPr>
      <w:r>
        <w:rPr>
          <w:rStyle w:val="FootnoteReference"/>
        </w:rPr>
        <w:footnoteRef/>
      </w:r>
      <w:r w:rsidRPr="003F51AC">
        <w:rPr>
          <w:lang w:val="sr-Latn-ME"/>
        </w:rPr>
        <w:t xml:space="preserve"> </w:t>
      </w:r>
      <w:r>
        <w:rPr>
          <w:lang w:val="sr-Latn-RS"/>
        </w:rPr>
        <w:t>U daljem tekstu gde god se koristi termin „roditelji“ pod tim terminom podrazumevaju se i staratelji, hranitelji i sve druge osobe koje po različitim osnovama imaju zakonsko pravo da zastupaju djete.</w:t>
      </w:r>
    </w:p>
  </w:footnote>
  <w:footnote w:id="3">
    <w:p w14:paraId="003B9FA7" w14:textId="77777777" w:rsidR="00A26247" w:rsidRPr="00E76DC3" w:rsidRDefault="00A26247" w:rsidP="00D16A16">
      <w:pPr>
        <w:pStyle w:val="FootnoteText"/>
        <w:ind w:firstLine="0"/>
        <w:rPr>
          <w:lang w:val="sr-Latn-RS"/>
        </w:rPr>
      </w:pPr>
      <w:r>
        <w:rPr>
          <w:rStyle w:val="FootnoteReference"/>
        </w:rPr>
        <w:footnoteRef/>
      </w:r>
      <w:r w:rsidRPr="003F51AC">
        <w:rPr>
          <w:lang w:val="sr-Latn-RS"/>
        </w:rPr>
        <w:t xml:space="preserve"> </w:t>
      </w:r>
      <w:bookmarkStart w:id="5" w:name="_Hlk40422244"/>
      <w:r w:rsidRPr="00E76DC3">
        <w:rPr>
          <w:lang w:val="sr-Latn-ME"/>
        </w:rPr>
        <w:t>Izvještaj o sprovođenju Strategije ranog i predškolskog vaspitanja i obrazovanja u Crnoj Gori 2016-2020 do 2019. godine</w:t>
      </w:r>
      <w:bookmarkEnd w:id="5"/>
      <w:r w:rsidRPr="003F51AC">
        <w:rPr>
          <w:lang w:val="sr-Latn-RS"/>
        </w:rPr>
        <w:t>.</w:t>
      </w:r>
    </w:p>
  </w:footnote>
  <w:footnote w:id="4">
    <w:p w14:paraId="0A6874E8" w14:textId="77777777" w:rsidR="00A26247" w:rsidRPr="00995836" w:rsidRDefault="00A26247" w:rsidP="00D16A16">
      <w:pPr>
        <w:ind w:firstLine="0"/>
        <w:rPr>
          <w:lang w:val="sr-Latn-CS"/>
        </w:rPr>
      </w:pPr>
      <w:r w:rsidRPr="00912280">
        <w:rPr>
          <w:rStyle w:val="FootnoteReference"/>
        </w:rPr>
        <w:footnoteRef/>
      </w:r>
      <w:r>
        <w:t xml:space="preserve"> </w:t>
      </w:r>
      <w:r w:rsidRPr="007D5C70">
        <w:rPr>
          <w:sz w:val="20"/>
          <w:szCs w:val="20"/>
          <w:lang w:val="sr-Latn-ME"/>
        </w:rPr>
        <w:t>Za sada su izgrađeni objekti u Podgorici (naselja Za</w:t>
      </w:r>
      <w:r w:rsidRPr="007D5C70">
        <w:rPr>
          <w:sz w:val="20"/>
          <w:szCs w:val="20"/>
        </w:rPr>
        <w:t>gorič, Stari aerodrom</w:t>
      </w:r>
      <w:r w:rsidRPr="007D5C70">
        <w:rPr>
          <w:sz w:val="20"/>
          <w:szCs w:val="20"/>
          <w:lang w:val="sr-Latn-ME"/>
        </w:rPr>
        <w:t>), i jedan u opštini Tuzi</w:t>
      </w:r>
      <w:r w:rsidRPr="007D5C70">
        <w:rPr>
          <w:sz w:val="20"/>
          <w:szCs w:val="20"/>
        </w:rPr>
        <w:t>.</w:t>
      </w:r>
    </w:p>
  </w:footnote>
  <w:footnote w:id="5">
    <w:p w14:paraId="3C6D0916" w14:textId="77777777" w:rsidR="00A26247" w:rsidRPr="002F0F6A" w:rsidRDefault="00A26247" w:rsidP="002F0F6A">
      <w:pPr>
        <w:pStyle w:val="FootnoteText"/>
        <w:ind w:firstLine="0"/>
        <w:rPr>
          <w:lang w:val="sr-Latn-RS"/>
        </w:rPr>
      </w:pPr>
      <w:r>
        <w:rPr>
          <w:rStyle w:val="FootnoteReference"/>
        </w:rPr>
        <w:footnoteRef/>
      </w:r>
      <w:r w:rsidRPr="003F51AC">
        <w:rPr>
          <w:lang w:val="sr-Latn-RS"/>
        </w:rPr>
        <w:t xml:space="preserve"> </w:t>
      </w:r>
      <w:r w:rsidRPr="000E67E7">
        <w:rPr>
          <w:lang w:val="sr-Latn-ME"/>
        </w:rPr>
        <w:t>Najmanje 95% d</w:t>
      </w:r>
      <w:r>
        <w:rPr>
          <w:lang w:val="sr-Latn-ME"/>
        </w:rPr>
        <w:t>j</w:t>
      </w:r>
      <w:r w:rsidRPr="000E67E7">
        <w:rPr>
          <w:lang w:val="sr-Latn-ME"/>
        </w:rPr>
        <w:t>ece uzrasta od 4 godine do polaska u osnovno obrazovanje je uključeno u programe predškolskog vaspitanja i obrazovanja (https://ec.europa.eu/eurostat/web/education-and-training/eu-benchmarks</w:t>
      </w:r>
      <w:r w:rsidRPr="003F51AC">
        <w:rPr>
          <w:lang w:val="sr-Latn-RS"/>
        </w:rPr>
        <w:t>)</w:t>
      </w:r>
    </w:p>
  </w:footnote>
  <w:footnote w:id="6">
    <w:p w14:paraId="3E025447" w14:textId="77777777" w:rsidR="00A26247" w:rsidRPr="00240C7C" w:rsidRDefault="00A26247" w:rsidP="00240C7C">
      <w:pPr>
        <w:pStyle w:val="FootnoteText"/>
        <w:ind w:firstLine="0"/>
        <w:rPr>
          <w:lang w:val="sr-Latn-RS"/>
        </w:rPr>
      </w:pPr>
      <w:r>
        <w:rPr>
          <w:rStyle w:val="FootnoteReference"/>
        </w:rPr>
        <w:footnoteRef/>
      </w:r>
      <w:r w:rsidRPr="003F51AC">
        <w:rPr>
          <w:lang w:val="sr-Latn-RS"/>
        </w:rPr>
        <w:t xml:space="preserve"> </w:t>
      </w:r>
      <w:hyperlink r:id="rId1" w:history="1">
        <w:r w:rsidRPr="00240C7C">
          <w:rPr>
            <w:rStyle w:val="Hyperlink"/>
            <w:lang w:val="sr-Latn-RS"/>
          </w:rPr>
          <w:t>Eurostat podaci</w:t>
        </w:r>
      </w:hyperlink>
      <w:r>
        <w:rPr>
          <w:lang w:val="sr-Latn-RS"/>
        </w:rPr>
        <w:t xml:space="preserve"> </w:t>
      </w:r>
    </w:p>
  </w:footnote>
  <w:footnote w:id="7">
    <w:p w14:paraId="62C80E46" w14:textId="77777777" w:rsidR="00A26247" w:rsidRPr="00C857AE" w:rsidRDefault="00A26247" w:rsidP="00F3453B">
      <w:pPr>
        <w:pStyle w:val="FootnoteText"/>
        <w:ind w:firstLine="0"/>
        <w:rPr>
          <w:lang w:val="sr-Latn-RS"/>
        </w:rPr>
      </w:pPr>
      <w:r>
        <w:rPr>
          <w:rStyle w:val="FootnoteReference"/>
        </w:rPr>
        <w:footnoteRef/>
      </w:r>
      <w:r w:rsidRPr="003F51AC">
        <w:rPr>
          <w:lang w:val="sr-Latn-RS"/>
        </w:rPr>
        <w:t xml:space="preserve"> </w:t>
      </w:r>
      <w:r w:rsidRPr="00C857AE">
        <w:rPr>
          <w:lang w:val="sr-Latn-ME"/>
        </w:rPr>
        <w:t xml:space="preserve">Prema Izvještaju o radu i stanju u upravnim oblastima iz nadležnosti </w:t>
      </w:r>
      <w:r>
        <w:rPr>
          <w:lang w:val="sr-Latn-ME"/>
        </w:rPr>
        <w:t>prosvjete</w:t>
      </w:r>
      <w:r w:rsidRPr="00C857AE">
        <w:rPr>
          <w:lang w:val="sr-Latn-ME"/>
        </w:rPr>
        <w:t xml:space="preserve"> u 2019. godini kroz sajmove inovativnih praksi zaposleni u svim javnim PU imali su priliku da predstave svoju praksu, razmijene iskustva, inovacije, kreativne prakse i unaprijede znanja i vještine (obrađene su teme: Promocija ranog razvoja i rad s roditeljima, Rezultati interaktivnih službi, Didaktički i asistivni materiali)</w:t>
      </w:r>
      <w:r>
        <w:rPr>
          <w:lang w:val="sr-Latn-ME"/>
        </w:rPr>
        <w:t xml:space="preserve"> </w:t>
      </w:r>
    </w:p>
  </w:footnote>
  <w:footnote w:id="8">
    <w:p w14:paraId="2FD86F38" w14:textId="77777777" w:rsidR="00A26247" w:rsidRPr="0074684A" w:rsidRDefault="00A26247" w:rsidP="00F3453B">
      <w:pPr>
        <w:pStyle w:val="FootnoteText"/>
        <w:ind w:firstLine="0"/>
        <w:rPr>
          <w:lang w:val="sr-Latn-RS"/>
        </w:rPr>
      </w:pPr>
      <w:r>
        <w:rPr>
          <w:rStyle w:val="FootnoteReference"/>
        </w:rPr>
        <w:footnoteRef/>
      </w:r>
      <w:r w:rsidRPr="00D061FA">
        <w:rPr>
          <w:lang w:val="sr-Latn-RS"/>
        </w:rPr>
        <w:t xml:space="preserve"> Zavod za školstvo je formirao i void bazu podataka o obukama vaspitača i stručnih saradnika PU.</w:t>
      </w:r>
    </w:p>
  </w:footnote>
  <w:footnote w:id="9">
    <w:p w14:paraId="1D2F7E61" w14:textId="77777777" w:rsidR="00A26247" w:rsidRPr="00177C7F" w:rsidRDefault="00A26247" w:rsidP="00F3453B">
      <w:pPr>
        <w:pStyle w:val="FootnoteText"/>
        <w:ind w:firstLine="0"/>
        <w:rPr>
          <w:lang w:val="sr-Latn-ME"/>
        </w:rPr>
      </w:pPr>
      <w:r w:rsidRPr="00177C7F">
        <w:rPr>
          <w:rStyle w:val="FootnoteReference"/>
          <w:lang w:val="sr-Latn-ME"/>
        </w:rPr>
        <w:footnoteRef/>
      </w:r>
      <w:r w:rsidRPr="00177C7F">
        <w:rPr>
          <w:lang w:val="sr-Latn-ME"/>
        </w:rPr>
        <w:t xml:space="preserve"> Milić, S. (2018). Analiza potreba sa preporukama za profesionalni razvoj vaspitača u Crnoj Gori. UNICEF, Podgorica.</w:t>
      </w:r>
    </w:p>
  </w:footnote>
  <w:footnote w:id="10">
    <w:p w14:paraId="42100A35" w14:textId="77777777" w:rsidR="00A26247" w:rsidRPr="00177C7F" w:rsidRDefault="00A26247" w:rsidP="00F3453B">
      <w:pPr>
        <w:pStyle w:val="FootnoteText"/>
        <w:ind w:firstLine="0"/>
        <w:rPr>
          <w:lang w:val="sr-Latn-ME"/>
        </w:rPr>
      </w:pPr>
      <w:r w:rsidRPr="00177C7F">
        <w:rPr>
          <w:rStyle w:val="FootnoteReference"/>
          <w:lang w:val="sr-Latn-ME"/>
        </w:rPr>
        <w:footnoteRef/>
      </w:r>
      <w:r w:rsidRPr="00177C7F">
        <w:rPr>
          <w:lang w:val="sr-Latn-ME"/>
        </w:rPr>
        <w:t xml:space="preserve"> Milić, S. (2018). Analiza potreba sa preporukama za profesionalni razvoj vaspitača u Crnoj Gori. UNICEF, Podgorica</w:t>
      </w:r>
    </w:p>
  </w:footnote>
  <w:footnote w:id="11">
    <w:p w14:paraId="1D969D5C" w14:textId="77777777" w:rsidR="00A26247" w:rsidRPr="00177C7F" w:rsidRDefault="00A26247" w:rsidP="00177C7F">
      <w:pPr>
        <w:pStyle w:val="FootnoteText"/>
        <w:ind w:firstLine="0"/>
        <w:rPr>
          <w:lang w:val="sr-Latn-RS"/>
        </w:rPr>
      </w:pPr>
      <w:r w:rsidRPr="00177C7F">
        <w:rPr>
          <w:rStyle w:val="FootnoteReference"/>
          <w:lang w:val="sr-Latn-ME"/>
        </w:rPr>
        <w:footnoteRef/>
      </w:r>
      <w:r w:rsidRPr="00177C7F">
        <w:rPr>
          <w:lang w:val="sr-Latn-ME"/>
        </w:rPr>
        <w:t xml:space="preserve"> Program je razvijen u saradnji stručnjaka Univerziteta Oksford, Bangor, Stelenboš i Kejptaun uz podršku UNICEF i Svetske zdravstvene organizacije (SZO).</w:t>
      </w:r>
    </w:p>
  </w:footnote>
  <w:footnote w:id="12">
    <w:p w14:paraId="361F988E" w14:textId="77777777" w:rsidR="00A26247" w:rsidRPr="00230AAD" w:rsidRDefault="00A26247" w:rsidP="00230AAD">
      <w:pPr>
        <w:pStyle w:val="FootnoteText"/>
        <w:ind w:firstLine="0"/>
        <w:rPr>
          <w:lang w:val="sr-Latn-RS"/>
        </w:rPr>
      </w:pPr>
      <w:r>
        <w:rPr>
          <w:rStyle w:val="FootnoteReference"/>
        </w:rPr>
        <w:footnoteRef/>
      </w:r>
      <w:r w:rsidRPr="003F51AC">
        <w:rPr>
          <w:lang w:val="de-DE"/>
        </w:rPr>
        <w:t xml:space="preserve"> </w:t>
      </w:r>
      <w:r w:rsidRPr="00230AAD">
        <w:rPr>
          <w:lang w:val="sr-Latn-ME"/>
        </w:rPr>
        <w:t xml:space="preserve"> </w:t>
      </w:r>
      <w:r>
        <w:rPr>
          <w:lang w:val="sr-Latn-ME"/>
        </w:rPr>
        <w:t>P</w:t>
      </w:r>
      <w:r w:rsidRPr="00230AAD">
        <w:rPr>
          <w:lang w:val="sr-Latn-ME"/>
        </w:rPr>
        <w:t>rema podacima Instituta za javno zdravlje iz 2016. godine.</w:t>
      </w:r>
    </w:p>
  </w:footnote>
  <w:footnote w:id="13">
    <w:p w14:paraId="752C5A05" w14:textId="77777777" w:rsidR="00A26247" w:rsidRPr="003A64EF" w:rsidRDefault="00A26247" w:rsidP="00B544F8">
      <w:pPr>
        <w:pStyle w:val="FootnoteText"/>
        <w:ind w:firstLine="0"/>
      </w:pPr>
      <w:r>
        <w:rPr>
          <w:rStyle w:val="FootnoteReference"/>
        </w:rPr>
        <w:footnoteRef/>
      </w:r>
      <w:r>
        <w:t xml:space="preserve"> </w:t>
      </w:r>
      <w:r>
        <w:rPr>
          <w:lang w:val="sr-Latn-RS"/>
        </w:rPr>
        <w:t xml:space="preserve">MICS 2018 studija (UNICEF) </w:t>
      </w:r>
      <w:hyperlink r:id="rId2" w:history="1">
        <w:r w:rsidRPr="008F7A30">
          <w:rPr>
            <w:rStyle w:val="Hyperlink"/>
            <w:lang w:val="sr-Latn-RS"/>
          </w:rPr>
          <w:t>https://www.unicef.org/montenegro/sites/unicef.org.montenegro/files/2019-12/MNE_MICS6%20Statistical%20Snapshot%20ECD%20ENG_Montenegro%202018_FINAL.pdf</w:t>
        </w:r>
      </w:hyperlink>
      <w:r>
        <w:rPr>
          <w:lang w:val="sr-Latn-RS"/>
        </w:rPr>
        <w:t xml:space="preserve"> </w:t>
      </w:r>
    </w:p>
  </w:footnote>
  <w:footnote w:id="14">
    <w:p w14:paraId="41867B3C" w14:textId="77777777" w:rsidR="00A26247" w:rsidRPr="0075226B" w:rsidRDefault="00A26247" w:rsidP="0075226B">
      <w:pPr>
        <w:pStyle w:val="FootnoteText"/>
        <w:ind w:firstLine="0"/>
        <w:rPr>
          <w:lang w:val="sr-Latn-RS"/>
        </w:rPr>
      </w:pPr>
      <w:r>
        <w:rPr>
          <w:rStyle w:val="FootnoteReference"/>
        </w:rPr>
        <w:footnoteRef/>
      </w:r>
      <w:r>
        <w:t xml:space="preserve"> </w:t>
      </w:r>
      <w:r w:rsidRPr="001318E4">
        <w:rPr>
          <w:lang w:val="sr-Latn-ME"/>
        </w:rPr>
        <w:t>R. Irimija, D. Kirjaćesku, S. Vasić, Analiza podrške i multisektorskog odgovora na potrebe djece sa smetnjama u razvoju u Crnoj Gori, Pluriconsult i Predstavništvo UNICEF-a u Crnoj Gori, 2018</w:t>
      </w:r>
    </w:p>
  </w:footnote>
  <w:footnote w:id="15">
    <w:p w14:paraId="5F328BBB" w14:textId="77777777" w:rsidR="00A26247" w:rsidRPr="003936A9" w:rsidRDefault="00A26247" w:rsidP="00B960AA">
      <w:pPr>
        <w:pStyle w:val="FootnoteText"/>
        <w:ind w:firstLine="0"/>
        <w:jc w:val="left"/>
        <w:rPr>
          <w:lang w:val="sr-Latn-RS"/>
        </w:rPr>
      </w:pPr>
      <w:r>
        <w:rPr>
          <w:rStyle w:val="FootnoteReference"/>
        </w:rPr>
        <w:footnoteRef/>
      </w:r>
      <w:r>
        <w:t xml:space="preserve"> </w:t>
      </w:r>
      <w:r>
        <w:rPr>
          <w:lang w:val="sr-Latn-RS"/>
        </w:rPr>
        <w:t xml:space="preserve">MICS 2018 – romska naselja (UNICEF), </w:t>
      </w:r>
      <w:r w:rsidRPr="003936A9">
        <w:rPr>
          <w:lang w:val="sr-Latn-RS"/>
        </w:rPr>
        <w:t>https://www.unicef.org/montenegro/sites/unicef.org.montenegro/files/2019-12/MNE_MICS6%20Statistical%20Snapshot%20Education%20ENG_Montenegro%20Roma%20Settlements%202018_FINAL.pdf</w:t>
      </w:r>
    </w:p>
  </w:footnote>
  <w:footnote w:id="16">
    <w:p w14:paraId="31276418" w14:textId="77777777" w:rsidR="00A26247" w:rsidRPr="00B16D15" w:rsidRDefault="00A26247" w:rsidP="00B960AA">
      <w:pPr>
        <w:pStyle w:val="FootnoteText"/>
        <w:ind w:firstLine="0"/>
        <w:rPr>
          <w:lang w:val="sr-Latn-ME"/>
        </w:rPr>
      </w:pPr>
      <w:r>
        <w:rPr>
          <w:rStyle w:val="FootnoteReference"/>
        </w:rPr>
        <w:footnoteRef/>
      </w:r>
      <w:r w:rsidRPr="003F51AC">
        <w:rPr>
          <w:lang w:val="sr-Latn-RS"/>
        </w:rPr>
        <w:t xml:space="preserve"> </w:t>
      </w:r>
      <w:r w:rsidRPr="00B16D15">
        <w:rPr>
          <w:lang w:val="sr-Latn-ME"/>
        </w:rPr>
        <w:t>ECDI indeks ranog razvoja (Early Childhood Development Index) izražava se na skali 0-100 i odnosi se na procenat djece uzrasta 3-4 godine čiji razvoj je usklađen sa razvojnim očekivanjima za dati uzrast.</w:t>
      </w:r>
    </w:p>
  </w:footnote>
  <w:footnote w:id="17">
    <w:p w14:paraId="4F37BA6B" w14:textId="03FF4251" w:rsidR="00A26247" w:rsidRDefault="00A26247" w:rsidP="00B960AA">
      <w:pPr>
        <w:pStyle w:val="FootnoteText"/>
        <w:ind w:firstLine="0"/>
      </w:pPr>
      <w:r>
        <w:rPr>
          <w:rStyle w:val="FootnoteReference"/>
        </w:rPr>
        <w:footnoteRef/>
      </w:r>
      <w:r>
        <w:t xml:space="preserve"> MICS 2018 (UNICEF), </w:t>
      </w:r>
      <w:hyperlink r:id="rId3" w:history="1">
        <w:r w:rsidRPr="004E4DB7">
          <w:rPr>
            <w:rStyle w:val="Hyperlink"/>
          </w:rPr>
          <w:t>https://www.unicef.org/montenegro/sites/unicef.org.montenegro/files/2019-12/MNE_MICS6%20Statistical%20Snapshot%20ECD%20ENG_Montenegro%202018_FINAL.pdf</w:t>
        </w:r>
      </w:hyperlink>
      <w:r>
        <w:t xml:space="preserve"> </w:t>
      </w:r>
    </w:p>
  </w:footnote>
  <w:footnote w:id="18">
    <w:p w14:paraId="27F78293" w14:textId="77777777" w:rsidR="00A26247" w:rsidRPr="00556560" w:rsidRDefault="00A26247" w:rsidP="00556560">
      <w:pPr>
        <w:pStyle w:val="FootnoteText"/>
        <w:ind w:firstLine="0"/>
        <w:rPr>
          <w:lang w:val="sr-Latn-RS"/>
        </w:rPr>
      </w:pPr>
      <w:r>
        <w:rPr>
          <w:rStyle w:val="FootnoteReference"/>
        </w:rPr>
        <w:footnoteRef/>
      </w:r>
      <w:r>
        <w:t xml:space="preserve"> </w:t>
      </w:r>
      <w:r>
        <w:rPr>
          <w:lang w:val="sr-Latn-ME"/>
        </w:rPr>
        <w:t xml:space="preserve">Rani razvoj djece zavisi prije svega od porodičnog okruženja (u kojoj mjeri roditelji primjenjuju prakse koje su razvojno podsticajne i u kojoj mjeri su djeca uključena u visokokvalitetne programe PVO). Kada su u pitanju djeca iz osjetljivih grupa ECDI zavisi i od stepena u kojem porodice i djeca dobijaju adekvatnu podršku kroz zdravstvene i socijalne usluge. </w:t>
      </w:r>
    </w:p>
  </w:footnote>
  <w:footnote w:id="19">
    <w:p w14:paraId="5D5903DD" w14:textId="77777777" w:rsidR="00A26247" w:rsidRPr="003C05A3" w:rsidRDefault="00A26247" w:rsidP="003C05A3">
      <w:pPr>
        <w:pStyle w:val="FootnoteText"/>
        <w:ind w:firstLine="0"/>
        <w:rPr>
          <w:lang w:val="sr-Latn-ME"/>
        </w:rPr>
      </w:pPr>
      <w:r w:rsidRPr="003C05A3">
        <w:rPr>
          <w:rStyle w:val="FootnoteReference"/>
          <w:lang w:val="sr-Latn-ME"/>
        </w:rPr>
        <w:footnoteRef/>
      </w:r>
      <w:r w:rsidRPr="003C05A3">
        <w:rPr>
          <w:lang w:val="sr-Latn-ME"/>
        </w:rPr>
        <w:t xml:space="preserve"> Prema podacima EUROSTAT-a oko 40% djece uzrasta 0-17 godina je u riziku od siromaštva</w:t>
      </w:r>
      <w:r>
        <w:rPr>
          <w:lang w:val="sr-Latn-ME"/>
        </w:rPr>
        <w:t>. Rizik od siromaštva varira u zavisnosti od nivoa obrazovanja majki pa je ona za djecu čije majke nemaju završeno srednej obrazovanje stopa rizika od siromaštva dostiže 85%.</w:t>
      </w:r>
    </w:p>
  </w:footnote>
  <w:footnote w:id="20">
    <w:p w14:paraId="012A5A8B" w14:textId="7AFB6F95" w:rsidR="00A26247" w:rsidRPr="00912280" w:rsidRDefault="00A26247" w:rsidP="00912280">
      <w:pPr>
        <w:ind w:firstLine="0"/>
        <w:rPr>
          <w:sz w:val="20"/>
          <w:szCs w:val="20"/>
        </w:rPr>
      </w:pPr>
      <w:r w:rsidRPr="00912280">
        <w:rPr>
          <w:rStyle w:val="FootnoteReference"/>
        </w:rPr>
        <w:footnoteRef/>
      </w:r>
      <w:r w:rsidRPr="001268E1">
        <w:rPr>
          <w:sz w:val="20"/>
          <w:szCs w:val="20"/>
        </w:rPr>
        <w:t xml:space="preserve">U </w:t>
      </w:r>
      <w:r>
        <w:rPr>
          <w:sz w:val="20"/>
          <w:szCs w:val="20"/>
        </w:rPr>
        <w:t>to</w:t>
      </w:r>
      <w:r w:rsidRPr="001268E1">
        <w:rPr>
          <w:sz w:val="20"/>
          <w:szCs w:val="20"/>
        </w:rPr>
        <w:t>ku je</w:t>
      </w:r>
      <w:r w:rsidRPr="00912280">
        <w:rPr>
          <w:sz w:val="20"/>
          <w:szCs w:val="20"/>
        </w:rPr>
        <w:t xml:space="preserve"> izgradnja VJ u </w:t>
      </w:r>
      <w:r>
        <w:rPr>
          <w:sz w:val="20"/>
          <w:szCs w:val="20"/>
        </w:rPr>
        <w:t xml:space="preserve">Rožajama, </w:t>
      </w:r>
      <w:r w:rsidRPr="00912280">
        <w:rPr>
          <w:sz w:val="20"/>
          <w:szCs w:val="20"/>
        </w:rPr>
        <w:t>Herceg Novom,</w:t>
      </w:r>
      <w:r>
        <w:rPr>
          <w:sz w:val="20"/>
          <w:szCs w:val="20"/>
          <w:lang w:val="sr-Latn-ME"/>
        </w:rPr>
        <w:t xml:space="preserve"> Podgorici (Blok VI), Pljevljima. </w:t>
      </w:r>
      <w:r w:rsidRPr="00912280">
        <w:rPr>
          <w:sz w:val="20"/>
          <w:szCs w:val="20"/>
          <w:lang w:val="sr-Latn-ME"/>
        </w:rPr>
        <w:t>U narednom periodu očekuje</w:t>
      </w:r>
      <w:r w:rsidRPr="00912280">
        <w:rPr>
          <w:sz w:val="20"/>
          <w:szCs w:val="20"/>
        </w:rPr>
        <w:t xml:space="preserve"> se</w:t>
      </w:r>
      <w:r w:rsidRPr="00912280">
        <w:rPr>
          <w:sz w:val="20"/>
          <w:szCs w:val="20"/>
          <w:lang w:val="sr-Latn-ME"/>
        </w:rPr>
        <w:t xml:space="preserve"> početak radova u </w:t>
      </w:r>
      <w:r w:rsidRPr="007D5C70">
        <w:rPr>
          <w:sz w:val="20"/>
          <w:szCs w:val="20"/>
          <w:lang w:val="sr-Latn-ME"/>
        </w:rPr>
        <w:t>Ulcinju, Baru</w:t>
      </w:r>
      <w:r>
        <w:rPr>
          <w:sz w:val="20"/>
          <w:szCs w:val="20"/>
          <w:lang w:val="sr-Latn-ME"/>
        </w:rPr>
        <w:t>, a kroz CEB 2 u Podgorici (Tuški put, Stari Aerodrom, Zlatica, City kvart), te u Bijelom Polju, Beranama, Plavu.</w:t>
      </w:r>
    </w:p>
  </w:footnote>
  <w:footnote w:id="21">
    <w:p w14:paraId="3AF6138C" w14:textId="77777777" w:rsidR="00A26247" w:rsidRPr="00A86F40" w:rsidRDefault="00A26247" w:rsidP="00C9011D">
      <w:pPr>
        <w:pStyle w:val="FootnoteText"/>
        <w:ind w:firstLine="0"/>
        <w:rPr>
          <w:lang w:val="sr-Latn-RS"/>
        </w:rPr>
      </w:pPr>
      <w:r>
        <w:rPr>
          <w:rStyle w:val="FootnoteReference"/>
        </w:rPr>
        <w:footnoteRef/>
      </w:r>
      <w:r w:rsidRPr="003F51AC">
        <w:rPr>
          <w:lang w:val="sr-Latn-ME"/>
        </w:rPr>
        <w:t xml:space="preserve"> </w:t>
      </w:r>
      <w:r w:rsidRPr="003F0A7E">
        <w:rPr>
          <w:lang w:val="sr-Latn-ME"/>
        </w:rPr>
        <w:t>Milić, S. (2018). Analiza potreba sa preporukama za profesionalni razvoj vaspitača u Crnoj Gori. UNICEF, Podgorica.</w:t>
      </w:r>
    </w:p>
  </w:footnote>
  <w:footnote w:id="22">
    <w:p w14:paraId="0D58A8AC" w14:textId="77777777" w:rsidR="00A26247" w:rsidRPr="00C9011D" w:rsidRDefault="00A26247" w:rsidP="00C9011D">
      <w:pPr>
        <w:pStyle w:val="FootnoteText"/>
        <w:ind w:firstLine="0"/>
        <w:rPr>
          <w:lang w:val="sr-Latn-RS"/>
        </w:rPr>
      </w:pPr>
      <w:r w:rsidRPr="00C9011D">
        <w:rPr>
          <w:rStyle w:val="FootnoteReference"/>
        </w:rPr>
        <w:footnoteRef/>
      </w:r>
      <w:r w:rsidRPr="003F51AC">
        <w:rPr>
          <w:lang w:val="sr-Latn-ME"/>
        </w:rPr>
        <w:t xml:space="preserve"> </w:t>
      </w:r>
      <w:r w:rsidRPr="00C9011D">
        <w:rPr>
          <w:lang w:val="sr-Latn-RS"/>
        </w:rPr>
        <w:t>Različite PU mogu da postanu centri izvrsnosti u različitima domenima rada</w:t>
      </w:r>
    </w:p>
  </w:footnote>
  <w:footnote w:id="23">
    <w:p w14:paraId="1D4B748D" w14:textId="77777777" w:rsidR="00A26247" w:rsidRPr="003F51AC" w:rsidRDefault="00A26247" w:rsidP="00AE623F">
      <w:pPr>
        <w:pStyle w:val="FootnoteText"/>
        <w:ind w:firstLine="0"/>
        <w:rPr>
          <w:lang w:val="sr-Latn-RS"/>
        </w:rPr>
      </w:pPr>
      <w:r>
        <w:rPr>
          <w:rStyle w:val="FootnoteReference"/>
        </w:rPr>
        <w:footnoteRef/>
      </w:r>
      <w:r w:rsidRPr="003F51AC">
        <w:rPr>
          <w:lang w:val="sr-Latn-RS"/>
        </w:rPr>
        <w:t xml:space="preserve">  Na prim</w:t>
      </w:r>
      <w:r>
        <w:rPr>
          <w:lang w:val="sr-Latn-RS"/>
        </w:rPr>
        <w:t>j</w:t>
      </w:r>
      <w:r w:rsidRPr="003F51AC">
        <w:rPr>
          <w:lang w:val="sr-Latn-RS"/>
        </w:rPr>
        <w:t>er, podizanje svijesti roditelja o važnosti ranog razvoja i pozitivnog roditeljstva, razvoj vještina za primjenu pozitivnih i razvojno adekvatnih roditeljskih praksi, smanjivanje nasilja i nasilnih metoda vaspitanja, kao i pozitivnih partnerskih odnosa u porodici.</w:t>
      </w:r>
    </w:p>
  </w:footnote>
  <w:footnote w:id="24">
    <w:p w14:paraId="267893F5" w14:textId="0A1AB0AE" w:rsidR="00C44993" w:rsidRPr="00C44993" w:rsidRDefault="00C44993">
      <w:pPr>
        <w:pStyle w:val="FootnoteText"/>
        <w:rPr>
          <w:lang w:val="sr-Latn-RS"/>
        </w:rPr>
      </w:pPr>
      <w:r>
        <w:rPr>
          <w:rStyle w:val="FootnoteReference"/>
        </w:rPr>
        <w:footnoteRef/>
      </w:r>
      <w:r>
        <w:t xml:space="preserve"> </w:t>
      </w:r>
      <w:r>
        <w:rPr>
          <w:lang w:val="sr-Latn-RS"/>
        </w:rPr>
        <w:t>CEB</w:t>
      </w:r>
    </w:p>
  </w:footnote>
  <w:footnote w:id="25">
    <w:p w14:paraId="3974418B" w14:textId="661E1431" w:rsidR="00C44993" w:rsidRPr="00C44993" w:rsidRDefault="00C44993">
      <w:pPr>
        <w:pStyle w:val="FootnoteText"/>
        <w:rPr>
          <w:lang w:val="sr-Latn-RS"/>
        </w:rPr>
      </w:pPr>
      <w:r>
        <w:rPr>
          <w:rStyle w:val="FootnoteReference"/>
        </w:rPr>
        <w:footnoteRef/>
      </w:r>
      <w:r>
        <w:t xml:space="preserve"> </w:t>
      </w:r>
      <w:r>
        <w:rPr>
          <w:lang w:val="sr-Latn-RS"/>
        </w:rPr>
        <w:t>CEB</w:t>
      </w:r>
    </w:p>
  </w:footnote>
  <w:footnote w:id="26">
    <w:p w14:paraId="33395DCF" w14:textId="12205629" w:rsidR="00C44993" w:rsidRPr="00C44993" w:rsidRDefault="00C44993">
      <w:pPr>
        <w:pStyle w:val="FootnoteText"/>
        <w:rPr>
          <w:lang w:val="sr-Latn-RS"/>
        </w:rPr>
      </w:pPr>
      <w:r>
        <w:rPr>
          <w:rStyle w:val="FootnoteReference"/>
        </w:rPr>
        <w:footnoteRef/>
      </w:r>
      <w:r>
        <w:t xml:space="preserve"> </w:t>
      </w:r>
      <w:r>
        <w:rPr>
          <w:lang w:val="sr-Latn-RS"/>
        </w:rPr>
        <w:t>CEB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0210"/>
    <w:multiLevelType w:val="hybridMultilevel"/>
    <w:tmpl w:val="82B6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56BB5"/>
    <w:multiLevelType w:val="hybridMultilevel"/>
    <w:tmpl w:val="3FDC446A"/>
    <w:lvl w:ilvl="0" w:tplc="612434A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23F7D"/>
    <w:multiLevelType w:val="hybridMultilevel"/>
    <w:tmpl w:val="A704D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DF7546"/>
    <w:multiLevelType w:val="hybridMultilevel"/>
    <w:tmpl w:val="ABB022A2"/>
    <w:lvl w:ilvl="0" w:tplc="ED8257B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29ED"/>
    <w:multiLevelType w:val="hybridMultilevel"/>
    <w:tmpl w:val="26FAA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08"/>
    <w:rsid w:val="00001F7B"/>
    <w:rsid w:val="0000239B"/>
    <w:rsid w:val="00007FCF"/>
    <w:rsid w:val="000124BE"/>
    <w:rsid w:val="00014465"/>
    <w:rsid w:val="000150BF"/>
    <w:rsid w:val="00016D61"/>
    <w:rsid w:val="00023674"/>
    <w:rsid w:val="00024975"/>
    <w:rsid w:val="00025176"/>
    <w:rsid w:val="00025C83"/>
    <w:rsid w:val="0003200B"/>
    <w:rsid w:val="00033194"/>
    <w:rsid w:val="00033644"/>
    <w:rsid w:val="00034110"/>
    <w:rsid w:val="0003566D"/>
    <w:rsid w:val="0003633C"/>
    <w:rsid w:val="0004010A"/>
    <w:rsid w:val="00043116"/>
    <w:rsid w:val="000441DC"/>
    <w:rsid w:val="00050BB5"/>
    <w:rsid w:val="00051064"/>
    <w:rsid w:val="0005173C"/>
    <w:rsid w:val="000532A8"/>
    <w:rsid w:val="00054285"/>
    <w:rsid w:val="0006112F"/>
    <w:rsid w:val="000632DA"/>
    <w:rsid w:val="00065659"/>
    <w:rsid w:val="00070085"/>
    <w:rsid w:val="00072C9E"/>
    <w:rsid w:val="00073433"/>
    <w:rsid w:val="00075DEC"/>
    <w:rsid w:val="00076ECF"/>
    <w:rsid w:val="00080B96"/>
    <w:rsid w:val="00083817"/>
    <w:rsid w:val="000839CC"/>
    <w:rsid w:val="0008423C"/>
    <w:rsid w:val="00084A11"/>
    <w:rsid w:val="00085AC6"/>
    <w:rsid w:val="00085ED3"/>
    <w:rsid w:val="0009064A"/>
    <w:rsid w:val="00093D46"/>
    <w:rsid w:val="000942DA"/>
    <w:rsid w:val="0009494E"/>
    <w:rsid w:val="000A04CA"/>
    <w:rsid w:val="000A1516"/>
    <w:rsid w:val="000A377C"/>
    <w:rsid w:val="000A3E8E"/>
    <w:rsid w:val="000A48D0"/>
    <w:rsid w:val="000A5467"/>
    <w:rsid w:val="000A56E1"/>
    <w:rsid w:val="000A7C4B"/>
    <w:rsid w:val="000B10D0"/>
    <w:rsid w:val="000B13EE"/>
    <w:rsid w:val="000B2FA8"/>
    <w:rsid w:val="000B3E80"/>
    <w:rsid w:val="000B509D"/>
    <w:rsid w:val="000C0899"/>
    <w:rsid w:val="000C3130"/>
    <w:rsid w:val="000C3EA1"/>
    <w:rsid w:val="000C41CF"/>
    <w:rsid w:val="000D318F"/>
    <w:rsid w:val="000D58E5"/>
    <w:rsid w:val="000D5C28"/>
    <w:rsid w:val="000D64E3"/>
    <w:rsid w:val="000D70AB"/>
    <w:rsid w:val="000E0DF2"/>
    <w:rsid w:val="000E17C9"/>
    <w:rsid w:val="000E1D5A"/>
    <w:rsid w:val="000E36CF"/>
    <w:rsid w:val="000E3C22"/>
    <w:rsid w:val="000E67E7"/>
    <w:rsid w:val="000E7486"/>
    <w:rsid w:val="000F0AE5"/>
    <w:rsid w:val="000F1A8C"/>
    <w:rsid w:val="000F3BCB"/>
    <w:rsid w:val="000F575A"/>
    <w:rsid w:val="000F6E7D"/>
    <w:rsid w:val="000F7527"/>
    <w:rsid w:val="001051D0"/>
    <w:rsid w:val="00106DA9"/>
    <w:rsid w:val="00107C3D"/>
    <w:rsid w:val="00116C87"/>
    <w:rsid w:val="00116EBC"/>
    <w:rsid w:val="00124D20"/>
    <w:rsid w:val="00124F61"/>
    <w:rsid w:val="001268E1"/>
    <w:rsid w:val="00126B2B"/>
    <w:rsid w:val="001301B2"/>
    <w:rsid w:val="001318E4"/>
    <w:rsid w:val="00131984"/>
    <w:rsid w:val="00132995"/>
    <w:rsid w:val="0013447C"/>
    <w:rsid w:val="00134D9D"/>
    <w:rsid w:val="00136D9E"/>
    <w:rsid w:val="00140D6F"/>
    <w:rsid w:val="00142083"/>
    <w:rsid w:val="001507F2"/>
    <w:rsid w:val="001509FE"/>
    <w:rsid w:val="001546EE"/>
    <w:rsid w:val="0015523E"/>
    <w:rsid w:val="001610F3"/>
    <w:rsid w:val="001648C3"/>
    <w:rsid w:val="00166972"/>
    <w:rsid w:val="00167775"/>
    <w:rsid w:val="00177B93"/>
    <w:rsid w:val="00177C7F"/>
    <w:rsid w:val="00180CDC"/>
    <w:rsid w:val="00180D87"/>
    <w:rsid w:val="00181946"/>
    <w:rsid w:val="0018393C"/>
    <w:rsid w:val="00183C64"/>
    <w:rsid w:val="00183E13"/>
    <w:rsid w:val="00190AFF"/>
    <w:rsid w:val="001956C4"/>
    <w:rsid w:val="00196B8C"/>
    <w:rsid w:val="001972D3"/>
    <w:rsid w:val="001A0574"/>
    <w:rsid w:val="001A1546"/>
    <w:rsid w:val="001A34BB"/>
    <w:rsid w:val="001A46E2"/>
    <w:rsid w:val="001A57BB"/>
    <w:rsid w:val="001B07B7"/>
    <w:rsid w:val="001B20ED"/>
    <w:rsid w:val="001B6B01"/>
    <w:rsid w:val="001B723A"/>
    <w:rsid w:val="001C2FA1"/>
    <w:rsid w:val="001C50AD"/>
    <w:rsid w:val="001D1895"/>
    <w:rsid w:val="001D320A"/>
    <w:rsid w:val="001D39FE"/>
    <w:rsid w:val="001D4DF7"/>
    <w:rsid w:val="001D53DE"/>
    <w:rsid w:val="001D60A2"/>
    <w:rsid w:val="001E0251"/>
    <w:rsid w:val="001E4AB6"/>
    <w:rsid w:val="001E4EB9"/>
    <w:rsid w:val="001E531B"/>
    <w:rsid w:val="001E5A98"/>
    <w:rsid w:val="001E7508"/>
    <w:rsid w:val="001F1C03"/>
    <w:rsid w:val="001F5004"/>
    <w:rsid w:val="001F550B"/>
    <w:rsid w:val="001F6029"/>
    <w:rsid w:val="00200A41"/>
    <w:rsid w:val="002039E2"/>
    <w:rsid w:val="00204739"/>
    <w:rsid w:val="00205AC5"/>
    <w:rsid w:val="00207087"/>
    <w:rsid w:val="00213931"/>
    <w:rsid w:val="00221978"/>
    <w:rsid w:val="00222645"/>
    <w:rsid w:val="0022360D"/>
    <w:rsid w:val="002267B9"/>
    <w:rsid w:val="0023027A"/>
    <w:rsid w:val="00230AAD"/>
    <w:rsid w:val="00230F13"/>
    <w:rsid w:val="002319DD"/>
    <w:rsid w:val="00240C7C"/>
    <w:rsid w:val="0025582F"/>
    <w:rsid w:val="00256EEE"/>
    <w:rsid w:val="00260839"/>
    <w:rsid w:val="002625D7"/>
    <w:rsid w:val="00277099"/>
    <w:rsid w:val="00282813"/>
    <w:rsid w:val="00282B47"/>
    <w:rsid w:val="0028373B"/>
    <w:rsid w:val="00287DF3"/>
    <w:rsid w:val="00290B57"/>
    <w:rsid w:val="00294713"/>
    <w:rsid w:val="00296289"/>
    <w:rsid w:val="002972DA"/>
    <w:rsid w:val="0029764C"/>
    <w:rsid w:val="002A08AC"/>
    <w:rsid w:val="002A3069"/>
    <w:rsid w:val="002A424B"/>
    <w:rsid w:val="002A4505"/>
    <w:rsid w:val="002A5832"/>
    <w:rsid w:val="002B31C9"/>
    <w:rsid w:val="002B6A2A"/>
    <w:rsid w:val="002B6FE7"/>
    <w:rsid w:val="002C0493"/>
    <w:rsid w:val="002C62C4"/>
    <w:rsid w:val="002D39A5"/>
    <w:rsid w:val="002D627F"/>
    <w:rsid w:val="002E2B22"/>
    <w:rsid w:val="002E48E7"/>
    <w:rsid w:val="002E76E1"/>
    <w:rsid w:val="002E7761"/>
    <w:rsid w:val="002E7988"/>
    <w:rsid w:val="002F0F6A"/>
    <w:rsid w:val="002F2FFC"/>
    <w:rsid w:val="002F77E8"/>
    <w:rsid w:val="00300DA9"/>
    <w:rsid w:val="00302664"/>
    <w:rsid w:val="00303BD7"/>
    <w:rsid w:val="00305C01"/>
    <w:rsid w:val="003067D7"/>
    <w:rsid w:val="0030781B"/>
    <w:rsid w:val="00312D8E"/>
    <w:rsid w:val="00315587"/>
    <w:rsid w:val="003176E1"/>
    <w:rsid w:val="00317BF1"/>
    <w:rsid w:val="0032150B"/>
    <w:rsid w:val="003215F6"/>
    <w:rsid w:val="00321BD3"/>
    <w:rsid w:val="00321D78"/>
    <w:rsid w:val="00325C8F"/>
    <w:rsid w:val="00330D78"/>
    <w:rsid w:val="003332AB"/>
    <w:rsid w:val="00342ABA"/>
    <w:rsid w:val="00350CFC"/>
    <w:rsid w:val="00351906"/>
    <w:rsid w:val="00351F25"/>
    <w:rsid w:val="0035418D"/>
    <w:rsid w:val="00354802"/>
    <w:rsid w:val="00355966"/>
    <w:rsid w:val="00360B3B"/>
    <w:rsid w:val="0036451C"/>
    <w:rsid w:val="00366B2F"/>
    <w:rsid w:val="003759E0"/>
    <w:rsid w:val="00375A6A"/>
    <w:rsid w:val="0037752F"/>
    <w:rsid w:val="003865E6"/>
    <w:rsid w:val="003901DA"/>
    <w:rsid w:val="00391862"/>
    <w:rsid w:val="00392C8E"/>
    <w:rsid w:val="0039300E"/>
    <w:rsid w:val="003930D0"/>
    <w:rsid w:val="00393391"/>
    <w:rsid w:val="003936A9"/>
    <w:rsid w:val="00394823"/>
    <w:rsid w:val="003A002D"/>
    <w:rsid w:val="003A08DC"/>
    <w:rsid w:val="003A16D2"/>
    <w:rsid w:val="003A1992"/>
    <w:rsid w:val="003A2C04"/>
    <w:rsid w:val="003A56A6"/>
    <w:rsid w:val="003A5ED5"/>
    <w:rsid w:val="003A6126"/>
    <w:rsid w:val="003A64EF"/>
    <w:rsid w:val="003B134D"/>
    <w:rsid w:val="003B3240"/>
    <w:rsid w:val="003B6CCE"/>
    <w:rsid w:val="003B6E84"/>
    <w:rsid w:val="003C05A3"/>
    <w:rsid w:val="003C6067"/>
    <w:rsid w:val="003C6607"/>
    <w:rsid w:val="003C6917"/>
    <w:rsid w:val="003D5C45"/>
    <w:rsid w:val="003D7DCF"/>
    <w:rsid w:val="003D7F02"/>
    <w:rsid w:val="003E278A"/>
    <w:rsid w:val="003E70E3"/>
    <w:rsid w:val="003F0558"/>
    <w:rsid w:val="003F0A7E"/>
    <w:rsid w:val="003F1393"/>
    <w:rsid w:val="003F19F8"/>
    <w:rsid w:val="003F30EF"/>
    <w:rsid w:val="003F3F30"/>
    <w:rsid w:val="003F4732"/>
    <w:rsid w:val="003F51AC"/>
    <w:rsid w:val="003F5DAC"/>
    <w:rsid w:val="003F6BF3"/>
    <w:rsid w:val="00404450"/>
    <w:rsid w:val="00405134"/>
    <w:rsid w:val="00405617"/>
    <w:rsid w:val="00406816"/>
    <w:rsid w:val="00407C12"/>
    <w:rsid w:val="004122DC"/>
    <w:rsid w:val="00412C91"/>
    <w:rsid w:val="00414824"/>
    <w:rsid w:val="00420A17"/>
    <w:rsid w:val="00426318"/>
    <w:rsid w:val="00427A58"/>
    <w:rsid w:val="0043131D"/>
    <w:rsid w:val="0043306C"/>
    <w:rsid w:val="004339F8"/>
    <w:rsid w:val="0043669F"/>
    <w:rsid w:val="00436F16"/>
    <w:rsid w:val="004373AF"/>
    <w:rsid w:val="00441D70"/>
    <w:rsid w:val="00441EE3"/>
    <w:rsid w:val="00446010"/>
    <w:rsid w:val="0044618E"/>
    <w:rsid w:val="00447B74"/>
    <w:rsid w:val="00453F92"/>
    <w:rsid w:val="00457EAE"/>
    <w:rsid w:val="00470A7F"/>
    <w:rsid w:val="00470F0A"/>
    <w:rsid w:val="00471D71"/>
    <w:rsid w:val="00473AF4"/>
    <w:rsid w:val="00473BB7"/>
    <w:rsid w:val="00481A17"/>
    <w:rsid w:val="00482DEB"/>
    <w:rsid w:val="00483E4D"/>
    <w:rsid w:val="00490AD5"/>
    <w:rsid w:val="004973AB"/>
    <w:rsid w:val="004A342C"/>
    <w:rsid w:val="004A36FD"/>
    <w:rsid w:val="004B0138"/>
    <w:rsid w:val="004B1511"/>
    <w:rsid w:val="004B1FD4"/>
    <w:rsid w:val="004B3182"/>
    <w:rsid w:val="004B68B5"/>
    <w:rsid w:val="004C099B"/>
    <w:rsid w:val="004D01E2"/>
    <w:rsid w:val="004D3364"/>
    <w:rsid w:val="004D48F1"/>
    <w:rsid w:val="004D7C81"/>
    <w:rsid w:val="004E143D"/>
    <w:rsid w:val="004E2FC3"/>
    <w:rsid w:val="004E4500"/>
    <w:rsid w:val="004F04F0"/>
    <w:rsid w:val="004F45FC"/>
    <w:rsid w:val="004F4934"/>
    <w:rsid w:val="005031ED"/>
    <w:rsid w:val="00503F35"/>
    <w:rsid w:val="0050420C"/>
    <w:rsid w:val="00504CE8"/>
    <w:rsid w:val="00505272"/>
    <w:rsid w:val="00507776"/>
    <w:rsid w:val="00510EA9"/>
    <w:rsid w:val="00513392"/>
    <w:rsid w:val="0051411B"/>
    <w:rsid w:val="00515BE8"/>
    <w:rsid w:val="00515FDC"/>
    <w:rsid w:val="00517F30"/>
    <w:rsid w:val="00521A38"/>
    <w:rsid w:val="00521A75"/>
    <w:rsid w:val="00527DC2"/>
    <w:rsid w:val="00532083"/>
    <w:rsid w:val="0053659D"/>
    <w:rsid w:val="005370BC"/>
    <w:rsid w:val="0053745A"/>
    <w:rsid w:val="00540A76"/>
    <w:rsid w:val="0054156B"/>
    <w:rsid w:val="0054592B"/>
    <w:rsid w:val="00550D6C"/>
    <w:rsid w:val="00552A11"/>
    <w:rsid w:val="00553405"/>
    <w:rsid w:val="005543F1"/>
    <w:rsid w:val="005559FC"/>
    <w:rsid w:val="0055621B"/>
    <w:rsid w:val="00556560"/>
    <w:rsid w:val="00556E1D"/>
    <w:rsid w:val="00564CB4"/>
    <w:rsid w:val="00565BB8"/>
    <w:rsid w:val="00566A90"/>
    <w:rsid w:val="00571DCC"/>
    <w:rsid w:val="00572D27"/>
    <w:rsid w:val="00575D56"/>
    <w:rsid w:val="00580198"/>
    <w:rsid w:val="00581CC7"/>
    <w:rsid w:val="0058251A"/>
    <w:rsid w:val="00584792"/>
    <w:rsid w:val="005862A7"/>
    <w:rsid w:val="00591C2F"/>
    <w:rsid w:val="005927D0"/>
    <w:rsid w:val="00592B88"/>
    <w:rsid w:val="0059437D"/>
    <w:rsid w:val="005949CB"/>
    <w:rsid w:val="00595736"/>
    <w:rsid w:val="00597867"/>
    <w:rsid w:val="005A0339"/>
    <w:rsid w:val="005B0225"/>
    <w:rsid w:val="005B0E1F"/>
    <w:rsid w:val="005B3038"/>
    <w:rsid w:val="005B3CEA"/>
    <w:rsid w:val="005C63C9"/>
    <w:rsid w:val="005D0B6B"/>
    <w:rsid w:val="005D0E5A"/>
    <w:rsid w:val="005E05A3"/>
    <w:rsid w:val="005E0642"/>
    <w:rsid w:val="005E37E6"/>
    <w:rsid w:val="005E38E2"/>
    <w:rsid w:val="005E433D"/>
    <w:rsid w:val="005E50D2"/>
    <w:rsid w:val="005E654D"/>
    <w:rsid w:val="005F0508"/>
    <w:rsid w:val="005F3185"/>
    <w:rsid w:val="005F4396"/>
    <w:rsid w:val="005F6170"/>
    <w:rsid w:val="00600FD5"/>
    <w:rsid w:val="00601524"/>
    <w:rsid w:val="0060152C"/>
    <w:rsid w:val="00613679"/>
    <w:rsid w:val="006160F8"/>
    <w:rsid w:val="00617C6D"/>
    <w:rsid w:val="00625641"/>
    <w:rsid w:val="006267D3"/>
    <w:rsid w:val="006276D5"/>
    <w:rsid w:val="00627AD2"/>
    <w:rsid w:val="00636A6B"/>
    <w:rsid w:val="006402F3"/>
    <w:rsid w:val="00640319"/>
    <w:rsid w:val="00640A64"/>
    <w:rsid w:val="006410E3"/>
    <w:rsid w:val="00642806"/>
    <w:rsid w:val="00644802"/>
    <w:rsid w:val="00644A54"/>
    <w:rsid w:val="00645207"/>
    <w:rsid w:val="00645EF7"/>
    <w:rsid w:val="006514EA"/>
    <w:rsid w:val="006536EF"/>
    <w:rsid w:val="00653BC6"/>
    <w:rsid w:val="00654905"/>
    <w:rsid w:val="00655FEC"/>
    <w:rsid w:val="00657295"/>
    <w:rsid w:val="0066029E"/>
    <w:rsid w:val="0066035E"/>
    <w:rsid w:val="006616B3"/>
    <w:rsid w:val="00662ABC"/>
    <w:rsid w:val="00667125"/>
    <w:rsid w:val="00667D39"/>
    <w:rsid w:val="00690A6A"/>
    <w:rsid w:val="00694063"/>
    <w:rsid w:val="006A42EF"/>
    <w:rsid w:val="006A68F5"/>
    <w:rsid w:val="006A72C5"/>
    <w:rsid w:val="006B02F9"/>
    <w:rsid w:val="006B16AD"/>
    <w:rsid w:val="006B3A02"/>
    <w:rsid w:val="006B465E"/>
    <w:rsid w:val="006B5DC8"/>
    <w:rsid w:val="006B6151"/>
    <w:rsid w:val="006B7003"/>
    <w:rsid w:val="006B7669"/>
    <w:rsid w:val="006C10A2"/>
    <w:rsid w:val="006C4AAB"/>
    <w:rsid w:val="006C5111"/>
    <w:rsid w:val="006D0040"/>
    <w:rsid w:val="006D3122"/>
    <w:rsid w:val="006D33BC"/>
    <w:rsid w:val="006D3905"/>
    <w:rsid w:val="006D615B"/>
    <w:rsid w:val="006D62B5"/>
    <w:rsid w:val="006E56C4"/>
    <w:rsid w:val="006E75EF"/>
    <w:rsid w:val="006F0B79"/>
    <w:rsid w:val="006F4438"/>
    <w:rsid w:val="0070035A"/>
    <w:rsid w:val="00701798"/>
    <w:rsid w:val="00710A6B"/>
    <w:rsid w:val="00711070"/>
    <w:rsid w:val="00712770"/>
    <w:rsid w:val="0071334B"/>
    <w:rsid w:val="0071472D"/>
    <w:rsid w:val="007158A6"/>
    <w:rsid w:val="007175CD"/>
    <w:rsid w:val="00721817"/>
    <w:rsid w:val="007310C4"/>
    <w:rsid w:val="00734385"/>
    <w:rsid w:val="00737E69"/>
    <w:rsid w:val="007406D5"/>
    <w:rsid w:val="00742A26"/>
    <w:rsid w:val="0074544D"/>
    <w:rsid w:val="0074684A"/>
    <w:rsid w:val="0074744A"/>
    <w:rsid w:val="00747BE9"/>
    <w:rsid w:val="0075226B"/>
    <w:rsid w:val="00756101"/>
    <w:rsid w:val="007601B0"/>
    <w:rsid w:val="00760EC5"/>
    <w:rsid w:val="00763107"/>
    <w:rsid w:val="00763CEB"/>
    <w:rsid w:val="00765C23"/>
    <w:rsid w:val="00770C4B"/>
    <w:rsid w:val="00772D4F"/>
    <w:rsid w:val="007815D1"/>
    <w:rsid w:val="007819B7"/>
    <w:rsid w:val="00783759"/>
    <w:rsid w:val="00786565"/>
    <w:rsid w:val="00786C97"/>
    <w:rsid w:val="00787CBD"/>
    <w:rsid w:val="00793B62"/>
    <w:rsid w:val="007946F6"/>
    <w:rsid w:val="0079632B"/>
    <w:rsid w:val="00797AC5"/>
    <w:rsid w:val="007A0A70"/>
    <w:rsid w:val="007A34D0"/>
    <w:rsid w:val="007A3A59"/>
    <w:rsid w:val="007B43B1"/>
    <w:rsid w:val="007B4890"/>
    <w:rsid w:val="007B4DEB"/>
    <w:rsid w:val="007B528B"/>
    <w:rsid w:val="007B6D4F"/>
    <w:rsid w:val="007B78B6"/>
    <w:rsid w:val="007C3A96"/>
    <w:rsid w:val="007D1C4D"/>
    <w:rsid w:val="007D43AD"/>
    <w:rsid w:val="007D61AB"/>
    <w:rsid w:val="007E0B97"/>
    <w:rsid w:val="007E20EA"/>
    <w:rsid w:val="007E34EC"/>
    <w:rsid w:val="007E3A64"/>
    <w:rsid w:val="007F1707"/>
    <w:rsid w:val="007F3EDD"/>
    <w:rsid w:val="007F49E0"/>
    <w:rsid w:val="007F5317"/>
    <w:rsid w:val="007F56F3"/>
    <w:rsid w:val="007F6E35"/>
    <w:rsid w:val="007F7AC4"/>
    <w:rsid w:val="00800989"/>
    <w:rsid w:val="008027A3"/>
    <w:rsid w:val="00806051"/>
    <w:rsid w:val="00807537"/>
    <w:rsid w:val="008109E7"/>
    <w:rsid w:val="00812A90"/>
    <w:rsid w:val="008139DB"/>
    <w:rsid w:val="00814D6E"/>
    <w:rsid w:val="00816236"/>
    <w:rsid w:val="00816539"/>
    <w:rsid w:val="00820DCD"/>
    <w:rsid w:val="00822587"/>
    <w:rsid w:val="00823423"/>
    <w:rsid w:val="00823DF7"/>
    <w:rsid w:val="008265F4"/>
    <w:rsid w:val="008309CF"/>
    <w:rsid w:val="0083254B"/>
    <w:rsid w:val="00832B84"/>
    <w:rsid w:val="00834395"/>
    <w:rsid w:val="00841DBD"/>
    <w:rsid w:val="00841FBD"/>
    <w:rsid w:val="00842D41"/>
    <w:rsid w:val="00847244"/>
    <w:rsid w:val="00850FA8"/>
    <w:rsid w:val="008514D8"/>
    <w:rsid w:val="008554EE"/>
    <w:rsid w:val="00856A76"/>
    <w:rsid w:val="008578CB"/>
    <w:rsid w:val="0086219F"/>
    <w:rsid w:val="00870B16"/>
    <w:rsid w:val="0087161C"/>
    <w:rsid w:val="00871D97"/>
    <w:rsid w:val="00872E57"/>
    <w:rsid w:val="00875422"/>
    <w:rsid w:val="00876C06"/>
    <w:rsid w:val="00881B10"/>
    <w:rsid w:val="00881CA3"/>
    <w:rsid w:val="0088399C"/>
    <w:rsid w:val="00886502"/>
    <w:rsid w:val="00891D65"/>
    <w:rsid w:val="008946AB"/>
    <w:rsid w:val="008A28A4"/>
    <w:rsid w:val="008A666F"/>
    <w:rsid w:val="008A6793"/>
    <w:rsid w:val="008A7296"/>
    <w:rsid w:val="008B1717"/>
    <w:rsid w:val="008B4E83"/>
    <w:rsid w:val="008C4C6C"/>
    <w:rsid w:val="008C5B67"/>
    <w:rsid w:val="008D1830"/>
    <w:rsid w:val="008D1919"/>
    <w:rsid w:val="008D288B"/>
    <w:rsid w:val="008D4980"/>
    <w:rsid w:val="008D63D3"/>
    <w:rsid w:val="008D7304"/>
    <w:rsid w:val="008E0525"/>
    <w:rsid w:val="008E432F"/>
    <w:rsid w:val="008E7026"/>
    <w:rsid w:val="008E7A34"/>
    <w:rsid w:val="008F1062"/>
    <w:rsid w:val="008F18FE"/>
    <w:rsid w:val="0090025D"/>
    <w:rsid w:val="00900A7A"/>
    <w:rsid w:val="00902186"/>
    <w:rsid w:val="00902C05"/>
    <w:rsid w:val="00906187"/>
    <w:rsid w:val="0090767F"/>
    <w:rsid w:val="009101DA"/>
    <w:rsid w:val="00912280"/>
    <w:rsid w:val="00912969"/>
    <w:rsid w:val="00914417"/>
    <w:rsid w:val="00915009"/>
    <w:rsid w:val="00915571"/>
    <w:rsid w:val="00920968"/>
    <w:rsid w:val="00926653"/>
    <w:rsid w:val="00926B54"/>
    <w:rsid w:val="00927697"/>
    <w:rsid w:val="009347D2"/>
    <w:rsid w:val="00934C04"/>
    <w:rsid w:val="00936B91"/>
    <w:rsid w:val="00936C8E"/>
    <w:rsid w:val="0094162E"/>
    <w:rsid w:val="00946D9A"/>
    <w:rsid w:val="00952CF3"/>
    <w:rsid w:val="0095338D"/>
    <w:rsid w:val="0095671D"/>
    <w:rsid w:val="009611D5"/>
    <w:rsid w:val="00964444"/>
    <w:rsid w:val="00967845"/>
    <w:rsid w:val="009730D2"/>
    <w:rsid w:val="009753CB"/>
    <w:rsid w:val="00975560"/>
    <w:rsid w:val="0097752A"/>
    <w:rsid w:val="009815D5"/>
    <w:rsid w:val="009832ED"/>
    <w:rsid w:val="0098415E"/>
    <w:rsid w:val="00984802"/>
    <w:rsid w:val="009905A3"/>
    <w:rsid w:val="00992DC4"/>
    <w:rsid w:val="00993325"/>
    <w:rsid w:val="009954DB"/>
    <w:rsid w:val="00995836"/>
    <w:rsid w:val="009A12C8"/>
    <w:rsid w:val="009A2EEF"/>
    <w:rsid w:val="009A32AF"/>
    <w:rsid w:val="009A6746"/>
    <w:rsid w:val="009A7813"/>
    <w:rsid w:val="009B3FCF"/>
    <w:rsid w:val="009B49D4"/>
    <w:rsid w:val="009B51E3"/>
    <w:rsid w:val="009C286D"/>
    <w:rsid w:val="009C3985"/>
    <w:rsid w:val="009C4904"/>
    <w:rsid w:val="009C54B5"/>
    <w:rsid w:val="009C6D04"/>
    <w:rsid w:val="009D1893"/>
    <w:rsid w:val="009D4256"/>
    <w:rsid w:val="009D5BF4"/>
    <w:rsid w:val="009E2114"/>
    <w:rsid w:val="009E23B4"/>
    <w:rsid w:val="009E2447"/>
    <w:rsid w:val="009E42A5"/>
    <w:rsid w:val="009E4476"/>
    <w:rsid w:val="009E4555"/>
    <w:rsid w:val="009E4AE1"/>
    <w:rsid w:val="009F0FF9"/>
    <w:rsid w:val="009F3EA9"/>
    <w:rsid w:val="00A02AB2"/>
    <w:rsid w:val="00A103E4"/>
    <w:rsid w:val="00A104E5"/>
    <w:rsid w:val="00A11B45"/>
    <w:rsid w:val="00A128D0"/>
    <w:rsid w:val="00A14F5F"/>
    <w:rsid w:val="00A16F75"/>
    <w:rsid w:val="00A2251A"/>
    <w:rsid w:val="00A251E5"/>
    <w:rsid w:val="00A2599D"/>
    <w:rsid w:val="00A26247"/>
    <w:rsid w:val="00A2691B"/>
    <w:rsid w:val="00A3111B"/>
    <w:rsid w:val="00A32928"/>
    <w:rsid w:val="00A35036"/>
    <w:rsid w:val="00A37A9F"/>
    <w:rsid w:val="00A37EA0"/>
    <w:rsid w:val="00A428F6"/>
    <w:rsid w:val="00A4296E"/>
    <w:rsid w:val="00A44475"/>
    <w:rsid w:val="00A46F70"/>
    <w:rsid w:val="00A507A9"/>
    <w:rsid w:val="00A5310D"/>
    <w:rsid w:val="00A5425D"/>
    <w:rsid w:val="00A575AE"/>
    <w:rsid w:val="00A60648"/>
    <w:rsid w:val="00A6781C"/>
    <w:rsid w:val="00A73486"/>
    <w:rsid w:val="00A760E6"/>
    <w:rsid w:val="00A8355C"/>
    <w:rsid w:val="00A846DE"/>
    <w:rsid w:val="00A86F40"/>
    <w:rsid w:val="00A900AD"/>
    <w:rsid w:val="00A91CB6"/>
    <w:rsid w:val="00AA5323"/>
    <w:rsid w:val="00AA7BF1"/>
    <w:rsid w:val="00AB1025"/>
    <w:rsid w:val="00AB30F3"/>
    <w:rsid w:val="00AB3A99"/>
    <w:rsid w:val="00AB606C"/>
    <w:rsid w:val="00AB6810"/>
    <w:rsid w:val="00AC04D4"/>
    <w:rsid w:val="00AC05F7"/>
    <w:rsid w:val="00AC2EA5"/>
    <w:rsid w:val="00AC38A7"/>
    <w:rsid w:val="00AC4297"/>
    <w:rsid w:val="00AC7E74"/>
    <w:rsid w:val="00AD0037"/>
    <w:rsid w:val="00AD4A0A"/>
    <w:rsid w:val="00AE1DAE"/>
    <w:rsid w:val="00AE24ED"/>
    <w:rsid w:val="00AE318B"/>
    <w:rsid w:val="00AE39D4"/>
    <w:rsid w:val="00AE623F"/>
    <w:rsid w:val="00AF5627"/>
    <w:rsid w:val="00AF63EB"/>
    <w:rsid w:val="00AF754B"/>
    <w:rsid w:val="00B0047A"/>
    <w:rsid w:val="00B03FAD"/>
    <w:rsid w:val="00B04EFB"/>
    <w:rsid w:val="00B0574E"/>
    <w:rsid w:val="00B05C46"/>
    <w:rsid w:val="00B06B01"/>
    <w:rsid w:val="00B11739"/>
    <w:rsid w:val="00B13095"/>
    <w:rsid w:val="00B13C71"/>
    <w:rsid w:val="00B14A2C"/>
    <w:rsid w:val="00B14F47"/>
    <w:rsid w:val="00B156B6"/>
    <w:rsid w:val="00B16A4A"/>
    <w:rsid w:val="00B16D15"/>
    <w:rsid w:val="00B207CC"/>
    <w:rsid w:val="00B209F2"/>
    <w:rsid w:val="00B21223"/>
    <w:rsid w:val="00B25643"/>
    <w:rsid w:val="00B25F68"/>
    <w:rsid w:val="00B3106E"/>
    <w:rsid w:val="00B316BF"/>
    <w:rsid w:val="00B35962"/>
    <w:rsid w:val="00B37A5D"/>
    <w:rsid w:val="00B37FE5"/>
    <w:rsid w:val="00B41E40"/>
    <w:rsid w:val="00B426F3"/>
    <w:rsid w:val="00B4290E"/>
    <w:rsid w:val="00B42FD7"/>
    <w:rsid w:val="00B43C1B"/>
    <w:rsid w:val="00B44522"/>
    <w:rsid w:val="00B46C5E"/>
    <w:rsid w:val="00B50118"/>
    <w:rsid w:val="00B501A8"/>
    <w:rsid w:val="00B5024A"/>
    <w:rsid w:val="00B50E6F"/>
    <w:rsid w:val="00B517F2"/>
    <w:rsid w:val="00B51BA0"/>
    <w:rsid w:val="00B53A21"/>
    <w:rsid w:val="00B544F8"/>
    <w:rsid w:val="00B54518"/>
    <w:rsid w:val="00B60500"/>
    <w:rsid w:val="00B61E26"/>
    <w:rsid w:val="00B638B1"/>
    <w:rsid w:val="00B63B11"/>
    <w:rsid w:val="00B65D7C"/>
    <w:rsid w:val="00B65D9C"/>
    <w:rsid w:val="00B66772"/>
    <w:rsid w:val="00B672BA"/>
    <w:rsid w:val="00B72021"/>
    <w:rsid w:val="00B72CB9"/>
    <w:rsid w:val="00B73336"/>
    <w:rsid w:val="00B766C0"/>
    <w:rsid w:val="00B80240"/>
    <w:rsid w:val="00B80745"/>
    <w:rsid w:val="00B8418E"/>
    <w:rsid w:val="00B84F60"/>
    <w:rsid w:val="00B85C78"/>
    <w:rsid w:val="00B9058A"/>
    <w:rsid w:val="00B93E0D"/>
    <w:rsid w:val="00B960AA"/>
    <w:rsid w:val="00B967B0"/>
    <w:rsid w:val="00BA000B"/>
    <w:rsid w:val="00BA3A5D"/>
    <w:rsid w:val="00BA541D"/>
    <w:rsid w:val="00BB57D2"/>
    <w:rsid w:val="00BB5A4A"/>
    <w:rsid w:val="00BB5CC0"/>
    <w:rsid w:val="00BC06D9"/>
    <w:rsid w:val="00BC1750"/>
    <w:rsid w:val="00BC334D"/>
    <w:rsid w:val="00BC6421"/>
    <w:rsid w:val="00BD2533"/>
    <w:rsid w:val="00BD2ED1"/>
    <w:rsid w:val="00BE26CA"/>
    <w:rsid w:val="00BE2E62"/>
    <w:rsid w:val="00BE321D"/>
    <w:rsid w:val="00BE4052"/>
    <w:rsid w:val="00BF33CD"/>
    <w:rsid w:val="00C041A1"/>
    <w:rsid w:val="00C0423C"/>
    <w:rsid w:val="00C054BF"/>
    <w:rsid w:val="00C06A62"/>
    <w:rsid w:val="00C131A5"/>
    <w:rsid w:val="00C132D6"/>
    <w:rsid w:val="00C20A00"/>
    <w:rsid w:val="00C21555"/>
    <w:rsid w:val="00C21D1D"/>
    <w:rsid w:val="00C26510"/>
    <w:rsid w:val="00C277A9"/>
    <w:rsid w:val="00C27A7D"/>
    <w:rsid w:val="00C322C8"/>
    <w:rsid w:val="00C33DCE"/>
    <w:rsid w:val="00C340A9"/>
    <w:rsid w:val="00C34753"/>
    <w:rsid w:val="00C35352"/>
    <w:rsid w:val="00C416BB"/>
    <w:rsid w:val="00C4266F"/>
    <w:rsid w:val="00C43173"/>
    <w:rsid w:val="00C447FF"/>
    <w:rsid w:val="00C44993"/>
    <w:rsid w:val="00C4650C"/>
    <w:rsid w:val="00C46729"/>
    <w:rsid w:val="00C46764"/>
    <w:rsid w:val="00C46E09"/>
    <w:rsid w:val="00C54B58"/>
    <w:rsid w:val="00C574C2"/>
    <w:rsid w:val="00C60C9D"/>
    <w:rsid w:val="00C61C49"/>
    <w:rsid w:val="00C6282B"/>
    <w:rsid w:val="00C636EB"/>
    <w:rsid w:val="00C64979"/>
    <w:rsid w:val="00C71DC7"/>
    <w:rsid w:val="00C73C06"/>
    <w:rsid w:val="00C7649F"/>
    <w:rsid w:val="00C76F43"/>
    <w:rsid w:val="00C77D7E"/>
    <w:rsid w:val="00C803E5"/>
    <w:rsid w:val="00C80BA3"/>
    <w:rsid w:val="00C8150A"/>
    <w:rsid w:val="00C816EA"/>
    <w:rsid w:val="00C826A7"/>
    <w:rsid w:val="00C82F0F"/>
    <w:rsid w:val="00C83692"/>
    <w:rsid w:val="00C83C67"/>
    <w:rsid w:val="00C857AE"/>
    <w:rsid w:val="00C86867"/>
    <w:rsid w:val="00C86935"/>
    <w:rsid w:val="00C9011D"/>
    <w:rsid w:val="00C918E5"/>
    <w:rsid w:val="00C933D7"/>
    <w:rsid w:val="00C945C0"/>
    <w:rsid w:val="00C97CC2"/>
    <w:rsid w:val="00C97DCB"/>
    <w:rsid w:val="00CA004A"/>
    <w:rsid w:val="00CA0A28"/>
    <w:rsid w:val="00CA23EE"/>
    <w:rsid w:val="00CB11C2"/>
    <w:rsid w:val="00CB23C0"/>
    <w:rsid w:val="00CB442C"/>
    <w:rsid w:val="00CB7298"/>
    <w:rsid w:val="00CB79CE"/>
    <w:rsid w:val="00CB7C7C"/>
    <w:rsid w:val="00CC081E"/>
    <w:rsid w:val="00CC491D"/>
    <w:rsid w:val="00CC6D13"/>
    <w:rsid w:val="00CD02D2"/>
    <w:rsid w:val="00CD30D8"/>
    <w:rsid w:val="00CD3D3E"/>
    <w:rsid w:val="00CE34E2"/>
    <w:rsid w:val="00CE3BD0"/>
    <w:rsid w:val="00CE3E8D"/>
    <w:rsid w:val="00CE42CA"/>
    <w:rsid w:val="00CE4BF7"/>
    <w:rsid w:val="00CE61DB"/>
    <w:rsid w:val="00CF18B3"/>
    <w:rsid w:val="00CF5899"/>
    <w:rsid w:val="00CF66D6"/>
    <w:rsid w:val="00D02854"/>
    <w:rsid w:val="00D02C25"/>
    <w:rsid w:val="00D061FA"/>
    <w:rsid w:val="00D06A10"/>
    <w:rsid w:val="00D11BB1"/>
    <w:rsid w:val="00D12C54"/>
    <w:rsid w:val="00D131EB"/>
    <w:rsid w:val="00D16A16"/>
    <w:rsid w:val="00D16E8A"/>
    <w:rsid w:val="00D21D8B"/>
    <w:rsid w:val="00D2252E"/>
    <w:rsid w:val="00D2603F"/>
    <w:rsid w:val="00D2605C"/>
    <w:rsid w:val="00D26D0C"/>
    <w:rsid w:val="00D3001D"/>
    <w:rsid w:val="00D30F0B"/>
    <w:rsid w:val="00D31116"/>
    <w:rsid w:val="00D31D81"/>
    <w:rsid w:val="00D33188"/>
    <w:rsid w:val="00D34520"/>
    <w:rsid w:val="00D347CF"/>
    <w:rsid w:val="00D353B6"/>
    <w:rsid w:val="00D37C6C"/>
    <w:rsid w:val="00D437EB"/>
    <w:rsid w:val="00D441CB"/>
    <w:rsid w:val="00D46546"/>
    <w:rsid w:val="00D475D8"/>
    <w:rsid w:val="00D47C47"/>
    <w:rsid w:val="00D52C82"/>
    <w:rsid w:val="00D52D94"/>
    <w:rsid w:val="00D55903"/>
    <w:rsid w:val="00D649A5"/>
    <w:rsid w:val="00D6642D"/>
    <w:rsid w:val="00D665E4"/>
    <w:rsid w:val="00D671E1"/>
    <w:rsid w:val="00D7028B"/>
    <w:rsid w:val="00D70D59"/>
    <w:rsid w:val="00D7208E"/>
    <w:rsid w:val="00D7392B"/>
    <w:rsid w:val="00D740BB"/>
    <w:rsid w:val="00D74C02"/>
    <w:rsid w:val="00D7566A"/>
    <w:rsid w:val="00D762A1"/>
    <w:rsid w:val="00D81280"/>
    <w:rsid w:val="00D85DDD"/>
    <w:rsid w:val="00D91575"/>
    <w:rsid w:val="00D92FA4"/>
    <w:rsid w:val="00DA1D5F"/>
    <w:rsid w:val="00DA4C16"/>
    <w:rsid w:val="00DB0F3B"/>
    <w:rsid w:val="00DB31F6"/>
    <w:rsid w:val="00DC0558"/>
    <w:rsid w:val="00DC0BA7"/>
    <w:rsid w:val="00DC50D4"/>
    <w:rsid w:val="00DD4B10"/>
    <w:rsid w:val="00DD4ECA"/>
    <w:rsid w:val="00DD5AFD"/>
    <w:rsid w:val="00DD5E6A"/>
    <w:rsid w:val="00DD5FC5"/>
    <w:rsid w:val="00DE0CFF"/>
    <w:rsid w:val="00DE1B11"/>
    <w:rsid w:val="00DE3991"/>
    <w:rsid w:val="00DE3D03"/>
    <w:rsid w:val="00DE4087"/>
    <w:rsid w:val="00DE64AC"/>
    <w:rsid w:val="00DE7745"/>
    <w:rsid w:val="00DF1417"/>
    <w:rsid w:val="00DF20A6"/>
    <w:rsid w:val="00DF2443"/>
    <w:rsid w:val="00DF3D92"/>
    <w:rsid w:val="00DF45F0"/>
    <w:rsid w:val="00E00582"/>
    <w:rsid w:val="00E00A18"/>
    <w:rsid w:val="00E02279"/>
    <w:rsid w:val="00E02C28"/>
    <w:rsid w:val="00E04F12"/>
    <w:rsid w:val="00E0643E"/>
    <w:rsid w:val="00E14CF8"/>
    <w:rsid w:val="00E163D9"/>
    <w:rsid w:val="00E2057A"/>
    <w:rsid w:val="00E22744"/>
    <w:rsid w:val="00E2372B"/>
    <w:rsid w:val="00E25CC0"/>
    <w:rsid w:val="00E26BDE"/>
    <w:rsid w:val="00E329B4"/>
    <w:rsid w:val="00E336DE"/>
    <w:rsid w:val="00E35181"/>
    <w:rsid w:val="00E44A85"/>
    <w:rsid w:val="00E51799"/>
    <w:rsid w:val="00E529FC"/>
    <w:rsid w:val="00E53275"/>
    <w:rsid w:val="00E56E43"/>
    <w:rsid w:val="00E570C3"/>
    <w:rsid w:val="00E6030C"/>
    <w:rsid w:val="00E64371"/>
    <w:rsid w:val="00E7001A"/>
    <w:rsid w:val="00E73AE5"/>
    <w:rsid w:val="00E75429"/>
    <w:rsid w:val="00E76DC3"/>
    <w:rsid w:val="00E77F97"/>
    <w:rsid w:val="00E81CB7"/>
    <w:rsid w:val="00E82835"/>
    <w:rsid w:val="00E86E27"/>
    <w:rsid w:val="00E90BC7"/>
    <w:rsid w:val="00E93620"/>
    <w:rsid w:val="00E941FF"/>
    <w:rsid w:val="00E9647A"/>
    <w:rsid w:val="00EA000A"/>
    <w:rsid w:val="00EA21A5"/>
    <w:rsid w:val="00EA23D2"/>
    <w:rsid w:val="00EA333E"/>
    <w:rsid w:val="00EA3832"/>
    <w:rsid w:val="00EA7E0E"/>
    <w:rsid w:val="00EB535A"/>
    <w:rsid w:val="00EB5EE6"/>
    <w:rsid w:val="00EB7C0D"/>
    <w:rsid w:val="00EC0769"/>
    <w:rsid w:val="00EC11E0"/>
    <w:rsid w:val="00EC15B2"/>
    <w:rsid w:val="00EC4925"/>
    <w:rsid w:val="00EC75D4"/>
    <w:rsid w:val="00EC7CAC"/>
    <w:rsid w:val="00ED299F"/>
    <w:rsid w:val="00ED4A3E"/>
    <w:rsid w:val="00ED76DB"/>
    <w:rsid w:val="00EE047D"/>
    <w:rsid w:val="00EE38C6"/>
    <w:rsid w:val="00EE49B4"/>
    <w:rsid w:val="00EE7CB9"/>
    <w:rsid w:val="00EF22F8"/>
    <w:rsid w:val="00F00F84"/>
    <w:rsid w:val="00F01F2C"/>
    <w:rsid w:val="00F03FAF"/>
    <w:rsid w:val="00F22C96"/>
    <w:rsid w:val="00F23D87"/>
    <w:rsid w:val="00F2406C"/>
    <w:rsid w:val="00F24323"/>
    <w:rsid w:val="00F24D1D"/>
    <w:rsid w:val="00F24E7F"/>
    <w:rsid w:val="00F27350"/>
    <w:rsid w:val="00F3068C"/>
    <w:rsid w:val="00F326D4"/>
    <w:rsid w:val="00F3453B"/>
    <w:rsid w:val="00F35A14"/>
    <w:rsid w:val="00F40293"/>
    <w:rsid w:val="00F40A14"/>
    <w:rsid w:val="00F42616"/>
    <w:rsid w:val="00F43E15"/>
    <w:rsid w:val="00F47CBB"/>
    <w:rsid w:val="00F51F61"/>
    <w:rsid w:val="00F546EB"/>
    <w:rsid w:val="00F56A75"/>
    <w:rsid w:val="00F57610"/>
    <w:rsid w:val="00F663C2"/>
    <w:rsid w:val="00F672DB"/>
    <w:rsid w:val="00F701F8"/>
    <w:rsid w:val="00F7338E"/>
    <w:rsid w:val="00F75757"/>
    <w:rsid w:val="00F77791"/>
    <w:rsid w:val="00F77B42"/>
    <w:rsid w:val="00F80E67"/>
    <w:rsid w:val="00F84264"/>
    <w:rsid w:val="00F93CEC"/>
    <w:rsid w:val="00FA30CD"/>
    <w:rsid w:val="00FA4D12"/>
    <w:rsid w:val="00FA6129"/>
    <w:rsid w:val="00FA689E"/>
    <w:rsid w:val="00FB22ED"/>
    <w:rsid w:val="00FB4A0D"/>
    <w:rsid w:val="00FB585F"/>
    <w:rsid w:val="00FC01F5"/>
    <w:rsid w:val="00FC1958"/>
    <w:rsid w:val="00FC30D0"/>
    <w:rsid w:val="00FC3CB9"/>
    <w:rsid w:val="00FC49D9"/>
    <w:rsid w:val="00FC601B"/>
    <w:rsid w:val="00FC7C05"/>
    <w:rsid w:val="00FD338F"/>
    <w:rsid w:val="00FD362F"/>
    <w:rsid w:val="00FD3E39"/>
    <w:rsid w:val="00FD4FFF"/>
    <w:rsid w:val="00FD6B06"/>
    <w:rsid w:val="00FF1911"/>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E143"/>
  <w15:docId w15:val="{0FB7BE02-DAAF-450A-87B4-AF1E7C7C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16"/>
        <w:lang w:val="en-US" w:eastAsia="en-US" w:bidi="ar-SA"/>
      </w:rPr>
    </w:rPrDefault>
    <w:pPrDefault>
      <w:pPr>
        <w:spacing w:after="16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D7E"/>
    <w:pPr>
      <w:spacing w:after="0"/>
      <w:ind w:firstLine="720"/>
    </w:pPr>
    <w:rPr>
      <w:sz w:val="24"/>
    </w:rPr>
  </w:style>
  <w:style w:type="paragraph" w:styleId="Heading1">
    <w:name w:val="heading 1"/>
    <w:basedOn w:val="Normal"/>
    <w:next w:val="Normal"/>
    <w:link w:val="Heading1Char"/>
    <w:uiPriority w:val="9"/>
    <w:qFormat/>
    <w:rsid w:val="000B13EE"/>
    <w:pPr>
      <w:keepNext/>
      <w:keepLines/>
      <w:spacing w:after="36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FD4FFF"/>
    <w:pPr>
      <w:keepNext/>
      <w:keepLines/>
      <w:spacing w:before="240" w:after="240"/>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803E5"/>
    <w:pPr>
      <w:keepNext/>
      <w:keepLines/>
      <w:spacing w:before="240" w:after="240"/>
      <w:ind w:firstLine="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3EE"/>
    <w:rPr>
      <w:rFonts w:eastAsiaTheme="majorEastAsia" w:cstheme="majorBidi"/>
      <w:b/>
      <w:caps/>
      <w:color w:val="000000" w:themeColor="text1"/>
      <w:sz w:val="28"/>
      <w:szCs w:val="32"/>
    </w:rPr>
  </w:style>
  <w:style w:type="paragraph" w:styleId="BalloonText">
    <w:name w:val="Balloon Text"/>
    <w:basedOn w:val="Normal"/>
    <w:link w:val="BalloonTextChar"/>
    <w:uiPriority w:val="99"/>
    <w:semiHidden/>
    <w:unhideWhenUsed/>
    <w:rsid w:val="00A269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1B"/>
    <w:rPr>
      <w:rFonts w:ascii="Segoe UI" w:hAnsi="Segoe UI" w:cs="Segoe UI"/>
      <w:sz w:val="18"/>
      <w:szCs w:val="18"/>
    </w:rPr>
  </w:style>
  <w:style w:type="character" w:customStyle="1" w:styleId="Heading2Char">
    <w:name w:val="Heading 2 Char"/>
    <w:basedOn w:val="DefaultParagraphFont"/>
    <w:link w:val="Heading2"/>
    <w:uiPriority w:val="9"/>
    <w:rsid w:val="00FD4FFF"/>
    <w:rPr>
      <w:rFonts w:eastAsiaTheme="majorEastAsia" w:cstheme="majorBidi"/>
      <w:b/>
      <w:sz w:val="24"/>
      <w:szCs w:val="26"/>
    </w:rPr>
  </w:style>
  <w:style w:type="character" w:styleId="CommentReference">
    <w:name w:val="annotation reference"/>
    <w:basedOn w:val="DefaultParagraphFont"/>
    <w:uiPriority w:val="99"/>
    <w:semiHidden/>
    <w:unhideWhenUsed/>
    <w:rsid w:val="00A251E5"/>
    <w:rPr>
      <w:sz w:val="16"/>
      <w:szCs w:val="16"/>
    </w:rPr>
  </w:style>
  <w:style w:type="paragraph" w:styleId="CommentText">
    <w:name w:val="annotation text"/>
    <w:basedOn w:val="Normal"/>
    <w:link w:val="CommentTextChar"/>
    <w:uiPriority w:val="99"/>
    <w:unhideWhenUsed/>
    <w:rsid w:val="00A251E5"/>
    <w:pPr>
      <w:spacing w:line="240" w:lineRule="auto"/>
    </w:pPr>
    <w:rPr>
      <w:sz w:val="20"/>
      <w:szCs w:val="20"/>
    </w:rPr>
  </w:style>
  <w:style w:type="character" w:customStyle="1" w:styleId="CommentTextChar">
    <w:name w:val="Comment Text Char"/>
    <w:basedOn w:val="DefaultParagraphFont"/>
    <w:link w:val="CommentText"/>
    <w:uiPriority w:val="99"/>
    <w:rsid w:val="00A251E5"/>
    <w:rPr>
      <w:sz w:val="20"/>
      <w:szCs w:val="20"/>
    </w:rPr>
  </w:style>
  <w:style w:type="paragraph" w:styleId="CommentSubject">
    <w:name w:val="annotation subject"/>
    <w:basedOn w:val="CommentText"/>
    <w:next w:val="CommentText"/>
    <w:link w:val="CommentSubjectChar"/>
    <w:uiPriority w:val="99"/>
    <w:semiHidden/>
    <w:unhideWhenUsed/>
    <w:rsid w:val="00A251E5"/>
    <w:rPr>
      <w:b/>
      <w:bCs/>
    </w:rPr>
  </w:style>
  <w:style w:type="character" w:customStyle="1" w:styleId="CommentSubjectChar">
    <w:name w:val="Comment Subject Char"/>
    <w:basedOn w:val="CommentTextChar"/>
    <w:link w:val="CommentSubject"/>
    <w:uiPriority w:val="99"/>
    <w:semiHidden/>
    <w:rsid w:val="00A251E5"/>
    <w:rPr>
      <w:b/>
      <w:bCs/>
      <w:sz w:val="20"/>
      <w:szCs w:val="20"/>
    </w:rPr>
  </w:style>
  <w:style w:type="paragraph" w:styleId="Header">
    <w:name w:val="header"/>
    <w:basedOn w:val="Normal"/>
    <w:link w:val="HeaderChar"/>
    <w:uiPriority w:val="99"/>
    <w:unhideWhenUsed/>
    <w:rsid w:val="002C0493"/>
    <w:pPr>
      <w:tabs>
        <w:tab w:val="center" w:pos="4680"/>
        <w:tab w:val="right" w:pos="9360"/>
      </w:tabs>
      <w:spacing w:line="240" w:lineRule="auto"/>
    </w:pPr>
  </w:style>
  <w:style w:type="character" w:customStyle="1" w:styleId="HeaderChar">
    <w:name w:val="Header Char"/>
    <w:basedOn w:val="DefaultParagraphFont"/>
    <w:link w:val="Header"/>
    <w:uiPriority w:val="99"/>
    <w:rsid w:val="002C0493"/>
    <w:rPr>
      <w:sz w:val="24"/>
    </w:rPr>
  </w:style>
  <w:style w:type="paragraph" w:styleId="Footer">
    <w:name w:val="footer"/>
    <w:basedOn w:val="Normal"/>
    <w:link w:val="FooterChar"/>
    <w:uiPriority w:val="99"/>
    <w:unhideWhenUsed/>
    <w:rsid w:val="002C0493"/>
    <w:pPr>
      <w:tabs>
        <w:tab w:val="center" w:pos="4680"/>
        <w:tab w:val="right" w:pos="9360"/>
      </w:tabs>
      <w:spacing w:line="240" w:lineRule="auto"/>
    </w:pPr>
  </w:style>
  <w:style w:type="character" w:customStyle="1" w:styleId="FooterChar">
    <w:name w:val="Footer Char"/>
    <w:basedOn w:val="DefaultParagraphFont"/>
    <w:link w:val="Footer"/>
    <w:uiPriority w:val="99"/>
    <w:rsid w:val="002C0493"/>
    <w:rPr>
      <w:sz w:val="24"/>
    </w:rPr>
  </w:style>
  <w:style w:type="paragraph" w:styleId="FootnoteText">
    <w:name w:val="footnote text"/>
    <w:basedOn w:val="Normal"/>
    <w:link w:val="FootnoteTextChar"/>
    <w:uiPriority w:val="99"/>
    <w:unhideWhenUsed/>
    <w:rsid w:val="002C0493"/>
    <w:pPr>
      <w:spacing w:line="240" w:lineRule="auto"/>
    </w:pPr>
    <w:rPr>
      <w:sz w:val="20"/>
      <w:szCs w:val="20"/>
    </w:rPr>
  </w:style>
  <w:style w:type="character" w:customStyle="1" w:styleId="FootnoteTextChar">
    <w:name w:val="Footnote Text Char"/>
    <w:basedOn w:val="DefaultParagraphFont"/>
    <w:link w:val="FootnoteText"/>
    <w:uiPriority w:val="99"/>
    <w:rsid w:val="002C0493"/>
    <w:rPr>
      <w:sz w:val="20"/>
      <w:szCs w:val="20"/>
    </w:rPr>
  </w:style>
  <w:style w:type="character" w:styleId="FootnoteReference">
    <w:name w:val="footnote reference"/>
    <w:aliases w:val="ftref,BVI fnr,16 Point,Superscript 6 Point,Footnote text,Ref. de nota al pie1"/>
    <w:basedOn w:val="DefaultParagraphFont"/>
    <w:uiPriority w:val="99"/>
    <w:semiHidden/>
    <w:unhideWhenUsed/>
    <w:rsid w:val="002C0493"/>
    <w:rPr>
      <w:vertAlign w:val="superscript"/>
    </w:rPr>
  </w:style>
  <w:style w:type="paragraph" w:styleId="Caption">
    <w:name w:val="caption"/>
    <w:basedOn w:val="Normal"/>
    <w:next w:val="Normal"/>
    <w:uiPriority w:val="35"/>
    <w:unhideWhenUsed/>
    <w:qFormat/>
    <w:rsid w:val="0025582F"/>
    <w:pPr>
      <w:spacing w:after="200" w:line="240" w:lineRule="auto"/>
    </w:pPr>
    <w:rPr>
      <w:i/>
      <w:iCs/>
      <w:color w:val="44546A" w:themeColor="text2"/>
      <w:sz w:val="18"/>
      <w:szCs w:val="18"/>
    </w:rPr>
  </w:style>
  <w:style w:type="paragraph" w:customStyle="1" w:styleId="Body">
    <w:name w:val="Body"/>
    <w:basedOn w:val="ListParagraph"/>
    <w:link w:val="BodyChar"/>
    <w:rsid w:val="007B528B"/>
    <w:pPr>
      <w:spacing w:line="240" w:lineRule="auto"/>
      <w:ind w:left="0" w:firstLine="0"/>
      <w:contextualSpacing w:val="0"/>
    </w:pPr>
    <w:rPr>
      <w:rFonts w:ascii="Calibri" w:eastAsia="Times New Roman" w:hAnsi="Calibri"/>
      <w:color w:val="000000"/>
      <w:sz w:val="22"/>
      <w:szCs w:val="22"/>
      <w:lang w:val="en-CA"/>
    </w:rPr>
  </w:style>
  <w:style w:type="character" w:customStyle="1" w:styleId="BodyChar">
    <w:name w:val="Body Char"/>
    <w:link w:val="Body"/>
    <w:locked/>
    <w:rsid w:val="007B528B"/>
    <w:rPr>
      <w:rFonts w:ascii="Calibri" w:eastAsia="Times New Roman" w:hAnsi="Calibri"/>
      <w:color w:val="000000"/>
      <w:szCs w:val="22"/>
      <w:lang w:val="en-CA"/>
    </w:rPr>
  </w:style>
  <w:style w:type="paragraph" w:styleId="ListParagraph">
    <w:name w:val="List Paragraph"/>
    <w:aliases w:val="List Paragraph 1"/>
    <w:basedOn w:val="Normal"/>
    <w:link w:val="ListParagraphChar"/>
    <w:uiPriority w:val="34"/>
    <w:qFormat/>
    <w:rsid w:val="007B528B"/>
    <w:pPr>
      <w:ind w:left="720"/>
      <w:contextualSpacing/>
    </w:pPr>
  </w:style>
  <w:style w:type="paragraph" w:styleId="NoSpacing">
    <w:name w:val="No Spacing"/>
    <w:link w:val="NoSpacingChar"/>
    <w:uiPriority w:val="1"/>
    <w:qFormat/>
    <w:rsid w:val="00131984"/>
    <w:pPr>
      <w:spacing w:after="0" w:line="240" w:lineRule="auto"/>
      <w:jc w:val="left"/>
    </w:pPr>
    <w:rPr>
      <w:rFonts w:ascii="PMingLiU" w:eastAsiaTheme="minorEastAsia" w:hAnsi="PMingLiU" w:cstheme="minorBidi"/>
      <w:szCs w:val="22"/>
      <w:lang w:eastAsia="ja-JP"/>
    </w:rPr>
  </w:style>
  <w:style w:type="character" w:customStyle="1" w:styleId="NoSpacingChar">
    <w:name w:val="No Spacing Char"/>
    <w:basedOn w:val="DefaultParagraphFont"/>
    <w:link w:val="NoSpacing"/>
    <w:uiPriority w:val="1"/>
    <w:rsid w:val="00131984"/>
    <w:rPr>
      <w:rFonts w:ascii="PMingLiU" w:eastAsiaTheme="minorEastAsia" w:hAnsi="PMingLiU" w:cstheme="minorBidi"/>
      <w:szCs w:val="22"/>
      <w:lang w:eastAsia="ja-JP"/>
    </w:rPr>
  </w:style>
  <w:style w:type="table" w:customStyle="1" w:styleId="TableGrid">
    <w:name w:val="TableGrid"/>
    <w:rsid w:val="00131984"/>
    <w:pPr>
      <w:spacing w:after="0" w:line="240" w:lineRule="auto"/>
      <w:jc w:val="left"/>
    </w:pPr>
    <w:rPr>
      <w:rFonts w:asciiTheme="minorHAnsi" w:eastAsiaTheme="minorEastAsia" w:hAnsiTheme="minorHAnsi" w:cstheme="minorBidi"/>
      <w:szCs w:val="22"/>
      <w:lang w:val="sr-Latn-CS" w:eastAsia="sr-Latn-CS"/>
    </w:rPr>
    <w:tblPr>
      <w:tblCellMar>
        <w:top w:w="0" w:type="dxa"/>
        <w:left w:w="0" w:type="dxa"/>
        <w:bottom w:w="0" w:type="dxa"/>
        <w:right w:w="0" w:type="dxa"/>
      </w:tblCellMar>
    </w:tblPr>
  </w:style>
  <w:style w:type="table" w:styleId="TableGrid0">
    <w:name w:val="Table Grid"/>
    <w:basedOn w:val="TableNormal"/>
    <w:uiPriority w:val="39"/>
    <w:rsid w:val="0087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44F8"/>
    <w:rPr>
      <w:color w:val="0563C1" w:themeColor="hyperlink"/>
      <w:u w:val="single"/>
    </w:rPr>
  </w:style>
  <w:style w:type="character" w:customStyle="1" w:styleId="UnresolvedMention1">
    <w:name w:val="Unresolved Mention1"/>
    <w:basedOn w:val="DefaultParagraphFont"/>
    <w:uiPriority w:val="99"/>
    <w:semiHidden/>
    <w:unhideWhenUsed/>
    <w:rsid w:val="00B544F8"/>
    <w:rPr>
      <w:color w:val="605E5C"/>
      <w:shd w:val="clear" w:color="auto" w:fill="E1DFDD"/>
    </w:rPr>
  </w:style>
  <w:style w:type="character" w:customStyle="1" w:styleId="Heading3Char">
    <w:name w:val="Heading 3 Char"/>
    <w:basedOn w:val="DefaultParagraphFont"/>
    <w:link w:val="Heading3"/>
    <w:uiPriority w:val="9"/>
    <w:rsid w:val="00C803E5"/>
    <w:rPr>
      <w:rFonts w:eastAsiaTheme="majorEastAsia" w:cstheme="majorBidi"/>
      <w:i/>
      <w:sz w:val="24"/>
      <w:szCs w:val="24"/>
    </w:rPr>
  </w:style>
  <w:style w:type="paragraph" w:styleId="Revision">
    <w:name w:val="Revision"/>
    <w:hidden/>
    <w:uiPriority w:val="99"/>
    <w:semiHidden/>
    <w:rsid w:val="008D7304"/>
    <w:pPr>
      <w:spacing w:after="0" w:line="240" w:lineRule="auto"/>
      <w:jc w:val="left"/>
    </w:pPr>
    <w:rPr>
      <w:sz w:val="24"/>
    </w:rPr>
  </w:style>
  <w:style w:type="paragraph" w:styleId="BodyTextIndent2">
    <w:name w:val="Body Text Indent 2"/>
    <w:basedOn w:val="Normal"/>
    <w:link w:val="BodyTextIndent2Char"/>
    <w:uiPriority w:val="99"/>
    <w:rsid w:val="000F6E7D"/>
    <w:pPr>
      <w:spacing w:after="120" w:line="480" w:lineRule="auto"/>
      <w:ind w:firstLine="567"/>
    </w:pPr>
    <w:rPr>
      <w:rFonts w:eastAsia="Times New Roman"/>
      <w:szCs w:val="20"/>
      <w:lang w:val="sr-Latn-CS"/>
    </w:rPr>
  </w:style>
  <w:style w:type="character" w:customStyle="1" w:styleId="BodyTextIndent2Char">
    <w:name w:val="Body Text Indent 2 Char"/>
    <w:basedOn w:val="DefaultParagraphFont"/>
    <w:link w:val="BodyTextIndent2"/>
    <w:uiPriority w:val="99"/>
    <w:rsid w:val="000F6E7D"/>
    <w:rPr>
      <w:rFonts w:eastAsia="Times New Roman"/>
      <w:sz w:val="24"/>
      <w:szCs w:val="20"/>
      <w:lang w:val="sr-Latn-CS"/>
    </w:rPr>
  </w:style>
  <w:style w:type="character" w:customStyle="1" w:styleId="UnresolvedMention2">
    <w:name w:val="Unresolved Mention2"/>
    <w:basedOn w:val="DefaultParagraphFont"/>
    <w:uiPriority w:val="99"/>
    <w:semiHidden/>
    <w:unhideWhenUsed/>
    <w:rsid w:val="00240C7C"/>
    <w:rPr>
      <w:color w:val="605E5C"/>
      <w:shd w:val="clear" w:color="auto" w:fill="E1DFDD"/>
    </w:rPr>
  </w:style>
  <w:style w:type="paragraph" w:customStyle="1" w:styleId="Goalparagraph">
    <w:name w:val="Goal paragraph"/>
    <w:basedOn w:val="Normal"/>
    <w:link w:val="GoalparagraphChar"/>
    <w:rsid w:val="00282813"/>
    <w:pPr>
      <w:spacing w:before="120" w:after="120" w:line="240" w:lineRule="auto"/>
      <w:ind w:left="720" w:hanging="720"/>
      <w:jc w:val="left"/>
    </w:pPr>
    <w:rPr>
      <w:rFonts w:ascii="Calibri" w:eastAsia="Times New Roman" w:hAnsi="Calibri"/>
      <w:sz w:val="20"/>
      <w:szCs w:val="21"/>
      <w:lang w:val="en-CA"/>
    </w:rPr>
  </w:style>
  <w:style w:type="character" w:customStyle="1" w:styleId="GoalparagraphChar">
    <w:name w:val="Goal paragraph Char"/>
    <w:link w:val="Goalparagraph"/>
    <w:locked/>
    <w:rsid w:val="00282813"/>
    <w:rPr>
      <w:rFonts w:ascii="Calibri" w:eastAsia="Times New Roman" w:hAnsi="Calibri"/>
      <w:sz w:val="20"/>
      <w:szCs w:val="21"/>
      <w:lang w:val="en-CA"/>
    </w:rPr>
  </w:style>
  <w:style w:type="character" w:customStyle="1" w:styleId="ListParagraphChar">
    <w:name w:val="List Paragraph Char"/>
    <w:aliases w:val="List Paragraph 1 Char"/>
    <w:link w:val="ListParagraph"/>
    <w:uiPriority w:val="34"/>
    <w:locked/>
    <w:rsid w:val="00D061FA"/>
    <w:rPr>
      <w:sz w:val="24"/>
    </w:rPr>
  </w:style>
  <w:style w:type="paragraph" w:styleId="TOCHeading">
    <w:name w:val="TOC Heading"/>
    <w:basedOn w:val="Heading1"/>
    <w:next w:val="Normal"/>
    <w:uiPriority w:val="39"/>
    <w:unhideWhenUsed/>
    <w:qFormat/>
    <w:rsid w:val="00A5310D"/>
    <w:pPr>
      <w:spacing w:before="240" w:after="0" w:line="259" w:lineRule="auto"/>
      <w:ind w:firstLine="0"/>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A5310D"/>
    <w:pPr>
      <w:spacing w:after="100"/>
    </w:pPr>
  </w:style>
  <w:style w:type="paragraph" w:styleId="TOC2">
    <w:name w:val="toc 2"/>
    <w:basedOn w:val="Normal"/>
    <w:next w:val="Normal"/>
    <w:autoRedefine/>
    <w:uiPriority w:val="39"/>
    <w:unhideWhenUsed/>
    <w:rsid w:val="00A5310D"/>
    <w:pPr>
      <w:spacing w:after="100"/>
      <w:ind w:left="240"/>
    </w:pPr>
  </w:style>
  <w:style w:type="paragraph" w:styleId="TOC3">
    <w:name w:val="toc 3"/>
    <w:basedOn w:val="Normal"/>
    <w:next w:val="Normal"/>
    <w:autoRedefine/>
    <w:uiPriority w:val="39"/>
    <w:unhideWhenUsed/>
    <w:rsid w:val="00A5310D"/>
    <w:pPr>
      <w:spacing w:after="100"/>
      <w:ind w:left="480"/>
    </w:pPr>
  </w:style>
  <w:style w:type="paragraph" w:styleId="IntenseQuote">
    <w:name w:val="Intense Quote"/>
    <w:basedOn w:val="Normal"/>
    <w:next w:val="Normal"/>
    <w:link w:val="IntenseQuoteChar"/>
    <w:autoRedefine/>
    <w:uiPriority w:val="30"/>
    <w:qFormat/>
    <w:rsid w:val="00936B91"/>
    <w:pPr>
      <w:pBdr>
        <w:top w:val="single" w:sz="4" w:space="10" w:color="4472C4" w:themeColor="accent1"/>
        <w:bottom w:val="single" w:sz="4" w:space="10" w:color="4472C4" w:themeColor="accent1"/>
      </w:pBdr>
      <w:spacing w:before="120" w:after="120" w:line="120" w:lineRule="auto"/>
      <w:ind w:left="113" w:right="113" w:firstLine="737"/>
      <w:contextualSpacing/>
    </w:pPr>
    <w:rPr>
      <w:i/>
      <w:iCs/>
      <w:color w:val="4472C4" w:themeColor="accent1"/>
    </w:rPr>
  </w:style>
  <w:style w:type="character" w:customStyle="1" w:styleId="IntenseQuoteChar">
    <w:name w:val="Intense Quote Char"/>
    <w:basedOn w:val="DefaultParagraphFont"/>
    <w:link w:val="IntenseQuote"/>
    <w:uiPriority w:val="30"/>
    <w:rsid w:val="00936B91"/>
    <w:rPr>
      <w:i/>
      <w:iCs/>
      <w:color w:val="4472C4" w:themeColor="accent1"/>
      <w:sz w:val="24"/>
    </w:rPr>
  </w:style>
  <w:style w:type="paragraph" w:customStyle="1" w:styleId="IntenseQuote1">
    <w:name w:val="Intense Quote1"/>
    <w:basedOn w:val="Normal"/>
    <w:next w:val="Normal"/>
    <w:uiPriority w:val="30"/>
    <w:qFormat/>
    <w:rsid w:val="00296289"/>
    <w:pPr>
      <w:pBdr>
        <w:top w:val="single" w:sz="4" w:space="10" w:color="4472C4" w:themeColor="accent1"/>
        <w:left w:val="single" w:sz="4" w:space="4" w:color="4472C4" w:themeColor="accent1"/>
        <w:bottom w:val="single" w:sz="4" w:space="10" w:color="4472C4" w:themeColor="accent1"/>
        <w:right w:val="single" w:sz="4" w:space="4" w:color="4472C4" w:themeColor="accent1"/>
      </w:pBdr>
      <w:spacing w:before="100" w:beforeAutospacing="1"/>
      <w:jc w:val="center"/>
    </w:pPr>
    <w:rPr>
      <w:i/>
      <w:iCs/>
      <w:color w:val="4472C4" w:themeColor="accent1"/>
    </w:rPr>
  </w:style>
  <w:style w:type="character" w:customStyle="1" w:styleId="UnresolvedMention3">
    <w:name w:val="Unresolved Mention3"/>
    <w:basedOn w:val="DefaultParagraphFont"/>
    <w:uiPriority w:val="99"/>
    <w:semiHidden/>
    <w:unhideWhenUsed/>
    <w:rsid w:val="00B35962"/>
    <w:rPr>
      <w:color w:val="605E5C"/>
      <w:shd w:val="clear" w:color="auto" w:fill="E1DFDD"/>
    </w:rPr>
  </w:style>
  <w:style w:type="paragraph" w:styleId="Title">
    <w:name w:val="Title"/>
    <w:basedOn w:val="Normal"/>
    <w:next w:val="Normal"/>
    <w:link w:val="TitleChar"/>
    <w:uiPriority w:val="10"/>
    <w:qFormat/>
    <w:rsid w:val="00DE1B11"/>
    <w:pPr>
      <w:spacing w:before="120" w:after="80" w:line="192" w:lineRule="auto"/>
      <w:ind w:left="1134" w:firstLine="0"/>
      <w:jc w:val="left"/>
    </w:pPr>
    <w:rPr>
      <w:rFonts w:ascii="Calibri" w:eastAsia="Times New Roman" w:hAnsi="Calibri"/>
      <w:noProof/>
      <w:spacing w:val="-10"/>
      <w:kern w:val="28"/>
      <w:sz w:val="28"/>
      <w:szCs w:val="40"/>
    </w:rPr>
  </w:style>
  <w:style w:type="character" w:customStyle="1" w:styleId="TitleChar">
    <w:name w:val="Title Char"/>
    <w:basedOn w:val="DefaultParagraphFont"/>
    <w:link w:val="Title"/>
    <w:uiPriority w:val="10"/>
    <w:rsid w:val="00DE1B11"/>
    <w:rPr>
      <w:rFonts w:ascii="Calibri" w:eastAsia="Times New Roman" w:hAnsi="Calibri"/>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218">
      <w:bodyDiv w:val="1"/>
      <w:marLeft w:val="0"/>
      <w:marRight w:val="0"/>
      <w:marTop w:val="0"/>
      <w:marBottom w:val="0"/>
      <w:divBdr>
        <w:top w:val="none" w:sz="0" w:space="0" w:color="auto"/>
        <w:left w:val="none" w:sz="0" w:space="0" w:color="auto"/>
        <w:bottom w:val="none" w:sz="0" w:space="0" w:color="auto"/>
        <w:right w:val="none" w:sz="0" w:space="0" w:color="auto"/>
      </w:divBdr>
    </w:div>
    <w:div w:id="66997350">
      <w:bodyDiv w:val="1"/>
      <w:marLeft w:val="0"/>
      <w:marRight w:val="0"/>
      <w:marTop w:val="0"/>
      <w:marBottom w:val="0"/>
      <w:divBdr>
        <w:top w:val="none" w:sz="0" w:space="0" w:color="auto"/>
        <w:left w:val="none" w:sz="0" w:space="0" w:color="auto"/>
        <w:bottom w:val="none" w:sz="0" w:space="0" w:color="auto"/>
        <w:right w:val="none" w:sz="0" w:space="0" w:color="auto"/>
      </w:divBdr>
    </w:div>
    <w:div w:id="82576960">
      <w:bodyDiv w:val="1"/>
      <w:marLeft w:val="0"/>
      <w:marRight w:val="0"/>
      <w:marTop w:val="0"/>
      <w:marBottom w:val="0"/>
      <w:divBdr>
        <w:top w:val="none" w:sz="0" w:space="0" w:color="auto"/>
        <w:left w:val="none" w:sz="0" w:space="0" w:color="auto"/>
        <w:bottom w:val="none" w:sz="0" w:space="0" w:color="auto"/>
        <w:right w:val="none" w:sz="0" w:space="0" w:color="auto"/>
      </w:divBdr>
    </w:div>
    <w:div w:id="193423781">
      <w:bodyDiv w:val="1"/>
      <w:marLeft w:val="0"/>
      <w:marRight w:val="0"/>
      <w:marTop w:val="0"/>
      <w:marBottom w:val="0"/>
      <w:divBdr>
        <w:top w:val="none" w:sz="0" w:space="0" w:color="auto"/>
        <w:left w:val="none" w:sz="0" w:space="0" w:color="auto"/>
        <w:bottom w:val="none" w:sz="0" w:space="0" w:color="auto"/>
        <w:right w:val="none" w:sz="0" w:space="0" w:color="auto"/>
      </w:divBdr>
    </w:div>
    <w:div w:id="206839574">
      <w:bodyDiv w:val="1"/>
      <w:marLeft w:val="0"/>
      <w:marRight w:val="0"/>
      <w:marTop w:val="0"/>
      <w:marBottom w:val="0"/>
      <w:divBdr>
        <w:top w:val="none" w:sz="0" w:space="0" w:color="auto"/>
        <w:left w:val="none" w:sz="0" w:space="0" w:color="auto"/>
        <w:bottom w:val="none" w:sz="0" w:space="0" w:color="auto"/>
        <w:right w:val="none" w:sz="0" w:space="0" w:color="auto"/>
      </w:divBdr>
    </w:div>
    <w:div w:id="784152355">
      <w:bodyDiv w:val="1"/>
      <w:marLeft w:val="0"/>
      <w:marRight w:val="0"/>
      <w:marTop w:val="0"/>
      <w:marBottom w:val="0"/>
      <w:divBdr>
        <w:top w:val="none" w:sz="0" w:space="0" w:color="auto"/>
        <w:left w:val="none" w:sz="0" w:space="0" w:color="auto"/>
        <w:bottom w:val="none" w:sz="0" w:space="0" w:color="auto"/>
        <w:right w:val="none" w:sz="0" w:space="0" w:color="auto"/>
      </w:divBdr>
    </w:div>
    <w:div w:id="785121623">
      <w:bodyDiv w:val="1"/>
      <w:marLeft w:val="0"/>
      <w:marRight w:val="0"/>
      <w:marTop w:val="0"/>
      <w:marBottom w:val="0"/>
      <w:divBdr>
        <w:top w:val="none" w:sz="0" w:space="0" w:color="auto"/>
        <w:left w:val="none" w:sz="0" w:space="0" w:color="auto"/>
        <w:bottom w:val="none" w:sz="0" w:space="0" w:color="auto"/>
        <w:right w:val="none" w:sz="0" w:space="0" w:color="auto"/>
      </w:divBdr>
    </w:div>
    <w:div w:id="1003973397">
      <w:bodyDiv w:val="1"/>
      <w:marLeft w:val="0"/>
      <w:marRight w:val="0"/>
      <w:marTop w:val="0"/>
      <w:marBottom w:val="0"/>
      <w:divBdr>
        <w:top w:val="none" w:sz="0" w:space="0" w:color="auto"/>
        <w:left w:val="none" w:sz="0" w:space="0" w:color="auto"/>
        <w:bottom w:val="none" w:sz="0" w:space="0" w:color="auto"/>
        <w:right w:val="none" w:sz="0" w:space="0" w:color="auto"/>
      </w:divBdr>
    </w:div>
    <w:div w:id="1296519478">
      <w:bodyDiv w:val="1"/>
      <w:marLeft w:val="0"/>
      <w:marRight w:val="0"/>
      <w:marTop w:val="0"/>
      <w:marBottom w:val="0"/>
      <w:divBdr>
        <w:top w:val="none" w:sz="0" w:space="0" w:color="auto"/>
        <w:left w:val="none" w:sz="0" w:space="0" w:color="auto"/>
        <w:bottom w:val="none" w:sz="0" w:space="0" w:color="auto"/>
        <w:right w:val="none" w:sz="0" w:space="0" w:color="auto"/>
      </w:divBdr>
    </w:div>
    <w:div w:id="1492336100">
      <w:bodyDiv w:val="1"/>
      <w:marLeft w:val="0"/>
      <w:marRight w:val="0"/>
      <w:marTop w:val="0"/>
      <w:marBottom w:val="0"/>
      <w:divBdr>
        <w:top w:val="none" w:sz="0" w:space="0" w:color="auto"/>
        <w:left w:val="none" w:sz="0" w:space="0" w:color="auto"/>
        <w:bottom w:val="none" w:sz="0" w:space="0" w:color="auto"/>
        <w:right w:val="none" w:sz="0" w:space="0" w:color="auto"/>
      </w:divBdr>
    </w:div>
    <w:div w:id="1882787276">
      <w:bodyDiv w:val="1"/>
      <w:marLeft w:val="0"/>
      <w:marRight w:val="0"/>
      <w:marTop w:val="0"/>
      <w:marBottom w:val="0"/>
      <w:divBdr>
        <w:top w:val="none" w:sz="0" w:space="0" w:color="auto"/>
        <w:left w:val="none" w:sz="0" w:space="0" w:color="auto"/>
        <w:bottom w:val="none" w:sz="0" w:space="0" w:color="auto"/>
        <w:right w:val="none" w:sz="0" w:space="0" w:color="auto"/>
      </w:divBdr>
    </w:div>
    <w:div w:id="1956400990">
      <w:bodyDiv w:val="1"/>
      <w:marLeft w:val="0"/>
      <w:marRight w:val="0"/>
      <w:marTop w:val="0"/>
      <w:marBottom w:val="0"/>
      <w:divBdr>
        <w:top w:val="none" w:sz="0" w:space="0" w:color="auto"/>
        <w:left w:val="none" w:sz="0" w:space="0" w:color="auto"/>
        <w:bottom w:val="none" w:sz="0" w:space="0" w:color="auto"/>
        <w:right w:val="none" w:sz="0" w:space="0" w:color="auto"/>
      </w:divBdr>
    </w:div>
    <w:div w:id="1965965743">
      <w:bodyDiv w:val="1"/>
      <w:marLeft w:val="0"/>
      <w:marRight w:val="0"/>
      <w:marTop w:val="0"/>
      <w:marBottom w:val="0"/>
      <w:divBdr>
        <w:top w:val="none" w:sz="0" w:space="0" w:color="auto"/>
        <w:left w:val="none" w:sz="0" w:space="0" w:color="auto"/>
        <w:bottom w:val="none" w:sz="0" w:space="0" w:color="auto"/>
        <w:right w:val="none" w:sz="0" w:space="0" w:color="auto"/>
      </w:divBdr>
    </w:div>
    <w:div w:id="1978025774">
      <w:bodyDiv w:val="1"/>
      <w:marLeft w:val="0"/>
      <w:marRight w:val="0"/>
      <w:marTop w:val="0"/>
      <w:marBottom w:val="0"/>
      <w:divBdr>
        <w:top w:val="none" w:sz="0" w:space="0" w:color="auto"/>
        <w:left w:val="none" w:sz="0" w:space="0" w:color="auto"/>
        <w:bottom w:val="none" w:sz="0" w:space="0" w:color="auto"/>
        <w:right w:val="none" w:sz="0" w:space="0" w:color="auto"/>
      </w:divBdr>
    </w:div>
    <w:div w:id="20208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montenegro/sites/unicef.org.montenegro/files/2019-12/MNE_MICS6%20Statistical%20Snapshot%20ECD%20ENG_Montenegro%202018_FINAL.pdf" TargetMode="External"/><Relationship Id="rId2" Type="http://schemas.openxmlformats.org/officeDocument/2006/relationships/hyperlink" Target="https://www.unicef.org/montenegro/sites/unicef.org.montenegro/files/2019-12/MNE_MICS6%20Statistical%20Snapshot%20ECD%20ENG_Montenegro%202018_FINAL.pdf" TargetMode="External"/><Relationship Id="rId1" Type="http://schemas.openxmlformats.org/officeDocument/2006/relationships/hyperlink" Target="https://appsso.eurostat.ec.europa.eu/nui/show.do?query=BOOKMARK_DS-550539_QID_632A4A37_UID_-3F171EB0&amp;layout=TIME,C,X,0;GEO,L,Y,0;UNIT,L,Z,0;ISCED11,L,Z,1;INDICATORS,C,Z,2;&amp;zSelection=DS-550539ISCED11,ED02;DS-550539UNIT,RT;DS-550539INDICATORS,OBS_FLAG;&amp;rankName1=ISCED11_1_2_-1_2&amp;rankName2=UNIT_1_2_-1_2&amp;rankName3=INDICATORS_1_2_-1_2&amp;rankName4=TIME_1_0_0_0&amp;rankName5=GEO_1_2_0_1&amp;sortC=ASC_-1_FIRST&amp;rStp=&amp;cStp=&amp;rDCh=&amp;cDCh=&amp;rDM=true&amp;cDM=true&amp;footnes=false&amp;empty=false&amp;wai=false&amp;time_mode=NONE&amp;time_most_recent=false&amp;lang=EN&amp;cfo=%23%23%23%2C%23%23%23.%23%2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E682-8CF8-4D7C-BBA2-F871E6EA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15767</Words>
  <Characters>89875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Baucal</dc:creator>
  <cp:keywords/>
  <dc:description/>
  <cp:lastModifiedBy>Vesna Pejovic</cp:lastModifiedBy>
  <cp:revision>2</cp:revision>
  <dcterms:created xsi:type="dcterms:W3CDTF">2023-06-12T06:38:00Z</dcterms:created>
  <dcterms:modified xsi:type="dcterms:W3CDTF">2023-06-12T06:38:00Z</dcterms:modified>
</cp:coreProperties>
</file>