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54" w:rsidRDefault="00177E34" w:rsidP="002041B9">
      <w:pPr>
        <w:pStyle w:val="Title"/>
        <w:spacing w:after="240"/>
        <w:jc w:val="center"/>
        <w:rPr>
          <w:b/>
          <w:sz w:val="24"/>
          <w:szCs w:val="24"/>
        </w:rPr>
      </w:pPr>
      <w:bookmarkStart w:id="0" w:name="_GoBack"/>
      <w:bookmarkEnd w:id="0"/>
      <w:r w:rsidRPr="00177E34">
        <w:rPr>
          <w:b/>
          <w:sz w:val="24"/>
          <w:szCs w:val="24"/>
        </w:rPr>
        <w:t>IZVJEŠTAJ O DRŽAVNOM DUGU NA DAN 31.03.2019. GODINE</w:t>
      </w:r>
    </w:p>
    <w:p w:rsidR="00664205" w:rsidRPr="0045320E" w:rsidRDefault="00000CF2" w:rsidP="002041B9">
      <w:pPr>
        <w:jc w:val="both"/>
        <w:rPr>
          <w:rFonts w:ascii="Cambria" w:eastAsia="Times New Roman" w:hAnsi="Cambria" w:cs="Times New Roman"/>
          <w:sz w:val="22"/>
          <w:szCs w:val="22"/>
          <w:lang w:eastAsia="en-GB"/>
        </w:rPr>
      </w:pPr>
      <w:proofErr w:type="spellStart"/>
      <w:r w:rsidRPr="0045320E">
        <w:rPr>
          <w:rFonts w:ascii="Cambria" w:hAnsi="Cambria"/>
          <w:sz w:val="22"/>
          <w:szCs w:val="22"/>
        </w:rPr>
        <w:t>Ukupan</w:t>
      </w:r>
      <w:proofErr w:type="spellEnd"/>
      <w:r w:rsidRPr="0045320E">
        <w:rPr>
          <w:rFonts w:ascii="Cambria" w:hAnsi="Cambria"/>
          <w:sz w:val="22"/>
          <w:szCs w:val="22"/>
        </w:rPr>
        <w:t xml:space="preserve"> </w:t>
      </w:r>
      <w:proofErr w:type="spellStart"/>
      <w:r w:rsidRPr="0045320E">
        <w:rPr>
          <w:rFonts w:ascii="Cambria" w:hAnsi="Cambria"/>
          <w:sz w:val="22"/>
          <w:szCs w:val="22"/>
        </w:rPr>
        <w:t>državni</w:t>
      </w:r>
      <w:proofErr w:type="spellEnd"/>
      <w:r w:rsidRPr="0045320E">
        <w:rPr>
          <w:rFonts w:ascii="Cambria" w:hAnsi="Cambria"/>
          <w:sz w:val="22"/>
          <w:szCs w:val="22"/>
        </w:rPr>
        <w:t xml:space="preserve"> dug </w:t>
      </w:r>
      <w:r w:rsidR="00BE5FC4">
        <w:rPr>
          <w:rFonts w:ascii="Cambria" w:hAnsi="Cambria"/>
          <w:sz w:val="22"/>
          <w:szCs w:val="22"/>
        </w:rPr>
        <w:t xml:space="preserve">(bez </w:t>
      </w:r>
      <w:proofErr w:type="spellStart"/>
      <w:r w:rsidR="00BE5FC4">
        <w:rPr>
          <w:rFonts w:ascii="Cambria" w:hAnsi="Cambria"/>
          <w:sz w:val="22"/>
          <w:szCs w:val="22"/>
        </w:rPr>
        <w:t>depozit</w:t>
      </w:r>
      <w:r w:rsidR="00664205" w:rsidRPr="0045320E">
        <w:rPr>
          <w:rFonts w:ascii="Cambria" w:hAnsi="Cambria"/>
          <w:sz w:val="22"/>
          <w:szCs w:val="22"/>
        </w:rPr>
        <w:t>a</w:t>
      </w:r>
      <w:proofErr w:type="spellEnd"/>
      <w:r w:rsidR="00664205" w:rsidRPr="0045320E">
        <w:rPr>
          <w:rFonts w:ascii="Cambria" w:hAnsi="Cambria"/>
          <w:sz w:val="22"/>
          <w:szCs w:val="22"/>
        </w:rPr>
        <w:t xml:space="preserve">), </w:t>
      </w:r>
      <w:proofErr w:type="spellStart"/>
      <w:r w:rsidRPr="0045320E">
        <w:rPr>
          <w:rFonts w:ascii="Cambria" w:hAnsi="Cambria"/>
          <w:sz w:val="22"/>
          <w:szCs w:val="22"/>
        </w:rPr>
        <w:t>na</w:t>
      </w:r>
      <w:proofErr w:type="spellEnd"/>
      <w:r w:rsidRPr="0045320E">
        <w:rPr>
          <w:rFonts w:ascii="Cambria" w:hAnsi="Cambria"/>
          <w:sz w:val="22"/>
          <w:szCs w:val="22"/>
        </w:rPr>
        <w:t xml:space="preserve"> </w:t>
      </w:r>
      <w:proofErr w:type="spellStart"/>
      <w:r w:rsidRPr="0045320E">
        <w:rPr>
          <w:rFonts w:ascii="Cambria" w:hAnsi="Cambria"/>
          <w:sz w:val="22"/>
          <w:szCs w:val="22"/>
        </w:rPr>
        <w:t>dan</w:t>
      </w:r>
      <w:proofErr w:type="spellEnd"/>
      <w:r w:rsidRPr="0045320E">
        <w:rPr>
          <w:rFonts w:ascii="Cambria" w:hAnsi="Cambria"/>
          <w:sz w:val="22"/>
          <w:szCs w:val="22"/>
        </w:rPr>
        <w:t xml:space="preserve"> </w:t>
      </w:r>
      <w:r w:rsidR="00664205" w:rsidRPr="0045320E">
        <w:rPr>
          <w:rFonts w:ascii="Cambria" w:hAnsi="Cambria"/>
          <w:sz w:val="22"/>
          <w:szCs w:val="22"/>
        </w:rPr>
        <w:t xml:space="preserve">31.03.2019. </w:t>
      </w:r>
      <w:proofErr w:type="spellStart"/>
      <w:r w:rsidR="00664205" w:rsidRPr="0045320E">
        <w:rPr>
          <w:rFonts w:ascii="Cambria" w:hAnsi="Cambria"/>
          <w:sz w:val="22"/>
          <w:szCs w:val="22"/>
        </w:rPr>
        <w:t>godine</w:t>
      </w:r>
      <w:proofErr w:type="spellEnd"/>
      <w:r w:rsidR="00664205" w:rsidRPr="0045320E">
        <w:rPr>
          <w:rFonts w:ascii="Cambria" w:hAnsi="Cambria"/>
          <w:sz w:val="22"/>
          <w:szCs w:val="22"/>
        </w:rPr>
        <w:t xml:space="preserve">, </w:t>
      </w:r>
      <w:proofErr w:type="spellStart"/>
      <w:r w:rsidR="00664205" w:rsidRPr="0045320E">
        <w:rPr>
          <w:rFonts w:ascii="Cambria" w:hAnsi="Cambria"/>
          <w:sz w:val="22"/>
          <w:szCs w:val="22"/>
        </w:rPr>
        <w:t>iznosio</w:t>
      </w:r>
      <w:proofErr w:type="spellEnd"/>
      <w:r w:rsidR="00664205" w:rsidRPr="0045320E">
        <w:rPr>
          <w:rFonts w:ascii="Cambria" w:hAnsi="Cambria"/>
          <w:sz w:val="22"/>
          <w:szCs w:val="22"/>
        </w:rPr>
        <w:t xml:space="preserve"> je </w:t>
      </w:r>
      <w:r w:rsidR="00D735FE" w:rsidRPr="00664205">
        <w:rPr>
          <w:rFonts w:ascii="Cambria" w:eastAsia="Times New Roman" w:hAnsi="Cambria" w:cs="Times New Roman"/>
          <w:sz w:val="22"/>
          <w:szCs w:val="22"/>
          <w:lang w:eastAsia="en-GB"/>
        </w:rPr>
        <w:t>3</w:t>
      </w:r>
      <w:r w:rsidR="009B1862">
        <w:rPr>
          <w:rFonts w:ascii="Cambria" w:eastAsia="Times New Roman" w:hAnsi="Cambria" w:cs="Times New Roman"/>
          <w:sz w:val="22"/>
          <w:szCs w:val="22"/>
          <w:lang w:eastAsia="en-GB"/>
        </w:rPr>
        <w:t>.</w:t>
      </w:r>
      <w:r w:rsidR="00D735FE" w:rsidRPr="00664205">
        <w:rPr>
          <w:rFonts w:ascii="Cambria" w:eastAsia="Times New Roman" w:hAnsi="Cambria" w:cs="Times New Roman"/>
          <w:sz w:val="22"/>
          <w:szCs w:val="22"/>
          <w:lang w:eastAsia="en-GB"/>
        </w:rPr>
        <w:t>1</w:t>
      </w:r>
      <w:r w:rsidR="00BE5FC4">
        <w:rPr>
          <w:rFonts w:ascii="Cambria" w:eastAsia="Times New Roman" w:hAnsi="Cambria" w:cs="Times New Roman"/>
          <w:sz w:val="22"/>
          <w:szCs w:val="22"/>
          <w:lang w:eastAsia="en-GB"/>
        </w:rPr>
        <w:t>79</w:t>
      </w:r>
      <w:r w:rsidR="001073CE">
        <w:rPr>
          <w:rFonts w:ascii="Cambria" w:eastAsia="Times New Roman" w:hAnsi="Cambria" w:cs="Times New Roman"/>
          <w:sz w:val="22"/>
          <w:szCs w:val="22"/>
          <w:lang w:eastAsia="en-GB"/>
        </w:rPr>
        <w:t>,</w:t>
      </w:r>
      <w:r w:rsidR="00BE5FC4">
        <w:rPr>
          <w:rFonts w:ascii="Cambria" w:eastAsia="Times New Roman" w:hAnsi="Cambria" w:cs="Times New Roman"/>
          <w:sz w:val="22"/>
          <w:szCs w:val="22"/>
          <w:lang w:eastAsia="en-GB"/>
        </w:rPr>
        <w:t>3</w:t>
      </w:r>
      <w:r w:rsidR="001073CE">
        <w:rPr>
          <w:rFonts w:ascii="Cambria" w:eastAsia="Times New Roman" w:hAnsi="Cambria" w:cs="Times New Roman"/>
          <w:sz w:val="22"/>
          <w:szCs w:val="22"/>
          <w:lang w:eastAsia="en-GB"/>
        </w:rPr>
        <w:t>8</w:t>
      </w:r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>miliona</w:t>
      </w:r>
      <w:proofErr w:type="spellEnd"/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>eura</w:t>
      </w:r>
      <w:proofErr w:type="spellEnd"/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, </w:t>
      </w:r>
      <w:proofErr w:type="spellStart"/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>ili</w:t>
      </w:r>
      <w:proofErr w:type="spellEnd"/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C64916">
        <w:rPr>
          <w:rFonts w:ascii="Cambria" w:eastAsia="Times New Roman" w:hAnsi="Cambria" w:cs="Times New Roman"/>
          <w:sz w:val="22"/>
          <w:szCs w:val="22"/>
          <w:lang w:eastAsia="en-GB"/>
        </w:rPr>
        <w:t>64,22</w:t>
      </w:r>
      <w:r w:rsidR="00D422E7" w:rsidRPr="00D735FE">
        <w:rPr>
          <w:rFonts w:ascii="Cambria" w:eastAsia="Times New Roman" w:hAnsi="Cambria" w:cs="Times New Roman"/>
          <w:sz w:val="22"/>
          <w:szCs w:val="22"/>
          <w:lang w:eastAsia="en-GB"/>
        </w:rPr>
        <w:t>%</w:t>
      </w:r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BDP-a</w:t>
      </w:r>
      <w:r w:rsidR="00D422E7" w:rsidRPr="0045320E">
        <w:rPr>
          <w:rStyle w:val="FootnoteReference"/>
          <w:rFonts w:ascii="Cambria" w:eastAsia="Times New Roman" w:hAnsi="Cambria" w:cs="Times New Roman"/>
          <w:sz w:val="22"/>
          <w:szCs w:val="22"/>
          <w:lang w:eastAsia="en-GB"/>
        </w:rPr>
        <w:footnoteReference w:id="1"/>
      </w:r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>.</w:t>
      </w:r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Ukupan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državni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dug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sa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depozitima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,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na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dan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31.03.2019.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godine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iznosi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BE5FC4">
        <w:rPr>
          <w:rFonts w:ascii="Cambria" w:eastAsia="Times New Roman" w:hAnsi="Cambria" w:cs="Times New Roman"/>
          <w:sz w:val="22"/>
          <w:szCs w:val="22"/>
          <w:lang w:eastAsia="en-GB"/>
        </w:rPr>
        <w:t>2</w:t>
      </w:r>
      <w:r w:rsidR="009B1862">
        <w:rPr>
          <w:rFonts w:ascii="Cambria" w:eastAsia="Times New Roman" w:hAnsi="Cambria" w:cs="Times New Roman"/>
          <w:sz w:val="22"/>
          <w:szCs w:val="22"/>
          <w:lang w:eastAsia="en-GB"/>
        </w:rPr>
        <w:t>.</w:t>
      </w:r>
      <w:r w:rsidR="00BE5FC4">
        <w:rPr>
          <w:rFonts w:ascii="Cambria" w:eastAsia="Times New Roman" w:hAnsi="Cambria" w:cs="Times New Roman"/>
          <w:sz w:val="22"/>
          <w:szCs w:val="22"/>
          <w:lang w:eastAsia="en-GB"/>
        </w:rPr>
        <w:t>925,</w:t>
      </w:r>
      <w:r w:rsidR="001073CE" w:rsidRPr="001073CE">
        <w:rPr>
          <w:rFonts w:ascii="Cambria" w:eastAsia="Times New Roman" w:hAnsi="Cambria" w:cs="Times New Roman"/>
          <w:sz w:val="22"/>
          <w:szCs w:val="22"/>
          <w:lang w:eastAsia="en-GB"/>
        </w:rPr>
        <w:t>6</w:t>
      </w:r>
      <w:r w:rsidR="00BE5FC4">
        <w:rPr>
          <w:rFonts w:ascii="Cambria" w:eastAsia="Times New Roman" w:hAnsi="Cambria" w:cs="Times New Roman"/>
          <w:sz w:val="22"/>
          <w:szCs w:val="22"/>
          <w:lang w:eastAsia="en-GB"/>
        </w:rPr>
        <w:t>8</w:t>
      </w:r>
      <w:r w:rsidR="001073CE">
        <w:rPr>
          <w:rFonts w:ascii="Cambria" w:eastAsia="Times New Roman" w:hAnsi="Cambria" w:cs="Times New Roman"/>
          <w:lang w:eastAsia="en-GB"/>
        </w:rPr>
        <w:t xml:space="preserve"> </w:t>
      </w:r>
      <w:proofErr w:type="spellStart"/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miliona</w:t>
      </w:r>
      <w:proofErr w:type="spellEnd"/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eura</w:t>
      </w:r>
      <w:proofErr w:type="spellEnd"/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ili</w:t>
      </w:r>
      <w:proofErr w:type="spellEnd"/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C64916">
        <w:rPr>
          <w:rFonts w:ascii="Cambria" w:eastAsia="Times New Roman" w:hAnsi="Cambria" w:cs="Times New Roman"/>
          <w:sz w:val="22"/>
          <w:szCs w:val="22"/>
          <w:lang w:eastAsia="en-GB"/>
        </w:rPr>
        <w:t>59,09</w:t>
      </w:r>
      <w:r w:rsidR="00834E6E" w:rsidRPr="00D735FE">
        <w:rPr>
          <w:rFonts w:ascii="Cambria" w:eastAsia="Times New Roman" w:hAnsi="Cambria" w:cs="Times New Roman"/>
          <w:sz w:val="22"/>
          <w:szCs w:val="22"/>
          <w:lang w:eastAsia="en-GB"/>
        </w:rPr>
        <w:t>%</w:t>
      </w:r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. </w:t>
      </w:r>
    </w:p>
    <w:p w:rsidR="00834E6E" w:rsidRDefault="00834E6E" w:rsidP="0045320E">
      <w:pPr>
        <w:jc w:val="both"/>
        <w:rPr>
          <w:rFonts w:ascii="Cambria" w:eastAsia="Times New Roman" w:hAnsi="Cambria" w:cs="Times New Roman"/>
          <w:sz w:val="22"/>
          <w:szCs w:val="22"/>
          <w:lang w:eastAsia="en-GB"/>
        </w:rPr>
      </w:pP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Spoljni</w:t>
      </w:r>
      <w:proofErr w:type="spellEnd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dug </w:t>
      </w: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iznosio</w:t>
      </w:r>
      <w:proofErr w:type="spellEnd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je </w:t>
      </w:r>
      <w:r w:rsidRPr="00664205">
        <w:rPr>
          <w:rFonts w:ascii="Cambria" w:eastAsia="Times New Roman" w:hAnsi="Cambria" w:cs="Times New Roman"/>
          <w:sz w:val="22"/>
          <w:szCs w:val="22"/>
          <w:lang w:eastAsia="en-GB"/>
        </w:rPr>
        <w:t>2</w:t>
      </w:r>
      <w:r w:rsidR="009B1862">
        <w:rPr>
          <w:rFonts w:ascii="Cambria" w:eastAsia="Times New Roman" w:hAnsi="Cambria" w:cs="Times New Roman"/>
          <w:sz w:val="22"/>
          <w:szCs w:val="22"/>
          <w:lang w:eastAsia="en-GB"/>
        </w:rPr>
        <w:t>.</w:t>
      </w:r>
      <w:r w:rsidRPr="00664205">
        <w:rPr>
          <w:rFonts w:ascii="Cambria" w:eastAsia="Times New Roman" w:hAnsi="Cambria" w:cs="Times New Roman"/>
          <w:sz w:val="22"/>
          <w:szCs w:val="22"/>
          <w:lang w:eastAsia="en-GB"/>
        </w:rPr>
        <w:t>800,74</w:t>
      </w:r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miliona</w:t>
      </w:r>
      <w:proofErr w:type="spellEnd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eura</w:t>
      </w:r>
      <w:proofErr w:type="spellEnd"/>
      <w:r w:rsidR="00E94687">
        <w:rPr>
          <w:rFonts w:ascii="Cambria" w:eastAsia="Times New Roman" w:hAnsi="Cambria" w:cs="Times New Roman"/>
          <w:sz w:val="22"/>
          <w:szCs w:val="22"/>
          <w:lang w:eastAsia="en-GB"/>
        </w:rPr>
        <w:t xml:space="preserve">, </w:t>
      </w:r>
      <w:proofErr w:type="spellStart"/>
      <w:r w:rsidR="00E94687">
        <w:rPr>
          <w:rFonts w:ascii="Cambria" w:eastAsia="Times New Roman" w:hAnsi="Cambria" w:cs="Times New Roman"/>
          <w:sz w:val="22"/>
          <w:szCs w:val="22"/>
          <w:lang w:eastAsia="en-GB"/>
        </w:rPr>
        <w:t>odnosno</w:t>
      </w:r>
      <w:proofErr w:type="spellEnd"/>
      <w:r w:rsidR="00E94687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C64916">
        <w:rPr>
          <w:rFonts w:ascii="Cambria" w:eastAsia="Times New Roman" w:hAnsi="Cambria" w:cs="Times New Roman"/>
          <w:sz w:val="22"/>
          <w:szCs w:val="22"/>
          <w:lang w:eastAsia="en-GB"/>
        </w:rPr>
        <w:t>56,57</w:t>
      </w:r>
      <w:r w:rsidR="00E94687">
        <w:rPr>
          <w:rFonts w:ascii="Cambria" w:eastAsia="Times New Roman" w:hAnsi="Cambria" w:cs="Times New Roman"/>
          <w:sz w:val="22"/>
          <w:szCs w:val="22"/>
          <w:lang w:eastAsia="en-GB"/>
        </w:rPr>
        <w:t>% BDP-a</w:t>
      </w:r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, </w:t>
      </w: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dok</w:t>
      </w:r>
      <w:proofErr w:type="spellEnd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je </w:t>
      </w: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unutrašnji</w:t>
      </w:r>
      <w:proofErr w:type="spellEnd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dug </w:t>
      </w: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iznosio</w:t>
      </w:r>
      <w:proofErr w:type="spellEnd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E148E9" w:rsidRPr="00664205">
        <w:rPr>
          <w:rFonts w:ascii="Cambria" w:eastAsia="Times New Roman" w:hAnsi="Cambria" w:cs="Times New Roman"/>
          <w:sz w:val="22"/>
          <w:szCs w:val="22"/>
          <w:lang w:eastAsia="en-GB"/>
        </w:rPr>
        <w:t>3</w:t>
      </w:r>
      <w:r w:rsidR="001073CE">
        <w:rPr>
          <w:rFonts w:ascii="Cambria" w:eastAsia="Times New Roman" w:hAnsi="Cambria" w:cs="Times New Roman"/>
          <w:sz w:val="22"/>
          <w:szCs w:val="22"/>
          <w:lang w:eastAsia="en-GB"/>
        </w:rPr>
        <w:t>78,</w:t>
      </w:r>
      <w:r w:rsidR="00BE5FC4">
        <w:rPr>
          <w:rFonts w:ascii="Cambria" w:eastAsia="Times New Roman" w:hAnsi="Cambria" w:cs="Times New Roman"/>
          <w:sz w:val="22"/>
          <w:szCs w:val="22"/>
          <w:lang w:eastAsia="en-GB"/>
        </w:rPr>
        <w:t>64</w:t>
      </w:r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miliona</w:t>
      </w:r>
      <w:proofErr w:type="spellEnd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eura</w:t>
      </w:r>
      <w:proofErr w:type="spellEnd"/>
      <w:r w:rsidR="00FE738B">
        <w:rPr>
          <w:rFonts w:ascii="Cambria" w:eastAsia="Times New Roman" w:hAnsi="Cambria" w:cs="Times New Roman"/>
          <w:sz w:val="22"/>
          <w:szCs w:val="22"/>
          <w:lang w:eastAsia="en-GB"/>
        </w:rPr>
        <w:t xml:space="preserve">, </w:t>
      </w:r>
      <w:proofErr w:type="spellStart"/>
      <w:r w:rsidR="00FE738B">
        <w:rPr>
          <w:rFonts w:ascii="Cambria" w:eastAsia="Times New Roman" w:hAnsi="Cambria" w:cs="Times New Roman"/>
          <w:sz w:val="22"/>
          <w:szCs w:val="22"/>
          <w:lang w:eastAsia="en-GB"/>
        </w:rPr>
        <w:t>odnosno</w:t>
      </w:r>
      <w:proofErr w:type="spellEnd"/>
      <w:r w:rsidR="00FE738B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C64916">
        <w:rPr>
          <w:rFonts w:ascii="Cambria" w:eastAsia="Times New Roman" w:hAnsi="Cambria" w:cs="Times New Roman"/>
          <w:sz w:val="22"/>
          <w:szCs w:val="22"/>
          <w:lang w:eastAsia="en-GB"/>
        </w:rPr>
        <w:t>7,65</w:t>
      </w:r>
      <w:r w:rsidR="00FE738B">
        <w:rPr>
          <w:rFonts w:ascii="Cambria" w:eastAsia="Times New Roman" w:hAnsi="Cambria" w:cs="Times New Roman"/>
          <w:sz w:val="22"/>
          <w:szCs w:val="22"/>
          <w:lang w:eastAsia="en-GB"/>
        </w:rPr>
        <w:t>% B</w:t>
      </w:r>
      <w:r w:rsidR="00BC0B44">
        <w:rPr>
          <w:rFonts w:ascii="Cambria" w:eastAsia="Times New Roman" w:hAnsi="Cambria" w:cs="Times New Roman"/>
          <w:sz w:val="22"/>
          <w:szCs w:val="22"/>
          <w:lang w:eastAsia="en-GB"/>
        </w:rPr>
        <w:t>D</w:t>
      </w:r>
      <w:r w:rsidR="00FE738B">
        <w:rPr>
          <w:rFonts w:ascii="Cambria" w:eastAsia="Times New Roman" w:hAnsi="Cambria" w:cs="Times New Roman"/>
          <w:sz w:val="22"/>
          <w:szCs w:val="22"/>
          <w:lang w:eastAsia="en-GB"/>
        </w:rPr>
        <w:t>P</w:t>
      </w:r>
      <w:r w:rsidR="00BC0B44">
        <w:rPr>
          <w:rFonts w:ascii="Cambria" w:eastAsia="Times New Roman" w:hAnsi="Cambria" w:cs="Times New Roman"/>
          <w:sz w:val="22"/>
          <w:szCs w:val="22"/>
          <w:lang w:eastAsia="en-GB"/>
        </w:rPr>
        <w:t>-a</w:t>
      </w:r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.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Depoziti</w:t>
      </w:r>
      <w:proofErr w:type="spellEnd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na</w:t>
      </w:r>
      <w:proofErr w:type="spellEnd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kraju</w:t>
      </w:r>
      <w:proofErr w:type="spellEnd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prvog</w:t>
      </w:r>
      <w:proofErr w:type="spellEnd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kvartala</w:t>
      </w:r>
      <w:proofErr w:type="spellEnd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2019. </w:t>
      </w:r>
      <w:proofErr w:type="spellStart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godine</w:t>
      </w:r>
      <w:proofErr w:type="spellEnd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iznosili</w:t>
      </w:r>
      <w:proofErr w:type="spellEnd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su</w:t>
      </w:r>
      <w:proofErr w:type="spellEnd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253,7 </w:t>
      </w:r>
      <w:proofErr w:type="spellStart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miliona</w:t>
      </w:r>
      <w:proofErr w:type="spellEnd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DC083A">
        <w:rPr>
          <w:rFonts w:ascii="Cambria" w:eastAsia="Times New Roman" w:hAnsi="Cambria" w:cs="Times New Roman"/>
          <w:sz w:val="22"/>
          <w:szCs w:val="22"/>
          <w:lang w:eastAsia="en-GB"/>
        </w:rPr>
        <w:t>eura</w:t>
      </w:r>
      <w:proofErr w:type="spellEnd"/>
      <w:r w:rsidR="00DC083A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DC083A">
        <w:rPr>
          <w:rFonts w:ascii="Cambria" w:eastAsia="Times New Roman" w:hAnsi="Cambria" w:cs="Times New Roman"/>
          <w:sz w:val="22"/>
          <w:szCs w:val="22"/>
          <w:lang w:eastAsia="en-GB"/>
        </w:rPr>
        <w:t>ili</w:t>
      </w:r>
      <w:proofErr w:type="spellEnd"/>
      <w:r w:rsidR="00DC083A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5,</w:t>
      </w:r>
      <w:r w:rsidR="00C64916">
        <w:rPr>
          <w:rFonts w:ascii="Cambria" w:eastAsia="Times New Roman" w:hAnsi="Cambria" w:cs="Times New Roman"/>
          <w:sz w:val="22"/>
          <w:szCs w:val="22"/>
          <w:lang w:eastAsia="en-GB"/>
        </w:rPr>
        <w:t>12</w:t>
      </w:r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% BDP-a. </w:t>
      </w:r>
    </w:p>
    <w:p w:rsidR="0045320E" w:rsidRPr="00361F8E" w:rsidRDefault="0045320E" w:rsidP="0045320E">
      <w:pPr>
        <w:jc w:val="both"/>
        <w:rPr>
          <w:rFonts w:ascii="Cambria" w:hAnsi="Cambria"/>
          <w:b/>
          <w:sz w:val="22"/>
          <w:szCs w:val="22"/>
        </w:rPr>
      </w:pPr>
      <w:proofErr w:type="spellStart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>Tabela</w:t>
      </w:r>
      <w:proofErr w:type="spellEnd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 xml:space="preserve"> 1 </w:t>
      </w:r>
      <w:proofErr w:type="spellStart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>Stanje</w:t>
      </w:r>
      <w:proofErr w:type="spellEnd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 xml:space="preserve"> </w:t>
      </w:r>
      <w:proofErr w:type="spellStart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>duga</w:t>
      </w:r>
      <w:proofErr w:type="spellEnd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 xml:space="preserve"> u mil. </w:t>
      </w:r>
      <w:proofErr w:type="spellStart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>eura</w:t>
      </w:r>
      <w:proofErr w:type="spellEnd"/>
    </w:p>
    <w:tbl>
      <w:tblPr>
        <w:tblStyle w:val="GridTable6Colorful-Accent3"/>
        <w:tblW w:w="9058" w:type="dxa"/>
        <w:tblLook w:val="04A0" w:firstRow="1" w:lastRow="0" w:firstColumn="1" w:lastColumn="0" w:noHBand="0" w:noVBand="1"/>
      </w:tblPr>
      <w:tblGrid>
        <w:gridCol w:w="4673"/>
        <w:gridCol w:w="2118"/>
        <w:gridCol w:w="2267"/>
      </w:tblGrid>
      <w:tr w:rsidR="00CD00B2" w:rsidRPr="00CD00B2" w:rsidTr="00E31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664205" w:rsidRPr="00CD00B2" w:rsidRDefault="00664205" w:rsidP="00087087">
            <w:pPr>
              <w:spacing w:before="0"/>
              <w:jc w:val="center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Kreditor</w:t>
            </w:r>
            <w:proofErr w:type="spellEnd"/>
          </w:p>
        </w:tc>
        <w:tc>
          <w:tcPr>
            <w:tcW w:w="2118" w:type="dxa"/>
            <w:hideMark/>
          </w:tcPr>
          <w:p w:rsidR="00664205" w:rsidRPr="00CD00B2" w:rsidRDefault="00664205" w:rsidP="00087087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Stanje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na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dan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 31.12.2018</w:t>
            </w:r>
          </w:p>
        </w:tc>
        <w:tc>
          <w:tcPr>
            <w:tcW w:w="0" w:type="auto"/>
            <w:hideMark/>
          </w:tcPr>
          <w:p w:rsidR="00664205" w:rsidRPr="00CD00B2" w:rsidRDefault="00664205" w:rsidP="00087087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Stanje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na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dan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 31.03.2019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Međunarodna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obnovu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razvoj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(IBRD)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189,45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189,17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Pariski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klub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Povjerilaca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83,47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81,02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Međunarodna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Asocijacija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razvoj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(IDA)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38,40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38,73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Evropska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investiciona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(EIB)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115,71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114,77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Evropska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obnovu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razvoj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(EBRD)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15,88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17,19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Banka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razvoj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Savjeta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Evrope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(CEB)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23,74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23,74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Evropska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Komisija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0,60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0,60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Njemačka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razvoj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(KFW)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43,45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42,32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Mađarski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zajam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4,23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3,75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Poljski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zajam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5,54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5,54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Francuski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kredit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- NATIXIS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3,87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3,82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Steiermarkische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Bank und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Sparkassen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AG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5,50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4,40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Credit Suisse Banka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126,33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126,33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Kineska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Exim Banka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516,59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571,13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hideMark/>
          </w:tcPr>
          <w:p w:rsidR="00C039C6" w:rsidRPr="00CD00B2" w:rsidRDefault="00C039C6" w:rsidP="00383BA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Instituto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del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credito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oficial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(ICO)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Španski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kredit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2,94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2,94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Austrijski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kredit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-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Erste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2,55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1,94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EUROBOND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1.217,65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</w:t>
            </w:r>
            <w:r w:rsidR="009B1862"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.</w:t>
            </w: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217,65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 Intesa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26,67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23,33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Sindicirani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zajam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-OTP -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Erste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-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Zagrebačka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64,80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56,70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E311B2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Međunarodni</w:t>
            </w:r>
            <w:proofErr w:type="spellEnd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fond </w:t>
            </w:r>
            <w:proofErr w:type="spellStart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</w:t>
            </w:r>
            <w:proofErr w:type="spellEnd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poljoprivredni</w:t>
            </w:r>
            <w:proofErr w:type="spellEnd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razvoj</w:t>
            </w:r>
            <w:proofErr w:type="spellEnd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</w:t>
            </w:r>
            <w:r w:rsidR="00C039C6"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IFAD</w:t>
            </w:r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)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1,15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1,51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Export Development Canada EDC -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Helikopteri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21,49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24,16</w:t>
            </w:r>
          </w:p>
        </w:tc>
      </w:tr>
      <w:tr w:rsidR="00CD00B2" w:rsidRPr="00CD00B2" w:rsidTr="00E311B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Sindicirani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zajam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- PBG 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250,00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250,00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Ukupno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spoljni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 xml:space="preserve"> dug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2.760,00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2</w:t>
            </w:r>
            <w:r w:rsidR="009B1862"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.</w:t>
            </w: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800,74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Stara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devizna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štednja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11,90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11,71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Obaveze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po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osnovu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obeštećenja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86,60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87,34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Krediti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kod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poslovnih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banaka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92,65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84,91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Zaostale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penzije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1,91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1,91</w:t>
            </w:r>
          </w:p>
        </w:tc>
      </w:tr>
      <w:tr w:rsidR="00CD00B2" w:rsidRPr="00CD00B2" w:rsidTr="00E311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Državni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zapisi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77,00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72,00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Domaće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obveznice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- GB16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80,41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80,41</w:t>
            </w:r>
          </w:p>
        </w:tc>
      </w:tr>
      <w:tr w:rsidR="00CD00B2" w:rsidRPr="00CD00B2" w:rsidTr="00E311B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Pravna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lica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privredna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drustva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42,51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40,36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Ukupno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unutrašnji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 xml:space="preserve"> dug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392,98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378,64</w:t>
            </w:r>
          </w:p>
        </w:tc>
      </w:tr>
      <w:tr w:rsidR="00CD00B2" w:rsidRPr="00CD00B2" w:rsidTr="00E311B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UKUPNO DRŽAVNI DUG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3.152,98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3</w:t>
            </w:r>
            <w:r w:rsidR="009B1862"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.</w:t>
            </w: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179,38</w:t>
            </w:r>
          </w:p>
        </w:tc>
      </w:tr>
      <w:tr w:rsidR="00CD00B2" w:rsidRPr="00CD00B2" w:rsidTr="00E3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Depoziti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276,83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253,70</w:t>
            </w:r>
          </w:p>
        </w:tc>
      </w:tr>
      <w:tr w:rsidR="00CD00B2" w:rsidRPr="00CD00B2" w:rsidTr="00E311B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hideMark/>
          </w:tcPr>
          <w:p w:rsidR="00C039C6" w:rsidRPr="00CD00B2" w:rsidRDefault="00C039C6" w:rsidP="00C22FE0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UKUPNO DRŽAVNI DUG (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uključujući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depozite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)</w:t>
            </w:r>
          </w:p>
        </w:tc>
        <w:tc>
          <w:tcPr>
            <w:tcW w:w="2118" w:type="dxa"/>
            <w:noWrap/>
            <w:vAlign w:val="center"/>
            <w:hideMark/>
          </w:tcPr>
          <w:p w:rsidR="00C039C6" w:rsidRPr="00CD00B2" w:rsidRDefault="00C039C6" w:rsidP="00452F8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2.876,15</w:t>
            </w:r>
          </w:p>
        </w:tc>
        <w:tc>
          <w:tcPr>
            <w:tcW w:w="0" w:type="auto"/>
            <w:noWrap/>
            <w:vAlign w:val="center"/>
            <w:hideMark/>
          </w:tcPr>
          <w:p w:rsidR="00C039C6" w:rsidRPr="00CD00B2" w:rsidRDefault="00C039C6" w:rsidP="0048209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2</w:t>
            </w:r>
            <w:r w:rsidR="009B1862"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.</w:t>
            </w: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925,68</w:t>
            </w:r>
          </w:p>
        </w:tc>
      </w:tr>
    </w:tbl>
    <w:p w:rsidR="00D735FE" w:rsidRPr="00CD00B2" w:rsidRDefault="00432555" w:rsidP="00177E34">
      <w:pPr>
        <w:rPr>
          <w:b/>
          <w:sz w:val="22"/>
          <w:szCs w:val="22"/>
        </w:rPr>
      </w:pPr>
      <w:proofErr w:type="spellStart"/>
      <w:r w:rsidRPr="00CD00B2">
        <w:rPr>
          <w:b/>
          <w:sz w:val="22"/>
          <w:szCs w:val="22"/>
        </w:rPr>
        <w:lastRenderedPageBreak/>
        <w:t>Tabela</w:t>
      </w:r>
      <w:proofErr w:type="spellEnd"/>
      <w:r w:rsidRPr="00CD00B2">
        <w:rPr>
          <w:b/>
          <w:sz w:val="22"/>
          <w:szCs w:val="22"/>
        </w:rPr>
        <w:t xml:space="preserve"> 2 </w:t>
      </w:r>
      <w:proofErr w:type="spellStart"/>
      <w:r w:rsidRPr="00CD00B2">
        <w:rPr>
          <w:b/>
          <w:sz w:val="22"/>
          <w:szCs w:val="22"/>
        </w:rPr>
        <w:t>Odnos</w:t>
      </w:r>
      <w:proofErr w:type="spellEnd"/>
      <w:r w:rsidRPr="00CD00B2">
        <w:rPr>
          <w:b/>
          <w:sz w:val="22"/>
          <w:szCs w:val="22"/>
        </w:rPr>
        <w:t xml:space="preserve"> </w:t>
      </w:r>
      <w:proofErr w:type="spellStart"/>
      <w:r w:rsidRPr="00CD00B2">
        <w:rPr>
          <w:b/>
          <w:sz w:val="22"/>
          <w:szCs w:val="22"/>
        </w:rPr>
        <w:t>državnog</w:t>
      </w:r>
      <w:proofErr w:type="spellEnd"/>
      <w:r w:rsidRPr="00CD00B2">
        <w:rPr>
          <w:b/>
          <w:sz w:val="22"/>
          <w:szCs w:val="22"/>
        </w:rPr>
        <w:t xml:space="preserve"> </w:t>
      </w:r>
      <w:proofErr w:type="spellStart"/>
      <w:r w:rsidRPr="00CD00B2">
        <w:rPr>
          <w:b/>
          <w:sz w:val="22"/>
          <w:szCs w:val="22"/>
        </w:rPr>
        <w:t>duga</w:t>
      </w:r>
      <w:proofErr w:type="spellEnd"/>
      <w:r w:rsidRPr="00CD00B2">
        <w:rPr>
          <w:b/>
          <w:sz w:val="22"/>
          <w:szCs w:val="22"/>
        </w:rPr>
        <w:t xml:space="preserve"> </w:t>
      </w:r>
      <w:proofErr w:type="spellStart"/>
      <w:r w:rsidRPr="00CD00B2">
        <w:rPr>
          <w:b/>
          <w:sz w:val="22"/>
          <w:szCs w:val="22"/>
        </w:rPr>
        <w:t>i</w:t>
      </w:r>
      <w:proofErr w:type="spellEnd"/>
      <w:r w:rsidRPr="00CD00B2">
        <w:rPr>
          <w:b/>
          <w:sz w:val="22"/>
          <w:szCs w:val="22"/>
        </w:rPr>
        <w:t xml:space="preserve"> BDP-a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5880"/>
        <w:gridCol w:w="1591"/>
        <w:gridCol w:w="1589"/>
      </w:tblGrid>
      <w:tr w:rsidR="00CD00B2" w:rsidRPr="00CD00B2" w:rsidTr="00623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pct"/>
            <w:hideMark/>
          </w:tcPr>
          <w:p w:rsidR="00D735FE" w:rsidRPr="00CD00B2" w:rsidRDefault="00D735FE" w:rsidP="00D735FE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 </w:t>
            </w:r>
          </w:p>
        </w:tc>
        <w:tc>
          <w:tcPr>
            <w:tcW w:w="878" w:type="pct"/>
            <w:noWrap/>
            <w:hideMark/>
          </w:tcPr>
          <w:p w:rsidR="00D735FE" w:rsidRPr="00CD00B2" w:rsidRDefault="00D735FE" w:rsidP="00D735F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31.12.2018</w:t>
            </w:r>
          </w:p>
        </w:tc>
        <w:tc>
          <w:tcPr>
            <w:tcW w:w="877" w:type="pct"/>
            <w:noWrap/>
            <w:hideMark/>
          </w:tcPr>
          <w:p w:rsidR="00D735FE" w:rsidRPr="00CD00B2" w:rsidRDefault="00D735FE" w:rsidP="00D735F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31.03.2019</w:t>
            </w:r>
          </w:p>
        </w:tc>
      </w:tr>
      <w:tr w:rsidR="00390963" w:rsidRPr="00CD00B2" w:rsidTr="00623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pct"/>
            <w:noWrap/>
            <w:hideMark/>
          </w:tcPr>
          <w:p w:rsidR="00390963" w:rsidRPr="00CD00B2" w:rsidRDefault="00390963" w:rsidP="00390963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UKUPNO DRŽAVNI DUG / BDP</w:t>
            </w:r>
          </w:p>
        </w:tc>
        <w:tc>
          <w:tcPr>
            <w:tcW w:w="878" w:type="pct"/>
            <w:noWrap/>
            <w:hideMark/>
          </w:tcPr>
          <w:p w:rsidR="00390963" w:rsidRPr="00CD00B2" w:rsidRDefault="00390963" w:rsidP="0039096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68,26%</w:t>
            </w:r>
          </w:p>
        </w:tc>
        <w:tc>
          <w:tcPr>
            <w:tcW w:w="877" w:type="pct"/>
            <w:noWrap/>
            <w:hideMark/>
          </w:tcPr>
          <w:p w:rsidR="00390963" w:rsidRPr="00390963" w:rsidRDefault="00390963" w:rsidP="0039096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auto"/>
                <w:lang w:eastAsia="en-GB"/>
              </w:rPr>
              <w:t>64,</w:t>
            </w:r>
            <w:r w:rsidRPr="00390963">
              <w:rPr>
                <w:rFonts w:ascii="Cambria" w:eastAsia="Times New Roman" w:hAnsi="Cambria" w:cs="Times New Roman"/>
                <w:color w:val="auto"/>
                <w:lang w:eastAsia="en-GB"/>
              </w:rPr>
              <w:t>22%</w:t>
            </w:r>
          </w:p>
        </w:tc>
      </w:tr>
      <w:tr w:rsidR="00390963" w:rsidRPr="00CD00B2" w:rsidTr="006233E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pct"/>
            <w:noWrap/>
            <w:hideMark/>
          </w:tcPr>
          <w:p w:rsidR="00390963" w:rsidRPr="00CD00B2" w:rsidRDefault="00390963" w:rsidP="00390963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UKUPNO DRŽAVNI DUG / BDP (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uključujući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depozite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)</w:t>
            </w:r>
          </w:p>
        </w:tc>
        <w:tc>
          <w:tcPr>
            <w:tcW w:w="878" w:type="pct"/>
            <w:noWrap/>
            <w:hideMark/>
          </w:tcPr>
          <w:p w:rsidR="00390963" w:rsidRPr="00CD00B2" w:rsidRDefault="00390963" w:rsidP="0039096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62,27%</w:t>
            </w:r>
          </w:p>
        </w:tc>
        <w:tc>
          <w:tcPr>
            <w:tcW w:w="877" w:type="pct"/>
            <w:noWrap/>
            <w:hideMark/>
          </w:tcPr>
          <w:p w:rsidR="00390963" w:rsidRPr="00390963" w:rsidRDefault="00390963" w:rsidP="0039096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auto"/>
                <w:lang w:eastAsia="en-GB"/>
              </w:rPr>
              <w:t>59,</w:t>
            </w:r>
            <w:r w:rsidRPr="00390963">
              <w:rPr>
                <w:rFonts w:ascii="Cambria" w:eastAsia="Times New Roman" w:hAnsi="Cambria" w:cs="Times New Roman"/>
                <w:color w:val="auto"/>
                <w:lang w:eastAsia="en-GB"/>
              </w:rPr>
              <w:t>09%</w:t>
            </w:r>
          </w:p>
        </w:tc>
      </w:tr>
      <w:tr w:rsidR="00390963" w:rsidRPr="00CD00B2" w:rsidTr="00623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pct"/>
            <w:noWrap/>
            <w:hideMark/>
          </w:tcPr>
          <w:p w:rsidR="00390963" w:rsidRPr="00CD00B2" w:rsidRDefault="00390963" w:rsidP="00390963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STANJE UNUTRAŠNJEG DUGA KAO % BDP</w:t>
            </w:r>
          </w:p>
        </w:tc>
        <w:tc>
          <w:tcPr>
            <w:tcW w:w="878" w:type="pct"/>
            <w:noWrap/>
            <w:hideMark/>
          </w:tcPr>
          <w:p w:rsidR="00390963" w:rsidRPr="00CD00B2" w:rsidRDefault="00390963" w:rsidP="0039096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8,51%</w:t>
            </w:r>
          </w:p>
        </w:tc>
        <w:tc>
          <w:tcPr>
            <w:tcW w:w="877" w:type="pct"/>
            <w:noWrap/>
            <w:hideMark/>
          </w:tcPr>
          <w:p w:rsidR="00390963" w:rsidRPr="00390963" w:rsidRDefault="00390963" w:rsidP="0039096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auto"/>
                <w:lang w:eastAsia="en-GB"/>
              </w:rPr>
              <w:t>7,</w:t>
            </w:r>
            <w:r w:rsidRPr="00390963">
              <w:rPr>
                <w:rFonts w:ascii="Cambria" w:eastAsia="Times New Roman" w:hAnsi="Cambria" w:cs="Times New Roman"/>
                <w:color w:val="auto"/>
                <w:lang w:eastAsia="en-GB"/>
              </w:rPr>
              <w:t>65%</w:t>
            </w:r>
          </w:p>
        </w:tc>
      </w:tr>
      <w:tr w:rsidR="00390963" w:rsidRPr="00CD00B2" w:rsidTr="006233E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pct"/>
            <w:noWrap/>
            <w:hideMark/>
          </w:tcPr>
          <w:p w:rsidR="00390963" w:rsidRPr="00CD00B2" w:rsidRDefault="00390963" w:rsidP="00390963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STANJE SPOLJNJEG DUGA KAO % BDP</w:t>
            </w:r>
          </w:p>
        </w:tc>
        <w:tc>
          <w:tcPr>
            <w:tcW w:w="878" w:type="pct"/>
            <w:noWrap/>
            <w:hideMark/>
          </w:tcPr>
          <w:p w:rsidR="00390963" w:rsidRPr="00CD00B2" w:rsidRDefault="00390963" w:rsidP="0039096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59,75%</w:t>
            </w:r>
          </w:p>
        </w:tc>
        <w:tc>
          <w:tcPr>
            <w:tcW w:w="877" w:type="pct"/>
            <w:noWrap/>
            <w:hideMark/>
          </w:tcPr>
          <w:p w:rsidR="00390963" w:rsidRPr="00390963" w:rsidRDefault="00390963" w:rsidP="0039096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auto"/>
                <w:lang w:eastAsia="en-GB"/>
              </w:rPr>
              <w:t>56,</w:t>
            </w:r>
            <w:r w:rsidRPr="00390963">
              <w:rPr>
                <w:rFonts w:ascii="Cambria" w:eastAsia="Times New Roman" w:hAnsi="Cambria" w:cs="Times New Roman"/>
                <w:color w:val="auto"/>
                <w:lang w:eastAsia="en-GB"/>
              </w:rPr>
              <w:t>57%</w:t>
            </w:r>
          </w:p>
        </w:tc>
      </w:tr>
      <w:tr w:rsidR="00390963" w:rsidRPr="00CD00B2" w:rsidTr="00623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pct"/>
            <w:noWrap/>
            <w:hideMark/>
          </w:tcPr>
          <w:p w:rsidR="00390963" w:rsidRPr="00CD00B2" w:rsidRDefault="00390963" w:rsidP="00390963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DEPOZITI KAO % BDP</w:t>
            </w:r>
          </w:p>
        </w:tc>
        <w:tc>
          <w:tcPr>
            <w:tcW w:w="878" w:type="pct"/>
            <w:noWrap/>
            <w:hideMark/>
          </w:tcPr>
          <w:p w:rsidR="00390963" w:rsidRPr="00CD00B2" w:rsidRDefault="00390963" w:rsidP="0039096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6,00%</w:t>
            </w:r>
          </w:p>
        </w:tc>
        <w:tc>
          <w:tcPr>
            <w:tcW w:w="877" w:type="pct"/>
            <w:noWrap/>
            <w:hideMark/>
          </w:tcPr>
          <w:p w:rsidR="00390963" w:rsidRPr="00390963" w:rsidRDefault="00390963" w:rsidP="0039096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auto"/>
                <w:lang w:eastAsia="en-GB"/>
              </w:rPr>
              <w:t>5,</w:t>
            </w:r>
            <w:r w:rsidRPr="00390963">
              <w:rPr>
                <w:rFonts w:ascii="Cambria" w:eastAsia="Times New Roman" w:hAnsi="Cambria" w:cs="Times New Roman"/>
                <w:color w:val="auto"/>
                <w:lang w:eastAsia="en-GB"/>
              </w:rPr>
              <w:t>12%</w:t>
            </w:r>
          </w:p>
        </w:tc>
      </w:tr>
    </w:tbl>
    <w:p w:rsidR="00D735FE" w:rsidRPr="00F661B1" w:rsidRDefault="00D735FE" w:rsidP="00177E34">
      <w:pPr>
        <w:rPr>
          <w:sz w:val="22"/>
          <w:szCs w:val="22"/>
        </w:rPr>
      </w:pPr>
    </w:p>
    <w:p w:rsidR="00AD7455" w:rsidRDefault="00BD2A86" w:rsidP="00177E34">
      <w:pPr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76CC8579" wp14:editId="0487B82B">
            <wp:extent cx="2943225" cy="26098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7948FBF" wp14:editId="195B8508">
            <wp:extent cx="2800350" cy="26098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43740" w:rsidRDefault="00FA3488" w:rsidP="006866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prvom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kvartalu</w:t>
      </w:r>
      <w:proofErr w:type="spellEnd"/>
      <w:r>
        <w:rPr>
          <w:sz w:val="22"/>
          <w:szCs w:val="22"/>
        </w:rPr>
        <w:t xml:space="preserve"> </w:t>
      </w:r>
      <w:r w:rsidR="003C38B1">
        <w:rPr>
          <w:sz w:val="22"/>
          <w:szCs w:val="22"/>
        </w:rPr>
        <w:t xml:space="preserve">2019. </w:t>
      </w:r>
      <w:proofErr w:type="spellStart"/>
      <w:r w:rsidR="00C01DE0">
        <w:rPr>
          <w:sz w:val="22"/>
          <w:szCs w:val="22"/>
        </w:rPr>
        <w:t>g</w:t>
      </w:r>
      <w:r w:rsidR="003C38B1">
        <w:rPr>
          <w:sz w:val="22"/>
          <w:szCs w:val="22"/>
        </w:rPr>
        <w:t>odine</w:t>
      </w:r>
      <w:proofErr w:type="spellEnd"/>
      <w:r w:rsidR="003C38B1">
        <w:rPr>
          <w:sz w:val="22"/>
          <w:szCs w:val="22"/>
        </w:rPr>
        <w:t xml:space="preserve"> </w:t>
      </w:r>
      <w:proofErr w:type="spellStart"/>
      <w:r w:rsidR="003C38B1">
        <w:rPr>
          <w:sz w:val="22"/>
          <w:szCs w:val="22"/>
        </w:rPr>
        <w:t>povučena</w:t>
      </w:r>
      <w:proofErr w:type="spellEnd"/>
      <w:r w:rsidR="003C38B1">
        <w:rPr>
          <w:sz w:val="22"/>
          <w:szCs w:val="22"/>
        </w:rPr>
        <w:t xml:space="preserve"> </w:t>
      </w:r>
      <w:proofErr w:type="spellStart"/>
      <w:r w:rsidR="003C38B1">
        <w:rPr>
          <w:sz w:val="22"/>
          <w:szCs w:val="22"/>
        </w:rPr>
        <w:t>su</w:t>
      </w:r>
      <w:proofErr w:type="spellEnd"/>
      <w:r w:rsidR="003C38B1">
        <w:rPr>
          <w:sz w:val="22"/>
          <w:szCs w:val="22"/>
        </w:rPr>
        <w:t xml:space="preserve"> </w:t>
      </w:r>
      <w:proofErr w:type="spellStart"/>
      <w:r w:rsidR="003C38B1">
        <w:rPr>
          <w:sz w:val="22"/>
          <w:szCs w:val="22"/>
        </w:rPr>
        <w:t>sredstva</w:t>
      </w:r>
      <w:proofErr w:type="spellEnd"/>
      <w:r w:rsidR="003C38B1">
        <w:rPr>
          <w:sz w:val="22"/>
          <w:szCs w:val="22"/>
        </w:rPr>
        <w:t xml:space="preserve"> </w:t>
      </w:r>
      <w:r w:rsidR="006554D7">
        <w:rPr>
          <w:sz w:val="22"/>
          <w:szCs w:val="22"/>
        </w:rPr>
        <w:t xml:space="preserve">u </w:t>
      </w:r>
      <w:proofErr w:type="spellStart"/>
      <w:r w:rsidR="006554D7">
        <w:rPr>
          <w:sz w:val="22"/>
          <w:szCs w:val="22"/>
        </w:rPr>
        <w:t>iznosu</w:t>
      </w:r>
      <w:proofErr w:type="spellEnd"/>
      <w:r w:rsidR="006554D7">
        <w:rPr>
          <w:sz w:val="22"/>
          <w:szCs w:val="22"/>
        </w:rPr>
        <w:t xml:space="preserve"> od </w:t>
      </w:r>
      <w:r w:rsidR="00674F8E">
        <w:rPr>
          <w:sz w:val="22"/>
          <w:szCs w:val="22"/>
        </w:rPr>
        <w:t>5</w:t>
      </w:r>
      <w:r w:rsidR="000A4579">
        <w:rPr>
          <w:sz w:val="22"/>
          <w:szCs w:val="22"/>
        </w:rPr>
        <w:t>1,08</w:t>
      </w:r>
      <w:r w:rsidR="00674F8E">
        <w:rPr>
          <w:sz w:val="22"/>
          <w:szCs w:val="22"/>
        </w:rPr>
        <w:t xml:space="preserve"> </w:t>
      </w:r>
      <w:proofErr w:type="spellStart"/>
      <w:r w:rsidR="00674F8E">
        <w:rPr>
          <w:sz w:val="22"/>
          <w:szCs w:val="22"/>
        </w:rPr>
        <w:t>miliona</w:t>
      </w:r>
      <w:proofErr w:type="spellEnd"/>
      <w:r w:rsidR="00674F8E">
        <w:rPr>
          <w:sz w:val="22"/>
          <w:szCs w:val="22"/>
        </w:rPr>
        <w:t xml:space="preserve"> </w:t>
      </w:r>
      <w:proofErr w:type="spellStart"/>
      <w:r w:rsidR="00674F8E">
        <w:rPr>
          <w:sz w:val="22"/>
          <w:szCs w:val="22"/>
        </w:rPr>
        <w:t>eura</w:t>
      </w:r>
      <w:proofErr w:type="spellEnd"/>
      <w:r w:rsidR="00674F8E">
        <w:rPr>
          <w:sz w:val="22"/>
          <w:szCs w:val="22"/>
        </w:rPr>
        <w:t>,</w:t>
      </w:r>
      <w:r w:rsidR="00D43740">
        <w:rPr>
          <w:sz w:val="22"/>
          <w:szCs w:val="22"/>
        </w:rPr>
        <w:t xml:space="preserve"> </w:t>
      </w:r>
      <w:proofErr w:type="spellStart"/>
      <w:r w:rsidR="00D43740">
        <w:rPr>
          <w:sz w:val="22"/>
          <w:szCs w:val="22"/>
        </w:rPr>
        <w:t>za</w:t>
      </w:r>
      <w:proofErr w:type="spellEnd"/>
      <w:r w:rsidR="00D43740">
        <w:rPr>
          <w:sz w:val="22"/>
          <w:szCs w:val="22"/>
        </w:rPr>
        <w:t xml:space="preserve"> </w:t>
      </w:r>
      <w:proofErr w:type="spellStart"/>
      <w:r w:rsidR="00D43740">
        <w:rPr>
          <w:sz w:val="22"/>
          <w:szCs w:val="22"/>
        </w:rPr>
        <w:t>potrebe</w:t>
      </w:r>
      <w:proofErr w:type="spellEnd"/>
      <w:r w:rsidR="00D43740">
        <w:rPr>
          <w:sz w:val="22"/>
          <w:szCs w:val="22"/>
        </w:rPr>
        <w:t xml:space="preserve"> </w:t>
      </w:r>
      <w:proofErr w:type="spellStart"/>
      <w:r w:rsidR="00D43740">
        <w:rPr>
          <w:sz w:val="22"/>
          <w:szCs w:val="22"/>
        </w:rPr>
        <w:t>realizacije</w:t>
      </w:r>
      <w:proofErr w:type="spellEnd"/>
      <w:r w:rsidR="00D43740">
        <w:rPr>
          <w:sz w:val="22"/>
          <w:szCs w:val="22"/>
        </w:rPr>
        <w:t xml:space="preserve"> </w:t>
      </w:r>
      <w:proofErr w:type="spellStart"/>
      <w:r w:rsidR="00D43740">
        <w:rPr>
          <w:sz w:val="22"/>
          <w:szCs w:val="22"/>
        </w:rPr>
        <w:t>infrastrukturnih</w:t>
      </w:r>
      <w:proofErr w:type="spellEnd"/>
      <w:r w:rsidR="00D43740">
        <w:rPr>
          <w:sz w:val="22"/>
          <w:szCs w:val="22"/>
        </w:rPr>
        <w:t xml:space="preserve"> </w:t>
      </w:r>
      <w:proofErr w:type="spellStart"/>
      <w:r w:rsidR="00D43740">
        <w:rPr>
          <w:sz w:val="22"/>
          <w:szCs w:val="22"/>
        </w:rPr>
        <w:t>i</w:t>
      </w:r>
      <w:proofErr w:type="spellEnd"/>
      <w:r w:rsidR="00D43740">
        <w:rPr>
          <w:sz w:val="22"/>
          <w:szCs w:val="22"/>
        </w:rPr>
        <w:t xml:space="preserve"> </w:t>
      </w:r>
      <w:proofErr w:type="spellStart"/>
      <w:r w:rsidR="00D43740">
        <w:rPr>
          <w:sz w:val="22"/>
          <w:szCs w:val="22"/>
        </w:rPr>
        <w:t>razvojnih</w:t>
      </w:r>
      <w:proofErr w:type="spellEnd"/>
      <w:r w:rsidR="00D43740">
        <w:rPr>
          <w:sz w:val="22"/>
          <w:szCs w:val="22"/>
        </w:rPr>
        <w:t xml:space="preserve"> </w:t>
      </w:r>
      <w:proofErr w:type="spellStart"/>
      <w:r w:rsidR="00D43740">
        <w:rPr>
          <w:sz w:val="22"/>
          <w:szCs w:val="22"/>
        </w:rPr>
        <w:t>projekata</w:t>
      </w:r>
      <w:proofErr w:type="spellEnd"/>
      <w:r w:rsidR="00D43740">
        <w:rPr>
          <w:sz w:val="22"/>
          <w:szCs w:val="22"/>
        </w:rPr>
        <w:t>.</w:t>
      </w:r>
    </w:p>
    <w:p w:rsidR="006866D4" w:rsidRDefault="00D43740" w:rsidP="006866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</w:t>
      </w:r>
      <w:proofErr w:type="spellStart"/>
      <w:r>
        <w:rPr>
          <w:sz w:val="22"/>
          <w:szCs w:val="22"/>
        </w:rPr>
        <w:t>ovog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iznosa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izgradnje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priotitetne</w:t>
      </w:r>
      <w:proofErr w:type="spellEnd"/>
      <w:r w:rsidR="00315DB3" w:rsidRP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dionice</w:t>
      </w:r>
      <w:proofErr w:type="spellEnd"/>
      <w:r w:rsid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autoputa</w:t>
      </w:r>
      <w:proofErr w:type="spellEnd"/>
      <w:r w:rsidR="00315DB3">
        <w:rPr>
          <w:sz w:val="22"/>
          <w:szCs w:val="22"/>
        </w:rPr>
        <w:t xml:space="preserve"> Bar </w:t>
      </w:r>
      <w:proofErr w:type="spellStart"/>
      <w:r w:rsidR="00315DB3">
        <w:rPr>
          <w:sz w:val="22"/>
          <w:szCs w:val="22"/>
        </w:rPr>
        <w:t>Boljare</w:t>
      </w:r>
      <w:proofErr w:type="spellEnd"/>
      <w:r w:rsidR="00315DB3">
        <w:rPr>
          <w:sz w:val="22"/>
          <w:szCs w:val="22"/>
        </w:rPr>
        <w:t xml:space="preserve">, </w:t>
      </w:r>
      <w:proofErr w:type="spellStart"/>
      <w:r w:rsidR="00315DB3">
        <w:rPr>
          <w:sz w:val="22"/>
          <w:szCs w:val="22"/>
        </w:rPr>
        <w:t>Smokovac</w:t>
      </w:r>
      <w:proofErr w:type="spellEnd"/>
      <w:r w:rsidR="00315DB3">
        <w:rPr>
          <w:sz w:val="22"/>
          <w:szCs w:val="22"/>
        </w:rPr>
        <w:t xml:space="preserve">- </w:t>
      </w:r>
      <w:proofErr w:type="spellStart"/>
      <w:r w:rsidR="00315DB3">
        <w:rPr>
          <w:sz w:val="22"/>
          <w:szCs w:val="22"/>
        </w:rPr>
        <w:t>Mateševo</w:t>
      </w:r>
      <w:proofErr w:type="spellEnd"/>
      <w:r w:rsidR="00315DB3">
        <w:rPr>
          <w:sz w:val="22"/>
          <w:szCs w:val="22"/>
        </w:rPr>
        <w:t>,</w:t>
      </w:r>
      <w:r w:rsidR="00315DB3" w:rsidRP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iz</w:t>
      </w:r>
      <w:proofErr w:type="spellEnd"/>
      <w:r w:rsid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kredita</w:t>
      </w:r>
      <w:proofErr w:type="spellEnd"/>
      <w:r w:rsid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sa</w:t>
      </w:r>
      <w:proofErr w:type="spellEnd"/>
      <w:r w:rsid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kineskom</w:t>
      </w:r>
      <w:proofErr w:type="spellEnd"/>
      <w:r w:rsidR="00315DB3">
        <w:rPr>
          <w:sz w:val="22"/>
          <w:szCs w:val="22"/>
        </w:rPr>
        <w:t xml:space="preserve"> Exim </w:t>
      </w:r>
      <w:proofErr w:type="spellStart"/>
      <w:r w:rsidR="00315DB3">
        <w:rPr>
          <w:sz w:val="22"/>
          <w:szCs w:val="22"/>
        </w:rPr>
        <w:t>banko</w:t>
      </w:r>
      <w:r w:rsidR="00D722D0">
        <w:rPr>
          <w:sz w:val="22"/>
          <w:szCs w:val="22"/>
        </w:rPr>
        <w:t>m</w:t>
      </w:r>
      <w:proofErr w:type="spellEnd"/>
      <w:r w:rsidR="00315DB3">
        <w:rPr>
          <w:sz w:val="22"/>
          <w:szCs w:val="22"/>
        </w:rPr>
        <w:t xml:space="preserve">, </w:t>
      </w:r>
      <w:proofErr w:type="spellStart"/>
      <w:r w:rsidR="00315DB3">
        <w:rPr>
          <w:sz w:val="22"/>
          <w:szCs w:val="22"/>
        </w:rPr>
        <w:t>pov</w:t>
      </w:r>
      <w:proofErr w:type="spellEnd"/>
      <w:r w:rsidR="00315DB3">
        <w:rPr>
          <w:sz w:val="22"/>
          <w:szCs w:val="22"/>
          <w:lang w:val="sr-Latn-RS"/>
        </w:rPr>
        <w:t xml:space="preserve">učen je iznos od </w:t>
      </w:r>
      <w:r w:rsidR="000C0EA9">
        <w:rPr>
          <w:sz w:val="22"/>
          <w:szCs w:val="22"/>
        </w:rPr>
        <w:t>49,</w:t>
      </w:r>
      <w:r w:rsidR="00612554">
        <w:rPr>
          <w:sz w:val="22"/>
          <w:szCs w:val="22"/>
        </w:rPr>
        <w:t>9</w:t>
      </w:r>
      <w:r w:rsidR="000C0EA9">
        <w:rPr>
          <w:sz w:val="22"/>
          <w:szCs w:val="22"/>
        </w:rPr>
        <w:t xml:space="preserve">6 mil USD </w:t>
      </w:r>
      <w:proofErr w:type="spellStart"/>
      <w:r w:rsidR="000C0EA9">
        <w:rPr>
          <w:sz w:val="22"/>
          <w:szCs w:val="22"/>
        </w:rPr>
        <w:t>tj</w:t>
      </w:r>
      <w:proofErr w:type="spellEnd"/>
      <w:r w:rsidR="000C0EA9">
        <w:rPr>
          <w:sz w:val="22"/>
          <w:szCs w:val="22"/>
        </w:rPr>
        <w:t>. 44,47</w:t>
      </w:r>
      <w:r w:rsidR="006731AD">
        <w:rPr>
          <w:rStyle w:val="FootnoteReference"/>
          <w:sz w:val="22"/>
          <w:szCs w:val="22"/>
        </w:rPr>
        <w:footnoteReference w:id="2"/>
      </w:r>
      <w:r w:rsidR="000C0EA9">
        <w:rPr>
          <w:sz w:val="22"/>
          <w:szCs w:val="22"/>
        </w:rPr>
        <w:t xml:space="preserve"> </w:t>
      </w:r>
      <w:proofErr w:type="spellStart"/>
      <w:r w:rsidR="000C0EA9">
        <w:rPr>
          <w:sz w:val="22"/>
          <w:szCs w:val="22"/>
        </w:rPr>
        <w:t>miliona</w:t>
      </w:r>
      <w:proofErr w:type="spellEnd"/>
      <w:r w:rsidR="000C0EA9">
        <w:rPr>
          <w:sz w:val="22"/>
          <w:szCs w:val="22"/>
        </w:rPr>
        <w:t xml:space="preserve"> </w:t>
      </w:r>
      <w:proofErr w:type="spellStart"/>
      <w:r w:rsidR="000C0EA9">
        <w:rPr>
          <w:sz w:val="22"/>
          <w:szCs w:val="22"/>
        </w:rPr>
        <w:t>eura</w:t>
      </w:r>
      <w:proofErr w:type="spellEnd"/>
      <w:r w:rsidR="006866D4">
        <w:rPr>
          <w:sz w:val="22"/>
          <w:szCs w:val="22"/>
        </w:rPr>
        <w:t>.</w:t>
      </w:r>
    </w:p>
    <w:p w:rsidR="0050088D" w:rsidRDefault="006866D4" w:rsidP="004D6B0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infrastrukturne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izgradnje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puteva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vodosnabdijevanja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energetske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efikasnosti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reform</w:t>
      </w:r>
      <w:r w:rsidR="00D50260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poreske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</w:t>
      </w:r>
      <w:r w:rsidR="000A4579">
        <w:rPr>
          <w:sz w:val="22"/>
          <w:szCs w:val="22"/>
        </w:rPr>
        <w:t>racije</w:t>
      </w:r>
      <w:proofErr w:type="spellEnd"/>
      <w:r w:rsidR="000A4579">
        <w:rPr>
          <w:sz w:val="22"/>
          <w:szCs w:val="22"/>
        </w:rPr>
        <w:t xml:space="preserve">, </w:t>
      </w:r>
      <w:proofErr w:type="spellStart"/>
      <w:r w:rsidR="000A4579">
        <w:rPr>
          <w:sz w:val="22"/>
          <w:szCs w:val="22"/>
        </w:rPr>
        <w:t>povučen</w:t>
      </w:r>
      <w:proofErr w:type="spellEnd"/>
      <w:r w:rsidR="000A4579">
        <w:rPr>
          <w:sz w:val="22"/>
          <w:szCs w:val="22"/>
        </w:rPr>
        <w:t xml:space="preserve"> je </w:t>
      </w:r>
      <w:proofErr w:type="spellStart"/>
      <w:r w:rsidR="000A4579">
        <w:rPr>
          <w:sz w:val="22"/>
          <w:szCs w:val="22"/>
        </w:rPr>
        <w:t>iznos</w:t>
      </w:r>
      <w:proofErr w:type="spellEnd"/>
      <w:r w:rsidR="000A4579">
        <w:rPr>
          <w:sz w:val="22"/>
          <w:szCs w:val="22"/>
        </w:rPr>
        <w:t xml:space="preserve"> od 6,61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miliona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eura</w:t>
      </w:r>
      <w:proofErr w:type="spellEnd"/>
      <w:r w:rsidR="004D6B03">
        <w:rPr>
          <w:sz w:val="22"/>
          <w:szCs w:val="22"/>
        </w:rPr>
        <w:t>.</w:t>
      </w:r>
    </w:p>
    <w:p w:rsidR="00C177BD" w:rsidRPr="00F92CE7" w:rsidRDefault="00C177BD" w:rsidP="004D6B03">
      <w:pPr>
        <w:jc w:val="both"/>
        <w:rPr>
          <w:sz w:val="22"/>
          <w:szCs w:val="22"/>
          <w:lang w:val="sr-Latn-ME"/>
        </w:rPr>
      </w:pPr>
      <w:proofErr w:type="spellStart"/>
      <w:r>
        <w:rPr>
          <w:sz w:val="22"/>
          <w:szCs w:val="22"/>
        </w:rPr>
        <w:t>Tokom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kvartala</w:t>
      </w:r>
      <w:proofErr w:type="spellEnd"/>
      <w:r>
        <w:rPr>
          <w:sz w:val="22"/>
          <w:szCs w:val="22"/>
        </w:rPr>
        <w:t xml:space="preserve"> 2019. </w:t>
      </w:r>
      <w:proofErr w:type="spellStart"/>
      <w:r w:rsidR="003E3AB8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r w:rsidR="00D07CB5" w:rsidRPr="00D07CB5">
        <w:rPr>
          <w:sz w:val="22"/>
          <w:szCs w:val="22"/>
          <w:lang w:val="sr-Latn-ME"/>
        </w:rPr>
        <w:t>izvršena je otplata državnog duga po osnovu gl</w:t>
      </w:r>
      <w:r w:rsidR="00FC6771">
        <w:rPr>
          <w:sz w:val="22"/>
          <w:szCs w:val="22"/>
          <w:lang w:val="sr-Latn-ME"/>
        </w:rPr>
        <w:t>avnice, u ukupnom iznosu od 104,</w:t>
      </w:r>
      <w:r w:rsidR="00937A91">
        <w:rPr>
          <w:sz w:val="22"/>
          <w:szCs w:val="22"/>
          <w:lang w:val="sr-Latn-ME"/>
        </w:rPr>
        <w:t>67</w:t>
      </w:r>
      <w:r w:rsidR="00D07CB5" w:rsidRPr="00D07CB5">
        <w:rPr>
          <w:sz w:val="22"/>
          <w:szCs w:val="22"/>
          <w:lang w:val="sr-Latn-ME"/>
        </w:rPr>
        <w:t xml:space="preserve"> miliona eura, od čega se </w:t>
      </w:r>
      <w:r w:rsidR="00FC6771">
        <w:rPr>
          <w:sz w:val="22"/>
          <w:szCs w:val="22"/>
          <w:lang w:val="sr-Latn-ME"/>
        </w:rPr>
        <w:t>8</w:t>
      </w:r>
      <w:r w:rsidR="00937A91">
        <w:rPr>
          <w:sz w:val="22"/>
          <w:szCs w:val="22"/>
          <w:lang w:val="sr-Latn-ME"/>
        </w:rPr>
        <w:t>3</w:t>
      </w:r>
      <w:r w:rsidR="00FC6771">
        <w:rPr>
          <w:sz w:val="22"/>
          <w:szCs w:val="22"/>
          <w:lang w:val="sr-Latn-ME"/>
        </w:rPr>
        <w:t>,</w:t>
      </w:r>
      <w:r w:rsidR="00937A91">
        <w:rPr>
          <w:sz w:val="22"/>
          <w:szCs w:val="22"/>
          <w:lang w:val="sr-Latn-ME"/>
        </w:rPr>
        <w:t>98</w:t>
      </w:r>
      <w:r w:rsidR="00D07CB5" w:rsidRPr="00D07CB5">
        <w:rPr>
          <w:sz w:val="22"/>
          <w:szCs w:val="22"/>
          <w:lang w:val="sr-Latn-ME"/>
        </w:rPr>
        <w:t xml:space="preserve"> miliona eura odnosilo na otplatu duga rezidentima, </w:t>
      </w:r>
      <w:r w:rsidR="00D07CB5" w:rsidRPr="00464672">
        <w:rPr>
          <w:sz w:val="22"/>
          <w:szCs w:val="22"/>
          <w:lang w:val="sr-Latn-ME"/>
        </w:rPr>
        <w:t>što uključuje i 7</w:t>
      </w:r>
      <w:r w:rsidR="00464672" w:rsidRPr="00464672">
        <w:rPr>
          <w:sz w:val="22"/>
          <w:szCs w:val="22"/>
          <w:lang w:val="sr-Latn-ME"/>
        </w:rPr>
        <w:t>2,00</w:t>
      </w:r>
      <w:r w:rsidR="00AA3A1D">
        <w:rPr>
          <w:sz w:val="22"/>
          <w:szCs w:val="22"/>
          <w:lang w:val="sr-Latn-ME"/>
        </w:rPr>
        <w:t xml:space="preserve"> </w:t>
      </w:r>
      <w:r w:rsidR="00D07CB5" w:rsidRPr="00464672">
        <w:rPr>
          <w:sz w:val="22"/>
          <w:szCs w:val="22"/>
          <w:lang w:val="sr-Latn-ME"/>
        </w:rPr>
        <w:t>miliona eura za refinansiranje državnih zapisa</w:t>
      </w:r>
      <w:r w:rsidR="00D07CB5" w:rsidRPr="00C5286C">
        <w:rPr>
          <w:b/>
          <w:sz w:val="22"/>
          <w:szCs w:val="22"/>
          <w:lang w:val="sr-Latn-ME"/>
        </w:rPr>
        <w:t>,</w:t>
      </w:r>
      <w:r w:rsidR="00D07CB5" w:rsidRPr="00D07CB5">
        <w:rPr>
          <w:sz w:val="22"/>
          <w:szCs w:val="22"/>
          <w:lang w:val="sr-Latn-ME"/>
        </w:rPr>
        <w:t xml:space="preserve"> dok je otplat</w:t>
      </w:r>
      <w:r w:rsidR="00FC6771">
        <w:rPr>
          <w:sz w:val="22"/>
          <w:szCs w:val="22"/>
          <w:lang w:val="sr-Latn-ME"/>
        </w:rPr>
        <w:t xml:space="preserve">a duga nerezidentima iznosila </w:t>
      </w:r>
      <w:r w:rsidR="00937A91">
        <w:rPr>
          <w:sz w:val="22"/>
          <w:szCs w:val="22"/>
          <w:lang w:val="sr-Latn-ME"/>
        </w:rPr>
        <w:t>20,69</w:t>
      </w:r>
      <w:r w:rsidR="00D07CB5" w:rsidRPr="00D07CB5">
        <w:rPr>
          <w:sz w:val="22"/>
          <w:szCs w:val="22"/>
          <w:lang w:val="sr-Latn-ME"/>
        </w:rPr>
        <w:t xml:space="preserve"> miliona eura. </w:t>
      </w:r>
      <w:r w:rsidR="00AA3A1D">
        <w:rPr>
          <w:sz w:val="22"/>
          <w:szCs w:val="22"/>
          <w:lang w:val="sr-Latn-ME"/>
        </w:rPr>
        <w:t>U istom periodu otplać</w:t>
      </w:r>
      <w:r w:rsidR="00C75F40">
        <w:rPr>
          <w:sz w:val="22"/>
          <w:szCs w:val="22"/>
          <w:lang w:val="sr-Latn-ME"/>
        </w:rPr>
        <w:t>ena je i kamata u iznosu od</w:t>
      </w:r>
      <w:r w:rsidR="0033381D">
        <w:rPr>
          <w:sz w:val="22"/>
          <w:szCs w:val="22"/>
          <w:lang w:val="sr-Latn-ME"/>
        </w:rPr>
        <w:t xml:space="preserve"> oko</w:t>
      </w:r>
      <w:r w:rsidR="00C75F40">
        <w:rPr>
          <w:sz w:val="22"/>
          <w:szCs w:val="22"/>
          <w:lang w:val="sr-Latn-ME"/>
        </w:rPr>
        <w:t xml:space="preserve"> 35,8</w:t>
      </w:r>
      <w:r w:rsidR="00D86934">
        <w:rPr>
          <w:sz w:val="22"/>
          <w:szCs w:val="22"/>
          <w:lang w:val="sr-Latn-ME"/>
        </w:rPr>
        <w:t>1</w:t>
      </w:r>
      <w:r w:rsidR="00C75F40">
        <w:rPr>
          <w:sz w:val="22"/>
          <w:szCs w:val="22"/>
          <w:lang w:val="sr-Latn-ME"/>
        </w:rPr>
        <w:t xml:space="preserve"> miliona eura, od </w:t>
      </w:r>
      <w:r w:rsidR="00C75F40">
        <w:rPr>
          <w:sz w:val="22"/>
          <w:szCs w:val="22"/>
          <w:lang w:val="sr-Latn-RS"/>
        </w:rPr>
        <w:t>čega otplata ino kamate iznosi 35,0</w:t>
      </w:r>
      <w:r w:rsidR="000E0970">
        <w:rPr>
          <w:sz w:val="22"/>
          <w:szCs w:val="22"/>
          <w:lang w:val="sr-Latn-RS"/>
        </w:rPr>
        <w:t>3</w:t>
      </w:r>
      <w:r w:rsidR="00C75F40">
        <w:rPr>
          <w:sz w:val="22"/>
          <w:szCs w:val="22"/>
          <w:lang w:val="sr-Latn-RS"/>
        </w:rPr>
        <w:t xml:space="preserve"> miliona eura, dok otplata domaće kamate iznosi 0,</w:t>
      </w:r>
      <w:r w:rsidR="00037949">
        <w:rPr>
          <w:sz w:val="22"/>
          <w:szCs w:val="22"/>
          <w:lang w:val="sr-Latn-RS"/>
        </w:rPr>
        <w:t>78</w:t>
      </w:r>
      <w:r w:rsidR="00E311B2">
        <w:rPr>
          <w:sz w:val="22"/>
          <w:szCs w:val="22"/>
          <w:lang w:val="sr-Latn-RS"/>
        </w:rPr>
        <w:t xml:space="preserve"> </w:t>
      </w:r>
      <w:r w:rsidR="00C75F40">
        <w:rPr>
          <w:sz w:val="22"/>
          <w:szCs w:val="22"/>
          <w:lang w:val="sr-Latn-RS"/>
        </w:rPr>
        <w:t xml:space="preserve">miliona eura. </w:t>
      </w:r>
      <w:r w:rsidR="00D07CB5" w:rsidRPr="00D07CB5">
        <w:rPr>
          <w:sz w:val="22"/>
          <w:szCs w:val="22"/>
          <w:lang w:val="sr-Latn-ME"/>
        </w:rPr>
        <w:t>Smanjenje duga po osnovu stare devizne štednje, u izvje</w:t>
      </w:r>
      <w:r w:rsidR="002E2B32">
        <w:rPr>
          <w:sz w:val="22"/>
          <w:szCs w:val="22"/>
          <w:lang w:val="sr-Latn-ME"/>
        </w:rPr>
        <w:t>štajnom periodu, iznosilo je 0,19</w:t>
      </w:r>
      <w:r w:rsidR="00D07CB5" w:rsidRPr="00D07CB5">
        <w:rPr>
          <w:sz w:val="22"/>
          <w:szCs w:val="22"/>
          <w:lang w:val="sr-Latn-ME"/>
        </w:rPr>
        <w:t xml:space="preserve"> miliona eura.</w:t>
      </w:r>
    </w:p>
    <w:p w:rsidR="0050088D" w:rsidRDefault="003F48F8" w:rsidP="008812CB">
      <w:pPr>
        <w:rPr>
          <w:sz w:val="22"/>
          <w:szCs w:val="22"/>
        </w:rPr>
      </w:pPr>
      <w:r>
        <w:rPr>
          <w:noProof/>
          <w:lang w:eastAsia="en-GB"/>
        </w:rPr>
        <w:lastRenderedPageBreak/>
        <w:drawing>
          <wp:inline distT="0" distB="0" distL="0" distR="0" wp14:anchorId="6A15BF48" wp14:editId="26EF7066">
            <wp:extent cx="2647950" cy="2600325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E5CB8">
        <w:rPr>
          <w:noProof/>
          <w:lang w:eastAsia="en-GB"/>
        </w:rPr>
        <w:drawing>
          <wp:inline distT="0" distB="0" distL="0" distR="0" wp14:anchorId="469B084B" wp14:editId="4499F1BF">
            <wp:extent cx="2895600" cy="26003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1AF3" w:rsidRDefault="00731AF3" w:rsidP="00177E34">
      <w:pPr>
        <w:rPr>
          <w:sz w:val="22"/>
          <w:szCs w:val="22"/>
        </w:rPr>
      </w:pPr>
    </w:p>
    <w:p w:rsidR="003F48F8" w:rsidRDefault="003F48F8" w:rsidP="007E5CB8">
      <w:pPr>
        <w:jc w:val="center"/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2462E180" wp14:editId="61C22D8E">
            <wp:extent cx="2752725" cy="2447925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3F48F8" w:rsidSect="00BA6AC2">
      <w:headerReference w:type="default" r:id="rId12"/>
      <w:footerReference w:type="defaul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19" w:rsidRDefault="00187A19" w:rsidP="00D422E7">
      <w:pPr>
        <w:spacing w:before="0" w:after="0" w:line="240" w:lineRule="auto"/>
      </w:pPr>
      <w:r>
        <w:separator/>
      </w:r>
    </w:p>
  </w:endnote>
  <w:endnote w:type="continuationSeparator" w:id="0">
    <w:p w:rsidR="00187A19" w:rsidRDefault="00187A19" w:rsidP="00D422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86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150B" w:rsidRDefault="002115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A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7E87" w:rsidRDefault="003C7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19" w:rsidRDefault="00187A19" w:rsidP="00D422E7">
      <w:pPr>
        <w:spacing w:before="0" w:after="0" w:line="240" w:lineRule="auto"/>
      </w:pPr>
      <w:r>
        <w:separator/>
      </w:r>
    </w:p>
  </w:footnote>
  <w:footnote w:type="continuationSeparator" w:id="0">
    <w:p w:rsidR="00187A19" w:rsidRDefault="00187A19" w:rsidP="00D422E7">
      <w:pPr>
        <w:spacing w:before="0" w:after="0" w:line="240" w:lineRule="auto"/>
      </w:pPr>
      <w:r>
        <w:continuationSeparator/>
      </w:r>
    </w:p>
  </w:footnote>
  <w:footnote w:id="1">
    <w:p w:rsidR="00D422E7" w:rsidRPr="00D422E7" w:rsidRDefault="00D422E7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="004C29AC">
        <w:rPr>
          <w:lang w:val="sr-Latn-RS"/>
        </w:rPr>
        <w:t xml:space="preserve">Prema </w:t>
      </w:r>
      <w:r w:rsidR="00387BF6">
        <w:rPr>
          <w:lang w:val="sr-Latn-RS"/>
        </w:rPr>
        <w:t>podacima Mo</w:t>
      </w:r>
      <w:r w:rsidR="00C64916">
        <w:rPr>
          <w:lang w:val="sr-Latn-RS"/>
        </w:rPr>
        <w:t>nstata</w:t>
      </w:r>
      <w:r w:rsidR="002B6417">
        <w:rPr>
          <w:lang w:val="sr-Latn-RS"/>
        </w:rPr>
        <w:t xml:space="preserve">, BDP za 2019. godinu iznosi </w:t>
      </w:r>
      <w:r w:rsidR="00C64916">
        <w:rPr>
          <w:lang w:val="sr-Latn-RS"/>
        </w:rPr>
        <w:t>4951</w:t>
      </w:r>
      <w:r w:rsidR="002B6417">
        <w:rPr>
          <w:lang w:val="sr-Latn-RS"/>
        </w:rPr>
        <w:t xml:space="preserve"> miliona eura</w:t>
      </w:r>
    </w:p>
  </w:footnote>
  <w:footnote w:id="2">
    <w:p w:rsidR="006731AD" w:rsidRDefault="006731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kursu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31.03.2019. </w:t>
      </w:r>
      <w:proofErr w:type="spellStart"/>
      <w:r>
        <w:t>godine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AC2" w:rsidRDefault="00A35446">
    <w:pPr>
      <w:pStyle w:val="Header"/>
    </w:pPr>
    <w:r w:rsidRPr="00A35446">
      <w:rPr>
        <w:caps/>
        <w:noProof/>
        <w:color w:val="23585A" w:themeColor="accent3" w:themeShade="80"/>
        <w:lang w:eastAsia="en-GB"/>
        <w14:textOutline w14:w="9525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-395605</wp:posOffset>
              </wp:positionH>
              <wp:positionV relativeFrom="topMargin">
                <wp:posOffset>323850</wp:posOffset>
              </wp:positionV>
              <wp:extent cx="6197600" cy="247650"/>
              <wp:effectExtent l="0" t="0" r="0" b="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446" w:rsidRPr="00B752F0" w:rsidRDefault="00B752F0" w:rsidP="00B752F0">
                          <w:pPr>
                            <w:spacing w:after="0" w:line="240" w:lineRule="auto"/>
                            <w:rPr>
                              <w:noProof/>
                              <w:lang w:val="sr-Latn-RS"/>
                            </w:rPr>
                          </w:pPr>
                          <w:r>
                            <w:rPr>
                              <w:noProof/>
                            </w:rPr>
                            <w:t xml:space="preserve">MINISTARSTVO FINANSIJA </w:t>
                          </w:r>
                          <w:r w:rsidR="00361F8E">
                            <w:rPr>
                              <w:noProof/>
                            </w:rPr>
                            <w:t xml:space="preserve">            </w:t>
                          </w:r>
                          <w:r>
                            <w:rPr>
                              <w:noProof/>
                            </w:rPr>
                            <w:t xml:space="preserve">   IZVJE</w:t>
                          </w:r>
                          <w:r>
                            <w:rPr>
                              <w:noProof/>
                              <w:lang w:val="sr-Latn-RS"/>
                            </w:rPr>
                            <w:t>ŠTAJ O DRŽAVNOM DUGU CRNE GORE</w:t>
                          </w:r>
                          <w:r>
                            <w:rPr>
                              <w:noProof/>
                              <w:lang w:val="sr-Latn-RS"/>
                            </w:rPr>
                            <w:tab/>
                            <w:t xml:space="preserve">   31. MART 2019. GODINE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-31.15pt;margin-top:25.5pt;width:488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8CtQIAALcFAAAOAAAAZHJzL2Uyb0RvYy54bWysVNtunDAQfa/Uf7D8TriUZRcUNkqWpaqU&#10;XqSkH+A1ZrEKNrW9C2nVf+/Y7C3JS9WWB2SPx2fOzBzP9c3YtWjPlOZS5Di8CjBigsqKi22Ovz6W&#10;3gIjbYioSCsFy/ET0/hm+fbN9dBnLJKNbCumEIAInQ19jhtj+sz3NW1YR/SV7JmAw1qqjhjYqq1f&#10;KTIAetf6URAk/iBV1StJmdZgLaZDvHT4dc2o+VzXmhnU5hi4GfdX7r+xf395TbKtIn3D6YEG+QsW&#10;HeECgp6gCmII2in+CqrjVEkta3NFZefLuuaUuRwgmzB4kc1DQ3rmcoHi6P5UJv3/YOmn/ReFeJXj&#10;KIL6CNJBkx7ZaNCdHJG1QYWGXmfg+NCDqxnhADrtstX9vaTfNBJy1RCxZbdKyaFhpAKGob3pX1yd&#10;cLQF2QwfZQWByM5IBzTWqrPlg4IgQAcmT6fuWDIUjEmYzpMAjiicRfE8mTlyPsmOt3ulzXsmO2QX&#10;OVbQfYdO9vfaWDYkO7rYYEKWvG2dAlrxzACOkwViw1V7Zlm4hv5Mg3S9WC9iL46StRcHReHdlqvY&#10;S8pwPiveFatVEf6yccM4a3hVMWHDHMUVxn/WvIPMJ1mc5KVlyysLZylptd2sWoX2BMRdus/VHE7O&#10;bv5zGq4IkMuLlMIoDu6i1CuTxdyLy3jmpfNg4QVhepcmQZzGRfk8pXsu2L+nhIYcp7NoNonpTPpF&#10;boH7XudGso4bGB8t73K8ODmRzEpwLSrXWkN4O60vSmHpn0sB7T422gnWanRSqxk3I6BYFW9k9QTS&#10;VRKUBSKEmQeLRqofGA0wP3Ksv++IYhi1HwTIPw3jGNyM28BCXVo3RysRFCByTI3CaNqszDSedr3i&#10;2wZiTE9NyFt4LDV3Oj7zOTwxmA4uncMks+Pncu+8zvN2+RsAAP//AwBQSwMEFAAGAAgAAAAhADlT&#10;M53gAAAACQEAAA8AAABkcnMvZG93bnJldi54bWxMj01PwzAMhu9I/IfISFzQlnRlA0rTCU0aguO+&#10;ELtljWkLjVM12Vb+PeYEN1t+9Pp58/ngWnHCPjSeNCRjBQKp9LahSsN2sxzdgwjRkDWtJ9TwjQHm&#10;xeVFbjLrz7TC0zpWgkMoZEZDHWOXSRnKGp0JY98h8e3D985EXvtK2t6cOdy1cqLUTDrTEH+oTYeL&#10;Gsuv9dFpaN/SvdztFopel8nzfrp6ef+8udX6+mp4egQRcYh/MPzqszoU7HTwR7JBtBpGs0nKqIZp&#10;wp0YeEjSOxAHHpQCWeTyf4PiBwAA//8DAFBLAQItABQABgAIAAAAIQC2gziS/gAAAOEBAAATAAAA&#10;AAAAAAAAAAAAAAAAAABbQ29udGVudF9UeXBlc10ueG1sUEsBAi0AFAAGAAgAAAAhADj9If/WAAAA&#10;lAEAAAsAAAAAAAAAAAAAAAAALwEAAF9yZWxzLy5yZWxzUEsBAi0AFAAGAAgAAAAhAObdjwK1AgAA&#10;twUAAA4AAAAAAAAAAAAAAAAALgIAAGRycy9lMm9Eb2MueG1sUEsBAi0AFAAGAAgAAAAhADlTM53g&#10;AAAACQEAAA8AAAAAAAAAAAAAAAAADwUAAGRycy9kb3ducmV2LnhtbFBLBQYAAAAABAAEAPMAAAAc&#10;BgAAAAA=&#10;" o:allowincell="f" filled="f" stroked="f">
              <v:textbox inset=",0,,0">
                <w:txbxContent>
                  <w:p w:rsidR="00A35446" w:rsidRPr="00B752F0" w:rsidRDefault="00B752F0" w:rsidP="00B752F0">
                    <w:pPr>
                      <w:spacing w:after="0" w:line="240" w:lineRule="auto"/>
                      <w:rPr>
                        <w:noProof/>
                        <w:lang w:val="sr-Latn-RS"/>
                      </w:rPr>
                    </w:pPr>
                    <w:r>
                      <w:rPr>
                        <w:noProof/>
                      </w:rPr>
                      <w:t xml:space="preserve">MINISTARSTVO FINANSIJA </w:t>
                    </w:r>
                    <w:r w:rsidR="00361F8E">
                      <w:rPr>
                        <w:noProof/>
                      </w:rPr>
                      <w:t xml:space="preserve">            </w:t>
                    </w:r>
                    <w:r>
                      <w:rPr>
                        <w:noProof/>
                      </w:rPr>
                      <w:t xml:space="preserve">   IZVJE</w:t>
                    </w:r>
                    <w:r>
                      <w:rPr>
                        <w:noProof/>
                        <w:lang w:val="sr-Latn-RS"/>
                      </w:rPr>
                      <w:t>ŠTAJ O DRŽAVNOM DUGU CRNE GORE</w:t>
                    </w:r>
                    <w:r>
                      <w:rPr>
                        <w:noProof/>
                        <w:lang w:val="sr-Latn-RS"/>
                      </w:rPr>
                      <w:tab/>
                      <w:t xml:space="preserve">   31. MART 2019. GODINE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A35446">
      <w:rPr>
        <w:caps/>
        <w:noProof/>
        <w:color w:val="23585A" w:themeColor="accent3" w:themeShade="80"/>
        <w:lang w:eastAsia="en-GB"/>
        <w14:textOutline w14:w="9525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A35446" w:rsidRPr="00B752F0" w:rsidRDefault="00A35446">
                          <w:pPr>
                            <w:spacing w:after="0" w:line="240" w:lineRule="auto"/>
                          </w:pPr>
                          <w:r w:rsidRPr="00B752F0">
                            <w:fldChar w:fldCharType="begin"/>
                          </w:r>
                          <w:r w:rsidRPr="00B752F0">
                            <w:instrText xml:space="preserve"> PAGE   \* MERGEFORMAT </w:instrText>
                          </w:r>
                          <w:r w:rsidRPr="00B752F0">
                            <w:fldChar w:fldCharType="separate"/>
                          </w:r>
                          <w:r w:rsidR="008E1A39">
                            <w:rPr>
                              <w:noProof/>
                            </w:rPr>
                            <w:t>2</w:t>
                          </w:r>
                          <w:r w:rsidRPr="00B752F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MPHwIAADEEAAAOAAAAZHJzL2Uyb0RvYy54bWysU8GO0zAQvSPxD5bvNEm1LN2o6Wrpqghp&#10;YZF2+QDXcRoLx2PGbpPl6xnbbSlwQ1wse8Z+8+bN8/J2Ggw7KPQabMOrWcmZshJabXcN//q8ebPg&#10;zAdhW2HAqoa/KM9vV69fLUdXqzn0YFqFjECsr0fX8D4EVxeFl70ahJ+BU5aSHeAgAh1xV7QoRkIf&#10;TDEvy+tiBGwdglTeU/Q+J/kq4XedkuGx67wKzDScuIW0Ylq3cS1WS1HvULheyyMN8Q8sBqEtFT1D&#10;3Ysg2B71X1CDlggeujCTMBTQdVqq1AN1U5V/dPPUC6dSLySOd2eZ/P+DlZ8PX5DptuHzecWZFQMN&#10;6VlNgb2HicUYKTQ6X9PFJ0dXw0QJmnTq1rsHkN88s7Duhd2pO0QYeyVaYpheFhdPM46PINvxE7RU&#10;SOwDJKCpwyHKR4IwQqdJvZynE8lICt5U1eKaMpJS1btyUb2N3ApRnx479OGDgoHFTcORhp/AxeHB&#10;h3z1dCXW8mB0u9HGpEM0nFobZAdBVhFSKhtyk2Y/ENscJ8uVR9NQmKyVw4tTmNgk60akxO23IsbG&#10;UhZi0cwnRpJGUZYsUJi2UxrIWfottC8kGkJ2L/022vSAPzgbybkN99/3AhVn5qMl4W+qq6to9XSg&#10;DV5Gt6eosJIgGi4DcpYP65A/xt6h3vVU4zTkOxrTRicJ4zwznyNx8mVq9PiHovEvz+nWr5+++gkA&#10;AP//AwBQSwMEFAAGAAgAAAAhAI3jahbaAAAABAEAAA8AAABkcnMvZG93bnJldi54bWxMj09Lw0AQ&#10;xe+C32EZwZvdWCXYmElRwUtBwerF2zQ7+VN3Z0N2m8Zv79aLXgYe7/Heb8r17KyaeAy9F4TrRQaK&#10;pfamlxbh4/356g5UiCSGrBdG+OYA6+r8rKTC+KO88bSNrUolEgpC6GIcCq1D3bGjsPADS/IaPzqK&#10;SY6tNiMdU7mzeplluXbUS1roaOCnjuuv7cEh2M3UyOOw0a/5S7PaW+s+95lDvLyYH+5BRZ7jXxhO&#10;+AkdqsS08wcxQVmE9Ej8vSfv9iYHtUNY5ivQVan/w1c/AAAA//8DAFBLAQItABQABgAIAAAAIQC2&#10;gziS/gAAAOEBAAATAAAAAAAAAAAAAAAAAAAAAABbQ29udGVudF9UeXBlc10ueG1sUEsBAi0AFAAG&#10;AAgAAAAhADj9If/WAAAAlAEAAAsAAAAAAAAAAAAAAAAALwEAAF9yZWxzLy5yZWxzUEsBAi0AFAAG&#10;AAgAAAAhACUM0w8fAgAAMQQAAA4AAAAAAAAAAAAAAAAALgIAAGRycy9lMm9Eb2MueG1sUEsBAi0A&#10;FAAGAAgAAAAhAI3jahbaAAAABAEAAA8AAAAAAAAAAAAAAAAAeQQAAGRycy9kb3ducmV2LnhtbFBL&#10;BQYAAAAABAAEAPMAAACABQAAAAA=&#10;" o:allowincell="f" fillcolor="#fdefd2 [660]" stroked="f">
              <v:textbox style="mso-fit-shape-to-text:t" inset=",0,,0">
                <w:txbxContent>
                  <w:p w:rsidR="00A35446" w:rsidRPr="00B752F0" w:rsidRDefault="00A35446">
                    <w:pPr>
                      <w:spacing w:after="0" w:line="240" w:lineRule="auto"/>
                    </w:pPr>
                    <w:r w:rsidRPr="00B752F0">
                      <w:fldChar w:fldCharType="begin"/>
                    </w:r>
                    <w:r w:rsidRPr="00B752F0">
                      <w:instrText xml:space="preserve"> PAGE   \* MERGEFORMAT </w:instrText>
                    </w:r>
                    <w:r w:rsidRPr="00B752F0">
                      <w:fldChar w:fldCharType="separate"/>
                    </w:r>
                    <w:r w:rsidR="008E1A39">
                      <w:rPr>
                        <w:noProof/>
                      </w:rPr>
                      <w:t>2</w:t>
                    </w:r>
                    <w:r w:rsidRPr="00B752F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34"/>
    <w:rsid w:val="00000CF2"/>
    <w:rsid w:val="00037949"/>
    <w:rsid w:val="00081FDB"/>
    <w:rsid w:val="00087087"/>
    <w:rsid w:val="000A4579"/>
    <w:rsid w:val="000C0EA9"/>
    <w:rsid w:val="000C5DE8"/>
    <w:rsid w:val="000D1AE0"/>
    <w:rsid w:val="000E0970"/>
    <w:rsid w:val="000E26B6"/>
    <w:rsid w:val="000F29BE"/>
    <w:rsid w:val="001073CE"/>
    <w:rsid w:val="001129BC"/>
    <w:rsid w:val="00143C19"/>
    <w:rsid w:val="00152650"/>
    <w:rsid w:val="00153F3D"/>
    <w:rsid w:val="00156A90"/>
    <w:rsid w:val="001636B8"/>
    <w:rsid w:val="00165C9E"/>
    <w:rsid w:val="00177E34"/>
    <w:rsid w:val="00186959"/>
    <w:rsid w:val="00187A19"/>
    <w:rsid w:val="00190687"/>
    <w:rsid w:val="001A02CA"/>
    <w:rsid w:val="001B52AA"/>
    <w:rsid w:val="001C4F91"/>
    <w:rsid w:val="001E6E5C"/>
    <w:rsid w:val="002041B9"/>
    <w:rsid w:val="0021150B"/>
    <w:rsid w:val="00213441"/>
    <w:rsid w:val="0021740B"/>
    <w:rsid w:val="00231B3E"/>
    <w:rsid w:val="002362C9"/>
    <w:rsid w:val="002516F6"/>
    <w:rsid w:val="00261512"/>
    <w:rsid w:val="00270CDC"/>
    <w:rsid w:val="00293967"/>
    <w:rsid w:val="00297198"/>
    <w:rsid w:val="002B5578"/>
    <w:rsid w:val="002B6417"/>
    <w:rsid w:val="002E2B32"/>
    <w:rsid w:val="002F4DAF"/>
    <w:rsid w:val="00312E63"/>
    <w:rsid w:val="003134AE"/>
    <w:rsid w:val="00315DB3"/>
    <w:rsid w:val="0033381D"/>
    <w:rsid w:val="00340761"/>
    <w:rsid w:val="00343068"/>
    <w:rsid w:val="003512DE"/>
    <w:rsid w:val="00361F8E"/>
    <w:rsid w:val="00376E83"/>
    <w:rsid w:val="00383BA3"/>
    <w:rsid w:val="00387BF6"/>
    <w:rsid w:val="00390963"/>
    <w:rsid w:val="003C38B1"/>
    <w:rsid w:val="003C7E87"/>
    <w:rsid w:val="003E3AB8"/>
    <w:rsid w:val="003E72F2"/>
    <w:rsid w:val="003F47BC"/>
    <w:rsid w:val="003F48F8"/>
    <w:rsid w:val="0040785D"/>
    <w:rsid w:val="00432555"/>
    <w:rsid w:val="00442688"/>
    <w:rsid w:val="00450C6C"/>
    <w:rsid w:val="00452F85"/>
    <w:rsid w:val="0045320E"/>
    <w:rsid w:val="004628BE"/>
    <w:rsid w:val="00464672"/>
    <w:rsid w:val="0046513F"/>
    <w:rsid w:val="00482094"/>
    <w:rsid w:val="004879DE"/>
    <w:rsid w:val="00493364"/>
    <w:rsid w:val="004C29AC"/>
    <w:rsid w:val="004D6B03"/>
    <w:rsid w:val="0050088D"/>
    <w:rsid w:val="00517DF6"/>
    <w:rsid w:val="00531A3D"/>
    <w:rsid w:val="00534144"/>
    <w:rsid w:val="005A00B3"/>
    <w:rsid w:val="006030A1"/>
    <w:rsid w:val="00612554"/>
    <w:rsid w:val="006233E6"/>
    <w:rsid w:val="00637C7F"/>
    <w:rsid w:val="00642BA6"/>
    <w:rsid w:val="00651C2D"/>
    <w:rsid w:val="006554D7"/>
    <w:rsid w:val="00664205"/>
    <w:rsid w:val="006731AD"/>
    <w:rsid w:val="00674F8E"/>
    <w:rsid w:val="00681D06"/>
    <w:rsid w:val="006866D4"/>
    <w:rsid w:val="006877A5"/>
    <w:rsid w:val="006A489F"/>
    <w:rsid w:val="006B3F98"/>
    <w:rsid w:val="006C354A"/>
    <w:rsid w:val="006F28C1"/>
    <w:rsid w:val="006F4473"/>
    <w:rsid w:val="007124CE"/>
    <w:rsid w:val="00720F43"/>
    <w:rsid w:val="00731AF3"/>
    <w:rsid w:val="00742142"/>
    <w:rsid w:val="007567BC"/>
    <w:rsid w:val="007945C1"/>
    <w:rsid w:val="007B2E65"/>
    <w:rsid w:val="007C19F3"/>
    <w:rsid w:val="007E5CB8"/>
    <w:rsid w:val="008065F8"/>
    <w:rsid w:val="00830CA5"/>
    <w:rsid w:val="00834E6E"/>
    <w:rsid w:val="008812CB"/>
    <w:rsid w:val="00890F45"/>
    <w:rsid w:val="008979F0"/>
    <w:rsid w:val="008A73BE"/>
    <w:rsid w:val="008C440B"/>
    <w:rsid w:val="008C51FE"/>
    <w:rsid w:val="008D7BA7"/>
    <w:rsid w:val="008E1A39"/>
    <w:rsid w:val="008E24FE"/>
    <w:rsid w:val="008E78B8"/>
    <w:rsid w:val="009076E1"/>
    <w:rsid w:val="00937A91"/>
    <w:rsid w:val="00994694"/>
    <w:rsid w:val="009A2F6C"/>
    <w:rsid w:val="009B1862"/>
    <w:rsid w:val="009F471A"/>
    <w:rsid w:val="009F4EC8"/>
    <w:rsid w:val="00A10A86"/>
    <w:rsid w:val="00A278C1"/>
    <w:rsid w:val="00A35446"/>
    <w:rsid w:val="00A36291"/>
    <w:rsid w:val="00A57F24"/>
    <w:rsid w:val="00A645B3"/>
    <w:rsid w:val="00A94364"/>
    <w:rsid w:val="00AA3A1D"/>
    <w:rsid w:val="00AB4E7D"/>
    <w:rsid w:val="00AD7455"/>
    <w:rsid w:val="00AE45A2"/>
    <w:rsid w:val="00AF7306"/>
    <w:rsid w:val="00B049B7"/>
    <w:rsid w:val="00B05B28"/>
    <w:rsid w:val="00B14575"/>
    <w:rsid w:val="00B425FB"/>
    <w:rsid w:val="00B64ECB"/>
    <w:rsid w:val="00B71C58"/>
    <w:rsid w:val="00B752F0"/>
    <w:rsid w:val="00B7723F"/>
    <w:rsid w:val="00BA4B28"/>
    <w:rsid w:val="00BA6622"/>
    <w:rsid w:val="00BA6AC2"/>
    <w:rsid w:val="00BC0019"/>
    <w:rsid w:val="00BC0B44"/>
    <w:rsid w:val="00BD2A86"/>
    <w:rsid w:val="00BE5FC4"/>
    <w:rsid w:val="00BF4B4E"/>
    <w:rsid w:val="00BF7632"/>
    <w:rsid w:val="00C01DE0"/>
    <w:rsid w:val="00C039C6"/>
    <w:rsid w:val="00C11D20"/>
    <w:rsid w:val="00C177BD"/>
    <w:rsid w:val="00C22FE0"/>
    <w:rsid w:val="00C32AA3"/>
    <w:rsid w:val="00C34A02"/>
    <w:rsid w:val="00C5286C"/>
    <w:rsid w:val="00C64916"/>
    <w:rsid w:val="00C75F40"/>
    <w:rsid w:val="00CB3D9C"/>
    <w:rsid w:val="00CC1C60"/>
    <w:rsid w:val="00CD00B2"/>
    <w:rsid w:val="00CF1F7C"/>
    <w:rsid w:val="00D07CB5"/>
    <w:rsid w:val="00D37A66"/>
    <w:rsid w:val="00D422E7"/>
    <w:rsid w:val="00D43740"/>
    <w:rsid w:val="00D50260"/>
    <w:rsid w:val="00D534C4"/>
    <w:rsid w:val="00D70BE9"/>
    <w:rsid w:val="00D722D0"/>
    <w:rsid w:val="00D735FE"/>
    <w:rsid w:val="00D86603"/>
    <w:rsid w:val="00D86934"/>
    <w:rsid w:val="00DA27C7"/>
    <w:rsid w:val="00DC083A"/>
    <w:rsid w:val="00DF798A"/>
    <w:rsid w:val="00E148E9"/>
    <w:rsid w:val="00E24D29"/>
    <w:rsid w:val="00E311B2"/>
    <w:rsid w:val="00E4502E"/>
    <w:rsid w:val="00E64410"/>
    <w:rsid w:val="00E76222"/>
    <w:rsid w:val="00E82B61"/>
    <w:rsid w:val="00E94687"/>
    <w:rsid w:val="00EA1AEF"/>
    <w:rsid w:val="00ED368B"/>
    <w:rsid w:val="00EF76B5"/>
    <w:rsid w:val="00F100E8"/>
    <w:rsid w:val="00F10532"/>
    <w:rsid w:val="00F306B1"/>
    <w:rsid w:val="00F3332B"/>
    <w:rsid w:val="00F40311"/>
    <w:rsid w:val="00F64665"/>
    <w:rsid w:val="00F661B1"/>
    <w:rsid w:val="00F92CE7"/>
    <w:rsid w:val="00FA3488"/>
    <w:rsid w:val="00FB60E1"/>
    <w:rsid w:val="00FC06D0"/>
    <w:rsid w:val="00FC6771"/>
    <w:rsid w:val="00FE32DB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BE64FA-2FE5-48A7-9AFB-A72058E4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3D"/>
  </w:style>
  <w:style w:type="paragraph" w:styleId="Heading1">
    <w:name w:val="heading 1"/>
    <w:basedOn w:val="Normal"/>
    <w:next w:val="Normal"/>
    <w:link w:val="Heading1Char"/>
    <w:uiPriority w:val="9"/>
    <w:qFormat/>
    <w:rsid w:val="00531A3D"/>
    <w:pPr>
      <w:pBdr>
        <w:top w:val="single" w:sz="24" w:space="0" w:color="F8B323" w:themeColor="accent1"/>
        <w:left w:val="single" w:sz="24" w:space="0" w:color="F8B323" w:themeColor="accent1"/>
        <w:bottom w:val="single" w:sz="24" w:space="0" w:color="F8B323" w:themeColor="accent1"/>
        <w:right w:val="single" w:sz="24" w:space="0" w:color="F8B323" w:themeColor="accent1"/>
      </w:pBdr>
      <w:shd w:val="clear" w:color="auto" w:fill="F8B32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A3D"/>
    <w:pPr>
      <w:pBdr>
        <w:top w:val="single" w:sz="24" w:space="0" w:color="FDEFD2" w:themeColor="accent1" w:themeTint="33"/>
        <w:left w:val="single" w:sz="24" w:space="0" w:color="FDEFD2" w:themeColor="accent1" w:themeTint="33"/>
        <w:bottom w:val="single" w:sz="24" w:space="0" w:color="FDEFD2" w:themeColor="accent1" w:themeTint="33"/>
        <w:right w:val="single" w:sz="24" w:space="0" w:color="FDEFD2" w:themeColor="accent1" w:themeTint="33"/>
      </w:pBdr>
      <w:shd w:val="clear" w:color="auto" w:fill="FDEFD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A3D"/>
    <w:pPr>
      <w:pBdr>
        <w:top w:val="single" w:sz="6" w:space="2" w:color="F8B323" w:themeColor="accent1"/>
      </w:pBdr>
      <w:spacing w:before="300" w:after="0"/>
      <w:outlineLvl w:val="2"/>
    </w:pPr>
    <w:rPr>
      <w:caps/>
      <w:color w:val="885D04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A3D"/>
    <w:pPr>
      <w:pBdr>
        <w:top w:val="dotted" w:sz="6" w:space="2" w:color="F8B323" w:themeColor="accent1"/>
      </w:pBdr>
      <w:spacing w:before="200" w:after="0"/>
      <w:outlineLvl w:val="3"/>
    </w:pPr>
    <w:rPr>
      <w:caps/>
      <w:color w:val="CD8C0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A3D"/>
    <w:pPr>
      <w:pBdr>
        <w:bottom w:val="single" w:sz="6" w:space="1" w:color="F8B323" w:themeColor="accent1"/>
      </w:pBdr>
      <w:spacing w:before="200" w:after="0"/>
      <w:outlineLvl w:val="4"/>
    </w:pPr>
    <w:rPr>
      <w:caps/>
      <w:color w:val="CD8C0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A3D"/>
    <w:pPr>
      <w:pBdr>
        <w:bottom w:val="dotted" w:sz="6" w:space="1" w:color="F8B323" w:themeColor="accent1"/>
      </w:pBdr>
      <w:spacing w:before="200" w:after="0"/>
      <w:outlineLvl w:val="5"/>
    </w:pPr>
    <w:rPr>
      <w:caps/>
      <w:color w:val="CD8C0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A3D"/>
    <w:pPr>
      <w:spacing w:before="200" w:after="0"/>
      <w:outlineLvl w:val="6"/>
    </w:pPr>
    <w:rPr>
      <w:caps/>
      <w:color w:val="CD8C0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A3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A3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1A3D"/>
    <w:pPr>
      <w:spacing w:before="0" w:after="0"/>
    </w:pPr>
    <w:rPr>
      <w:rFonts w:asciiTheme="majorHAnsi" w:eastAsiaTheme="majorEastAsia" w:hAnsiTheme="majorHAnsi" w:cstheme="majorBidi"/>
      <w:caps/>
      <w:color w:val="F8B32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A3D"/>
    <w:rPr>
      <w:rFonts w:asciiTheme="majorHAnsi" w:eastAsiaTheme="majorEastAsia" w:hAnsiTheme="majorHAnsi" w:cstheme="majorBidi"/>
      <w:caps/>
      <w:color w:val="F8B323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31A3D"/>
    <w:rPr>
      <w:caps/>
      <w:color w:val="FFFFFF" w:themeColor="background1"/>
      <w:spacing w:val="15"/>
      <w:sz w:val="22"/>
      <w:szCs w:val="22"/>
      <w:shd w:val="clear" w:color="auto" w:fill="F8B323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A3D"/>
    <w:rPr>
      <w:caps/>
      <w:spacing w:val="15"/>
      <w:shd w:val="clear" w:color="auto" w:fill="FDEF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A3D"/>
    <w:rPr>
      <w:caps/>
      <w:color w:val="885D04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A3D"/>
    <w:rPr>
      <w:caps/>
      <w:color w:val="CD8C0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A3D"/>
    <w:rPr>
      <w:caps/>
      <w:color w:val="CD8C0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A3D"/>
    <w:rPr>
      <w:caps/>
      <w:color w:val="CD8C0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A3D"/>
    <w:rPr>
      <w:caps/>
      <w:color w:val="CD8C0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A3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A3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1A3D"/>
    <w:rPr>
      <w:b/>
      <w:bCs/>
      <w:color w:val="CD8C0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A3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31A3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31A3D"/>
    <w:rPr>
      <w:b/>
      <w:bCs/>
    </w:rPr>
  </w:style>
  <w:style w:type="character" w:styleId="Emphasis">
    <w:name w:val="Emphasis"/>
    <w:uiPriority w:val="20"/>
    <w:qFormat/>
    <w:rsid w:val="00531A3D"/>
    <w:rPr>
      <w:caps/>
      <w:color w:val="885D04" w:themeColor="accent1" w:themeShade="7F"/>
      <w:spacing w:val="5"/>
    </w:rPr>
  </w:style>
  <w:style w:type="paragraph" w:styleId="NoSpacing">
    <w:name w:val="No Spacing"/>
    <w:uiPriority w:val="1"/>
    <w:qFormat/>
    <w:rsid w:val="00531A3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1A3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1A3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A3D"/>
    <w:pPr>
      <w:spacing w:before="240" w:after="240" w:line="240" w:lineRule="auto"/>
      <w:ind w:left="1080" w:right="1080"/>
      <w:jc w:val="center"/>
    </w:pPr>
    <w:rPr>
      <w:color w:val="F8B32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A3D"/>
    <w:rPr>
      <w:color w:val="F8B323" w:themeColor="accent1"/>
      <w:sz w:val="24"/>
      <w:szCs w:val="24"/>
    </w:rPr>
  </w:style>
  <w:style w:type="character" w:styleId="SubtleEmphasis">
    <w:name w:val="Subtle Emphasis"/>
    <w:uiPriority w:val="19"/>
    <w:qFormat/>
    <w:rsid w:val="00531A3D"/>
    <w:rPr>
      <w:i/>
      <w:iCs/>
      <w:color w:val="885D04" w:themeColor="accent1" w:themeShade="7F"/>
    </w:rPr>
  </w:style>
  <w:style w:type="character" w:styleId="IntenseEmphasis">
    <w:name w:val="Intense Emphasis"/>
    <w:uiPriority w:val="21"/>
    <w:qFormat/>
    <w:rsid w:val="00531A3D"/>
    <w:rPr>
      <w:b/>
      <w:bCs/>
      <w:caps/>
      <w:color w:val="885D04" w:themeColor="accent1" w:themeShade="7F"/>
      <w:spacing w:val="10"/>
    </w:rPr>
  </w:style>
  <w:style w:type="character" w:styleId="SubtleReference">
    <w:name w:val="Subtle Reference"/>
    <w:uiPriority w:val="31"/>
    <w:qFormat/>
    <w:rsid w:val="00531A3D"/>
    <w:rPr>
      <w:b/>
      <w:bCs/>
      <w:color w:val="F8B323" w:themeColor="accent1"/>
    </w:rPr>
  </w:style>
  <w:style w:type="character" w:styleId="IntenseReference">
    <w:name w:val="Intense Reference"/>
    <w:uiPriority w:val="32"/>
    <w:qFormat/>
    <w:rsid w:val="00531A3D"/>
    <w:rPr>
      <w:b/>
      <w:bCs/>
      <w:i/>
      <w:iCs/>
      <w:caps/>
      <w:color w:val="F8B323" w:themeColor="accent1"/>
    </w:rPr>
  </w:style>
  <w:style w:type="character" w:styleId="BookTitle">
    <w:name w:val="Book Title"/>
    <w:uiPriority w:val="33"/>
    <w:qFormat/>
    <w:rsid w:val="00531A3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1A3D"/>
    <w:pPr>
      <w:outlineLvl w:val="9"/>
    </w:pPr>
  </w:style>
  <w:style w:type="table" w:styleId="ListTable4-Accent3">
    <w:name w:val="List Table 4 Accent 3"/>
    <w:basedOn w:val="TableNormal"/>
    <w:uiPriority w:val="49"/>
    <w:rsid w:val="00D422E7"/>
    <w:pPr>
      <w:spacing w:after="0" w:line="240" w:lineRule="auto"/>
    </w:pPr>
    <w:tblPr>
      <w:tblStyleRowBandSize w:val="1"/>
      <w:tblStyleColBandSize w:val="1"/>
      <w:tblBorders>
        <w:top w:val="single" w:sz="4" w:space="0" w:color="8ED1D3" w:themeColor="accent3" w:themeTint="99"/>
        <w:left w:val="single" w:sz="4" w:space="0" w:color="8ED1D3" w:themeColor="accent3" w:themeTint="99"/>
        <w:bottom w:val="single" w:sz="4" w:space="0" w:color="8ED1D3" w:themeColor="accent3" w:themeTint="99"/>
        <w:right w:val="single" w:sz="4" w:space="0" w:color="8ED1D3" w:themeColor="accent3" w:themeTint="99"/>
        <w:insideH w:val="single" w:sz="4" w:space="0" w:color="8ED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2B5" w:themeColor="accent3"/>
          <w:left w:val="single" w:sz="4" w:space="0" w:color="46B2B5" w:themeColor="accent3"/>
          <w:bottom w:val="single" w:sz="4" w:space="0" w:color="46B2B5" w:themeColor="accent3"/>
          <w:right w:val="single" w:sz="4" w:space="0" w:color="46B2B5" w:themeColor="accent3"/>
          <w:insideH w:val="nil"/>
        </w:tcBorders>
        <w:shd w:val="clear" w:color="auto" w:fill="46B2B5" w:themeFill="accent3"/>
      </w:tcPr>
    </w:tblStylePr>
    <w:tblStylePr w:type="lastRow">
      <w:rPr>
        <w:b/>
        <w:bCs/>
      </w:rPr>
      <w:tblPr/>
      <w:tcPr>
        <w:tcBorders>
          <w:top w:val="double" w:sz="4" w:space="0" w:color="8ED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0" w:themeFill="accent3" w:themeFillTint="33"/>
      </w:tcPr>
    </w:tblStylePr>
    <w:tblStylePr w:type="band1Horz">
      <w:tblPr/>
      <w:tcPr>
        <w:shd w:val="clear" w:color="auto" w:fill="D9EFF0" w:themeFill="accent3" w:themeFillTint="33"/>
      </w:tcPr>
    </w:tblStylePr>
  </w:style>
  <w:style w:type="table" w:styleId="ListTable4-Accent1">
    <w:name w:val="List Table 4 Accent 1"/>
    <w:basedOn w:val="TableNormal"/>
    <w:uiPriority w:val="49"/>
    <w:rsid w:val="00D422E7"/>
    <w:pPr>
      <w:spacing w:after="0" w:line="240" w:lineRule="auto"/>
    </w:pPr>
    <w:tblPr>
      <w:tblStyleRowBandSize w:val="1"/>
      <w:tblStyleColBandSize w:val="1"/>
      <w:tblBorders>
        <w:top w:val="single" w:sz="4" w:space="0" w:color="FAD17A" w:themeColor="accent1" w:themeTint="99"/>
        <w:left w:val="single" w:sz="4" w:space="0" w:color="FAD17A" w:themeColor="accent1" w:themeTint="99"/>
        <w:bottom w:val="single" w:sz="4" w:space="0" w:color="FAD17A" w:themeColor="accent1" w:themeTint="99"/>
        <w:right w:val="single" w:sz="4" w:space="0" w:color="FAD17A" w:themeColor="accent1" w:themeTint="99"/>
        <w:insideH w:val="single" w:sz="4" w:space="0" w:color="FAD1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323" w:themeColor="accent1"/>
          <w:left w:val="single" w:sz="4" w:space="0" w:color="F8B323" w:themeColor="accent1"/>
          <w:bottom w:val="single" w:sz="4" w:space="0" w:color="F8B323" w:themeColor="accent1"/>
          <w:right w:val="single" w:sz="4" w:space="0" w:color="F8B323" w:themeColor="accent1"/>
          <w:insideH w:val="nil"/>
        </w:tcBorders>
        <w:shd w:val="clear" w:color="auto" w:fill="F8B323" w:themeFill="accent1"/>
      </w:tcPr>
    </w:tblStylePr>
    <w:tblStylePr w:type="lastRow">
      <w:rPr>
        <w:b/>
        <w:bCs/>
      </w:rPr>
      <w:tblPr/>
      <w:tcPr>
        <w:tcBorders>
          <w:top w:val="double" w:sz="4" w:space="0" w:color="FAD1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2" w:themeFill="accent1" w:themeFillTint="33"/>
      </w:tcPr>
    </w:tblStylePr>
    <w:tblStylePr w:type="band1Horz">
      <w:tblPr/>
      <w:tcPr>
        <w:shd w:val="clear" w:color="auto" w:fill="FDEFD2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422E7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2E7"/>
  </w:style>
  <w:style w:type="character" w:styleId="FootnoteReference">
    <w:name w:val="footnote reference"/>
    <w:basedOn w:val="DefaultParagraphFont"/>
    <w:uiPriority w:val="99"/>
    <w:semiHidden/>
    <w:unhideWhenUsed/>
    <w:rsid w:val="00D422E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6AC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AC2"/>
  </w:style>
  <w:style w:type="paragraph" w:styleId="Footer">
    <w:name w:val="footer"/>
    <w:basedOn w:val="Normal"/>
    <w:link w:val="FooterChar"/>
    <w:uiPriority w:val="99"/>
    <w:unhideWhenUsed/>
    <w:rsid w:val="00BA6AC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C2"/>
  </w:style>
  <w:style w:type="table" w:styleId="ListTable4-Accent6">
    <w:name w:val="List Table 4 Accent 6"/>
    <w:basedOn w:val="TableNormal"/>
    <w:uiPriority w:val="49"/>
    <w:rsid w:val="00C11D20"/>
    <w:pPr>
      <w:spacing w:after="0" w:line="240" w:lineRule="auto"/>
    </w:pPr>
    <w:tblPr>
      <w:tblStyleRowBandSize w:val="1"/>
      <w:tblStyleColBandSize w:val="1"/>
      <w:tblBorders>
        <w:top w:val="single" w:sz="4" w:space="0" w:color="B69EAD" w:themeColor="accent6" w:themeTint="99"/>
        <w:left w:val="single" w:sz="4" w:space="0" w:color="B69EAD" w:themeColor="accent6" w:themeTint="99"/>
        <w:bottom w:val="single" w:sz="4" w:space="0" w:color="B69EAD" w:themeColor="accent6" w:themeTint="99"/>
        <w:right w:val="single" w:sz="4" w:space="0" w:color="B69EAD" w:themeColor="accent6" w:themeTint="99"/>
        <w:insideH w:val="single" w:sz="4" w:space="0" w:color="B69EA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6276" w:themeColor="accent6"/>
          <w:left w:val="single" w:sz="4" w:space="0" w:color="826276" w:themeColor="accent6"/>
          <w:bottom w:val="single" w:sz="4" w:space="0" w:color="826276" w:themeColor="accent6"/>
          <w:right w:val="single" w:sz="4" w:space="0" w:color="826276" w:themeColor="accent6"/>
          <w:insideH w:val="nil"/>
        </w:tcBorders>
        <w:shd w:val="clear" w:color="auto" w:fill="826276" w:themeFill="accent6"/>
      </w:tcPr>
    </w:tblStylePr>
    <w:tblStylePr w:type="lastRow">
      <w:rPr>
        <w:b/>
        <w:bCs/>
      </w:rPr>
      <w:tblPr/>
      <w:tcPr>
        <w:tcBorders>
          <w:top w:val="double" w:sz="4" w:space="0" w:color="B69EA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EE3" w:themeFill="accent6" w:themeFillTint="33"/>
      </w:tcPr>
    </w:tblStylePr>
    <w:tblStylePr w:type="band1Horz">
      <w:tblPr/>
      <w:tcPr>
        <w:shd w:val="clear" w:color="auto" w:fill="E6DEE3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F661B1"/>
    <w:pPr>
      <w:spacing w:after="0" w:line="240" w:lineRule="auto"/>
    </w:pPr>
    <w:tblPr>
      <w:tblStyleRowBandSize w:val="1"/>
      <w:tblStyleColBandSize w:val="1"/>
      <w:tblBorders>
        <w:top w:val="single" w:sz="4" w:space="0" w:color="FAD17A" w:themeColor="accent1" w:themeTint="99"/>
        <w:left w:val="single" w:sz="4" w:space="0" w:color="FAD17A" w:themeColor="accent1" w:themeTint="99"/>
        <w:bottom w:val="single" w:sz="4" w:space="0" w:color="FAD17A" w:themeColor="accent1" w:themeTint="99"/>
        <w:right w:val="single" w:sz="4" w:space="0" w:color="FAD17A" w:themeColor="accent1" w:themeTint="99"/>
        <w:insideH w:val="single" w:sz="4" w:space="0" w:color="FAD17A" w:themeColor="accent1" w:themeTint="99"/>
        <w:insideV w:val="single" w:sz="4" w:space="0" w:color="FAD1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323" w:themeColor="accent1"/>
          <w:left w:val="single" w:sz="4" w:space="0" w:color="F8B323" w:themeColor="accent1"/>
          <w:bottom w:val="single" w:sz="4" w:space="0" w:color="F8B323" w:themeColor="accent1"/>
          <w:right w:val="single" w:sz="4" w:space="0" w:color="F8B323" w:themeColor="accent1"/>
          <w:insideH w:val="nil"/>
          <w:insideV w:val="nil"/>
        </w:tcBorders>
        <w:shd w:val="clear" w:color="auto" w:fill="F8B323" w:themeFill="accent1"/>
      </w:tcPr>
    </w:tblStylePr>
    <w:tblStylePr w:type="lastRow">
      <w:rPr>
        <w:b/>
        <w:bCs/>
      </w:rPr>
      <w:tblPr/>
      <w:tcPr>
        <w:tcBorders>
          <w:top w:val="double" w:sz="4" w:space="0" w:color="F8B3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2" w:themeFill="accent1" w:themeFillTint="33"/>
      </w:tcPr>
    </w:tblStylePr>
    <w:tblStylePr w:type="band1Horz">
      <w:tblPr/>
      <w:tcPr>
        <w:shd w:val="clear" w:color="auto" w:fill="FDEFD2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F66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32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32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B3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B323" w:themeFill="accent1"/>
      </w:tcPr>
    </w:tblStylePr>
    <w:tblStylePr w:type="band1Vert">
      <w:tblPr/>
      <w:tcPr>
        <w:shd w:val="clear" w:color="auto" w:fill="FCE0A6" w:themeFill="accent1" w:themeFillTint="66"/>
      </w:tcPr>
    </w:tblStylePr>
    <w:tblStylePr w:type="band1Horz">
      <w:tblPr/>
      <w:tcPr>
        <w:shd w:val="clear" w:color="auto" w:fill="FCE0A6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F661B1"/>
    <w:pPr>
      <w:spacing w:after="0" w:line="240" w:lineRule="auto"/>
    </w:pPr>
    <w:rPr>
      <w:color w:val="CD8C06" w:themeColor="accent1" w:themeShade="BF"/>
    </w:rPr>
    <w:tblPr>
      <w:tblStyleRowBandSize w:val="1"/>
      <w:tblStyleColBandSize w:val="1"/>
      <w:tblBorders>
        <w:top w:val="single" w:sz="4" w:space="0" w:color="FAD17A" w:themeColor="accent1" w:themeTint="99"/>
        <w:left w:val="single" w:sz="4" w:space="0" w:color="FAD17A" w:themeColor="accent1" w:themeTint="99"/>
        <w:bottom w:val="single" w:sz="4" w:space="0" w:color="FAD17A" w:themeColor="accent1" w:themeTint="99"/>
        <w:right w:val="single" w:sz="4" w:space="0" w:color="FAD17A" w:themeColor="accent1" w:themeTint="99"/>
        <w:insideH w:val="single" w:sz="4" w:space="0" w:color="FAD17A" w:themeColor="accent1" w:themeTint="99"/>
        <w:insideV w:val="single" w:sz="4" w:space="0" w:color="FAD1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D1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1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2" w:themeFill="accent1" w:themeFillTint="33"/>
      </w:tcPr>
    </w:tblStylePr>
    <w:tblStylePr w:type="band1Horz">
      <w:tblPr/>
      <w:tcPr>
        <w:shd w:val="clear" w:color="auto" w:fill="FDEFD2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9469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94"/>
    <w:rPr>
      <w:rFonts w:ascii="Segoe UI" w:hAnsi="Segoe UI" w:cs="Segoe UI"/>
      <w:sz w:val="18"/>
      <w:szCs w:val="18"/>
    </w:rPr>
  </w:style>
  <w:style w:type="table" w:styleId="GridTable6Colorful-Accent3">
    <w:name w:val="Grid Table 6 Colorful Accent 3"/>
    <w:basedOn w:val="TableNormal"/>
    <w:uiPriority w:val="51"/>
    <w:rsid w:val="008C440B"/>
    <w:pPr>
      <w:spacing w:after="0" w:line="240" w:lineRule="auto"/>
    </w:pPr>
    <w:rPr>
      <w:color w:val="348587" w:themeColor="accent3" w:themeShade="BF"/>
    </w:rPr>
    <w:tblPr>
      <w:tblStyleRowBandSize w:val="1"/>
      <w:tblStyleColBandSize w:val="1"/>
      <w:tblBorders>
        <w:top w:val="single" w:sz="4" w:space="0" w:color="8ED1D3" w:themeColor="accent3" w:themeTint="99"/>
        <w:left w:val="single" w:sz="4" w:space="0" w:color="8ED1D3" w:themeColor="accent3" w:themeTint="99"/>
        <w:bottom w:val="single" w:sz="4" w:space="0" w:color="8ED1D3" w:themeColor="accent3" w:themeTint="99"/>
        <w:right w:val="single" w:sz="4" w:space="0" w:color="8ED1D3" w:themeColor="accent3" w:themeTint="99"/>
        <w:insideH w:val="single" w:sz="4" w:space="0" w:color="8ED1D3" w:themeColor="accent3" w:themeTint="99"/>
        <w:insideV w:val="single" w:sz="4" w:space="0" w:color="8ED1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ED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0" w:themeFill="accent3" w:themeFillTint="33"/>
      </w:tcPr>
    </w:tblStylePr>
    <w:tblStylePr w:type="band1Horz">
      <w:tblPr/>
      <w:tcPr>
        <w:shd w:val="clear" w:color="auto" w:fill="D9EFF0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1%20kvartal\Grafici%2046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1%20kvartal\Grafici%2046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jelena.djurovic\Desktop\Izvje&#353;taji%20o%20dr&#382;avnom%20dugu\2019\1%20kvartal\Grafici%204619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jelena.djurovic\Desktop\Izvje&#353;taji%20o%20dr&#382;avnom%20dugu\2019\1%20kvartal\Grafici%2046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Latn-RS" sz="1100" b="1">
                <a:solidFill>
                  <a:sysClr val="windowText" lastClr="000000"/>
                </a:solidFill>
              </a:rPr>
              <a:t>Grafik </a:t>
            </a:r>
            <a:r>
              <a:rPr lang="en-GB" sz="1100" b="1">
                <a:solidFill>
                  <a:sysClr val="windowText" lastClr="000000"/>
                </a:solidFill>
              </a:rPr>
              <a:t>1</a:t>
            </a:r>
            <a:r>
              <a:rPr lang="sr-Latn-RS" sz="1100" b="1">
                <a:solidFill>
                  <a:sysClr val="windowText" lastClr="000000"/>
                </a:solidFill>
              </a:rPr>
              <a:t> Stanje državnog duga </a:t>
            </a:r>
            <a:r>
              <a:rPr lang="en-GB" sz="1100" b="1">
                <a:solidFill>
                  <a:sysClr val="windowText" lastClr="000000"/>
                </a:solidFill>
              </a:rPr>
              <a:t>u milionima eura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161166651921319"/>
          <c:y val="0.27092307692307693"/>
          <c:w val="0.71345699765057458"/>
          <c:h val="0.43377831617201695"/>
        </c:manualLayout>
      </c:layout>
      <c:lineChart>
        <c:grouping val="standard"/>
        <c:varyColors val="0"/>
        <c:ser>
          <c:idx val="0"/>
          <c:order val="0"/>
          <c:tx>
            <c:strRef>
              <c:f>Sheet1!$A$50</c:f>
              <c:strCache>
                <c:ptCount val="1"/>
                <c:pt idx="0">
                  <c:v>Državni dug u mil. eura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Sheet1!$B$49:$E$49</c:f>
              <c:strCache>
                <c:ptCount val="2"/>
                <c:pt idx="0">
                  <c:v>31.12.2018</c:v>
                </c:pt>
                <c:pt idx="1">
                  <c:v>31.03.2019</c:v>
                </c:pt>
              </c:strCache>
              <c:extLst/>
            </c:strRef>
          </c:cat>
          <c:val>
            <c:numRef>
              <c:f>Sheet1!$B$50:$E$50</c:f>
              <c:numCache>
                <c:formatCode>0.00</c:formatCode>
                <c:ptCount val="2"/>
                <c:pt idx="0">
                  <c:v>3152.9801733140366</c:v>
                </c:pt>
                <c:pt idx="1">
                  <c:v>3179.38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CA6B-43D6-98FC-9309A588EC04}"/>
            </c:ext>
          </c:extLst>
        </c:ser>
        <c:ser>
          <c:idx val="1"/>
          <c:order val="1"/>
          <c:tx>
            <c:strRef>
              <c:f>Sheet1!$A$51</c:f>
              <c:strCache>
                <c:ptCount val="1"/>
                <c:pt idx="0">
                  <c:v>Državni dug , uključujući depozite u mil. eura</c:v>
                </c:pt>
              </c:strCache>
            </c:strRef>
          </c:tx>
          <c:spPr>
            <a:ln w="28575" cap="rnd">
              <a:solidFill>
                <a:schemeClr val="accent3"/>
              </a:solidFill>
              <a:prstDash val="sysDot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Sheet1!$B$49:$E$49</c:f>
              <c:strCache>
                <c:ptCount val="2"/>
                <c:pt idx="0">
                  <c:v>31.12.2018</c:v>
                </c:pt>
                <c:pt idx="1">
                  <c:v>31.03.2019</c:v>
                </c:pt>
              </c:strCache>
              <c:extLst/>
            </c:strRef>
          </c:cat>
          <c:val>
            <c:numRef>
              <c:f>Sheet1!$B$51:$E$51</c:f>
              <c:numCache>
                <c:formatCode>0.00</c:formatCode>
                <c:ptCount val="2"/>
                <c:pt idx="0">
                  <c:v>2876.1501733140367</c:v>
                </c:pt>
                <c:pt idx="1">
                  <c:v>2925.68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CA6B-43D6-98FC-9309A588EC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6116208"/>
        <c:axId val="346115376"/>
      </c:lineChart>
      <c:catAx>
        <c:axId val="34611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115376"/>
        <c:crosses val="autoZero"/>
        <c:auto val="1"/>
        <c:lblAlgn val="ctr"/>
        <c:lblOffset val="100"/>
        <c:noMultiLvlLbl val="0"/>
      </c:catAx>
      <c:valAx>
        <c:axId val="346115376"/>
        <c:scaling>
          <c:orientation val="minMax"/>
          <c:max val="3200"/>
          <c:min val="26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116208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85505323070571E-2"/>
          <c:y val="0.78034241873611954"/>
          <c:w val="0.97528325813205929"/>
          <c:h val="0.188888350494649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100" b="1" i="0" u="none" strike="noStrike" kern="1200" cap="all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100" b="1" i="0" u="none" strike="noStrike" kern="1200" cap="none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G</a:t>
            </a:r>
            <a:r>
              <a:rPr lang="sr-Latn-RS" sz="1100" b="1" i="0" u="none" strike="noStrike" kern="1200" cap="none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rafik</a:t>
            </a:r>
            <a:r>
              <a:rPr lang="en-GB" sz="1100" b="1" i="0" u="none" strike="noStrike" kern="1200" cap="none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 2 Stanje dr</a:t>
            </a:r>
            <a:r>
              <a:rPr lang="sr-Latn-RS" sz="1100" b="1" i="0" u="none" strike="noStrike" kern="1200" cap="none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žavnog duga kao % BDP-a</a:t>
            </a:r>
            <a:endParaRPr lang="en-GB" sz="1100" b="1" i="0" u="none" strike="noStrike" kern="1200" cap="none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100" b="1" i="0" u="none" strike="noStrike" kern="1200" cap="all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822161922067434"/>
          <c:y val="0.2570802919708029"/>
          <c:w val="0.77265560266505151"/>
          <c:h val="0.460005747456750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Sheet1!$A$54</c:f>
              <c:strCache>
                <c:ptCount val="1"/>
                <c:pt idx="0">
                  <c:v>Državni dug u mil. eura kao % BDP-a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64,22%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61-4008-A707-268CA875DC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Sheet1!$B$53:$E$53</c:f>
              <c:strCache>
                <c:ptCount val="2"/>
                <c:pt idx="0">
                  <c:v>31.12.2018</c:v>
                </c:pt>
                <c:pt idx="1">
                  <c:v>31.03.2019</c:v>
                </c:pt>
              </c:strCache>
            </c:strRef>
          </c:cat>
          <c:val>
            <c:numRef>
              <c:f>Sheet1!$B$54:$E$54</c:f>
              <c:numCache>
                <c:formatCode>0.00%</c:formatCode>
                <c:ptCount val="2"/>
                <c:pt idx="0">
                  <c:v>0.68259621426555739</c:v>
                </c:pt>
                <c:pt idx="1">
                  <c:v>0.66191576624404058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BB-4A36-B35B-8F83315A3F89}"/>
            </c:ext>
          </c:extLst>
        </c:ser>
        <c:ser>
          <c:idx val="1"/>
          <c:order val="1"/>
          <c:tx>
            <c:strRef>
              <c:f>Sheet1!$A$55</c:f>
              <c:strCache>
                <c:ptCount val="1"/>
                <c:pt idx="0">
                  <c:v>Državni dug, uključujući depozite u % BDP-a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dLbl>
              <c:idx val="1"/>
              <c:layout>
                <c:manualLayout>
                  <c:x val="-1.6628681675781214E-1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59,09%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61-4008-A707-268CA875DC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Sheet1!$B$53:$E$53</c:f>
              <c:strCache>
                <c:ptCount val="2"/>
                <c:pt idx="0">
                  <c:v>31.12.2018</c:v>
                </c:pt>
                <c:pt idx="1">
                  <c:v>31.03.2019</c:v>
                </c:pt>
              </c:strCache>
            </c:strRef>
          </c:cat>
          <c:val>
            <c:numRef>
              <c:f>Sheet1!$B$55:$E$55</c:f>
              <c:numCache>
                <c:formatCode>0.00%</c:formatCode>
                <c:ptCount val="2"/>
                <c:pt idx="0">
                  <c:v>0.62266462586088989</c:v>
                </c:pt>
                <c:pt idx="1">
                  <c:v>0.60909791185226825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BB-4A36-B35B-8F83315A3F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374902496"/>
        <c:axId val="370518288"/>
      </c:barChart>
      <c:catAx>
        <c:axId val="37490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518288"/>
        <c:crosses val="autoZero"/>
        <c:auto val="1"/>
        <c:lblAlgn val="ctr"/>
        <c:lblOffset val="100"/>
        <c:noMultiLvlLbl val="0"/>
      </c:catAx>
      <c:valAx>
        <c:axId val="370518288"/>
        <c:scaling>
          <c:orientation val="minMax"/>
          <c:max val="0.70000000000000007"/>
          <c:min val="0.5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4902496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1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sr-Latn-RS" sz="1100"/>
              <a:t>Grafik 3 Valutna struktura duga (31.</a:t>
            </a:r>
            <a:r>
              <a:rPr lang="en-GB" sz="1100"/>
              <a:t>03</a:t>
            </a:r>
            <a:r>
              <a:rPr lang="sr-Latn-RS" sz="1100"/>
              <a:t>.201</a:t>
            </a:r>
            <a:r>
              <a:rPr lang="en-GB" sz="1100"/>
              <a:t>9.</a:t>
            </a:r>
            <a:r>
              <a:rPr lang="en-US" sz="1100"/>
              <a:t>)</a:t>
            </a:r>
          </a:p>
        </c:rich>
      </c:tx>
      <c:layout>
        <c:manualLayout>
          <c:xMode val="edge"/>
          <c:yMode val="edge"/>
          <c:x val="5.0965841500028322E-2"/>
          <c:y val="3.07219289896455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1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1067882701712651"/>
          <c:y val="0.23762568140520895"/>
          <c:w val="0.57279480352725698"/>
          <c:h val="0.58328555084460598"/>
        </c:manualLayout>
      </c:layout>
      <c:pieChart>
        <c:varyColors val="1"/>
        <c:ser>
          <c:idx val="0"/>
          <c:order val="0"/>
          <c:tx>
            <c:strRef>
              <c:f>Sheet1!$M$69:$M$71</c:f>
              <c:strCache>
                <c:ptCount val="3"/>
                <c:pt idx="0">
                  <c:v>EUR</c:v>
                </c:pt>
                <c:pt idx="1">
                  <c:v>USD</c:v>
                </c:pt>
                <c:pt idx="2">
                  <c:v>Ostalo (CHF, NOK, SDR)</c:v>
                </c:pt>
              </c:strCache>
            </c:strRef>
          </c:tx>
          <c:dPt>
            <c:idx val="0"/>
            <c:bubble3D val="0"/>
            <c:spPr>
              <a:solidFill>
                <a:srgbClr val="F8B323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3EF-494E-B9DB-58084D9567F2}"/>
              </c:ext>
            </c:extLst>
          </c:dPt>
          <c:dPt>
            <c:idx val="1"/>
            <c:bubble3D val="0"/>
            <c:spPr>
              <a:pattFill prst="dkUpDiag">
                <a:fgClr>
                  <a:schemeClr val="accent3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3EF-494E-B9DB-58084D9567F2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3EF-494E-B9DB-58084D9567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eparator>. </c:separator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Sheet1!$M$69:$M$71</c:f>
              <c:strCache>
                <c:ptCount val="3"/>
                <c:pt idx="0">
                  <c:v>EUR</c:v>
                </c:pt>
                <c:pt idx="1">
                  <c:v>USD</c:v>
                </c:pt>
                <c:pt idx="2">
                  <c:v>Ostalo (CHF, NOK, SDR)</c:v>
                </c:pt>
              </c:strCache>
            </c:strRef>
          </c:cat>
          <c:val>
            <c:numRef>
              <c:f>Sheet1!$L$69:$L$71</c:f>
              <c:numCache>
                <c:formatCode>0.00%</c:formatCode>
                <c:ptCount val="3"/>
                <c:pt idx="0">
                  <c:v>0.8160488234402381</c:v>
                </c:pt>
                <c:pt idx="1">
                  <c:v>0.17137776807053892</c:v>
                </c:pt>
                <c:pt idx="2">
                  <c:v>1.2573408489223054E-2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3EF-494E-B9DB-58084D9567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solidFill>
                  <a:sysClr val="windowText" lastClr="000000"/>
                </a:solidFill>
              </a:rPr>
              <a:t>Grafik 4 Kamatna struktura d</a:t>
            </a:r>
            <a:r>
              <a:rPr lang="sr-Latn-RS" sz="1100" b="1">
                <a:solidFill>
                  <a:sysClr val="windowText" lastClr="000000"/>
                </a:solidFill>
              </a:rPr>
              <a:t>ržavnog duga (31.</a:t>
            </a:r>
            <a:r>
              <a:rPr lang="en-GB" sz="1100" b="1">
                <a:solidFill>
                  <a:sysClr val="windowText" lastClr="000000"/>
                </a:solidFill>
              </a:rPr>
              <a:t>03</a:t>
            </a:r>
            <a:r>
              <a:rPr lang="sr-Latn-RS" sz="1100" b="1">
                <a:solidFill>
                  <a:sysClr val="windowText" lastClr="000000"/>
                </a:solidFill>
              </a:rPr>
              <a:t>.201</a:t>
            </a:r>
            <a:r>
              <a:rPr lang="en-GB" sz="1100" b="1">
                <a:solidFill>
                  <a:sysClr val="windowText" lastClr="000000"/>
                </a:solidFill>
              </a:rPr>
              <a:t>9</a:t>
            </a:r>
            <a:r>
              <a:rPr lang="sr-Latn-RS" sz="1100" b="1">
                <a:solidFill>
                  <a:sysClr val="windowText" lastClr="000000"/>
                </a:solidFill>
              </a:rPr>
              <a:t>.)</a:t>
            </a:r>
            <a:endParaRPr lang="en-GB" sz="11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6967398811990606"/>
          <c:y val="0.24030996125484319"/>
          <c:w val="0.52205553253211767"/>
          <c:h val="0.581336563698768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8B323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A2-4B65-BF50-D14A1BAFB9C7}"/>
              </c:ext>
            </c:extLst>
          </c:dPt>
          <c:dPt>
            <c:idx val="1"/>
            <c:bubble3D val="0"/>
            <c:spPr>
              <a:pattFill prst="dkUpDiag">
                <a:fgClr>
                  <a:schemeClr val="accent3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A2-4B65-BF50-D14A1BAFB9C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71ED4D10-75FC-4118-A9E4-E00E5F12A6DD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GB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DA2-4B65-BF50-D14A1BAFB9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Sheet1!$C$66:$C$67</c:f>
              <c:strCache>
                <c:ptCount val="2"/>
                <c:pt idx="0">
                  <c:v>fiksna k.s.</c:v>
                </c:pt>
                <c:pt idx="1">
                  <c:v>varijabilna k.s.</c:v>
                </c:pt>
              </c:strCache>
            </c:strRef>
          </c:cat>
          <c:val>
            <c:numRef>
              <c:f>Sheet1!$E$66:$E$67</c:f>
              <c:numCache>
                <c:formatCode>0.00%</c:formatCode>
                <c:ptCount val="2"/>
                <c:pt idx="0">
                  <c:v>0.74927838164205873</c:v>
                </c:pt>
                <c:pt idx="1">
                  <c:v>0.25072161835794138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A2-4B65-BF50-D14A1BAFB9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solidFill>
                  <a:sysClr val="windowText" lastClr="000000"/>
                </a:solidFill>
              </a:rPr>
              <a:t>Grafik 5 Odnos spoljnjeg i domaćeg duga (3</a:t>
            </a:r>
            <a:r>
              <a:rPr lang="sr-Latn-RS" sz="1100" b="1">
                <a:solidFill>
                  <a:sysClr val="windowText" lastClr="000000"/>
                </a:solidFill>
              </a:rPr>
              <a:t>1</a:t>
            </a:r>
            <a:r>
              <a:rPr lang="en-GB" sz="1100" b="1">
                <a:solidFill>
                  <a:sysClr val="windowText" lastClr="000000"/>
                </a:solidFill>
              </a:rPr>
              <a:t>.</a:t>
            </a:r>
            <a:r>
              <a:rPr lang="sr-Latn-RS" sz="1100" b="1">
                <a:solidFill>
                  <a:sysClr val="windowText" lastClr="000000"/>
                </a:solidFill>
              </a:rPr>
              <a:t>03</a:t>
            </a:r>
            <a:r>
              <a:rPr lang="en-GB" sz="1100" b="1">
                <a:solidFill>
                  <a:sysClr val="windowText" lastClr="000000"/>
                </a:solidFill>
              </a:rPr>
              <a:t>.201</a:t>
            </a:r>
            <a:r>
              <a:rPr lang="sr-Latn-RS" sz="1100" b="1">
                <a:solidFill>
                  <a:sysClr val="windowText" lastClr="000000"/>
                </a:solidFill>
              </a:rPr>
              <a:t>9</a:t>
            </a:r>
            <a:r>
              <a:rPr lang="en-GB" sz="1100" b="1">
                <a:solidFill>
                  <a:sysClr val="windowText" lastClr="000000"/>
                </a:solidFill>
              </a:rPr>
              <a:t>.)</a:t>
            </a:r>
          </a:p>
        </c:rich>
      </c:tx>
      <c:layout>
        <c:manualLayout>
          <c:xMode val="edge"/>
          <c:yMode val="edge"/>
          <c:x val="0.17866666666666664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403084216549056"/>
          <c:y val="0.26593870318739338"/>
          <c:w val="0.53783723401356842"/>
          <c:h val="0.604805294279849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8B323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C46-4243-A9AB-ED1546E2EE75}"/>
              </c:ext>
            </c:extLst>
          </c:dPt>
          <c:dPt>
            <c:idx val="1"/>
            <c:bubble3D val="0"/>
            <c:spPr>
              <a:pattFill prst="dkUpDiag">
                <a:fgClr>
                  <a:srgbClr val="46B2B5">
                    <a:lumMod val="60000"/>
                    <a:lumOff val="40000"/>
                  </a:srgbClr>
                </a:fgClr>
                <a:bgClr>
                  <a:sysClr val="window" lastClr="FFFFFF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C46-4243-A9AB-ED1546E2EE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Sheet1!$A$60:$A$61</c:f>
              <c:strCache>
                <c:ptCount val="2"/>
                <c:pt idx="0">
                  <c:v>Spoljni dug</c:v>
                </c:pt>
                <c:pt idx="1">
                  <c:v>Domaći dug</c:v>
                </c:pt>
              </c:strCache>
            </c:strRef>
          </c:cat>
          <c:val>
            <c:numRef>
              <c:f>Sheet1!$C$60:$C$61</c:f>
              <c:numCache>
                <c:formatCode>0.00%</c:formatCode>
                <c:ptCount val="2"/>
                <c:pt idx="0">
                  <c:v>0.88090759833678267</c:v>
                </c:pt>
                <c:pt idx="1">
                  <c:v>0.11909240166321734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C46-4243-A9AB-ED1546E2EE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word/theme/themeOverride1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4709E-6595-4E61-AA8E-47740DE3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Ministarstvo finansija                  izvještaj o državnom dugu                        31.03.2019. godine</vt:lpstr>
    </vt:vector>
  </TitlesOfParts>
  <Company>Hewlett-Packard Company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finansija                  izvještaj o državnom dugu                        31.03.2019. godine</dc:title>
  <dc:subject/>
  <dc:creator>Jelena Djurovic</dc:creator>
  <cp:keywords/>
  <dc:description/>
  <cp:lastModifiedBy>Ana Djuraskovic</cp:lastModifiedBy>
  <cp:revision>2</cp:revision>
  <cp:lastPrinted>2019-05-09T07:31:00Z</cp:lastPrinted>
  <dcterms:created xsi:type="dcterms:W3CDTF">2020-11-24T06:26:00Z</dcterms:created>
  <dcterms:modified xsi:type="dcterms:W3CDTF">2020-11-24T06:26:00Z</dcterms:modified>
</cp:coreProperties>
</file>