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C6" w:rsidRPr="003938C6" w:rsidRDefault="003938C6" w:rsidP="00245656">
      <w:pPr>
        <w:spacing w:after="240" w:line="240" w:lineRule="auto"/>
        <w:jc w:val="center"/>
        <w:rPr>
          <w:rFonts w:ascii="Trebuchet MS" w:eastAsia="Times New Roman" w:hAnsi="Trebuchet MS" w:cs="Tahoma"/>
          <w:b/>
          <w:bCs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Tahoma"/>
          <w:b/>
          <w:bCs/>
          <w:sz w:val="20"/>
          <w:szCs w:val="20"/>
          <w:lang w:val="sr-Latn-CS" w:eastAsia="de-CH"/>
        </w:rPr>
        <w:t>CENTAR ZA STRUČNO OBRAZOVANJE</w:t>
      </w:r>
    </w:p>
    <w:p w:rsidR="003938C6" w:rsidRPr="003938C6" w:rsidRDefault="003938C6" w:rsidP="00245656">
      <w:pPr>
        <w:spacing w:before="240" w:after="240" w:line="240" w:lineRule="auto"/>
        <w:jc w:val="center"/>
        <w:rPr>
          <w:rFonts w:ascii="Trebuchet MS" w:eastAsia="Times New Roman" w:hAnsi="Trebuchet MS" w:cs="Tahoma"/>
          <w:b/>
          <w:bCs/>
          <w:sz w:val="20"/>
          <w:szCs w:val="20"/>
          <w:lang w:val="sr-Cyrl-CS" w:eastAsia="de-CH"/>
        </w:rPr>
      </w:pPr>
      <w:r w:rsidRPr="003938C6">
        <w:rPr>
          <w:rFonts w:ascii="Trebuchet MS" w:eastAsia="Times New Roman" w:hAnsi="Trebuchet MS" w:cs="Tahoma"/>
          <w:b/>
          <w:bCs/>
          <w:sz w:val="20"/>
          <w:szCs w:val="20"/>
          <w:lang w:val="sr-Latn-CS" w:eastAsia="de-CH"/>
        </w:rPr>
        <w:t>AKREDITACIJA PROGRAMA STRUČNOG USAVRŠAVANJA NASTAVNIKA</w:t>
      </w:r>
    </w:p>
    <w:p w:rsidR="003938C6" w:rsidRPr="003938C6" w:rsidRDefault="003938C6" w:rsidP="00245656">
      <w:pPr>
        <w:spacing w:before="240" w:after="240" w:line="240" w:lineRule="auto"/>
        <w:jc w:val="center"/>
        <w:rPr>
          <w:rFonts w:ascii="Trebuchet MS" w:eastAsia="Times New Roman" w:hAnsi="Trebuchet MS" w:cs="Tahoma"/>
          <w:b/>
          <w:sz w:val="20"/>
          <w:szCs w:val="20"/>
          <w:lang w:val="sr-Cyrl-CS" w:eastAsia="de-CH"/>
        </w:rPr>
      </w:pPr>
      <w:r w:rsidRPr="003938C6">
        <w:rPr>
          <w:rFonts w:ascii="Trebuchet MS" w:eastAsia="Times New Roman" w:hAnsi="Trebuchet MS" w:cs="Tahoma"/>
          <w:b/>
          <w:sz w:val="20"/>
          <w:szCs w:val="20"/>
          <w:lang w:val="sr-Latn-CS" w:eastAsia="de-CH"/>
        </w:rPr>
        <w:t>FORMULAR ZA PRIJAVLJIVANJE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6"/>
        <w:gridCol w:w="3187"/>
        <w:gridCol w:w="3187"/>
      </w:tblGrid>
      <w:tr w:rsidR="003938C6" w:rsidRPr="00653EEB" w:rsidTr="00653EEB">
        <w:trPr>
          <w:jc w:val="center"/>
        </w:trPr>
        <w:tc>
          <w:tcPr>
            <w:tcW w:w="9322" w:type="dxa"/>
            <w:gridSpan w:val="3"/>
            <w:shd w:val="clear" w:color="auto" w:fill="CCFFCC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jc w:val="center"/>
              <w:rPr>
                <w:rFonts w:ascii="Trebuchet MS" w:eastAsia="Times New Roman" w:hAnsi="Trebuchet MS" w:cs="Tahoma"/>
                <w:bCs/>
                <w:i/>
                <w:iCs/>
                <w:sz w:val="20"/>
                <w:szCs w:val="20"/>
                <w:lang w:val="en-GB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Opšti podaci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Naziv programa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iCs/>
                <w:sz w:val="20"/>
                <w:szCs w:val="20"/>
                <w:lang w:val="en-GB" w:eastAsia="de-CH"/>
              </w:rPr>
            </w:pPr>
          </w:p>
          <w:p w:rsidR="005237FC" w:rsidRPr="00653EEB" w:rsidRDefault="005237FC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iCs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 w:val="restart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Oblasti usavršavanja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16"/>
                <w:szCs w:val="16"/>
                <w:lang w:val="sr-Latn-CS" w:eastAsia="sr-Latn-CS"/>
              </w:rPr>
              <w:t>Napomena</w:t>
            </w:r>
            <w:r w:rsidRPr="00653EEB">
              <w:rPr>
                <w:rFonts w:ascii="Trebuchet MS" w:eastAsia="Times New Roman" w:hAnsi="Trebuchet MS" w:cs="Arial"/>
                <w:sz w:val="16"/>
                <w:szCs w:val="16"/>
                <w:lang w:val="sr-Latn-CS" w:eastAsia="sr-Latn-CS"/>
              </w:rPr>
              <w:t>: Zaokružiti jednu od ponuđenih oblasti stručnog usavršavanja</w:t>
            </w:r>
          </w:p>
        </w:tc>
        <w:tc>
          <w:tcPr>
            <w:tcW w:w="6348" w:type="dxa"/>
            <w:gridSpan w:val="2"/>
            <w:shd w:val="clear" w:color="auto" w:fill="CCFFCC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i/>
                <w:iCs/>
                <w:sz w:val="20"/>
                <w:szCs w:val="20"/>
                <w:lang w:val="en-GB" w:eastAsia="de-CH"/>
              </w:rPr>
            </w:pP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Prioritetne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oblasti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stručnog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usavršavanja</w:t>
            </w:r>
            <w:proofErr w:type="spellEnd"/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6348" w:type="dxa"/>
            <w:gridSpan w:val="2"/>
            <w:shd w:val="clear" w:color="auto" w:fill="auto"/>
          </w:tcPr>
          <w:p w:rsidR="00BA47F9" w:rsidRDefault="00BA47F9" w:rsidP="00BA47F9">
            <w:pPr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BA47F9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Osavremenjivanje stručnih znanja nastavnika iz sljedećih sektora/oblasti: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Mašinstvo i obrada metala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(posebno programi koji se odnose na: konstruktivno mašinstvo, mašinsku energetiku i termotehniku, proizvodno mašinstvo - CNC tehnologije, primjenu softverskih alata u mašinstvu, engleski jezik u mašinstvu i dr.) 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Elektrotehnika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primjenu digitalne elektronike, programiranje mikrokontrolera, industrijsku elektroniku i automatiku, elektronske uređaje i sisteme, računarske sisteme, telekomunikacione i računarske mreže, elektroenergetiku, primjenu softverskih alata u elektrotehnici, projektovanje u elektrotehnici, engleski jezik u elektrotehnici i dr.)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 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Informaciona tehnologija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razvoj veb i mobilnih aplikacija, upravljanje softverskim projektima, programiranje, upravljanje bazama podataka, IoT sisteme, engleski jezik u informacionoj tehnologiji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Mehatronika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(posebno programi koji se odnose na: primjenu softverskih alata u mehatronici, dijagnostiku, upravljanje i održavanje mehatroničkih uređaja i sistema,  dijagnostiku i održavanje mehatroničkih sistema na vozilu, održavanje i ugradnja električnih i elektronskih sistema na motornom vozilu, vozila sa alternativnim pogonima, engleski jezik u mehatronici i dr.) 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Građevinarstvo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primjenu softverskih alata u građevinarstvu, projektovanje u niskogradnji, hidrogradnji i visokogradnji, građevinske konstrukcije, izvođenje građevinskih radova, engleski jezik u građevinarstu, primjenu softverskih alata u geodeziji, izvođenje geodetskih radova, engleski jezik u geodeziji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Uređenje prostora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primjenu softverskih alata u arhitekturi, projektovanje arhitektonskih objekata, urbanističko projektovanje i planiranje, projektovanje enterijera,  organizacija, dekorisanje i aranžiranje prostora, engleski jezik u uređenju prostora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Ekonomija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računovodstvo, bankarsko i finansijsko poslovanje, primjenu softverskih alata u ekonomiji, preduzeće za vježbu, preduzetništvo, marketing, osiguranje imovine i lica, špeditersko i agencijsko poslovanje i dr.)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 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Pravo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(posebno programi koji se odnose na: administrativno poslovanje, poslovnu komunikaciju, pravne postupke, pravni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lastRenderedPageBreak/>
              <w:t>promet, radno pravo, kompanijsko i finansijsko pravo, carinski postupak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Poljoprivreda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primjenu savremene tehnologije i način uzgajanja u ratarsko-povrtarskoj, voćarsko-vinagradarskoj i stočarskoj proizvodnji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Prehrana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izvođenje tehnoloških operacija, kontrolu kvaliteta prehrambenih proizvoda, standarde i propise u proizvodnji hrane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Veterina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identifikaciju i obilježavanje životinja, zdravstvenu zaštitu i reprodukciju životinja, asistiranje u sprovođenju hirurških zahvata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Šumarstvo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tehnološke postupke u okviru primarne, polufinalne i finalne obrade drveta, obradu drveta CNC mašinama, dizajn predmeta i enterijera od drveta, ispitivanje kvaliteta u obradi drveta, iskorišćavanje šuma, podizanje i njega zelenih površina, planiranje i gazdovanje šumama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Zdravstvo i socijalna zaštita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promet ljekova i tehnologije u farmaceutskoj industriji, biohemijsko laboratorijsku dijagnostiku, mikrobiološka, patološka ispitivanja, ispitivanja u laboratorijama za sanitarnu hemiju, asistiranje u stomatološkim intervencijama i izradu fiksnih i mobilnih protetskih nadoknada, hidro-peloido terapijske procedure i medicinsko-terapijske masaže u fizioterapiji, kozmetoterapijske procedure u tretmanima lica i tijela, principe zdrave ishrane i očuvanja zdravlja, prvu pomoć, socijalna zaštita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Turizam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recepcijsko i agencijsko poslovanje, strane jezike u turizmu, primjenu softverskih alata u turizmu i dr.)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 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Trgovina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savremene načine prodaje, tehnike prodaje, marketing u trgovini, primjenu softverskih alata u trgovini i dr.)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 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Ugostiteljstvo – restoraterstvo i kulinarstvo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pripremu složenijih vrsta jela i poslastica, estetiku u gastronomiji i poslastičarstvu, kontrolu kvaliteta gastronomskih proizvoda, specijalne načine usluživanja hrane i pića, svečane prijeme, pripremanje koktela, standarde i normative u ugostiteljstvu, strane jezike u ugostiteljstvu i dr.)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  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Saobraćaj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pomorstvo, navigaciju, brodske mašine i sisteme, sigurnost i bezbjednost na moru, engleski jezik u nautici i brodomašinstvu, organizaciju transporta, drumski i željeznički saobraćaj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Lične usluge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(posebno programi koji se odnose na: kreiranje i izradu specijalnih frizura, specijalne tehnike u bojenju kose, brade i brkova i dr.)  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Tekstilstvo i kožarstvo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dizajniranje u modnoj industriji, konstrukciju i modelovanje tekstilnih proizvoda i odjeće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Rudarstvo i metalurgija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lastRenderedPageBreak/>
              <w:t xml:space="preserve">Hemijska industrija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 tehnološke operacije i kontrolu kvaliteta u hemijskoj industriji, zaštitu životne sredine i dr.)</w:t>
            </w:r>
          </w:p>
          <w:p w:rsidR="003938C6" w:rsidRPr="00653EEB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Muzička umjetnost  </w:t>
            </w:r>
          </w:p>
          <w:p w:rsidR="003938C6" w:rsidRDefault="003938C6" w:rsidP="00BA47F9">
            <w:pPr>
              <w:spacing w:before="20" w:after="20" w:line="240" w:lineRule="auto"/>
              <w:ind w:left="720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Likovna umjetnost</w:t>
            </w:r>
          </w:p>
          <w:p w:rsidR="00BA47F9" w:rsidRDefault="00BA47F9" w:rsidP="00BA47F9">
            <w:pPr>
              <w:numPr>
                <w:ilvl w:val="0"/>
                <w:numId w:val="2"/>
              </w:numPr>
              <w:spacing w:before="20" w:after="20" w:line="240" w:lineRule="auto"/>
              <w:ind w:left="416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BA47F9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Povezivanje sa privredom i tržištem rada</w:t>
            </w:r>
          </w:p>
          <w:p w:rsidR="00BA47F9" w:rsidRDefault="00BA47F9" w:rsidP="00BA47F9">
            <w:pPr>
              <w:numPr>
                <w:ilvl w:val="0"/>
                <w:numId w:val="2"/>
              </w:numPr>
              <w:spacing w:before="20" w:after="20" w:line="240" w:lineRule="auto"/>
              <w:ind w:left="416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BA47F9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Digitalne i zelene vještine i kompetencije</w:t>
            </w:r>
          </w:p>
          <w:p w:rsidR="00BA47F9" w:rsidRPr="00653EEB" w:rsidRDefault="00BA47F9" w:rsidP="00BA47F9">
            <w:pPr>
              <w:numPr>
                <w:ilvl w:val="0"/>
                <w:numId w:val="2"/>
              </w:numPr>
              <w:spacing w:before="20" w:after="20" w:line="240" w:lineRule="auto"/>
              <w:ind w:left="506" w:hanging="416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BA47F9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Inkluzivno obrazovanje – rad sa djecom sa posebnim obrazovnim potrebama</w:t>
            </w:r>
          </w:p>
          <w:p w:rsidR="003938C6" w:rsidRPr="00653EEB" w:rsidRDefault="003938C6" w:rsidP="00653EEB">
            <w:pPr>
              <w:spacing w:before="20" w:after="20" w:line="240" w:lineRule="auto"/>
              <w:ind w:left="360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16"/>
                <w:szCs w:val="16"/>
                <w:lang w:val="sr-Latn-CS" w:eastAsia="sr-Latn-CS"/>
              </w:rPr>
              <w:t xml:space="preserve">Napomene:   </w:t>
            </w:r>
          </w:p>
          <w:p w:rsidR="003938C6" w:rsidRPr="00653EEB" w:rsidRDefault="003938C6" w:rsidP="00653EEB">
            <w:pPr>
              <w:numPr>
                <w:ilvl w:val="0"/>
                <w:numId w:val="3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sz w:val="16"/>
                <w:szCs w:val="16"/>
                <w:lang w:val="sr-Latn-CS" w:eastAsia="sr-Latn-CS"/>
              </w:rPr>
              <w:t>Prioritetne oblasti se odnose na nastavnike koji realizuju programe formalnog obrazovanja i nastavnike koji realizuju programe neformalnog obrazovanja</w:t>
            </w:r>
          </w:p>
          <w:p w:rsidR="003938C6" w:rsidRPr="00653EEB" w:rsidRDefault="003938C6" w:rsidP="00BA47F9">
            <w:pPr>
              <w:numPr>
                <w:ilvl w:val="0"/>
                <w:numId w:val="3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18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sz w:val="16"/>
                <w:szCs w:val="16"/>
                <w:lang w:val="sr-Latn-CS" w:eastAsia="sr-Latn-CS"/>
              </w:rPr>
              <w:t>Prioritetne oblasti su direktno povezane sa modulima/predmetima u obrazovnim programima/ programima obrazovanja</w:t>
            </w:r>
            <w:r w:rsidR="00BA47F9">
              <w:rPr>
                <w:rFonts w:ascii="Trebuchet MS" w:eastAsia="Times New Roman" w:hAnsi="Trebuchet MS" w:cs="Arial"/>
                <w:sz w:val="16"/>
                <w:szCs w:val="16"/>
                <w:lang w:val="sr-Latn-CS" w:eastAsia="sr-Latn-CS"/>
              </w:rPr>
              <w:t>,</w:t>
            </w:r>
            <w:r w:rsidR="00BA47F9">
              <w:t xml:space="preserve"> </w:t>
            </w:r>
            <w:r w:rsidR="00BA47F9" w:rsidRPr="00BA47F9">
              <w:rPr>
                <w:rFonts w:ascii="Trebuchet MS" w:eastAsia="Times New Roman" w:hAnsi="Trebuchet MS" w:cs="Arial"/>
                <w:sz w:val="16"/>
                <w:szCs w:val="16"/>
                <w:lang w:val="sr-Latn-CS" w:eastAsia="sr-Latn-CS"/>
              </w:rPr>
              <w:t>kao i sa rezultatima eksternog utvrđivanja kvaliteta, važećih strateških dokumenata i EU i globalnih obrazovnih trendova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6348" w:type="dxa"/>
            <w:gridSpan w:val="2"/>
            <w:shd w:val="clear" w:color="auto" w:fill="CCFFCC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i/>
                <w:iCs/>
                <w:sz w:val="20"/>
                <w:szCs w:val="20"/>
                <w:lang w:val="en-GB" w:eastAsia="de-CH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Oblast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pedagogije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,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andragogije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,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psihologije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,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didaktike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,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metodike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i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dr.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6348" w:type="dxa"/>
            <w:gridSpan w:val="2"/>
            <w:shd w:val="clear" w:color="auto" w:fill="auto"/>
          </w:tcPr>
          <w:p w:rsidR="003938C6" w:rsidRPr="00653EEB" w:rsidRDefault="003938C6" w:rsidP="00653EEB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Inovativni pristupi nastavi i učenju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(primjena interaktivnih metoda u nastavi, problemska nastava, organizacja nastave orijentisane ka aktivnostima, online metode nastave i dr.)</w:t>
            </w:r>
          </w:p>
          <w:p w:rsidR="003938C6" w:rsidRPr="00653EEB" w:rsidRDefault="003938C6" w:rsidP="00653EEB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Vrednovanje i ocjenjivanje postignuća učenika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(formativno i sumativno ocjenjivanje, priprema zadataka za testove, portali za učenje i provjeru znanja, kreiranje elektronskih testova, kvizova i upitnika i dr.)</w:t>
            </w:r>
          </w:p>
          <w:p w:rsidR="003938C6" w:rsidRPr="00653EEB" w:rsidRDefault="003938C6" w:rsidP="00653EEB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Rad sa darovitim učenicima</w:t>
            </w:r>
          </w:p>
          <w:p w:rsidR="003938C6" w:rsidRPr="00653EEB" w:rsidRDefault="003938C6" w:rsidP="00653EEB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Obrazovanje i osposobljavanje odraslih i cjeloživotno učenje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(andragoško osposobljavanje, osnovno opismenjavanje, programi za treće doba, ključne vještine i sl.) i dr.</w:t>
            </w:r>
          </w:p>
          <w:p w:rsidR="003938C6" w:rsidRPr="00653EEB" w:rsidRDefault="003938C6" w:rsidP="00653EEB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Ostalo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(navesti oblast) ________________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6348" w:type="dxa"/>
            <w:gridSpan w:val="2"/>
            <w:shd w:val="clear" w:color="auto" w:fill="CCFFCC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i/>
                <w:iCs/>
                <w:sz w:val="20"/>
                <w:szCs w:val="20"/>
                <w:lang w:val="en-GB" w:eastAsia="de-CH"/>
              </w:rPr>
            </w:pP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Druge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oblasti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stručnog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usavršavanja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6348" w:type="dxa"/>
            <w:gridSpan w:val="2"/>
            <w:shd w:val="clear" w:color="auto" w:fill="auto"/>
          </w:tcPr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Razvoj ključnih kompetencija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vertAlign w:val="superscript"/>
                <w:lang w:val="sr-Latn-CS" w:eastAsia="sr-Latn-CS"/>
              </w:rPr>
              <w:footnoteReference w:id="1"/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kompetencija pismenosti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sposobnost komunikacije i efikasnog povezivanja sa drugima na primjeren i kreativan način; sposobnost identifikovanja, razumijevanja, izražavanja, stvaranja i tumačenja pojmova, činjenica i mišljenja u usmenom i pisanom obliku, koristeći vizuelni, zvučni/audio i digitalni materijal)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kompetencija višejezičnosti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sposobnost korišćenja različitih stranih jezika na odgovarajući i efikasan način za komunikaciju)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STEM kompetencija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sposobnost razvijanja i primjene matematičkog mišljenja, znanja i vještina, kako bi se riješili razni problemi u svakodnevnim situacijama; sposobnost i spremnost da se objasni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lastRenderedPageBreak/>
              <w:t>prirodni svijet korišćenjem postojećeg znanja i primijenom metodologije u cilju identifikacije pitanja i izvođenja zaključaka zasnovanih na empirijskim podacima)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lična, socijalna i kompetencija učiti kako učiti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efikasno upravljanje vremenom i informacijama; rad sa drugima na konstruktivan način; otpornost na stresove uzrokovane neprekidnim životnim promjenama, pritiscima i rizicima; upravljanje sopstvenim učenjem i karijerom; održavanje fizičkog i mentalnog zdravlja; vođenje zdravog života; otkrivanje sopstvenih prednosti i nedostataka, afiniteta i interesa; preuzimanje odgovornosti  za lični i profesionalni rast, profesionalnu karijeru i lično ostvarenje)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građanska kompetencija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sposobnost da se postupa kao odgovorni građanin i da se u potpunosti učestvuje u građanskom i društvenom životu, zasnovanom na razumijevanju socijalnih, ekonomskih, pravnih i političkih koncepata i struktura, kao i globalnog razvoja i održivosti) 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preduzetnička kompetencija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razvoj kreativnosti, kritičkog razmišljanja i rješavanje problema; preduzimanje inicijative, upornosti i sposobnosti da se sarađuje u cilju planiranja i upravljanja projektima koji imaju kulturnu, društvenu ili finansijsku vrijednost)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kompetencija kulturološke svijesti i izražavanja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razumijevanje i poštovanje načina na koji se ideje i smisao kreativno izražavaju i prenose u različitim kulturama u obliku niza umjetničkih i drugih kulturnih formi) </w:t>
            </w:r>
          </w:p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Organizacija slobodnih i vannastavnih aktivnosti u školama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prevenciju nasilja među učenicima, borbu protiv bolesti zavisnosti, bezbjednost u saobraćaju, postupanje u vanrednim situacijama, borbu protiv trgovine ljudima, borbu protiv nasilnog ekstremizma, osnove pružanja prve pomoći, školsku medijaciju i dr.)</w:t>
            </w:r>
          </w:p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Globalno obrazovanje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vertAlign w:val="superscript"/>
                <w:lang w:val="sr-Latn-CS" w:eastAsia="sr-Latn-CS"/>
              </w:rPr>
              <w:footnoteReference w:id="2"/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na: multikulturalna društva u socijalnom, ekonomskom i kulturnom kontekstu; povezanost regiona, zemalja i kontinenata i ograničene prirodne izvore; informaciono društvo i medije; ljudska prava, demokratiju i dobro upravljanje, socijalnu pravdu, rodnu ravnopravnost, mir i transformaciju konflikata, različitost i međukulturalni i međuverski dijalog; održivi razvoj, zelenu ekonomija i ekološku odgovornost; istraživanje i strateško planiranje; donošenje odluka; razvoj medijske svijesti i dr.)</w:t>
            </w:r>
          </w:p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Timski rad i saradnja</w:t>
            </w:r>
          </w:p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lastRenderedPageBreak/>
              <w:t>Izrada projekata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i dr.</w:t>
            </w:r>
          </w:p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Ostalo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(navesti oblast) ________________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lastRenderedPageBreak/>
              <w:t>Autori programa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Realizatori programa</w:t>
            </w: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Cyrl-CS" w:eastAsia="de-CH"/>
              </w:rPr>
              <w:t xml:space="preserve">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eastAsia="de-CH"/>
              </w:rPr>
            </w:pP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Cyrl-CS" w:eastAsia="de-CH"/>
              </w:rPr>
            </w:pPr>
            <w:proofErr w:type="spellStart"/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  <w:t>Kontakt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  <w:t>osoba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  <w:t xml:space="preserve">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  <w:t xml:space="preserve">E-mail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Broj telefona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322" w:type="dxa"/>
            <w:gridSpan w:val="3"/>
            <w:shd w:val="clear" w:color="auto" w:fill="CCFFCC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nb-NO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nb-NO" w:eastAsia="de-CH"/>
              </w:rPr>
              <w:t>Informacije o programu</w:t>
            </w: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trHeight w:val="89"/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Cyrl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Ciljevi programa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trHeight w:val="462"/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ME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Sadržaji obuhva</w:t>
            </w: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ME" w:eastAsia="de-CH"/>
              </w:rPr>
              <w:t>ćeni programom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Očekivani ishodi po završetku programa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trHeight w:val="627"/>
          <w:jc w:val="center"/>
        </w:trPr>
        <w:tc>
          <w:tcPr>
            <w:tcW w:w="2974" w:type="dxa"/>
            <w:vMerge w:val="restart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Povezanost programa sa obrazovnim programom/programom obrazovanja, odnosno predmetom/modulom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navesti samo za programe iz grupe prioritetnih oblasti stručnog usavršavanja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</w:pPr>
            <w:r w:rsidRPr="00653EEB"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  <w:t>Naziv obrazovnog programa / programa obrazovanja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</w:pPr>
            <w:r w:rsidRPr="00653EEB"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  <w:t>Naziv predmeta/modula u okviru obrazovnog programa</w:t>
            </w: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trHeight w:val="805"/>
          <w:jc w:val="center"/>
        </w:trPr>
        <w:tc>
          <w:tcPr>
            <w:tcW w:w="2974" w:type="dxa"/>
            <w:vMerge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Ciljna grupa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Zaokružiti ciljnu grupu (jednu ili više njih) i precizirati predmete ili grupe predmeta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 xml:space="preserve">Nastavnici stručnih modula/predmeta iz sljedećih oblasti: </w:t>
            </w:r>
          </w:p>
          <w:p w:rsidR="003938C6" w:rsidRPr="00653EEB" w:rsidRDefault="003938C6" w:rsidP="00653EEB">
            <w:pPr>
              <w:spacing w:before="20" w:after="20" w:line="240" w:lineRule="auto"/>
              <w:ind w:left="785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_______________________________________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Nastavnici praktične nastave iz sljedećih oblasti:</w:t>
            </w:r>
          </w:p>
          <w:p w:rsidR="003938C6" w:rsidRPr="00653EEB" w:rsidRDefault="003938C6" w:rsidP="00653EEB">
            <w:pPr>
              <w:spacing w:before="20" w:after="20" w:line="240" w:lineRule="auto"/>
              <w:ind w:left="785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_______________________________________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Organizatori praktičnog obrazovanja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 xml:space="preserve">Stručni saradnici 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 xml:space="preserve">Saradnici u nastavi 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Direktori i pomoćnici direktora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Instruktori praktičnog obrazovanja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Nastavni kadar kod organizatora obrazovanja</w:t>
            </w:r>
          </w:p>
          <w:p w:rsidR="003938C6" w:rsidRPr="00653EEB" w:rsidRDefault="003938C6" w:rsidP="00653EEB">
            <w:pPr>
              <w:spacing w:before="20" w:after="20" w:line="240" w:lineRule="auto"/>
              <w:ind w:left="785"/>
              <w:rPr>
                <w:rFonts w:ascii="Trebuchet MS" w:eastAsia="Times New Roman" w:hAnsi="Trebuchet MS" w:cs="Times New Roman"/>
                <w:sz w:val="24"/>
                <w:szCs w:val="24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odraslih</w:t>
            </w: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Uslovi za uključivanje u program 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navesti posebne uslove ukoliko su neophodni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Minimalni i maksimalni broj učesnika u grupi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Trajanje programa 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navesti broj sati/dana obuke vodeći računa da je maksimalan broj sati 8 po danu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322" w:type="dxa"/>
            <w:gridSpan w:val="3"/>
            <w:shd w:val="clear" w:color="auto" w:fill="CCFFCC"/>
          </w:tcPr>
          <w:p w:rsidR="003938C6" w:rsidRPr="00653EEB" w:rsidRDefault="003938C6" w:rsidP="00653EEB">
            <w:pPr>
              <w:spacing w:before="20" w:after="20" w:line="240" w:lineRule="auto"/>
              <w:jc w:val="center"/>
              <w:rPr>
                <w:rFonts w:ascii="Trebuchet MS" w:eastAsia="Times New Roman" w:hAnsi="Trebuchet MS" w:cs="Tahoma"/>
                <w:color w:val="FF0000"/>
                <w:sz w:val="20"/>
                <w:szCs w:val="20"/>
                <w:lang w:val="en-GB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Materijalno-tehnički uslovi i didaktičko-metodički pristup</w:t>
            </w: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Cyrl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Metode, tehnike i oblici rada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Prostorni uslovi za realizaciju programa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Materijalno-tehnički uslovi za realizaciju programa (tehnička oprema i nastavna sredstva)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lastRenderedPageBreak/>
              <w:t>Radni materijali predviđeni za realizaciju programa (radni listovi, prezentacije i slično)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Literatura i drugi izvori koji su korišćeni za izradu programa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Online realizacija programa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u slučaju da se program po potrebi može organizovati i online navesti materijalno-tehničke uslove platformu, broj učesnika, trajanje i dr.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322" w:type="dxa"/>
            <w:gridSpan w:val="3"/>
            <w:shd w:val="clear" w:color="auto" w:fill="CCFFCC"/>
          </w:tcPr>
          <w:p w:rsidR="003938C6" w:rsidRPr="00653EEB" w:rsidRDefault="003938C6" w:rsidP="00653EEB">
            <w:pPr>
              <w:spacing w:before="20" w:after="20" w:line="240" w:lineRule="auto"/>
              <w:jc w:val="center"/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</w:pP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Praćenje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 xml:space="preserve">,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vrednovanje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i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primjenljivost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programa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 xml:space="preserve"> u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nastavi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/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praksi</w:t>
            </w:r>
            <w:proofErr w:type="spellEnd"/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Instrumenti praćenja i vrednovanja realizacije programa  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 xml:space="preserve">: navesti planirane instrumente praćenja i vrednovanja realizacije programa (evaluacioni listovi, upitnici i sl.)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Način i dinamika provjere ishoda obuke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navesti načine provjere ishoda (npr. davanje „domaćih zadataka“, projektnog rada i slično, kao i pružanje povratnih</w:t>
            </w:r>
            <w:r w:rsidRPr="00653EEB">
              <w:rPr>
                <w:rFonts w:ascii="Trebuchet MS" w:eastAsia="Times New Roman" w:hAnsi="Trebuchet MS" w:cs="Verdana"/>
                <w:sz w:val="16"/>
                <w:szCs w:val="16"/>
                <w:lang w:val="sr-Latn-CS" w:eastAsia="de-CH"/>
              </w:rPr>
              <w:t xml:space="preserve"> </w:t>
            </w:r>
            <w:r w:rsidRPr="00653EEB">
              <w:rPr>
                <w:rFonts w:ascii="Trebuchet MS" w:eastAsia="Times New Roman" w:hAnsi="Trebuchet MS" w:cs="Verdana"/>
                <w:sz w:val="16"/>
                <w:szCs w:val="16"/>
                <w:lang w:val="en-GB" w:eastAsia="de-CH"/>
              </w:rPr>
              <w:t>in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formacija učesnicima o uspješnosti)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sr-Latn-CS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Iskustva u realizaciji programa 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 xml:space="preserve">: navesti period, mjesto i druge relevantne podatke vezane za prethodnu realizaciju programa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</w:tbl>
    <w:p w:rsidR="003938C6" w:rsidRPr="003938C6" w:rsidRDefault="003938C6" w:rsidP="003938C6">
      <w:pPr>
        <w:shd w:val="clear" w:color="auto" w:fill="FFFFFF"/>
        <w:spacing w:before="240" w:after="120" w:line="240" w:lineRule="auto"/>
        <w:rPr>
          <w:rFonts w:ascii="Trebuchet MS" w:eastAsia="Times New Roman" w:hAnsi="Trebuchet MS" w:cs="Arial"/>
          <w:b/>
          <w:bCs/>
          <w:iCs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b/>
          <w:bCs/>
          <w:iCs/>
          <w:sz w:val="20"/>
          <w:szCs w:val="20"/>
          <w:lang w:val="sr-Latn-CS" w:eastAsia="de-CH"/>
        </w:rPr>
        <w:t>Uz formular obavezno priložiti:</w:t>
      </w:r>
    </w:p>
    <w:p w:rsidR="003938C6" w:rsidRPr="003938C6" w:rsidRDefault="003938C6" w:rsidP="003938C6">
      <w:pPr>
        <w:numPr>
          <w:ilvl w:val="0"/>
          <w:numId w:val="6"/>
        </w:numPr>
        <w:spacing w:after="80" w:line="240" w:lineRule="atLeast"/>
        <w:rPr>
          <w:rFonts w:ascii="Trebuchet MS" w:eastAsia="Times New Roman" w:hAnsi="Trebuchet MS" w:cs="Arial"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>Kratku radnu biografiju autora i realizatora (uključujući reference autora u vezi sa temom programa i radno iskustvo);</w:t>
      </w:r>
    </w:p>
    <w:p w:rsidR="003938C6" w:rsidRPr="003938C6" w:rsidRDefault="003938C6" w:rsidP="003938C6">
      <w:pPr>
        <w:numPr>
          <w:ilvl w:val="0"/>
          <w:numId w:val="6"/>
        </w:numPr>
        <w:spacing w:after="80" w:line="240" w:lineRule="atLeast"/>
        <w:rPr>
          <w:rFonts w:ascii="Trebuchet MS" w:eastAsia="Times New Roman" w:hAnsi="Trebuchet MS" w:cs="Arial"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>Original preporuku institucije, ustanove, odnosno organizacije koja podržava program i njene reference u odnosu na temu programa;</w:t>
      </w:r>
    </w:p>
    <w:p w:rsidR="003938C6" w:rsidRPr="003938C6" w:rsidRDefault="003938C6" w:rsidP="003938C6">
      <w:pPr>
        <w:numPr>
          <w:ilvl w:val="0"/>
          <w:numId w:val="6"/>
        </w:numPr>
        <w:spacing w:after="80" w:line="240" w:lineRule="atLeast"/>
        <w:rPr>
          <w:rFonts w:ascii="Trebuchet MS" w:eastAsia="Times New Roman" w:hAnsi="Trebuchet MS" w:cs="Arial"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>Rezime programa za Katalog programa stručnog usavršavanja nastavnika;</w:t>
      </w:r>
    </w:p>
    <w:p w:rsidR="003938C6" w:rsidRPr="003938C6" w:rsidRDefault="003938C6" w:rsidP="003938C6">
      <w:pPr>
        <w:numPr>
          <w:ilvl w:val="0"/>
          <w:numId w:val="6"/>
        </w:numPr>
        <w:spacing w:after="80" w:line="240" w:lineRule="atLeast"/>
        <w:rPr>
          <w:rFonts w:ascii="Trebuchet MS" w:eastAsia="Times New Roman" w:hAnsi="Trebuchet MS" w:cs="Arial"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>CD sa popunjenim formularom za prijavljivanje i rezimeom.</w:t>
      </w:r>
    </w:p>
    <w:p w:rsidR="003938C6" w:rsidRPr="003938C6" w:rsidRDefault="003938C6" w:rsidP="003938C6">
      <w:pPr>
        <w:spacing w:after="80" w:line="240" w:lineRule="atLeast"/>
        <w:rPr>
          <w:rFonts w:ascii="Trebuchet MS" w:eastAsia="Times New Roman" w:hAnsi="Trebuchet MS" w:cs="Arial"/>
          <w:b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b/>
          <w:sz w:val="20"/>
          <w:szCs w:val="20"/>
          <w:lang w:val="sr-Latn-CS" w:eastAsia="de-CH"/>
        </w:rPr>
        <w:t>Napomene:</w:t>
      </w:r>
    </w:p>
    <w:p w:rsidR="003938C6" w:rsidRPr="003938C6" w:rsidRDefault="003938C6" w:rsidP="003938C6">
      <w:pPr>
        <w:numPr>
          <w:ilvl w:val="0"/>
          <w:numId w:val="6"/>
        </w:numPr>
        <w:spacing w:after="80" w:line="240" w:lineRule="atLeast"/>
        <w:rPr>
          <w:rFonts w:ascii="Trebuchet MS" w:eastAsia="Times New Roman" w:hAnsi="Trebuchet MS" w:cs="Arial"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 xml:space="preserve">Podaci u formularima treba da budu ukucani fontom Trebuchet MS </w:t>
      </w:r>
    </w:p>
    <w:p w:rsidR="00E673CF" w:rsidRDefault="003938C6" w:rsidP="003938C6">
      <w:pPr>
        <w:numPr>
          <w:ilvl w:val="0"/>
          <w:numId w:val="6"/>
        </w:numPr>
        <w:spacing w:after="80" w:line="240" w:lineRule="atLeast"/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>Formulari se mogu preuzeti sa sajta C</w:t>
      </w:r>
      <w:bookmarkStart w:id="0" w:name="_GoBack"/>
      <w:bookmarkEnd w:id="0"/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 xml:space="preserve">entra za stručno obrazovanje  </w:t>
      </w:r>
    </w:p>
    <w:sectPr w:rsidR="00E67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19" w:rsidRDefault="00777D19" w:rsidP="003938C6">
      <w:pPr>
        <w:spacing w:after="0" w:line="240" w:lineRule="auto"/>
      </w:pPr>
      <w:r>
        <w:separator/>
      </w:r>
    </w:p>
  </w:endnote>
  <w:endnote w:type="continuationSeparator" w:id="0">
    <w:p w:rsidR="00777D19" w:rsidRDefault="00777D19" w:rsidP="0039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19" w:rsidRDefault="00777D19" w:rsidP="003938C6">
      <w:pPr>
        <w:spacing w:after="0" w:line="240" w:lineRule="auto"/>
      </w:pPr>
      <w:r>
        <w:separator/>
      </w:r>
    </w:p>
  </w:footnote>
  <w:footnote w:type="continuationSeparator" w:id="0">
    <w:p w:rsidR="00777D19" w:rsidRDefault="00777D19" w:rsidP="003938C6">
      <w:pPr>
        <w:spacing w:after="0" w:line="240" w:lineRule="auto"/>
      </w:pPr>
      <w:r>
        <w:continuationSeparator/>
      </w:r>
    </w:p>
  </w:footnote>
  <w:footnote w:id="1">
    <w:p w:rsidR="003938C6" w:rsidRPr="00B169EC" w:rsidRDefault="003938C6" w:rsidP="003938C6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931B93">
        <w:rPr>
          <w:sz w:val="16"/>
          <w:szCs w:val="16"/>
          <w:lang w:val="sr-Latn-ME"/>
        </w:rPr>
        <w:t xml:space="preserve">Ključne kompetencije su definisane od strane Evropskog parlamenta i Savjeta Evrope. Objavljene su u dokumentu „Official Journal of the European Union“ </w:t>
      </w:r>
      <w:r>
        <w:rPr>
          <w:sz w:val="16"/>
          <w:szCs w:val="16"/>
          <w:lang w:val="sr-Latn-ME"/>
        </w:rPr>
        <w:t>4</w:t>
      </w:r>
      <w:r w:rsidRPr="00F74C28">
        <w:rPr>
          <w:sz w:val="16"/>
          <w:szCs w:val="16"/>
          <w:lang w:val="sr-Latn-ME"/>
        </w:rPr>
        <w:t xml:space="preserve"> </w:t>
      </w:r>
      <w:r w:rsidRPr="00222621">
        <w:rPr>
          <w:sz w:val="16"/>
          <w:szCs w:val="16"/>
          <w:lang w:val="sr-Latn-ME"/>
        </w:rPr>
        <w:t>od 22. maja 2018. ("Službeni list Evropske unije" br. 2018/C 189/01</w:t>
      </w:r>
      <w:r>
        <w:rPr>
          <w:sz w:val="16"/>
          <w:szCs w:val="16"/>
          <w:lang w:val="sr-Latn-ME"/>
        </w:rPr>
        <w:t>)</w:t>
      </w:r>
    </w:p>
  </w:footnote>
  <w:footnote w:id="2">
    <w:p w:rsidR="003938C6" w:rsidRPr="00B169EC" w:rsidRDefault="003938C6" w:rsidP="003938C6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A40625">
        <w:rPr>
          <w:lang w:val="sr-Latn-ME"/>
        </w:rPr>
        <w:t xml:space="preserve"> </w:t>
      </w:r>
      <w:r w:rsidRPr="00F10204">
        <w:rPr>
          <w:sz w:val="16"/>
          <w:szCs w:val="16"/>
          <w:lang w:val="sr-Latn-ME"/>
        </w:rPr>
        <w:t>Globalno obrazova</w:t>
      </w:r>
      <w:r>
        <w:rPr>
          <w:sz w:val="16"/>
          <w:szCs w:val="16"/>
          <w:lang w:val="sr-Latn-ME"/>
        </w:rPr>
        <w:t xml:space="preserve">nje je definisano </w:t>
      </w:r>
      <w:r w:rsidRPr="00F10204">
        <w:rPr>
          <w:sz w:val="16"/>
          <w:szCs w:val="16"/>
          <w:lang w:val="sr-Latn-ME"/>
        </w:rPr>
        <w:t xml:space="preserve">strateškim okvirom za unapređenje i jačanje globalnog obrazovaja u Evropi - Deklaracija o globalnom obrazovanju iz Mastrihta </w:t>
      </w:r>
      <w:r>
        <w:rPr>
          <w:sz w:val="16"/>
          <w:szCs w:val="16"/>
          <w:lang w:val="sr-Latn-ME"/>
        </w:rPr>
        <w:t>i Povelja o globalnom obrazovanju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4A75"/>
    <w:multiLevelType w:val="hybridMultilevel"/>
    <w:tmpl w:val="5ADE8D6A"/>
    <w:lvl w:ilvl="0" w:tplc="53A44B2A"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 w:hint="default"/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6133"/>
    <w:multiLevelType w:val="hybridMultilevel"/>
    <w:tmpl w:val="4E30E070"/>
    <w:lvl w:ilvl="0" w:tplc="A28E9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7C60"/>
    <w:multiLevelType w:val="hybridMultilevel"/>
    <w:tmpl w:val="4E30E070"/>
    <w:lvl w:ilvl="0" w:tplc="A28E9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3FCE"/>
    <w:multiLevelType w:val="hybridMultilevel"/>
    <w:tmpl w:val="4E30E070"/>
    <w:lvl w:ilvl="0" w:tplc="A28E9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C0103"/>
    <w:multiLevelType w:val="hybridMultilevel"/>
    <w:tmpl w:val="A91AFEC2"/>
    <w:lvl w:ilvl="0" w:tplc="0818BAA6">
      <w:start w:val="1"/>
      <w:numFmt w:val="bullet"/>
      <w:lvlText w:val="o"/>
      <w:lvlJc w:val="left"/>
      <w:pPr>
        <w:ind w:left="785" w:hanging="360"/>
      </w:pPr>
      <w:rPr>
        <w:rFonts w:ascii="Verdana" w:hAnsi="Verdana" w:cs="Courier New" w:hint="default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7FAF42C6"/>
    <w:multiLevelType w:val="hybridMultilevel"/>
    <w:tmpl w:val="B8AEA284"/>
    <w:lvl w:ilvl="0" w:tplc="53A44B2A"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C6"/>
    <w:rsid w:val="000B4285"/>
    <w:rsid w:val="001A0D9D"/>
    <w:rsid w:val="002240F0"/>
    <w:rsid w:val="00245656"/>
    <w:rsid w:val="00280223"/>
    <w:rsid w:val="002E5FE9"/>
    <w:rsid w:val="003074DA"/>
    <w:rsid w:val="003243E3"/>
    <w:rsid w:val="003938C6"/>
    <w:rsid w:val="005237FC"/>
    <w:rsid w:val="00653EEB"/>
    <w:rsid w:val="0066109C"/>
    <w:rsid w:val="00777D19"/>
    <w:rsid w:val="008078FB"/>
    <w:rsid w:val="00886AEF"/>
    <w:rsid w:val="00AA288C"/>
    <w:rsid w:val="00AF6E54"/>
    <w:rsid w:val="00B36BBB"/>
    <w:rsid w:val="00BA47F9"/>
    <w:rsid w:val="00D12070"/>
    <w:rsid w:val="00D22380"/>
    <w:rsid w:val="00D36166"/>
    <w:rsid w:val="00DC258A"/>
    <w:rsid w:val="00E673CF"/>
    <w:rsid w:val="00EC0721"/>
    <w:rsid w:val="00F1525E"/>
    <w:rsid w:val="00F737C0"/>
    <w:rsid w:val="00FA1FCF"/>
    <w:rsid w:val="00F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BB08C"/>
  <w15:chartTrackingRefBased/>
  <w15:docId w15:val="{B344E251-A441-4CAB-9717-EB75FAC0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938C6"/>
    <w:pPr>
      <w:spacing w:after="80" w:line="240" w:lineRule="atLeast"/>
    </w:pPr>
    <w:rPr>
      <w:rFonts w:ascii="Verdana" w:eastAsia="Times New Roman" w:hAnsi="Verdana" w:cs="Verdana"/>
      <w:sz w:val="20"/>
      <w:szCs w:val="20"/>
      <w:lang w:val="en-GB" w:eastAsia="de-CH"/>
    </w:rPr>
  </w:style>
  <w:style w:type="character" w:customStyle="1" w:styleId="FootnoteTextChar">
    <w:name w:val="Footnote Text Char"/>
    <w:basedOn w:val="DefaultParagraphFont"/>
    <w:link w:val="FootnoteText"/>
    <w:rsid w:val="003938C6"/>
    <w:rPr>
      <w:rFonts w:ascii="Verdana" w:eastAsia="Times New Roman" w:hAnsi="Verdana" w:cs="Verdana"/>
      <w:sz w:val="20"/>
      <w:szCs w:val="20"/>
      <w:lang w:val="en-GB" w:eastAsia="de-CH"/>
    </w:rPr>
  </w:style>
  <w:style w:type="character" w:styleId="FootnoteReference">
    <w:name w:val="footnote reference"/>
    <w:rsid w:val="00393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Slavica Jovanović</cp:lastModifiedBy>
  <cp:revision>3</cp:revision>
  <dcterms:created xsi:type="dcterms:W3CDTF">2024-12-13T12:26:00Z</dcterms:created>
  <dcterms:modified xsi:type="dcterms:W3CDTF">2025-04-23T10:27:00Z</dcterms:modified>
</cp:coreProperties>
</file>