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EABB" w14:textId="77777777" w:rsidR="009A242C" w:rsidRPr="007D61F6" w:rsidRDefault="009A242C" w:rsidP="009A242C">
      <w:pPr>
        <w:autoSpaceDE w:val="0"/>
        <w:autoSpaceDN w:val="0"/>
        <w:adjustRightInd w:val="0"/>
        <w:ind w:left="142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LightGrid-Accent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78"/>
        <w:gridCol w:w="5651"/>
      </w:tblGrid>
      <w:tr w:rsidR="009A242C" w14:paraId="30E33BC8" w14:textId="77777777" w:rsidTr="005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2A84F4A8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IZVJEŠTAJ O SPROVEDENOJ ANALIZI PROCJENE UTICAJA PROPISA</w:t>
            </w:r>
          </w:p>
          <w:p w14:paraId="49AA9A03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8"/>
                <w:szCs w:val="20"/>
                <w:lang w:val="sr-Latn-RS"/>
              </w:rPr>
            </w:pPr>
          </w:p>
        </w:tc>
      </w:tr>
      <w:tr w:rsidR="009A242C" w14:paraId="4F6C3DBB" w14:textId="77777777" w:rsidTr="005D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hideMark/>
          </w:tcPr>
          <w:p w14:paraId="18794791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51" w:type="dxa"/>
            <w:hideMark/>
          </w:tcPr>
          <w:p w14:paraId="7FBB4C54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Ministarstvo pravde</w:t>
            </w:r>
          </w:p>
        </w:tc>
      </w:tr>
      <w:tr w:rsidR="009A242C" w14:paraId="19F0DAC9" w14:textId="77777777" w:rsidTr="005D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hideMark/>
          </w:tcPr>
          <w:p w14:paraId="06891BA9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51" w:type="dxa"/>
            <w:hideMark/>
          </w:tcPr>
          <w:p w14:paraId="54F6C503" w14:textId="5DFAE07A" w:rsidR="009A242C" w:rsidRDefault="009A242C" w:rsidP="005D10D2">
            <w:pPr>
              <w:ind w:lef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Predlog zakona </w:t>
            </w:r>
            <w:r w:rsidRPr="006D60E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o izmjenama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i dopunama Zakona </w:t>
            </w:r>
            <w:r w:rsidR="003964A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 parničnom postupku</w:t>
            </w:r>
          </w:p>
        </w:tc>
      </w:tr>
      <w:tr w:rsidR="009A242C" w14:paraId="139C7529" w14:textId="77777777" w:rsidTr="005D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48060A90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1. Definisanje problema</w:t>
            </w:r>
          </w:p>
          <w:p w14:paraId="2AD02356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probleme treba da riješi predloženi akt?</w:t>
            </w:r>
          </w:p>
          <w:p w14:paraId="0DE858BC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uzroci problema?</w:t>
            </w:r>
          </w:p>
          <w:p w14:paraId="25A0EA82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posljedice problema?</w:t>
            </w:r>
          </w:p>
          <w:p w14:paraId="29513846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14:paraId="2BE88E01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9A242C" w:rsidRPr="001F4C78" w14:paraId="2AA43E70" w14:textId="77777777" w:rsidTr="00B74A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38D1FAC6" w14:textId="3E46B80C" w:rsidR="009A242C" w:rsidRDefault="00084600" w:rsidP="005D10D2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Izmjene  i dopune  Zakona o parničnom postupku neophodno je bilo izvršiti radi njegovog usklađivanja sa Regulativom Evropskog parlamenta i Vijeća (EU) br.1783/2020 od 25.09.2020. godine o saradn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j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i između sudova država članica u izvođenju dokaza u građanskim i privrednim stvarima i Regulativom Evropskog parlamenta i Vijeća (EU) br.1784/2020 od 25.09.2020. godine, o dostavi u državama članicama sudskih i vansudskih pismena u građanskim i privrednim stvarima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i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usaglaš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avanja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za Zakonom o životnom partnerstvu lica istog pola.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T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okom rada na zakonu ocijenjeno je da je potrebno izmijeniti i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dopuniti pojedina zakonska rješenja radi </w:t>
            </w:r>
            <w:r w:rsidR="002731F6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njihove 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bolje primjene u praksi.</w:t>
            </w:r>
          </w:p>
          <w:p w14:paraId="67B103BC" w14:textId="102338A1" w:rsidR="0082724A" w:rsidRDefault="0082724A" w:rsidP="005D10D2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Us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k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lađivanje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Zakona o parničnom postupku sa Regulativama EU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 izvršeno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je 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radi stvaranja uslova za njegovu nesmetanu primjenu nakon pristupanja Crne Gore  Evropsk</w:t>
            </w:r>
            <w:r w:rsidR="0076433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oj 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unij</w:t>
            </w:r>
            <w:r w:rsidR="0076433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i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, dok je usaglašavanje sa Zakonom o životnom partnerstvu lica istog pola izvršeno  u smislu prepoznavanja partnera u zajednici života lica istog pola u Zakonu o parničnom postupku na  isti način kao bračnih supružnika, u pogledu nadležnosti suda u pat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n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erskim sporovima, imovinsko-pravnim odnosima,  razloga za izuzeće sudije i položaja partnera kao svjedoka</w:t>
            </w:r>
            <w:r w:rsidR="0076433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u postupku</w:t>
            </w:r>
            <w:r w:rsidR="00AD6C5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</w:p>
          <w:p w14:paraId="5A7204EA" w14:textId="54321D00" w:rsidR="001E0413" w:rsidRDefault="000B32DA" w:rsidP="005D10D2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Ovim izmjenama i dopunama riješen je donekle problem ličnog dostavljanja preciziranjem norme da pored 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toga što 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adresa treba da bude tačna, mora biti i dovoljno određena.</w:t>
            </w:r>
            <w:r w:rsidR="00856A5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Proširena je mogućnost sud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a da stranku</w:t>
            </w:r>
            <w:r w:rsidR="00391DA5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koja 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prema opštem  imovno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m 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stanj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u nije u mogućnosti da plati troškove, oslobodi i troškova postavljenja privremenog zastupnika.</w:t>
            </w:r>
            <w:r w:rsidR="00856A5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8F79B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Predviđeno je s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manjen</w:t>
            </w:r>
            <w:r w:rsidR="008F79B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je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 troškov</w:t>
            </w:r>
            <w:r w:rsidR="008F79B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a postupka 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koj</w:t>
            </w:r>
            <w:r w:rsidR="00391DA5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i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pripadaju </w:t>
            </w:r>
            <w:r w:rsidR="008F79B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Za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š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titnik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u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8F79B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imovinsko-pravnih interesa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za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391DA5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zastupanje stranke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, </w:t>
            </w:r>
            <w:r w:rsidR="00391DA5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za jednu polovinu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8F79B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koji su predstavljali 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nesrazmjeran </w:t>
            </w:r>
            <w:r w:rsidR="008F79B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teret građanima, i koji su im donekle ograničavali pristup sudu. I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zvršeno je preciziranje normi koje se odnose </w:t>
            </w:r>
            <w:r w:rsidR="008F79B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na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povlačenje tužbe i kad se tužba</w:t>
            </w:r>
            <w:r w:rsidR="008F79B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smatra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povučenom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 Propis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ana je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mogućnost 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za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otvaranj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e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zaključene </w:t>
            </w:r>
            <w:r w:rsidR="0033655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glavne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rasprave radi </w:t>
            </w:r>
            <w:r w:rsidR="0076704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dopune postupka i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razjašnjenja važnih pitanja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, </w:t>
            </w:r>
            <w:r w:rsidR="0076704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u cilju zakonitog i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pravedn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ije</w:t>
            </w:r>
            <w:r w:rsidR="0076704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g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C866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odlučivanj</w:t>
            </w:r>
            <w:r w:rsidR="0076704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a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  <w:r w:rsidR="006B247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I</w:t>
            </w:r>
            <w:r w:rsidR="006B247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zuz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uzimanjem od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obaveznog 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upućivanja na medijaciju </w:t>
            </w:r>
            <w:r w:rsidR="006B247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predmet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a, </w:t>
            </w:r>
            <w:r w:rsidR="006B247D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koji se odnose na svojinsko pravne sporove 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rastere</w:t>
            </w:r>
            <w:r w:rsidR="0076704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ćuje</w:t>
            </w:r>
            <w:r w:rsidR="009411A9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se Centar za ARS od ove vrste predmeta koji se nijesu pokazali kao medijabilni. </w:t>
            </w:r>
            <w:r w:rsidR="0021334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Pr</w:t>
            </w:r>
            <w:r w:rsidR="003C6D2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edviđeno je </w:t>
            </w:r>
            <w:r w:rsidR="0021334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3C6D2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i nagrada za rad medijatora i </w:t>
            </w:r>
            <w:r w:rsidR="0021334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da </w:t>
            </w:r>
            <w:r w:rsidR="003C6D2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tim </w:t>
            </w:r>
            <w:r w:rsidR="0021334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troškovima odluč</w:t>
            </w:r>
            <w:r w:rsidR="0076704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uje </w:t>
            </w:r>
            <w:r w:rsidR="0021334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sud </w:t>
            </w:r>
            <w:r w:rsidR="0057768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u roku 15 dana od dana dostavljanja spisa predmeta</w:t>
            </w:r>
            <w:r w:rsidR="0076704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od strane Centra</w:t>
            </w:r>
            <w:r w:rsidR="0057768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, što nije bio slučaj do sada</w:t>
            </w:r>
            <w:r w:rsidR="003B412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,</w:t>
            </w:r>
            <w:r w:rsidR="00C430C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3C6D2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jer norma nije bila jasna pa su uglavnom medijatori ostajali bez troškova za rad.</w:t>
            </w:r>
            <w:r w:rsidR="001E041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BD4885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</w:t>
            </w:r>
            <w:r w:rsidR="001E041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ropisana je mogućnost izjavljivanja revizije </w:t>
            </w:r>
            <w:r w:rsidR="004E6D4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u sporovima u kojima je određen zastoj postupka,u slučajevima kada je dostavljeno </w:t>
            </w:r>
            <w:r w:rsidR="00BD4885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više tužbenih zahtjeva </w:t>
            </w:r>
            <w:r w:rsidR="004E6D4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sudu </w:t>
            </w:r>
            <w:r w:rsidR="00BD4885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koji se zasnivaju na istom ili sličnom činjeničnom stanju i pravnom osnovu, </w:t>
            </w:r>
            <w:r w:rsidR="004E6D4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a</w:t>
            </w:r>
            <w:r w:rsidR="00C430C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sud</w:t>
            </w:r>
            <w:r w:rsidR="004E6D4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odlučuje se samo o jednom</w:t>
            </w:r>
            <w:r w:rsidR="00C430C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zahtjevu</w:t>
            </w:r>
            <w:r w:rsidR="004E6D4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  <w:r w:rsidR="001E041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697718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U cilju efikasnosti postupka u parnicama zbog smetanja posjeda </w:t>
            </w:r>
            <w:r w:rsidR="001E041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propisano je da se odredbe koje se odnose na postupak po žalbi na presudu primjenjuju i na postupak po žalbi na odluke</w:t>
            </w:r>
            <w:r w:rsidR="00697718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donijete</w:t>
            </w:r>
            <w:r w:rsidR="001E041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u parnici zbog smetanja posjeda.</w:t>
            </w:r>
          </w:p>
          <w:p w14:paraId="21946BC6" w14:textId="41A3A6E7" w:rsidR="00E35FF9" w:rsidRPr="00E35FF9" w:rsidRDefault="00E35FF9" w:rsidP="005D10D2">
            <w:pPr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>,,</w:t>
            </w:r>
            <w:r w:rsidR="004E6D4F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>S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>tatus q</w:t>
            </w:r>
            <w:r w:rsidR="00604AAC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>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 xml:space="preserve">o‘’opcija  bez izmjena i dopuna zakona imala bi za posledicu </w:t>
            </w:r>
            <w:r w:rsidR="00EF320C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 xml:space="preserve">nemogućnost utvrđenja da li je ličnu dostavu moguće izvršiti, </w:t>
            </w:r>
            <w:r w:rsidR="00D71593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>stran</w:t>
            </w:r>
            <w:r w:rsidR="001D0D27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>ka</w:t>
            </w:r>
            <w:r w:rsidR="00D71593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 xml:space="preserve"> koja plaća troškove </w:t>
            </w:r>
            <w:r w:rsidR="001D0D27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>Z</w:t>
            </w:r>
            <w:r w:rsidR="00D71593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 xml:space="preserve">aštitniku imovinsko </w:t>
            </w:r>
            <w:r w:rsidR="001D0D27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 xml:space="preserve">- </w:t>
            </w:r>
            <w:r w:rsidR="00D71593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>pravnih interesa po advokatskoj tarifi,</w:t>
            </w:r>
            <w:r w:rsidR="00EF320C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 xml:space="preserve"> ostale bi i dalje u nepovoljnom položaju, kako u pogledu nesrazmjernog iznosa za plaćanje tako i  ograničenje pristupa sudu.Takođe bi i dalje o</w:t>
            </w:r>
            <w:r w:rsidR="00D71593"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 xml:space="preserve">stale  dileme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pl-PL"/>
              </w:rPr>
              <w:t xml:space="preserve"> </w:t>
            </w:r>
            <w:r w:rsidR="00D71593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kada se tužba može povući i kada se smatra povučenom što stvara prostor za različito postupanje suda</w:t>
            </w:r>
            <w:r w:rsidR="00EF320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  <w:r w:rsidR="00A9457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EF320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Bez </w:t>
            </w:r>
            <w:r w:rsidR="00552558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mogućno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sti</w:t>
            </w:r>
            <w:r w:rsidR="00552558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ponovnog otvaranja glavne rasprave radi dopune postupka i razmatranja važnih pitanja 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ostao bi </w:t>
            </w:r>
            <w:r w:rsidR="00A9457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suž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en</w:t>
            </w:r>
            <w:r w:rsidR="00A9457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 prostor za brže i pravilnije odlučivanje.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Ukoliko se</w:t>
            </w:r>
            <w:r w:rsidR="00D960D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 propis ne bi izmijenio 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o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baveznim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D960D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izuzimanj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em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predmeta koji se odnose na svojinsko pravne sporove</w:t>
            </w:r>
            <w:r w:rsidR="00D960D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od slanja na medijaciju ostala bi 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i dalje </w:t>
            </w:r>
            <w:r w:rsidR="00D960D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opterećenost Centra za ARS ovom vrstom predmeta koji 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se </w:t>
            </w:r>
            <w:r w:rsidR="00D960D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nijesu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pokazali uspješnim za medijaciju. </w:t>
            </w:r>
            <w:r w:rsidR="00D960D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Nadalje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,</w:t>
            </w:r>
            <w:r w:rsidR="00D960D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bez preciz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iranja  norme  o isplati </w:t>
            </w:r>
            <w:r w:rsidR="00D960D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nagrada za rad medijator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a </w:t>
            </w:r>
            <w:r w:rsidR="00D960D0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i dalje bi 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medijator, kao i do sada</w:t>
            </w:r>
            <w:r w:rsidR="0037422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,</w:t>
            </w:r>
            <w:r w:rsidR="00B57C9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van odluka suda</w:t>
            </w:r>
            <w:r w:rsidR="0037422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  <w:r w:rsidR="0029496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Bez propisivanja revizije kod sporova gdje je određen zastoj postupka zbog odlučivanja o jednom tužbenom zahtjevu od više tužbenih zahtjeva zasnovanih na istom ili sličnom činjeničnom stanju i pravnom osnovu, stvorila bi se pravna nesigurnost  zbog donijetih različitih odluka.</w:t>
            </w:r>
            <w:r w:rsidR="0037422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Takođe, b</w:t>
            </w:r>
            <w:r w:rsidR="0029496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ez unapređenja postupka po žalbi protiv prvostepenih odluka donijetih u </w:t>
            </w:r>
            <w:r w:rsidR="00431557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parnici zbog smetanja posjeda, istovjetnom postupku po žalbi protiv presude, </w:t>
            </w:r>
            <w:r w:rsidR="0037422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ova vrsta postupka  bi i dalje nepotrebno du</w:t>
            </w:r>
            <w:r w:rsidR="00604AAC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go </w:t>
            </w:r>
            <w:r w:rsidR="0037422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trajala.</w:t>
            </w:r>
          </w:p>
          <w:p w14:paraId="70AA36D3" w14:textId="6956962F" w:rsidR="004902A2" w:rsidRDefault="001E0413" w:rsidP="005D10D2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Sve izmjene i dopune su usmjerene na efikasnost postupka i otklanjanje nedomica u praktičnoj primjeni.</w:t>
            </w:r>
          </w:p>
          <w:p w14:paraId="46B29A52" w14:textId="2A1365CD" w:rsidR="007F079B" w:rsidRDefault="007F079B" w:rsidP="005D10D2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lastRenderedPageBreak/>
              <w:t>,,Status q</w:t>
            </w:r>
            <w:r w:rsidR="00F168D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u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o ‘’opcija nije primljenjiva i sa stanovišta obaveznosti regulativa Evropske unije, koje predstavljaju zakonodavne akte koji se moraju u cjelosti primjenjivati na sve članice E</w:t>
            </w:r>
            <w:r w:rsidR="000D3B96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U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, iz kojih razloga je neophodno svoriti uslove za njihovu nesmetanu primjenu u Crnoj Gori  nakon njenog pristupanja Evropskoj uniji.</w:t>
            </w:r>
          </w:p>
          <w:p w14:paraId="174ADDE3" w14:textId="4CD70CC9" w:rsidR="004902A2" w:rsidRDefault="004902A2" w:rsidP="005D10D2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</w:p>
          <w:p w14:paraId="237A6C94" w14:textId="23F1AD70" w:rsidR="0082724A" w:rsidRPr="009A242C" w:rsidRDefault="007F079B" w:rsidP="005D10D2">
            <w:pPr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Takođe, ,,Status q</w:t>
            </w:r>
            <w:r w:rsidR="00F168DF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u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o‘’ opcija nije primljenjiva u pogledu n</w:t>
            </w:r>
            <w:r w:rsidR="004902A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eusaglašavanje ovog zakona sa Zakonom o životnom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  <w:r w:rsidR="004902A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partnerstvu lica istog pola</w:t>
            </w: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, jer bi se tako </w:t>
            </w:r>
            <w:r w:rsidR="004902A2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onemogućila njegova primjena</w:t>
            </w:r>
            <w:r w:rsidR="0026684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  <w:r w:rsidR="0082724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 </w:t>
            </w:r>
          </w:p>
        </w:tc>
      </w:tr>
      <w:tr w:rsidR="009A242C" w14:paraId="0728D0C9" w14:textId="77777777" w:rsidTr="005D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79FC0BE7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lastRenderedPageBreak/>
              <w:t>2. Ciljevi</w:t>
            </w:r>
          </w:p>
          <w:p w14:paraId="5561861E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ciljevi se postižu predloženim propisom?</w:t>
            </w:r>
          </w:p>
          <w:p w14:paraId="196307A4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9A242C" w14:paraId="6F8CF26D" w14:textId="77777777" w:rsidTr="00F16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6D1DB063" w14:textId="1339DDEB" w:rsidR="00D2505A" w:rsidRDefault="00412DA2" w:rsidP="00F168DF">
            <w:pPr>
              <w:pStyle w:val="NoSpacing"/>
              <w:jc w:val="both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Prvenstveni</w:t>
            </w:r>
            <w:proofErr w:type="spellEnd"/>
            <w:r w:rsidR="00B65BC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65BC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c</w:t>
            </w:r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ilj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izmjena</w:t>
            </w:r>
            <w:proofErr w:type="spellEnd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i</w:t>
            </w:r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dopuna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ovog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zakona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je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njegovo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usklađivanje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sa </w:t>
            </w:r>
            <w:proofErr w:type="spell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naveden</w:t>
            </w:r>
            <w:r w:rsidR="003E595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i</w:t>
            </w:r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m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Regulativ</w:t>
            </w:r>
            <w:r w:rsidR="003E595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ama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radi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stvaranja</w:t>
            </w:r>
            <w:proofErr w:type="spellEnd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uslova</w:t>
            </w:r>
            <w:proofErr w:type="spellEnd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za </w:t>
            </w:r>
            <w:proofErr w:type="spellStart"/>
            <w:proofErr w:type="gram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nje</w:t>
            </w:r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govu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nesmetanu</w:t>
            </w:r>
            <w:proofErr w:type="spellEnd"/>
            <w:proofErr w:type="gram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primjenu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nakon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pristupanja</w:t>
            </w:r>
            <w:proofErr w:type="spellEnd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Crne Gore</w:t>
            </w:r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Evropskoj</w:t>
            </w:r>
            <w:proofErr w:type="spellEnd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 w:rsidRPr="0074541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uniji</w:t>
            </w:r>
            <w:proofErr w:type="spellEnd"/>
            <w:r w:rsidR="00B65BC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.</w:t>
            </w:r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Takođe</w:t>
            </w:r>
            <w:proofErr w:type="spellEnd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predloženim</w:t>
            </w:r>
            <w:proofErr w:type="spellEnd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propisom</w:t>
            </w:r>
            <w:proofErr w:type="spellEnd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namjerava</w:t>
            </w:r>
            <w:proofErr w:type="spellEnd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se </w:t>
            </w:r>
            <w:proofErr w:type="spellStart"/>
            <w:proofErr w:type="gramStart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postići</w:t>
            </w:r>
            <w:proofErr w:type="spellEnd"/>
            <w:r w:rsidR="009A242C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prepoznavanje</w:t>
            </w:r>
            <w:proofErr w:type="spellEnd"/>
            <w:proofErr w:type="gram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partnera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u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zajednici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zivota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lica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istog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pola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 na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isti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način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kao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bračnih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supružnika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.</w:t>
            </w:r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U</w:t>
            </w:r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napređenjem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postojećih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zakonskih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rješenja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postiže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se</w:t>
            </w:r>
            <w:proofErr w:type="spellEnd"/>
            <w:proofErr w:type="gram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efikasnost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u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postupanju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0B51A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pravednijem</w:t>
            </w:r>
            <w:proofErr w:type="spellEnd"/>
            <w:r w:rsidR="000B51A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B51A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odlučivanju</w:t>
            </w:r>
            <w:proofErr w:type="spellEnd"/>
            <w:r w:rsidR="000B51A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i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smanjenju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mogućih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zloupotreba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od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strane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stranaka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usmjeren</w:t>
            </w:r>
            <w:r w:rsidR="000B51A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ih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na 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odugovlačenje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postupka</w:t>
            </w:r>
            <w:proofErr w:type="spellEnd"/>
            <w:r w:rsidR="000B51A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Prezi</w:t>
            </w:r>
            <w:r w:rsidR="000B51A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ziranjem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normi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stvaraju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se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uslovi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za </w:t>
            </w:r>
            <w:proofErr w:type="spellStart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njihov</w:t>
            </w:r>
            <w:r w:rsidR="00434FD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u</w:t>
            </w:r>
            <w:proofErr w:type="spellEnd"/>
            <w:r w:rsidR="001F7BF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bolj</w:t>
            </w:r>
            <w:r w:rsidR="00434FD9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u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primjenu</w:t>
            </w:r>
            <w:proofErr w:type="spellEnd"/>
            <w:r w:rsidR="00C65E38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.</w:t>
            </w:r>
            <w:r w:rsidR="00B65BC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</w:p>
          <w:p w14:paraId="7DA1CFAF" w14:textId="374331CB" w:rsidR="00D2505A" w:rsidRPr="00D2505A" w:rsidRDefault="00D2505A" w:rsidP="00F168DF">
            <w:pPr>
              <w:pStyle w:val="NoSpacing"/>
              <w:jc w:val="both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RS"/>
              </w:rPr>
              <w:t>Obaveza donošenja propisa predviđena je Programom pristupanja Crne Gore Evropskoj uniji 2021-2023</w:t>
            </w:r>
            <w:r w:rsidR="00434FD9">
              <w:rPr>
                <w:rFonts w:ascii="Arial" w:eastAsiaTheme="minorHAnsi" w:hAnsi="Arial" w:cs="Arial"/>
                <w:b w:val="0"/>
                <w:sz w:val="20"/>
                <w:szCs w:val="20"/>
                <w:lang w:val="sr-Latn-RS"/>
              </w:rPr>
              <w:t>, a  i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RS"/>
              </w:rPr>
              <w:t xml:space="preserve"> Programom rada Vlade Crne Gore donošenje propisa je predviđeno za I</w:t>
            </w:r>
            <w:r w:rsidR="00CD682F">
              <w:rPr>
                <w:rFonts w:ascii="Arial" w:eastAsiaTheme="minorHAnsi" w:hAnsi="Arial" w:cs="Arial"/>
                <w:b w:val="0"/>
                <w:sz w:val="20"/>
                <w:szCs w:val="20"/>
                <w:lang w:val="sr-Latn-RS"/>
              </w:rPr>
              <w:t>V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RS"/>
              </w:rPr>
              <w:t xml:space="preserve"> kvartal 2023. godine. </w:t>
            </w:r>
          </w:p>
          <w:p w14:paraId="43BAC7BA" w14:textId="77777777" w:rsidR="009A242C" w:rsidRPr="001764A1" w:rsidRDefault="009A242C" w:rsidP="005D10D2">
            <w:pPr>
              <w:rPr>
                <w:lang w:val="pl-PL" w:eastAsia="en-US"/>
              </w:rPr>
            </w:pPr>
          </w:p>
        </w:tc>
      </w:tr>
      <w:tr w:rsidR="009A242C" w14:paraId="2E9E12CB" w14:textId="77777777" w:rsidTr="005D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0D3D20DC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3. Opcije</w:t>
            </w:r>
          </w:p>
          <w:p w14:paraId="7D2242B4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2665E8BB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Obrazložiti preferiranu opciju?</w:t>
            </w:r>
          </w:p>
        </w:tc>
      </w:tr>
      <w:tr w:rsidR="009A242C" w14:paraId="4310F9B2" w14:textId="77777777" w:rsidTr="00C250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58B86982" w14:textId="694D771D" w:rsidR="00864759" w:rsidRDefault="001C7461" w:rsidP="005D10D2">
            <w:pP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Izmjene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dopune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predmetnog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zakona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jedini</w:t>
            </w:r>
            <w:proofErr w:type="spellEnd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su</w:t>
            </w:r>
            <w:proofErr w:type="spellEnd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F452B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prepoznati</w:t>
            </w:r>
            <w:proofErr w:type="spellEnd"/>
            <w:r w:rsidR="009F452B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način</w:t>
            </w:r>
            <w:proofErr w:type="spellEnd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koji</w:t>
            </w:r>
            <w:proofErr w:type="spellEnd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F452B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će</w:t>
            </w:r>
            <w:proofErr w:type="spellEnd"/>
            <w:r w:rsidR="009F452B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F452B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omogućiti</w:t>
            </w:r>
            <w:proofErr w:type="spellEnd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stvaranje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neophodn</w:t>
            </w:r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ih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uslov</w:t>
            </w:r>
            <w:r w:rsidR="0089368D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ispunjenje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postavljenih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ciljeva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rješavanje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prepoznatih</w:t>
            </w:r>
            <w:proofErr w:type="spellEnd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problema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. </w:t>
            </w:r>
          </w:p>
          <w:p w14:paraId="58F947D1" w14:textId="30F492E7" w:rsidR="007D46F9" w:rsidRDefault="001C7461" w:rsidP="005D10D2">
            <w:pP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“Status quo”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opcija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nije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prihvatljiva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iz</w:t>
            </w:r>
            <w:proofErr w:type="spellEnd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razloga</w:t>
            </w:r>
            <w:proofErr w:type="spellEnd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što</w:t>
            </w:r>
            <w:proofErr w:type="spellEnd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postavljeni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ciljevi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ne bi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bili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ostvarivi</w:t>
            </w:r>
            <w:proofErr w:type="spellEnd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ukoliko</w:t>
            </w:r>
            <w:proofErr w:type="spellEnd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ne bi </w:t>
            </w:r>
            <w:proofErr w:type="gramStart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bil</w:t>
            </w:r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e </w:t>
            </w:r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izvršen</w:t>
            </w:r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e</w:t>
            </w:r>
            <w:proofErr w:type="spellEnd"/>
            <w:proofErr w:type="gramEnd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A0D3C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predložen</w:t>
            </w:r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e</w:t>
            </w:r>
            <w:proofErr w:type="spellEnd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izmjene</w:t>
            </w:r>
            <w:proofErr w:type="spellEnd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dopune</w:t>
            </w:r>
            <w:proofErr w:type="spellEnd"/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zakona</w:t>
            </w:r>
            <w:proofErr w:type="spellEnd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89368D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Naime</w:t>
            </w:r>
            <w:proofErr w:type="spellEnd"/>
            <w:r w:rsidR="0089368D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,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problem</w:t>
            </w:r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su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prepoznati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kroz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praktičnu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primjenu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zakona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.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U tom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smislu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primjena</w:t>
            </w:r>
            <w:proofErr w:type="spellEnd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postojeć</w:t>
            </w:r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ih</w:t>
            </w:r>
            <w:proofErr w:type="spellEnd"/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zakonsk</w:t>
            </w:r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ih</w:t>
            </w:r>
            <w:proofErr w:type="spellEnd"/>
            <w:proofErr w:type="gram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rje</w:t>
            </w:r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šenja</w:t>
            </w:r>
            <w:proofErr w:type="spellEnd"/>
            <w:r w:rsidR="0086475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dozvoljavala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različitu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primjenu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prilikom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donošenja</w:t>
            </w:r>
            <w:proofErr w:type="spellEnd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D682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odluka</w:t>
            </w:r>
            <w:proofErr w:type="spellEnd"/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 w:rsidR="00A2168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2168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odugovlačenju</w:t>
            </w:r>
            <w:proofErr w:type="spellEnd"/>
            <w:r w:rsidR="00A2168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2168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postupka</w:t>
            </w:r>
            <w:proofErr w:type="spellEnd"/>
            <w:r w:rsidR="00A2168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2168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pred</w:t>
            </w:r>
            <w:proofErr w:type="spellEnd"/>
            <w:r w:rsidR="00A2168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2168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sudom</w:t>
            </w:r>
            <w:proofErr w:type="spellEnd"/>
            <w:r w:rsidR="007D46F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.</w:t>
            </w:r>
          </w:p>
          <w:p w14:paraId="55E85149" w14:textId="445FF986" w:rsidR="00A21680" w:rsidRDefault="007D46F9" w:rsidP="005D10D2">
            <w:pP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“Status quo”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opcija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nije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prihvatljiva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dosadašnja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zakonska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rješenja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koja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su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obuhvatu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predloženih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izmjena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dopuna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jer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ne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daju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prostor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brže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7660B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efikasnije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vođenje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postupka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, a </w:t>
            </w:r>
            <w:proofErr w:type="gram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time  </w:t>
            </w:r>
            <w:proofErr w:type="spellStart"/>
            <w:r w:rsidR="0057660B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proofErr w:type="gramEnd"/>
            <w:r w:rsidR="0057660B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njegovo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okončanje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što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je od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interesa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sud</w:t>
            </w:r>
            <w:proofErr w:type="spellEnd"/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 I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stranke</w:t>
            </w:r>
            <w:proofErr w:type="spellEnd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postupku</w:t>
            </w:r>
            <w:proofErr w:type="spellEnd"/>
            <w:r w:rsidR="006A7CF8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en-US" w:eastAsia="en-US"/>
              </w:rPr>
              <w:t>.</w:t>
            </w:r>
          </w:p>
          <w:p w14:paraId="47F733EE" w14:textId="7663BB76" w:rsidR="00E93FA0" w:rsidRPr="0089368D" w:rsidRDefault="0057660B" w:rsidP="005D10D2">
            <w:pP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RS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RS" w:eastAsia="en-US"/>
              </w:rPr>
              <w:t>O</w:t>
            </w:r>
            <w:r w:rsidR="0089368D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RS" w:eastAsia="en-US"/>
              </w:rPr>
              <w:t>predjeljenje za izmjene i dopune Zakona o</w:t>
            </w:r>
            <w:r w:rsidR="00A21680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RS" w:eastAsia="en-US"/>
              </w:rPr>
              <w:t xml:space="preserve"> parničnom postupku</w:t>
            </w:r>
            <w:r w:rsidR="0089368D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RS" w:eastAsia="en-US"/>
              </w:rPr>
              <w:t xml:space="preserve"> jedina su prihvatljiva opcija koja može dati očekivane rezultate. </w:t>
            </w:r>
          </w:p>
          <w:p w14:paraId="3C734D23" w14:textId="77777777" w:rsidR="00E93FA0" w:rsidRDefault="00E93FA0" w:rsidP="005D10D2">
            <w:pPr>
              <w:rPr>
                <w:rFonts w:ascii="Arial" w:eastAsiaTheme="minorHAnsi" w:hAnsi="Arial" w:cs="Arial"/>
                <w:bCs/>
                <w:sz w:val="20"/>
                <w:szCs w:val="20"/>
                <w:lang w:val="sr-Latn-RS" w:eastAsia="en-US"/>
              </w:rPr>
            </w:pPr>
          </w:p>
          <w:p w14:paraId="211523F4" w14:textId="71900095" w:rsidR="00E93FA0" w:rsidRPr="00E265F7" w:rsidRDefault="00E93FA0" w:rsidP="005D10D2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RS" w:eastAsia="en-US"/>
              </w:rPr>
            </w:pPr>
          </w:p>
        </w:tc>
      </w:tr>
      <w:tr w:rsidR="009A242C" w14:paraId="61121B2C" w14:textId="77777777" w:rsidTr="005D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7D47ED87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4. Analiza uticaja</w:t>
            </w:r>
          </w:p>
          <w:p w14:paraId="4B703DB1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14:paraId="2BFB8DA3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14:paraId="6C7573FD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pozitivne posljedice donošenja propisa opravdavaju troškove koje će on stvoriti.</w:t>
            </w:r>
          </w:p>
          <w:p w14:paraId="70EF9F94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14:paraId="33C9D58C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</w:tc>
      </w:tr>
      <w:tr w:rsidR="009A242C" w14:paraId="7F95AD6F" w14:textId="77777777" w:rsidTr="005D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1C3A29E5" w14:textId="2BF339DF" w:rsidR="001321BF" w:rsidRDefault="009A242C" w:rsidP="005D10D2">
            <w:pPr>
              <w:ind w:left="142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Donošenje ovog propisa će pozitivno uticati </w:t>
            </w:r>
            <w:r w:rsidR="00133AB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sud, stranke</w:t>
            </w:r>
            <w:r w:rsidR="0057660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133AB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punomoćnike stranaka</w:t>
            </w:r>
            <w:r w:rsidR="0057660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i njihove zakonske zastupnike.</w:t>
            </w:r>
            <w:r w:rsidR="00133AB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57660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</w:t>
            </w:r>
            <w:r w:rsidR="00133AB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udovima</w:t>
            </w:r>
            <w:r w:rsidR="0057660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će</w:t>
            </w:r>
            <w:r w:rsidR="00133AB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nova zakonska rješenja</w:t>
            </w:r>
            <w:r w:rsidR="0057660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pomoći da efikasnije i brže vode postupke, istovjetnije postupaju kada se radi o istim ili sličnim tužbenim zahtjevima, kao i pravednijem odlučivanju. S</w:t>
            </w:r>
            <w:r w:rsidR="00133AB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manjenjem troškova Zaštitniku olakšaće </w:t>
            </w:r>
            <w:r w:rsidR="0057660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se </w:t>
            </w:r>
            <w:r w:rsidR="00133AB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položaj stranke koja plaća</w:t>
            </w:r>
            <w:r w:rsidR="0057660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te</w:t>
            </w:r>
            <w:r w:rsidR="00133AB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troškove</w:t>
            </w:r>
            <w:r w:rsidR="001321B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 kao i strankama lošijeg imovnog stanja</w:t>
            </w:r>
            <w:r w:rsidR="0057660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oslobađanje još od jednog propisanog troška u postupku. 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Pozitivan uticaj kako za stranke, tako i za sudove </w:t>
            </w:r>
            <w:r w:rsidR="007538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imaće, 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predviđena </w:t>
            </w:r>
            <w:r w:rsidR="001321B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mogućnost  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ponovnog </w:t>
            </w:r>
            <w:r w:rsidR="001321B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otvaranj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 zaključene glavne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7538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rasprave,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1321B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smislu 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donošenje zakonite i </w:t>
            </w:r>
            <w:r w:rsidR="001321B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pravednije odluke suda.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Takođe, novo zakonsko rješenje da se 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obavezno 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Centru ne šalju predmeti koji se odnose na svojinsko pravne sporove, imaće  p</w:t>
            </w:r>
            <w:r w:rsidR="001321B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ozitivan uticaj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1321B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u pogledu rasterećenja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7538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Centra 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od takve vrste </w:t>
            </w:r>
            <w:r w:rsidR="001321B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predmeta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koje su imale za ishod neuspjele medijacije.</w:t>
            </w:r>
            <w:r w:rsidR="007538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Novo zakonsko rješenje za medijatore imaće direktan pozitivan uticaj u pogledu  n</w:t>
            </w:r>
            <w:r w:rsidR="00B429D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grade za njihov rad, jer će biti isplaćivani u kraćem vremenskom intervalu u odnosu na postojeće zakonsko rješenje  gdje s</w:t>
            </w:r>
            <w:r w:rsidR="00D47E0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</w:t>
            </w:r>
            <w:r w:rsidR="00201C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ti troškovi uglavnom ostajali van odluka suda. </w:t>
            </w:r>
          </w:p>
          <w:p w14:paraId="1C0C9FA9" w14:textId="77777777" w:rsidR="00D91ECB" w:rsidRDefault="001321BF" w:rsidP="005D10D2">
            <w:pPr>
              <w:ind w:left="142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Negativnog uticaja nema,</w:t>
            </w:r>
            <w:r w:rsidR="007538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sa novim zakonskim rješenjima,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osim smanjenja prihoda budžet</w:t>
            </w:r>
            <w:r w:rsidR="00D47E0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po osnovu troškova koji </w:t>
            </w:r>
            <w:r w:rsidR="00AA4E9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će se umanjiti za</w:t>
            </w:r>
            <w:r w:rsidR="00D47E0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jednu </w:t>
            </w:r>
            <w:r w:rsidR="00AA4E9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D47E0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polovinu</w:t>
            </w:r>
            <w:r w:rsidR="007538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</w:t>
            </w:r>
            <w:r w:rsidR="00D47E0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koji pripadaju </w:t>
            </w:r>
            <w:r w:rsidR="00AA4E9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Zaštitnik</w:t>
            </w:r>
            <w:r w:rsidR="00D47E0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 na ime zastupanja stranke</w:t>
            </w:r>
            <w:r w:rsidR="007538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.</w:t>
            </w:r>
          </w:p>
          <w:p w14:paraId="3D442124" w14:textId="349F5914" w:rsidR="00D47E09" w:rsidRDefault="00D91ECB" w:rsidP="005D10D2">
            <w:pPr>
              <w:ind w:left="142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Pozitivne posledice donošenja ovog zakona, opravdaće troškove </w:t>
            </w:r>
            <w:r w:rsidR="00D47E0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koji su se stvorili.</w:t>
            </w:r>
          </w:p>
          <w:p w14:paraId="6FE89AD6" w14:textId="77777777" w:rsidR="009A242C" w:rsidRDefault="009A242C" w:rsidP="005D10D2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14:paraId="4989000C" w14:textId="77777777" w:rsidR="009A242C" w:rsidRDefault="009A242C" w:rsidP="005D10D2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lastRenderedPageBreak/>
              <w:t>Donošenjem ovog zakona neće se stvoriti administrativna opterećenja i biznis barijere.</w:t>
            </w:r>
          </w:p>
          <w:p w14:paraId="27D3B363" w14:textId="77777777" w:rsidR="009A242C" w:rsidRDefault="009A242C" w:rsidP="005D10D2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ovog zakona neće se stvoriti uticaj na stvaranje novih privrednih subjekata na tržištu i tržišnu konkurenciju.</w:t>
            </w:r>
          </w:p>
        </w:tc>
      </w:tr>
      <w:tr w:rsidR="009A242C" w14:paraId="0F83E29E" w14:textId="77777777" w:rsidTr="005D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2C2B7EAD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lastRenderedPageBreak/>
              <w:t>5. Procjena fiskalnog uticaja</w:t>
            </w:r>
          </w:p>
          <w:p w14:paraId="1BA7765C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14:paraId="02747427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obezbjeđenje finansijskih sredstava jednokratno, ili tokom određenog vremenskog perioda?  Obrazložiti.</w:t>
            </w:r>
          </w:p>
          <w:p w14:paraId="4898AFA5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14:paraId="24971E9E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14:paraId="547E5D6D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14:paraId="0ED30A20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će se implementacijom propisa ostvariti prihod za budžet Crne Gore?</w:t>
            </w:r>
          </w:p>
          <w:p w14:paraId="513813D6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Dbrazložiti metodologiju koja je korišćenja prilikom obračuna finansijskih izdataka/prihoda.</w:t>
            </w:r>
          </w:p>
          <w:p w14:paraId="6F5DEB01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14:paraId="010D85A5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postojale sugestije Ministarstva finansija na nacrt/predlog propisa?</w:t>
            </w:r>
          </w:p>
          <w:p w14:paraId="7ECCBD37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9A242C" w14:paraId="64B11579" w14:textId="77777777" w:rsidTr="005D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0D885CA0" w14:textId="77E400C6" w:rsidR="00825B62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implementaciju ovog zakona potrebno </w:t>
            </w:r>
            <w:r w:rsidR="00F7488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je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obezbje</w:t>
            </w:r>
            <w:r w:rsidR="00F7488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diti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dodatna sredstva iz budžeta Crne Gore</w:t>
            </w:r>
            <w:r w:rsidR="00F7488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u iznosu od </w:t>
            </w:r>
            <w:r w:rsidR="007D713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10</w:t>
            </w:r>
            <w:r w:rsidR="004C4B8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0.000,00</w:t>
            </w:r>
            <w:r w:rsidR="00825B6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eura</w:t>
            </w:r>
            <w:r w:rsidR="00F7488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za narednu fiskalnu  godinu sa programa </w:t>
            </w:r>
            <w:r w:rsidR="007D713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414621-aktivnost-vođenje sudskih postupaka</w:t>
            </w:r>
            <w:r w:rsidR="00F631D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, na izdatku 4146</w:t>
            </w:r>
            <w:r w:rsidR="00825B6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i predstavljaće rashod za Budžet CG.</w:t>
            </w:r>
          </w:p>
          <w:p w14:paraId="51997B2C" w14:textId="0F261DA4" w:rsidR="009A242C" w:rsidRDefault="00825B62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Obračun finasijskih sredstava je izvršen orijentaciono 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prema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podacim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o</w:t>
            </w:r>
            <w:r w:rsidR="00024A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broju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postavljen</w:t>
            </w:r>
            <w:r w:rsidR="00024A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ih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privremenih zastupnika od strane sud</w:t>
            </w:r>
            <w:r w:rsidR="00024A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ova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za zastupanje u građanskim sporovima  dobijenim od osnovnih sudova za prošlu godinu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,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 izvršen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je tako što je </w:t>
            </w:r>
            <w:r w:rsidR="00024A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broj postavljenih privremenih zastupnika pomnožen sa prosječnom naknadom 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u iznosu </w:t>
            </w:r>
            <w:r w:rsidR="00024A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od 325,00eura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, koju dobijaju.</w:t>
            </w:r>
          </w:p>
          <w:p w14:paraId="44FA600D" w14:textId="423E0878" w:rsidR="00B460E6" w:rsidRDefault="00B460E6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Prilikom obračuna nije</w:t>
            </w:r>
            <w:r w:rsidR="003D2D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bilo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problema, a ni sugestija od Ministarstva finansija.</w:t>
            </w:r>
          </w:p>
          <w:p w14:paraId="08173489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 implementaciju ovog zakona nije potrebno obezbjeđivati finansijska sredstava jednokratno, ili tokom određenog vremenskog perioda.</w:t>
            </w:r>
          </w:p>
          <w:p w14:paraId="7D470E4F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Implementacijom ovog zakona neće nastati međunarodne finansijske obaveze.</w:t>
            </w:r>
          </w:p>
          <w:p w14:paraId="65951D0C" w14:textId="77777777" w:rsidR="009A242C" w:rsidRDefault="009A242C" w:rsidP="005D10D2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Nije predviđeno donošenje podzakonskih akata iz kojih će proisteći finansijske obaveze.</w:t>
            </w:r>
          </w:p>
          <w:p w14:paraId="24884202" w14:textId="77777777" w:rsidR="009A242C" w:rsidRDefault="009A242C" w:rsidP="005D10D2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Implementacijom ovog zakona neće se ostvariti prihod za budžet Crne Gore.</w:t>
            </w:r>
          </w:p>
          <w:p w14:paraId="1A5908BE" w14:textId="77777777" w:rsidR="009A242C" w:rsidRDefault="009A242C" w:rsidP="005D10D2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Nisu postojale sugestije Ministarstva finansija na predlog propisa.</w:t>
            </w:r>
          </w:p>
        </w:tc>
      </w:tr>
      <w:tr w:rsidR="009A242C" w14:paraId="19182913" w14:textId="77777777" w:rsidTr="005D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7891A27D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6.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onsultacije zainteresovanih strana</w:t>
            </w:r>
          </w:p>
          <w:p w14:paraId="061385F5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14:paraId="3606B4E3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koje su grupe zainteresovanih strana konsultovane, u kojoj fazi RIA procesa i kako (javne ili ciljane konsultacije).</w:t>
            </w:r>
          </w:p>
          <w:p w14:paraId="3A563ABD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9A242C" w14:paraId="5ED7D2A5" w14:textId="77777777" w:rsidTr="005D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4EEC6B29" w14:textId="644A74BF" w:rsidR="009A242C" w:rsidRPr="0021615C" w:rsidRDefault="008622A8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Nije korišćena eksterna ekspertska podrška. </w:t>
            </w:r>
          </w:p>
        </w:tc>
      </w:tr>
      <w:tr w:rsidR="009A242C" w14:paraId="4248D319" w14:textId="77777777" w:rsidTr="005D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18B8DA1D" w14:textId="77777777" w:rsidR="009A242C" w:rsidRDefault="009A242C" w:rsidP="005D10D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7. Monitoring i evaluacija</w:t>
            </w:r>
          </w:p>
          <w:p w14:paraId="069439AB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Koje su potencijalne prepreke za implementaciju propisa? </w:t>
            </w:r>
          </w:p>
          <w:p w14:paraId="7F751242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14:paraId="494A7692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14:paraId="48B39DF9" w14:textId="77777777" w:rsidR="009A242C" w:rsidRDefault="009A242C" w:rsidP="005D10D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  <w:p w14:paraId="2DC0389E" w14:textId="77777777" w:rsidR="009A242C" w:rsidRDefault="009A242C" w:rsidP="005D10D2">
            <w:pPr>
              <w:pStyle w:val="ListParagraph"/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9A242C" w14:paraId="14C97F87" w14:textId="77777777" w:rsidTr="005D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7ED74DC7" w14:textId="77777777" w:rsidR="009A242C" w:rsidRDefault="009A242C" w:rsidP="00C25033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Nema potencijalnih prepreka za sprovođenja ovog zakona.</w:t>
            </w:r>
          </w:p>
          <w:p w14:paraId="24CFDA7C" w14:textId="01506385" w:rsidR="009A242C" w:rsidRPr="006D60E1" w:rsidRDefault="009A242C" w:rsidP="00C25033">
            <w:pPr>
              <w:ind w:left="169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6D60E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Do početka primjene dijela ovog zakona koji se odnosi na usklađ</w:t>
            </w:r>
            <w:r w:rsidR="008622A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ivanje </w:t>
            </w:r>
            <w:r w:rsidRPr="006D60E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sa Regulativ</w:t>
            </w:r>
            <w:r w:rsidR="008622A8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ama </w:t>
            </w:r>
            <w:r w:rsidRPr="006D60E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Evropske unije, organizovaće se obuke za sudije i saradnike u sudovima, radi njihovog potpunog osposobljavanja za nesmetanu primjenu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predmetne</w:t>
            </w:r>
            <w:r w:rsidRPr="006D60E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Regulativ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e</w:t>
            </w:r>
            <w:r w:rsidRPr="006D60E1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, nakon pristupanja Crne Gore Evropskoj uniji.</w:t>
            </w:r>
          </w:p>
          <w:p w14:paraId="54FD7F04" w14:textId="77777777" w:rsidR="009A242C" w:rsidRPr="00D54884" w:rsidRDefault="009A242C" w:rsidP="00C25033">
            <w:pPr>
              <w:ind w:left="169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D54884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Glavni indikatori sa kojim će se mjeriti ispunjenje ciljeva ovog zakona su rezultati nakon početka njegove primjene, kako u sporovima na nacionalnom nivou, tako i u pogledu ostvarivanja pravosudne saradnje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nakon ulaska Crne Gore </w:t>
            </w:r>
            <w:r w:rsidRPr="00D54884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u Evropsk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u</w:t>
            </w:r>
            <w:r w:rsidRPr="00D54884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unij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u</w:t>
            </w:r>
            <w:r w:rsidRPr="00D54884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.</w:t>
            </w:r>
          </w:p>
          <w:p w14:paraId="1BFEB098" w14:textId="77777777" w:rsidR="009A242C" w:rsidRDefault="009A242C" w:rsidP="00C25033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Za monitoring i evaluaciju propisa nadležno je Ministarstvo pravde.</w:t>
            </w:r>
          </w:p>
        </w:tc>
      </w:tr>
      <w:tr w:rsidR="009A242C" w14:paraId="3103BA3D" w14:textId="77777777" w:rsidTr="005D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112E1C63" w14:textId="77777777" w:rsidR="009A242C" w:rsidRDefault="009A242C" w:rsidP="00C25033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</w:tbl>
    <w:p w14:paraId="349BE89A" w14:textId="77777777" w:rsidR="009A242C" w:rsidRDefault="009A242C" w:rsidP="00C25033">
      <w:pPr>
        <w:rPr>
          <w:rFonts w:ascii="Arial" w:hAnsi="Arial" w:cs="Arial"/>
          <w:b/>
          <w:color w:val="000000" w:themeColor="text1"/>
          <w:lang w:val="sr-Latn-RS"/>
        </w:rPr>
      </w:pPr>
    </w:p>
    <w:p w14:paraId="5C371BDC" w14:textId="69B67E00" w:rsidR="009A242C" w:rsidRPr="00C25033" w:rsidRDefault="009A242C" w:rsidP="009A242C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>
        <w:rPr>
          <w:rFonts w:ascii="Arial" w:hAnsi="Arial" w:cs="Arial"/>
          <w:b/>
          <w:color w:val="000000" w:themeColor="text1"/>
          <w:lang w:val="sr-Latn-RS"/>
        </w:rPr>
        <w:tab/>
      </w:r>
      <w:r w:rsidRPr="00C2503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Podgorica, </w:t>
      </w:r>
      <w:r w:rsidR="008622A8" w:rsidRPr="00C25033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16 </w:t>
      </w:r>
      <w:r w:rsidRPr="00C25033">
        <w:rPr>
          <w:rFonts w:ascii="Arial" w:hAnsi="Arial" w:cs="Arial"/>
          <w:color w:val="000000" w:themeColor="text1"/>
          <w:sz w:val="20"/>
          <w:szCs w:val="20"/>
          <w:lang w:val="sr-Latn-RS"/>
        </w:rPr>
        <w:t>.0</w:t>
      </w:r>
      <w:r w:rsidR="008622A8" w:rsidRPr="00C25033">
        <w:rPr>
          <w:rFonts w:ascii="Arial" w:hAnsi="Arial" w:cs="Arial"/>
          <w:color w:val="000000" w:themeColor="text1"/>
          <w:sz w:val="20"/>
          <w:szCs w:val="20"/>
          <w:lang w:val="sr-Latn-RS"/>
        </w:rPr>
        <w:t>6</w:t>
      </w:r>
      <w:r w:rsidRPr="00C25033">
        <w:rPr>
          <w:rFonts w:ascii="Arial" w:hAnsi="Arial" w:cs="Arial"/>
          <w:color w:val="000000" w:themeColor="text1"/>
          <w:sz w:val="20"/>
          <w:szCs w:val="20"/>
          <w:lang w:val="sr-Latn-RS"/>
        </w:rPr>
        <w:t>.2023. godine</w:t>
      </w:r>
    </w:p>
    <w:p w14:paraId="1B6191CE" w14:textId="53BE7AAD" w:rsidR="00C25033" w:rsidRPr="00EF6181" w:rsidRDefault="009A242C" w:rsidP="00EF6181">
      <w:pPr>
        <w:tabs>
          <w:tab w:val="left" w:pos="600"/>
          <w:tab w:val="right" w:pos="9360"/>
        </w:tabs>
        <w:spacing w:line="480" w:lineRule="auto"/>
        <w:ind w:left="142"/>
        <w:jc w:val="left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  <w:r w:rsidRPr="00C25033">
        <w:rPr>
          <w:rFonts w:ascii="Arial" w:hAnsi="Arial" w:cs="Arial"/>
          <w:color w:val="000000" w:themeColor="text1"/>
          <w:sz w:val="20"/>
          <w:szCs w:val="20"/>
          <w:lang w:val="sr-Latn-RS"/>
        </w:rPr>
        <w:tab/>
      </w:r>
      <w:r w:rsidRPr="00C25033"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  <w:tab/>
        <w:t>MINISTAR</w:t>
      </w:r>
      <w:bookmarkStart w:id="0" w:name="_GoBack"/>
      <w:bookmarkEnd w:id="0"/>
    </w:p>
    <w:p w14:paraId="02AF0E86" w14:textId="77777777" w:rsidR="009A242C" w:rsidRPr="0003198B" w:rsidRDefault="009A242C" w:rsidP="009A242C">
      <w:pPr>
        <w:spacing w:line="480" w:lineRule="auto"/>
        <w:ind w:left="142"/>
        <w:jc w:val="righ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sz w:val="22"/>
        </w:rPr>
        <w:t xml:space="preserve">Marko </w:t>
      </w:r>
      <w:proofErr w:type="spellStart"/>
      <w:r>
        <w:rPr>
          <w:rFonts w:ascii="Arial" w:hAnsi="Arial" w:cs="Arial"/>
          <w:b/>
          <w:sz w:val="22"/>
        </w:rPr>
        <w:t>Kovač</w:t>
      </w:r>
      <w:proofErr w:type="spellEnd"/>
    </w:p>
    <w:p w14:paraId="10CCEA5F" w14:textId="77777777" w:rsidR="009A242C" w:rsidRPr="007867E3" w:rsidRDefault="009A242C" w:rsidP="009A242C">
      <w:pPr>
        <w:rPr>
          <w:lang w:val="en-US"/>
        </w:rPr>
      </w:pPr>
    </w:p>
    <w:p w14:paraId="3323EAC4" w14:textId="77777777" w:rsidR="00C4364E" w:rsidRDefault="00EF6181"/>
    <w:sectPr w:rsidR="00C4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06"/>
    <w:rsid w:val="00013721"/>
    <w:rsid w:val="00024A04"/>
    <w:rsid w:val="00076541"/>
    <w:rsid w:val="00084600"/>
    <w:rsid w:val="00095A30"/>
    <w:rsid w:val="000B32DA"/>
    <w:rsid w:val="000B51A2"/>
    <w:rsid w:val="000D3B96"/>
    <w:rsid w:val="000E4FBF"/>
    <w:rsid w:val="000F15C9"/>
    <w:rsid w:val="000F4C9C"/>
    <w:rsid w:val="001321BF"/>
    <w:rsid w:val="00133ABD"/>
    <w:rsid w:val="001B3F46"/>
    <w:rsid w:val="001C7461"/>
    <w:rsid w:val="001D0D27"/>
    <w:rsid w:val="001E0413"/>
    <w:rsid w:val="001F7BF9"/>
    <w:rsid w:val="0020182C"/>
    <w:rsid w:val="00201C7B"/>
    <w:rsid w:val="0021334B"/>
    <w:rsid w:val="0026684A"/>
    <w:rsid w:val="002731F6"/>
    <w:rsid w:val="0028425C"/>
    <w:rsid w:val="00293098"/>
    <w:rsid w:val="00294962"/>
    <w:rsid w:val="002B6AFC"/>
    <w:rsid w:val="002C4D79"/>
    <w:rsid w:val="002D7DBC"/>
    <w:rsid w:val="0033655A"/>
    <w:rsid w:val="0037422F"/>
    <w:rsid w:val="003913D6"/>
    <w:rsid w:val="00391DA5"/>
    <w:rsid w:val="003964A1"/>
    <w:rsid w:val="003A5BC3"/>
    <w:rsid w:val="003B412C"/>
    <w:rsid w:val="003C6D2A"/>
    <w:rsid w:val="003D2DC8"/>
    <w:rsid w:val="003E5951"/>
    <w:rsid w:val="00400098"/>
    <w:rsid w:val="00412DA2"/>
    <w:rsid w:val="00431557"/>
    <w:rsid w:val="00434FD9"/>
    <w:rsid w:val="00445958"/>
    <w:rsid w:val="00460AF4"/>
    <w:rsid w:val="00463CBF"/>
    <w:rsid w:val="004902A2"/>
    <w:rsid w:val="00496777"/>
    <w:rsid w:val="004C4B84"/>
    <w:rsid w:val="004E6D4F"/>
    <w:rsid w:val="005032F1"/>
    <w:rsid w:val="00516C3A"/>
    <w:rsid w:val="00552558"/>
    <w:rsid w:val="0057660B"/>
    <w:rsid w:val="0057768B"/>
    <w:rsid w:val="005D6DD8"/>
    <w:rsid w:val="005E3FFE"/>
    <w:rsid w:val="00600413"/>
    <w:rsid w:val="00604AAC"/>
    <w:rsid w:val="006171CF"/>
    <w:rsid w:val="00654E85"/>
    <w:rsid w:val="00682018"/>
    <w:rsid w:val="00697718"/>
    <w:rsid w:val="006A7CF8"/>
    <w:rsid w:val="006B01DC"/>
    <w:rsid w:val="006B247D"/>
    <w:rsid w:val="007160F7"/>
    <w:rsid w:val="0075075A"/>
    <w:rsid w:val="0075381A"/>
    <w:rsid w:val="00764333"/>
    <w:rsid w:val="00767041"/>
    <w:rsid w:val="007867E3"/>
    <w:rsid w:val="00796950"/>
    <w:rsid w:val="007C0B04"/>
    <w:rsid w:val="007D46F9"/>
    <w:rsid w:val="007D61F6"/>
    <w:rsid w:val="007D713A"/>
    <w:rsid w:val="007F079B"/>
    <w:rsid w:val="00825B62"/>
    <w:rsid w:val="0082724A"/>
    <w:rsid w:val="00845317"/>
    <w:rsid w:val="00855446"/>
    <w:rsid w:val="00856A53"/>
    <w:rsid w:val="008622A8"/>
    <w:rsid w:val="00864759"/>
    <w:rsid w:val="00872F8E"/>
    <w:rsid w:val="0089368D"/>
    <w:rsid w:val="008A0D3C"/>
    <w:rsid w:val="008F79B1"/>
    <w:rsid w:val="009220FA"/>
    <w:rsid w:val="00930B3D"/>
    <w:rsid w:val="0093407E"/>
    <w:rsid w:val="009411A9"/>
    <w:rsid w:val="00954EA2"/>
    <w:rsid w:val="009559E9"/>
    <w:rsid w:val="00972694"/>
    <w:rsid w:val="009A242C"/>
    <w:rsid w:val="009E2C13"/>
    <w:rsid w:val="009F441D"/>
    <w:rsid w:val="009F452B"/>
    <w:rsid w:val="00A21680"/>
    <w:rsid w:val="00A2798F"/>
    <w:rsid w:val="00A94570"/>
    <w:rsid w:val="00AA4E97"/>
    <w:rsid w:val="00AD0FF3"/>
    <w:rsid w:val="00AD6C5C"/>
    <w:rsid w:val="00AE7E02"/>
    <w:rsid w:val="00B429D3"/>
    <w:rsid w:val="00B460E6"/>
    <w:rsid w:val="00B57C9A"/>
    <w:rsid w:val="00B65BCA"/>
    <w:rsid w:val="00B74A7F"/>
    <w:rsid w:val="00BC574E"/>
    <w:rsid w:val="00BD4885"/>
    <w:rsid w:val="00BD73C8"/>
    <w:rsid w:val="00C25033"/>
    <w:rsid w:val="00C430CA"/>
    <w:rsid w:val="00C65E38"/>
    <w:rsid w:val="00C866A9"/>
    <w:rsid w:val="00C86F67"/>
    <w:rsid w:val="00CA2964"/>
    <w:rsid w:val="00CB36AC"/>
    <w:rsid w:val="00CB5D5D"/>
    <w:rsid w:val="00CD682F"/>
    <w:rsid w:val="00CE2921"/>
    <w:rsid w:val="00D2505A"/>
    <w:rsid w:val="00D45D35"/>
    <w:rsid w:val="00D47E09"/>
    <w:rsid w:val="00D71593"/>
    <w:rsid w:val="00D777E5"/>
    <w:rsid w:val="00D91ECB"/>
    <w:rsid w:val="00D960D0"/>
    <w:rsid w:val="00E35FF9"/>
    <w:rsid w:val="00E37C72"/>
    <w:rsid w:val="00E93FA0"/>
    <w:rsid w:val="00EA680D"/>
    <w:rsid w:val="00EF320C"/>
    <w:rsid w:val="00EF6181"/>
    <w:rsid w:val="00EF73C3"/>
    <w:rsid w:val="00F0256D"/>
    <w:rsid w:val="00F168DF"/>
    <w:rsid w:val="00F27C06"/>
    <w:rsid w:val="00F631D0"/>
    <w:rsid w:val="00F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0121"/>
  <w15:chartTrackingRefBased/>
  <w15:docId w15:val="{F9945C69-14D8-4268-9FCB-86F834D8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AD6C5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42C"/>
    <w:pPr>
      <w:ind w:left="720"/>
    </w:pPr>
  </w:style>
  <w:style w:type="table" w:styleId="LightGrid-Accent5">
    <w:name w:val="Light Grid Accent 5"/>
    <w:basedOn w:val="TableNormal"/>
    <w:uiPriority w:val="62"/>
    <w:semiHidden/>
    <w:unhideWhenUsed/>
    <w:rsid w:val="009A242C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NoSpacing">
    <w:name w:val="No Spacing"/>
    <w:uiPriority w:val="1"/>
    <w:qFormat/>
    <w:rsid w:val="009A242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F3"/>
    <w:rPr>
      <w:rFonts w:ascii="Segoe UI" w:eastAsia="Times New Roman" w:hAnsi="Segoe UI" w:cs="Segoe UI"/>
      <w:bCs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Natasa Novakovic</cp:lastModifiedBy>
  <cp:revision>93</cp:revision>
  <cp:lastPrinted>2023-06-14T13:54:00Z</cp:lastPrinted>
  <dcterms:created xsi:type="dcterms:W3CDTF">2023-04-25T07:54:00Z</dcterms:created>
  <dcterms:modified xsi:type="dcterms:W3CDTF">2023-06-16T09:49:00Z</dcterms:modified>
</cp:coreProperties>
</file>