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0B" w:rsidRPr="00D40E34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D40E34">
        <w:rPr>
          <w:rFonts w:ascii="Cambria" w:hAnsi="Cambria" w:cs="Cambria"/>
          <w:noProof/>
          <w:lang w:val="en-US"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A5C" w:rsidRPr="00D40E34" w:rsidRDefault="00665A5C" w:rsidP="00665A5C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D40E34">
        <w:rPr>
          <w:rFonts w:asciiTheme="minorHAnsi" w:hAnsiTheme="minorHAnsi" w:cstheme="minorHAnsi"/>
          <w:b/>
          <w:bCs/>
          <w:sz w:val="28"/>
          <w:szCs w:val="28"/>
          <w:lang w:val="en-GB"/>
        </w:rPr>
        <w:t>MONTENEGRO</w:t>
      </w:r>
    </w:p>
    <w:p w:rsidR="00665A5C" w:rsidRPr="00D40E34" w:rsidRDefault="00665A5C" w:rsidP="00665A5C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D40E34">
        <w:rPr>
          <w:rFonts w:asciiTheme="minorHAnsi" w:hAnsiTheme="minorHAnsi" w:cstheme="minorHAnsi"/>
          <w:b/>
          <w:bCs/>
          <w:sz w:val="28"/>
          <w:szCs w:val="28"/>
          <w:lang w:val="en-GB"/>
        </w:rPr>
        <w:t>MINISTRY OF FINANCE</w:t>
      </w:r>
    </w:p>
    <w:p w:rsidR="0082570B" w:rsidRPr="00D40E34" w:rsidRDefault="00665A5C" w:rsidP="00665A5C">
      <w:pPr>
        <w:pStyle w:val="NoSpacing"/>
        <w:jc w:val="center"/>
        <w:outlineLvl w:val="0"/>
        <w:rPr>
          <w:b/>
          <w:bCs/>
          <w:sz w:val="28"/>
          <w:szCs w:val="28"/>
          <w:lang w:val="en-GB"/>
        </w:rPr>
      </w:pPr>
      <w:r w:rsidRPr="00D40E34">
        <w:rPr>
          <w:rFonts w:asciiTheme="minorHAnsi" w:hAnsiTheme="minorHAnsi" w:cstheme="minorHAnsi"/>
          <w:b/>
          <w:bCs/>
          <w:sz w:val="28"/>
          <w:szCs w:val="28"/>
          <w:lang w:val="en-GB"/>
        </w:rPr>
        <w:t>Department for Economic Policy and Development</w:t>
      </w:r>
    </w:p>
    <w:p w:rsidR="0082570B" w:rsidRPr="00D40E34" w:rsidRDefault="0082570B" w:rsidP="00D61692">
      <w:pPr>
        <w:rPr>
          <w:rFonts w:cs="Calibri"/>
        </w:rPr>
      </w:pPr>
    </w:p>
    <w:p w:rsidR="0082570B" w:rsidRPr="00D40E34" w:rsidRDefault="0082570B" w:rsidP="00D61692">
      <w:pPr>
        <w:jc w:val="center"/>
        <w:rPr>
          <w:rFonts w:cs="Calibri"/>
          <w:b/>
          <w:bCs/>
          <w:i/>
          <w:iCs/>
          <w:sz w:val="36"/>
          <w:szCs w:val="36"/>
        </w:rPr>
      </w:pPr>
    </w:p>
    <w:p w:rsidR="0082570B" w:rsidRPr="00D40E34" w:rsidRDefault="0082570B" w:rsidP="000F756E">
      <w:pPr>
        <w:rPr>
          <w:rFonts w:cs="Calibri"/>
          <w:b/>
          <w:bCs/>
          <w:i/>
          <w:iCs/>
          <w:sz w:val="36"/>
          <w:szCs w:val="36"/>
        </w:rPr>
      </w:pPr>
    </w:p>
    <w:p w:rsidR="0082570B" w:rsidRPr="00D40E34" w:rsidRDefault="0082570B" w:rsidP="000F756E">
      <w:pPr>
        <w:rPr>
          <w:rFonts w:cs="Calibri"/>
          <w:b/>
          <w:bCs/>
          <w:i/>
          <w:iCs/>
          <w:sz w:val="36"/>
          <w:szCs w:val="36"/>
        </w:rPr>
      </w:pPr>
    </w:p>
    <w:p w:rsidR="0082570B" w:rsidRPr="00D40E34" w:rsidRDefault="00665A5C" w:rsidP="0002564B">
      <w:pPr>
        <w:spacing w:line="240" w:lineRule="auto"/>
        <w:jc w:val="center"/>
        <w:outlineLvl w:val="0"/>
        <w:rPr>
          <w:rFonts w:cs="Calibri"/>
          <w:b/>
          <w:bCs/>
          <w:iCs/>
          <w:sz w:val="52"/>
          <w:szCs w:val="52"/>
        </w:rPr>
      </w:pPr>
      <w:r w:rsidRPr="00D40E34">
        <w:rPr>
          <w:rFonts w:cs="Calibri"/>
          <w:b/>
          <w:bCs/>
          <w:iCs/>
          <w:sz w:val="52"/>
          <w:szCs w:val="52"/>
        </w:rPr>
        <w:t>MONTHLY MACROECONOMIC INDICATORS</w:t>
      </w:r>
    </w:p>
    <w:p w:rsidR="0082570B" w:rsidRPr="00D40E34" w:rsidRDefault="00665A5C" w:rsidP="0002564B">
      <w:pPr>
        <w:spacing w:line="240" w:lineRule="auto"/>
        <w:jc w:val="center"/>
        <w:outlineLvl w:val="0"/>
        <w:rPr>
          <w:rFonts w:cs="Calibri"/>
          <w:b/>
          <w:bCs/>
          <w:sz w:val="32"/>
          <w:szCs w:val="32"/>
        </w:rPr>
      </w:pPr>
      <w:r w:rsidRPr="00D40E34">
        <w:rPr>
          <w:rFonts w:cs="Calibri"/>
          <w:b/>
          <w:bCs/>
          <w:sz w:val="32"/>
          <w:szCs w:val="32"/>
        </w:rPr>
        <w:t>March</w:t>
      </w:r>
      <w:r w:rsidR="00D40E34" w:rsidRPr="00D40E34">
        <w:rPr>
          <w:rFonts w:cs="Calibri"/>
          <w:b/>
          <w:bCs/>
          <w:sz w:val="32"/>
          <w:szCs w:val="32"/>
        </w:rPr>
        <w:t xml:space="preserve"> </w:t>
      </w:r>
      <w:r w:rsidR="006D2B20" w:rsidRPr="00D40E34">
        <w:rPr>
          <w:rFonts w:cs="Calibri"/>
          <w:b/>
          <w:bCs/>
          <w:sz w:val="32"/>
          <w:szCs w:val="32"/>
        </w:rPr>
        <w:t>2014</w:t>
      </w:r>
    </w:p>
    <w:p w:rsidR="0082570B" w:rsidRPr="00D40E34" w:rsidRDefault="0082570B" w:rsidP="00D61692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:rsidR="0082570B" w:rsidRPr="00D40E34" w:rsidRDefault="00A423C3" w:rsidP="00D61692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D40E34">
        <w:rPr>
          <w:rFonts w:cs="Calibr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2516065</wp:posOffset>
            </wp:positionH>
            <wp:positionV relativeFrom="paragraph">
              <wp:posOffset>38051</wp:posOffset>
            </wp:positionV>
            <wp:extent cx="5474384" cy="5022166"/>
            <wp:effectExtent l="19050" t="0" r="0" b="0"/>
            <wp:wrapNone/>
            <wp:docPr id="7" name="Picture 5" descr="http://www.mtaconsulting.com/uploads/images/Arrow%20up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taconsulting.com/uploads/images/Arrow%20up%20v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84" cy="5022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70B" w:rsidRPr="00D40E34" w:rsidRDefault="000A3D47" w:rsidP="00D20CDA">
      <w:pPr>
        <w:spacing w:after="0" w:line="240" w:lineRule="auto"/>
        <w:rPr>
          <w:rFonts w:cs="Calibri"/>
          <w:bCs/>
          <w:sz w:val="28"/>
          <w:szCs w:val="28"/>
        </w:rPr>
      </w:pPr>
      <w: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185" style="position:absolute;margin-left:-11pt;margin-top:363pt;width:234.35pt;height:338pt;z-index:-251658240;visibility:visible;mso-position-horizontal-relative:margin;mso-position-vertical-relative:margin" wrapcoords="1315 -96 900 -48 -138 527 -138 20882 415 21361 415 21408 1108 21648 1246 21648 20285 21648 20423 21648 21254 21361 21738 20738 21738 1293 21669 527 20769 0 20285 -96 1315 -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" o:allowincell="f" adj="1739" fillcolor="#943634" strokecolor="#c00000" strokeweight="3pt">
            <v:shadow color="#730000" offset="1pt,1pt"/>
            <v:textbox inset="3.6pt,,3.6pt">
              <w:txbxContent>
                <w:p w:rsidR="00D40E34" w:rsidRPr="00D40E34" w:rsidRDefault="00D40E34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en-GB"/>
                    </w:rPr>
                  </w:pPr>
                  <w:r w:rsidRPr="00D40E34">
                    <w:rPr>
                      <w:b/>
                      <w:bCs/>
                      <w:color w:val="000000"/>
                      <w:sz w:val="40"/>
                      <w:szCs w:val="40"/>
                      <w:lang w:val="en-GB"/>
                    </w:rPr>
                    <w:t>KEY NOTES</w:t>
                  </w:r>
                </w:p>
                <w:p w:rsidR="00D40E34" w:rsidRPr="00D40E34" w:rsidRDefault="00D40E34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en-GB"/>
                    </w:rPr>
                  </w:pPr>
                </w:p>
                <w:p w:rsidR="00D40E34" w:rsidRPr="00D40E34" w:rsidRDefault="00D40E34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6"/>
                      <w:szCs w:val="20"/>
                      <w:lang w:val="en-GB"/>
                    </w:rPr>
                  </w:pPr>
                  <w:r w:rsidRPr="00D40E34">
                    <w:rPr>
                      <w:rFonts w:asciiTheme="minorHAnsi" w:hAnsiTheme="minorHAnsi"/>
                      <w:b/>
                      <w:szCs w:val="20"/>
                      <w:lang w:val="en-GB"/>
                    </w:rPr>
                    <w:t>Industrial output recorded growth of 5.7% in February.</w:t>
                  </w:r>
                </w:p>
                <w:p w:rsidR="00D40E34" w:rsidRPr="00D40E34" w:rsidRDefault="00D40E34" w:rsidP="00D800B5">
                  <w:pPr>
                    <w:pStyle w:val="NoSpacing"/>
                    <w:ind w:left="567"/>
                    <w:rPr>
                      <w:b/>
                      <w:szCs w:val="20"/>
                      <w:lang w:val="en-GB"/>
                    </w:rPr>
                  </w:pPr>
                </w:p>
                <w:p w:rsidR="00D40E34" w:rsidRPr="00D40E34" w:rsidRDefault="00BA258D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6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/>
                      <w:b/>
                      <w:szCs w:val="20"/>
                      <w:lang w:val="en-GB"/>
                    </w:rPr>
                    <w:t>The h</w:t>
                  </w:r>
                  <w:r w:rsidRPr="00D40E34">
                    <w:rPr>
                      <w:rFonts w:asciiTheme="minorHAnsi" w:hAnsiTheme="minorHAnsi"/>
                      <w:b/>
                      <w:szCs w:val="20"/>
                      <w:lang w:val="en-GB"/>
                    </w:rPr>
                    <w:t xml:space="preserve">armonised consumer price index (HICP) showed zero annual inflation </w:t>
                  </w:r>
                  <w:proofErr w:type="gramStart"/>
                  <w:r w:rsidRPr="00D40E34">
                    <w:rPr>
                      <w:rFonts w:asciiTheme="minorHAnsi" w:hAnsiTheme="minorHAnsi"/>
                      <w:b/>
                      <w:szCs w:val="20"/>
                      <w:lang w:val="en-GB"/>
                    </w:rPr>
                    <w:t>rate</w:t>
                  </w:r>
                  <w:proofErr w:type="gramEnd"/>
                  <w:r w:rsidRPr="00D40E34">
                    <w:rPr>
                      <w:rFonts w:asciiTheme="minorHAnsi" w:hAnsiTheme="minorHAnsi"/>
                      <w:b/>
                      <w:szCs w:val="20"/>
                      <w:lang w:val="en-GB"/>
                    </w:rPr>
                    <w:t xml:space="preserve"> in February 2014. </w:t>
                  </w:r>
                </w:p>
                <w:p w:rsidR="00D40E34" w:rsidRPr="00D40E34" w:rsidRDefault="00D40E34" w:rsidP="001021CB">
                  <w:pPr>
                    <w:pStyle w:val="NoSpacing"/>
                    <w:ind w:left="567"/>
                    <w:rPr>
                      <w:b/>
                      <w:sz w:val="28"/>
                      <w:szCs w:val="20"/>
                      <w:lang w:val="en-GB"/>
                    </w:rPr>
                  </w:pPr>
                </w:p>
                <w:p w:rsidR="00D40E34" w:rsidRPr="00D40E34" w:rsidRDefault="00D40E34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6"/>
                      <w:szCs w:val="20"/>
                      <w:lang w:val="en-GB"/>
                    </w:rPr>
                  </w:pPr>
                  <w:r w:rsidRPr="00D40E34">
                    <w:rPr>
                      <w:b/>
                      <w:bCs/>
                      <w:szCs w:val="18"/>
                      <w:lang w:val="en-GB"/>
                    </w:rPr>
                    <w:t>Current revenues of the Budget of Montenegro amounted to 81.38 million € in February 2014. They increased y-o-y by 7.5%.</w:t>
                  </w:r>
                </w:p>
                <w:p w:rsidR="00D40E34" w:rsidRPr="00D40E34" w:rsidRDefault="00D40E34" w:rsidP="00D800B5">
                  <w:pPr>
                    <w:pStyle w:val="NoSpacing"/>
                    <w:ind w:left="567"/>
                    <w:rPr>
                      <w:b/>
                      <w:sz w:val="28"/>
                      <w:szCs w:val="20"/>
                      <w:lang w:val="en-GB"/>
                    </w:rPr>
                  </w:pPr>
                </w:p>
                <w:p w:rsidR="00D40E34" w:rsidRPr="00D40E34" w:rsidRDefault="00D40E34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rFonts w:asciiTheme="minorHAnsi" w:hAnsiTheme="minorHAnsi"/>
                      <w:b/>
                      <w:szCs w:val="20"/>
                      <w:lang w:val="en-GB"/>
                    </w:rPr>
                  </w:pPr>
                  <w:r w:rsidRPr="00D40E34">
                    <w:rPr>
                      <w:rFonts w:asciiTheme="minorHAnsi" w:hAnsiTheme="minorHAnsi"/>
                      <w:b/>
                      <w:szCs w:val="20"/>
                      <w:lang w:val="en-GB"/>
                    </w:rPr>
                    <w:t>Loans recorded annual decline of 3.7%.</w:t>
                  </w:r>
                </w:p>
                <w:p w:rsidR="00D40E34" w:rsidRPr="00D40E34" w:rsidRDefault="00D40E34" w:rsidP="001021CB">
                  <w:pPr>
                    <w:pStyle w:val="NoSpacing"/>
                    <w:ind w:left="567"/>
                    <w:rPr>
                      <w:b/>
                      <w:sz w:val="28"/>
                      <w:szCs w:val="20"/>
                      <w:lang w:val="en-GB"/>
                    </w:rPr>
                  </w:pPr>
                </w:p>
                <w:p w:rsidR="00D40E34" w:rsidRPr="00D40E34" w:rsidRDefault="00D40E34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6"/>
                      <w:szCs w:val="20"/>
                      <w:lang w:val="en-GB"/>
                    </w:rPr>
                  </w:pPr>
                  <w:r w:rsidRPr="00D40E34">
                    <w:rPr>
                      <w:rFonts w:cstheme="minorHAnsi"/>
                      <w:b/>
                      <w:szCs w:val="20"/>
                      <w:lang w:val="en-GB"/>
                    </w:rPr>
                    <w:t>Foreign trade deficit declined by 8.6%. Exports and imports declined by 24.4 and 12.7% respectively.</w:t>
                  </w:r>
                </w:p>
                <w:p w:rsidR="00D40E34" w:rsidRPr="00D40E34" w:rsidRDefault="00D40E34" w:rsidP="00D800B5">
                  <w:pPr>
                    <w:pStyle w:val="NoSpacing"/>
                    <w:ind w:left="567"/>
                    <w:rPr>
                      <w:b/>
                      <w:sz w:val="28"/>
                      <w:szCs w:val="20"/>
                      <w:lang w:val="en-GB"/>
                    </w:rPr>
                  </w:pPr>
                </w:p>
              </w:txbxContent>
            </v:textbox>
            <w10:wrap type="tight" anchorx="margin" anchory="margin"/>
          </v:shape>
        </w:pict>
      </w:r>
    </w:p>
    <w:p w:rsidR="0082570B" w:rsidRPr="00D40E34" w:rsidRDefault="0082570B" w:rsidP="00D20CDA">
      <w:pPr>
        <w:spacing w:after="0" w:line="240" w:lineRule="auto"/>
        <w:rPr>
          <w:rFonts w:cs="Calibri"/>
          <w:bCs/>
          <w:iCs/>
          <w:sz w:val="26"/>
          <w:szCs w:val="26"/>
        </w:rPr>
      </w:pPr>
    </w:p>
    <w:p w:rsidR="0082570B" w:rsidRPr="00D40E34" w:rsidRDefault="0082570B" w:rsidP="00D61692">
      <w:pPr>
        <w:pStyle w:val="NoSpacing"/>
        <w:rPr>
          <w:bCs/>
          <w:iCs/>
          <w:sz w:val="26"/>
          <w:szCs w:val="26"/>
          <w:lang w:val="en-GB"/>
        </w:rPr>
      </w:pPr>
    </w:p>
    <w:p w:rsidR="0082570B" w:rsidRPr="00D40E34" w:rsidRDefault="0082570B" w:rsidP="00694445">
      <w:pPr>
        <w:pStyle w:val="NoSpacing"/>
        <w:rPr>
          <w:bCs/>
          <w:sz w:val="28"/>
          <w:szCs w:val="20"/>
          <w:lang w:val="en-GB"/>
        </w:rPr>
      </w:pPr>
    </w:p>
    <w:p w:rsidR="0082570B" w:rsidRPr="00D40E34" w:rsidRDefault="0082570B" w:rsidP="003324D9">
      <w:pPr>
        <w:pStyle w:val="NoSpacing"/>
        <w:rPr>
          <w:sz w:val="32"/>
          <w:lang w:val="en-GB"/>
        </w:rPr>
      </w:pPr>
    </w:p>
    <w:p w:rsidR="0082570B" w:rsidRPr="00D40E34" w:rsidRDefault="0082570B" w:rsidP="003324D9">
      <w:pPr>
        <w:pStyle w:val="NoSpacing"/>
        <w:rPr>
          <w:sz w:val="32"/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lang w:val="en-GB"/>
        </w:rPr>
      </w:pPr>
    </w:p>
    <w:p w:rsidR="0082570B" w:rsidRPr="00D40E34" w:rsidRDefault="0082570B" w:rsidP="003324D9">
      <w:pPr>
        <w:pStyle w:val="NoSpacing"/>
        <w:rPr>
          <w:b/>
          <w:bCs/>
          <w:color w:val="000000"/>
          <w:sz w:val="16"/>
          <w:szCs w:val="16"/>
          <w:lang w:val="en-GB"/>
        </w:rPr>
      </w:pPr>
    </w:p>
    <w:p w:rsidR="0082570B" w:rsidRPr="00D40E34" w:rsidRDefault="0082570B" w:rsidP="003324D9">
      <w:pPr>
        <w:pStyle w:val="NoSpacing"/>
        <w:rPr>
          <w:b/>
          <w:bCs/>
          <w:color w:val="000000"/>
          <w:sz w:val="16"/>
          <w:szCs w:val="16"/>
          <w:lang w:val="en-GB"/>
        </w:rPr>
      </w:pPr>
    </w:p>
    <w:p w:rsidR="0082570B" w:rsidRPr="00D40E34" w:rsidRDefault="00665A5C" w:rsidP="00A423C3">
      <w:pPr>
        <w:pStyle w:val="NoSpacing"/>
        <w:outlineLvl w:val="0"/>
        <w:rPr>
          <w:bCs/>
          <w:color w:val="000000"/>
          <w:sz w:val="16"/>
          <w:szCs w:val="16"/>
          <w:lang w:val="en-GB"/>
        </w:rPr>
      </w:pPr>
      <w:r w:rsidRPr="00D40E34">
        <w:rPr>
          <w:b/>
          <w:bCs/>
          <w:color w:val="000000"/>
          <w:sz w:val="16"/>
          <w:szCs w:val="16"/>
          <w:lang w:val="en-GB"/>
        </w:rPr>
        <w:t>Authors</w:t>
      </w:r>
      <w:r w:rsidR="00D40E34">
        <w:rPr>
          <w:b/>
          <w:bCs/>
          <w:color w:val="000000"/>
          <w:sz w:val="16"/>
          <w:szCs w:val="16"/>
          <w:lang w:val="en-GB"/>
        </w:rPr>
        <w:t>’</w:t>
      </w:r>
      <w:r w:rsidRPr="00D40E34">
        <w:rPr>
          <w:b/>
          <w:bCs/>
          <w:color w:val="000000"/>
          <w:sz w:val="16"/>
          <w:szCs w:val="16"/>
          <w:lang w:val="en-GB"/>
        </w:rPr>
        <w:t xml:space="preserve"> team</w:t>
      </w:r>
      <w:r w:rsidR="0082570B" w:rsidRPr="00D40E34">
        <w:rPr>
          <w:b/>
          <w:bCs/>
          <w:color w:val="000000"/>
          <w:sz w:val="16"/>
          <w:szCs w:val="16"/>
          <w:lang w:val="en-GB"/>
        </w:rPr>
        <w:t xml:space="preserve">: </w:t>
      </w:r>
      <w:r w:rsidR="00423EE9" w:rsidRPr="00D40E34">
        <w:rPr>
          <w:bCs/>
          <w:color w:val="000000"/>
          <w:sz w:val="16"/>
          <w:szCs w:val="16"/>
          <w:lang w:val="en-GB"/>
        </w:rPr>
        <w:t xml:space="preserve">Radovan </w:t>
      </w:r>
      <w:proofErr w:type="spellStart"/>
      <w:r w:rsidR="00423EE9" w:rsidRPr="00D40E34">
        <w:rPr>
          <w:bCs/>
          <w:color w:val="000000"/>
          <w:sz w:val="16"/>
          <w:szCs w:val="16"/>
          <w:lang w:val="en-GB"/>
        </w:rPr>
        <w:t>Živković</w:t>
      </w:r>
      <w:proofErr w:type="spellEnd"/>
      <w:r w:rsidR="002A2CED" w:rsidRPr="00D40E34">
        <w:rPr>
          <w:bCs/>
          <w:color w:val="000000"/>
          <w:sz w:val="16"/>
          <w:szCs w:val="16"/>
          <w:lang w:val="en-GB"/>
        </w:rPr>
        <w:t xml:space="preserve">, </w:t>
      </w:r>
      <w:proofErr w:type="spellStart"/>
      <w:r w:rsidR="002A2CED" w:rsidRPr="00D40E34">
        <w:rPr>
          <w:bCs/>
          <w:color w:val="000000"/>
          <w:sz w:val="16"/>
          <w:szCs w:val="16"/>
          <w:lang w:val="en-GB"/>
        </w:rPr>
        <w:t>Radojka</w:t>
      </w:r>
      <w:proofErr w:type="spellEnd"/>
      <w:r w:rsidR="002A2CED" w:rsidRPr="00D40E34">
        <w:rPr>
          <w:bCs/>
          <w:color w:val="000000"/>
          <w:sz w:val="16"/>
          <w:szCs w:val="16"/>
          <w:lang w:val="en-GB"/>
        </w:rPr>
        <w:t xml:space="preserve"> </w:t>
      </w:r>
      <w:proofErr w:type="spellStart"/>
      <w:r w:rsidR="002A2CED" w:rsidRPr="00D40E34">
        <w:rPr>
          <w:bCs/>
          <w:color w:val="000000"/>
          <w:sz w:val="16"/>
          <w:szCs w:val="16"/>
          <w:lang w:val="en-GB"/>
        </w:rPr>
        <w:t>Martinović</w:t>
      </w:r>
      <w:proofErr w:type="spellEnd"/>
      <w:r w:rsidR="00423EE9" w:rsidRPr="00D40E34">
        <w:rPr>
          <w:bCs/>
          <w:color w:val="000000"/>
          <w:sz w:val="16"/>
          <w:szCs w:val="16"/>
          <w:lang w:val="en-GB"/>
        </w:rPr>
        <w:t xml:space="preserve">, </w:t>
      </w:r>
      <w:proofErr w:type="spellStart"/>
      <w:r w:rsidR="00423EE9" w:rsidRPr="00D40E34">
        <w:rPr>
          <w:bCs/>
          <w:color w:val="000000"/>
          <w:sz w:val="16"/>
          <w:szCs w:val="16"/>
          <w:lang w:val="en-GB"/>
        </w:rPr>
        <w:t>Olja</w:t>
      </w:r>
      <w:proofErr w:type="spellEnd"/>
      <w:r w:rsidR="00423EE9" w:rsidRPr="00D40E34">
        <w:rPr>
          <w:bCs/>
          <w:color w:val="000000"/>
          <w:sz w:val="16"/>
          <w:szCs w:val="16"/>
          <w:lang w:val="en-GB"/>
        </w:rPr>
        <w:t xml:space="preserve"> </w:t>
      </w:r>
      <w:proofErr w:type="spellStart"/>
      <w:r w:rsidR="00423EE9" w:rsidRPr="00D40E34">
        <w:rPr>
          <w:bCs/>
          <w:color w:val="000000"/>
          <w:sz w:val="16"/>
          <w:szCs w:val="16"/>
          <w:lang w:val="en-GB"/>
        </w:rPr>
        <w:t>Tomanović</w:t>
      </w:r>
      <w:proofErr w:type="spellEnd"/>
      <w:r w:rsidR="00423EE9" w:rsidRPr="00D40E34">
        <w:rPr>
          <w:bCs/>
          <w:color w:val="000000"/>
          <w:sz w:val="16"/>
          <w:szCs w:val="16"/>
          <w:lang w:val="en-GB"/>
        </w:rPr>
        <w:t xml:space="preserve">, </w:t>
      </w:r>
      <w:proofErr w:type="spellStart"/>
      <w:r w:rsidR="00423EE9" w:rsidRPr="00D40E34">
        <w:rPr>
          <w:bCs/>
          <w:color w:val="000000"/>
          <w:sz w:val="16"/>
          <w:szCs w:val="16"/>
          <w:lang w:val="en-GB"/>
        </w:rPr>
        <w:t>Stanko</w:t>
      </w:r>
      <w:proofErr w:type="spellEnd"/>
      <w:r w:rsidR="00423EE9" w:rsidRPr="00D40E34">
        <w:rPr>
          <w:bCs/>
          <w:color w:val="000000"/>
          <w:sz w:val="16"/>
          <w:szCs w:val="16"/>
          <w:lang w:val="en-GB"/>
        </w:rPr>
        <w:t xml:space="preserve"> </w:t>
      </w:r>
      <w:proofErr w:type="spellStart"/>
      <w:r w:rsidR="00423EE9" w:rsidRPr="00D40E34">
        <w:rPr>
          <w:bCs/>
          <w:color w:val="000000"/>
          <w:sz w:val="16"/>
          <w:szCs w:val="16"/>
          <w:lang w:val="en-GB"/>
        </w:rPr>
        <w:t>Jeknić</w:t>
      </w:r>
      <w:proofErr w:type="spellEnd"/>
      <w:r w:rsidR="002A2CED" w:rsidRPr="00D40E34">
        <w:rPr>
          <w:bCs/>
          <w:color w:val="000000"/>
          <w:sz w:val="16"/>
          <w:szCs w:val="16"/>
          <w:lang w:val="en-GB"/>
        </w:rPr>
        <w:t>,</w:t>
      </w:r>
      <w:r w:rsidR="00D40E34">
        <w:rPr>
          <w:bCs/>
          <w:color w:val="000000"/>
          <w:sz w:val="16"/>
          <w:szCs w:val="16"/>
          <w:lang w:val="en-GB"/>
        </w:rPr>
        <w:t xml:space="preserve"> </w:t>
      </w:r>
      <w:r w:rsidR="00EB54F9" w:rsidRPr="00D40E34">
        <w:rPr>
          <w:bCs/>
          <w:color w:val="000000"/>
          <w:sz w:val="16"/>
          <w:szCs w:val="16"/>
          <w:lang w:val="en-GB"/>
        </w:rPr>
        <w:t xml:space="preserve">Vesna </w:t>
      </w:r>
      <w:proofErr w:type="spellStart"/>
      <w:r w:rsidR="00EB54F9" w:rsidRPr="00D40E34">
        <w:rPr>
          <w:bCs/>
          <w:color w:val="000000"/>
          <w:sz w:val="16"/>
          <w:szCs w:val="16"/>
          <w:lang w:val="en-GB"/>
        </w:rPr>
        <w:t>Obradović</w:t>
      </w:r>
      <w:proofErr w:type="spellEnd"/>
      <w:r w:rsidR="004B5F63" w:rsidRPr="00D40E34">
        <w:rPr>
          <w:bCs/>
          <w:color w:val="000000"/>
          <w:sz w:val="16"/>
          <w:szCs w:val="16"/>
          <w:lang w:val="en-GB"/>
        </w:rPr>
        <w:t xml:space="preserve">, Marija </w:t>
      </w:r>
      <w:proofErr w:type="spellStart"/>
      <w:r w:rsidR="004B5F63" w:rsidRPr="00D40E34">
        <w:rPr>
          <w:bCs/>
          <w:color w:val="000000"/>
          <w:sz w:val="16"/>
          <w:szCs w:val="16"/>
          <w:lang w:val="en-GB"/>
        </w:rPr>
        <w:t>Novosel</w:t>
      </w:r>
      <w:proofErr w:type="spellEnd"/>
      <w:r w:rsidR="00A423C3" w:rsidRPr="00D40E34">
        <w:rPr>
          <w:bCs/>
          <w:color w:val="000000"/>
          <w:sz w:val="16"/>
          <w:szCs w:val="16"/>
          <w:lang w:val="en-GB"/>
        </w:rPr>
        <w:t>,</w:t>
      </w:r>
      <w:r w:rsidR="002A2CED" w:rsidRPr="00D40E34">
        <w:rPr>
          <w:bCs/>
          <w:color w:val="000000"/>
          <w:sz w:val="16"/>
          <w:szCs w:val="16"/>
          <w:lang w:val="en-GB"/>
        </w:rPr>
        <w:t xml:space="preserve"> Zdenka</w:t>
      </w:r>
      <w:r w:rsidR="00D40E34">
        <w:rPr>
          <w:bCs/>
          <w:color w:val="000000"/>
          <w:sz w:val="16"/>
          <w:szCs w:val="16"/>
          <w:lang w:val="en-GB"/>
        </w:rPr>
        <w:t xml:space="preserve"> </w:t>
      </w:r>
      <w:proofErr w:type="spellStart"/>
      <w:r w:rsidR="002A2CED" w:rsidRPr="00D40E34">
        <w:rPr>
          <w:bCs/>
          <w:color w:val="000000"/>
          <w:sz w:val="16"/>
          <w:szCs w:val="16"/>
          <w:lang w:val="en-GB"/>
        </w:rPr>
        <w:t>Dabović</w:t>
      </w:r>
      <w:proofErr w:type="spellEnd"/>
      <w:r w:rsidR="00A67F78" w:rsidRPr="00D40E34">
        <w:rPr>
          <w:bCs/>
          <w:color w:val="000000"/>
          <w:sz w:val="16"/>
          <w:szCs w:val="16"/>
          <w:lang w:val="en-GB"/>
        </w:rPr>
        <w:t xml:space="preserve">, </w:t>
      </w:r>
      <w:proofErr w:type="spellStart"/>
      <w:r w:rsidR="00A67F78" w:rsidRPr="00D40E34">
        <w:rPr>
          <w:bCs/>
          <w:color w:val="000000"/>
          <w:sz w:val="16"/>
          <w:szCs w:val="16"/>
          <w:lang w:val="en-GB"/>
        </w:rPr>
        <w:t>Milanka</w:t>
      </w:r>
      <w:proofErr w:type="spellEnd"/>
      <w:r w:rsidR="00A67F78" w:rsidRPr="00D40E34">
        <w:rPr>
          <w:bCs/>
          <w:color w:val="000000"/>
          <w:sz w:val="16"/>
          <w:szCs w:val="16"/>
          <w:lang w:val="en-GB"/>
        </w:rPr>
        <w:t xml:space="preserve"> </w:t>
      </w:r>
      <w:proofErr w:type="spellStart"/>
      <w:r w:rsidR="00A67F78" w:rsidRPr="00D40E34">
        <w:rPr>
          <w:bCs/>
          <w:color w:val="000000"/>
          <w:sz w:val="16"/>
          <w:szCs w:val="16"/>
          <w:lang w:val="en-GB"/>
        </w:rPr>
        <w:t>Jovanović</w:t>
      </w:r>
      <w:proofErr w:type="spellEnd"/>
      <w:r w:rsidR="00A67F78" w:rsidRPr="00D40E34">
        <w:rPr>
          <w:bCs/>
          <w:color w:val="000000"/>
          <w:sz w:val="16"/>
          <w:szCs w:val="16"/>
          <w:lang w:val="en-GB"/>
        </w:rPr>
        <w:t xml:space="preserve"> </w:t>
      </w:r>
    </w:p>
    <w:p w:rsidR="00A67F78" w:rsidRPr="00D40E34" w:rsidRDefault="00A67F78" w:rsidP="00A423C3">
      <w:pPr>
        <w:pStyle w:val="NoSpacing"/>
        <w:outlineLvl w:val="0"/>
        <w:rPr>
          <w:bCs/>
          <w:color w:val="000000"/>
          <w:sz w:val="16"/>
          <w:szCs w:val="16"/>
          <w:lang w:val="en-GB"/>
        </w:rPr>
      </w:pPr>
    </w:p>
    <w:p w:rsidR="00A67F78" w:rsidRPr="00D40E34" w:rsidRDefault="00A67F78" w:rsidP="00A423C3">
      <w:pPr>
        <w:pStyle w:val="NoSpacing"/>
        <w:outlineLvl w:val="0"/>
        <w:rPr>
          <w:bCs/>
          <w:color w:val="000000"/>
          <w:sz w:val="16"/>
          <w:szCs w:val="16"/>
          <w:lang w:val="en-GB"/>
        </w:rPr>
      </w:pPr>
    </w:p>
    <w:p w:rsidR="00A67F78" w:rsidRPr="00D40E34" w:rsidRDefault="00A67F78" w:rsidP="00A423C3">
      <w:pPr>
        <w:pStyle w:val="NoSpacing"/>
        <w:outlineLvl w:val="0"/>
        <w:rPr>
          <w:bCs/>
          <w:color w:val="000000"/>
          <w:sz w:val="16"/>
          <w:szCs w:val="16"/>
          <w:lang w:val="en-GB"/>
        </w:rPr>
      </w:pPr>
    </w:p>
    <w:p w:rsidR="00A67F78" w:rsidRPr="00D40E34" w:rsidRDefault="00A67F78" w:rsidP="00A423C3">
      <w:pPr>
        <w:pStyle w:val="NoSpacing"/>
        <w:outlineLvl w:val="0"/>
        <w:rPr>
          <w:lang w:val="en-GB"/>
        </w:rPr>
      </w:pPr>
    </w:p>
    <w:tbl>
      <w:tblPr>
        <w:tblpPr w:leftFromText="180" w:rightFromText="180" w:vertAnchor="text" w:tblpX="108" w:tblpY="1"/>
        <w:tblOverlap w:val="never"/>
        <w:tblW w:w="10710" w:type="dxa"/>
        <w:tblBorders>
          <w:top w:val="thinThickSmallGap" w:sz="18" w:space="0" w:color="auto"/>
          <w:bottom w:val="thinThickSmallGap" w:sz="18" w:space="0" w:color="auto"/>
          <w:insideH w:val="thinThickSmallGap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3652"/>
        <w:gridCol w:w="112"/>
      </w:tblGrid>
      <w:tr w:rsidR="0082570B" w:rsidRPr="00D40E34" w:rsidTr="00431253">
        <w:trPr>
          <w:gridAfter w:val="1"/>
          <w:wAfter w:w="112" w:type="dxa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D40E34" w:rsidRDefault="00665A5C" w:rsidP="001D2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</w:pPr>
            <w:r w:rsidRPr="00D40E34">
              <w:rPr>
                <w:b/>
                <w:bCs/>
                <w:sz w:val="20"/>
                <w:szCs w:val="20"/>
              </w:rPr>
              <w:t>International Environment</w:t>
            </w:r>
          </w:p>
        </w:tc>
        <w:tc>
          <w:tcPr>
            <w:tcW w:w="3652" w:type="dxa"/>
            <w:vMerge w:val="restart"/>
            <w:tcBorders>
              <w:bottom w:val="nil"/>
            </w:tcBorders>
            <w:vAlign w:val="center"/>
          </w:tcPr>
          <w:p w:rsidR="0082570B" w:rsidRPr="00D40E34" w:rsidRDefault="00052732" w:rsidP="001D21B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40E34">
              <w:rPr>
                <w:rFonts w:cs="Calibr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>
                  <wp:extent cx="2089150" cy="1968500"/>
                  <wp:effectExtent l="0" t="0" r="6350" b="0"/>
                  <wp:docPr id="9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82570B" w:rsidRPr="00D40E34" w:rsidTr="00BC2C68">
        <w:trPr>
          <w:gridAfter w:val="1"/>
          <w:wAfter w:w="112" w:type="dxa"/>
          <w:trHeight w:hRule="exact" w:val="3378"/>
        </w:trPr>
        <w:tc>
          <w:tcPr>
            <w:tcW w:w="6946" w:type="dxa"/>
            <w:tcBorders>
              <w:top w:val="single" w:sz="4" w:space="0" w:color="auto"/>
            </w:tcBorders>
          </w:tcPr>
          <w:p w:rsidR="00052732" w:rsidRPr="00D40E34" w:rsidRDefault="00E17FAB" w:rsidP="00052732">
            <w:pPr>
              <w:spacing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D40E34">
              <w:rPr>
                <w:rFonts w:cs="Calibri"/>
                <w:b/>
                <w:bCs/>
                <w:sz w:val="20"/>
                <w:szCs w:val="20"/>
              </w:rPr>
              <w:t xml:space="preserve">Analysis of </w:t>
            </w:r>
            <w:r w:rsidR="000A0E78" w:rsidRPr="00D40E34">
              <w:rPr>
                <w:rFonts w:cs="Calibri"/>
                <w:b/>
                <w:bCs/>
                <w:sz w:val="20"/>
                <w:szCs w:val="20"/>
              </w:rPr>
              <w:t>competitiveness</w:t>
            </w:r>
            <w:r w:rsidRPr="00D40E34">
              <w:rPr>
                <w:rFonts w:cs="Calibri"/>
                <w:b/>
                <w:bCs/>
                <w:sz w:val="20"/>
                <w:szCs w:val="20"/>
              </w:rPr>
              <w:t xml:space="preserve"> based on </w:t>
            </w:r>
            <w:r w:rsidR="00052732" w:rsidRPr="00D40E34">
              <w:rPr>
                <w:rFonts w:cs="Calibri"/>
                <w:b/>
                <w:bCs/>
                <w:sz w:val="20"/>
                <w:szCs w:val="20"/>
              </w:rPr>
              <w:t>REER (</w:t>
            </w:r>
            <w:r w:rsidRPr="00D40E34">
              <w:rPr>
                <w:rFonts w:cs="Calibri"/>
                <w:b/>
                <w:bCs/>
                <w:sz w:val="20"/>
                <w:szCs w:val="20"/>
              </w:rPr>
              <w:t>Real Effective Exchange Rate)</w:t>
            </w:r>
            <w:r w:rsidR="000A0E78" w:rsidRPr="00D40E34">
              <w:rPr>
                <w:rFonts w:cs="Calibri"/>
                <w:b/>
                <w:bCs/>
                <w:sz w:val="20"/>
                <w:szCs w:val="20"/>
              </w:rPr>
              <w:t xml:space="preserve"> showed weakening of competitive position of Montenegro through strengthening of real exchange rate</w:t>
            </w:r>
            <w:r w:rsidR="00D40E34">
              <w:rPr>
                <w:rFonts w:cs="Calibri"/>
                <w:b/>
                <w:bCs/>
                <w:sz w:val="20"/>
                <w:szCs w:val="20"/>
              </w:rPr>
              <w:t xml:space="preserve"> of</w:t>
            </w:r>
            <w:r w:rsidR="00D40E34" w:rsidRPr="00D40E34">
              <w:rPr>
                <w:rFonts w:cs="Calibri"/>
                <w:b/>
                <w:bCs/>
                <w:sz w:val="20"/>
                <w:szCs w:val="20"/>
              </w:rPr>
              <w:t xml:space="preserve"> euro</w:t>
            </w:r>
            <w:r w:rsidR="00052732" w:rsidRPr="00D40E34">
              <w:rPr>
                <w:rFonts w:cs="Calibri"/>
                <w:bCs/>
                <w:sz w:val="20"/>
                <w:szCs w:val="20"/>
              </w:rPr>
              <w:t xml:space="preserve">. </w:t>
            </w:r>
            <w:r w:rsidR="000A0E78" w:rsidRPr="00D40E34">
              <w:rPr>
                <w:rFonts w:cs="Calibri"/>
                <w:bCs/>
                <w:sz w:val="20"/>
                <w:szCs w:val="20"/>
              </w:rPr>
              <w:t xml:space="preserve">Monthly REER analysis was made based on weighted average for 25 countries with which Montenegro has foreign trade exchange and which cover </w:t>
            </w:r>
            <w:r w:rsidR="00052732" w:rsidRPr="00D40E34">
              <w:rPr>
                <w:rFonts w:cs="Calibri"/>
                <w:bCs/>
                <w:sz w:val="20"/>
                <w:szCs w:val="20"/>
              </w:rPr>
              <w:t>93</w:t>
            </w:r>
            <w:r w:rsidR="000A0E78" w:rsidRPr="00D40E34">
              <w:rPr>
                <w:rFonts w:cs="Calibri"/>
                <w:bCs/>
                <w:sz w:val="20"/>
                <w:szCs w:val="20"/>
              </w:rPr>
              <w:t>.</w:t>
            </w:r>
            <w:r w:rsidR="00052732" w:rsidRPr="00D40E34">
              <w:rPr>
                <w:rFonts w:cs="Calibri"/>
                <w:bCs/>
                <w:sz w:val="20"/>
                <w:szCs w:val="20"/>
              </w:rPr>
              <w:t xml:space="preserve">9% </w:t>
            </w:r>
            <w:r w:rsidR="000A0E78" w:rsidRPr="00D40E34">
              <w:rPr>
                <w:rFonts w:cs="Calibri"/>
                <w:bCs/>
                <w:sz w:val="20"/>
                <w:szCs w:val="20"/>
              </w:rPr>
              <w:t>foreign exchange trade</w:t>
            </w:r>
            <w:r w:rsidR="00D40E34">
              <w:rPr>
                <w:rFonts w:cs="Calibri"/>
                <w:bCs/>
                <w:sz w:val="20"/>
                <w:szCs w:val="20"/>
              </w:rPr>
              <w:t xml:space="preserve">. It </w:t>
            </w:r>
            <w:r w:rsidR="000A0E78" w:rsidRPr="00D40E34">
              <w:rPr>
                <w:rFonts w:cs="Calibri"/>
                <w:bCs/>
                <w:sz w:val="20"/>
                <w:szCs w:val="20"/>
              </w:rPr>
              <w:t>represents real value of currency basket</w:t>
            </w:r>
            <w:r w:rsidR="00D40E34">
              <w:rPr>
                <w:rFonts w:cs="Calibri"/>
                <w:bCs/>
                <w:sz w:val="20"/>
                <w:szCs w:val="20"/>
              </w:rPr>
              <w:t xml:space="preserve"> of countries</w:t>
            </w:r>
            <w:r w:rsidR="000A0E78" w:rsidRPr="00D40E34">
              <w:rPr>
                <w:rFonts w:cs="Calibri"/>
                <w:bCs/>
                <w:sz w:val="20"/>
                <w:szCs w:val="20"/>
              </w:rPr>
              <w:t xml:space="preserve"> with which Montenegro performs foreign trade exchange</w:t>
            </w:r>
            <w:r w:rsidR="00052732" w:rsidRPr="00D40E34">
              <w:rPr>
                <w:rFonts w:cs="Calibri"/>
                <w:bCs/>
                <w:sz w:val="20"/>
                <w:szCs w:val="20"/>
              </w:rPr>
              <w:t xml:space="preserve">. </w:t>
            </w:r>
            <w:r w:rsidR="00D40E34">
              <w:rPr>
                <w:rFonts w:cs="Calibri"/>
                <w:bCs/>
                <w:sz w:val="20"/>
                <w:szCs w:val="20"/>
              </w:rPr>
              <w:t>The m</w:t>
            </w:r>
            <w:r w:rsidR="00052732" w:rsidRPr="00D40E34">
              <w:rPr>
                <w:rFonts w:cs="Calibri"/>
                <w:bCs/>
                <w:sz w:val="20"/>
                <w:szCs w:val="20"/>
              </w:rPr>
              <w:t>odel</w:t>
            </w:r>
            <w:r w:rsidR="000A0E78" w:rsidRPr="00D40E34">
              <w:rPr>
                <w:rFonts w:cs="Calibri"/>
                <w:bCs/>
                <w:sz w:val="20"/>
                <w:szCs w:val="20"/>
              </w:rPr>
              <w:t xml:space="preserve"> uses weighted geometry average for the calculation of no</w:t>
            </w:r>
            <w:r w:rsidR="00D40E34">
              <w:rPr>
                <w:rFonts w:cs="Calibri"/>
                <w:bCs/>
                <w:sz w:val="20"/>
                <w:szCs w:val="20"/>
              </w:rPr>
              <w:t>minal</w:t>
            </w:r>
            <w:r w:rsidR="000A0E78" w:rsidRPr="00D40E34">
              <w:rPr>
                <w:rFonts w:cs="Calibri"/>
                <w:bCs/>
                <w:sz w:val="20"/>
                <w:szCs w:val="20"/>
              </w:rPr>
              <w:t xml:space="preserve"> effective exchange rate weight for </w:t>
            </w:r>
            <w:r w:rsidR="00D40E34">
              <w:rPr>
                <w:rFonts w:cs="Calibri"/>
                <w:bCs/>
                <w:sz w:val="20"/>
                <w:szCs w:val="20"/>
              </w:rPr>
              <w:t xml:space="preserve">the </w:t>
            </w:r>
            <w:r w:rsidR="00052732" w:rsidRPr="00D40E34">
              <w:rPr>
                <w:rFonts w:cs="Calibri"/>
                <w:bCs/>
                <w:sz w:val="20"/>
                <w:szCs w:val="20"/>
              </w:rPr>
              <w:t>CPI (infla</w:t>
            </w:r>
            <w:r w:rsidR="000A0E78" w:rsidRPr="00D40E34">
              <w:rPr>
                <w:rFonts w:cs="Calibri"/>
                <w:bCs/>
                <w:sz w:val="20"/>
                <w:szCs w:val="20"/>
              </w:rPr>
              <w:t>tion</w:t>
            </w:r>
            <w:r w:rsidR="00052732" w:rsidRPr="00D40E34">
              <w:rPr>
                <w:rFonts w:cs="Calibri"/>
                <w:bCs/>
                <w:sz w:val="20"/>
                <w:szCs w:val="20"/>
              </w:rPr>
              <w:t xml:space="preserve">). </w:t>
            </w:r>
            <w:r w:rsidR="000A0E78" w:rsidRPr="00D40E34">
              <w:rPr>
                <w:rFonts w:cs="Calibri"/>
                <w:bCs/>
                <w:sz w:val="20"/>
                <w:szCs w:val="20"/>
              </w:rPr>
              <w:t xml:space="preserve">REER growth </w:t>
            </w:r>
            <w:r w:rsidR="00D75168" w:rsidRPr="00D40E34">
              <w:rPr>
                <w:rFonts w:cs="Calibri"/>
                <w:bCs/>
                <w:sz w:val="20"/>
                <w:szCs w:val="20"/>
              </w:rPr>
              <w:t xml:space="preserve">indicates </w:t>
            </w:r>
            <w:r w:rsidR="00D40E34">
              <w:rPr>
                <w:rFonts w:cs="Calibri"/>
                <w:bCs/>
                <w:sz w:val="20"/>
                <w:szCs w:val="20"/>
              </w:rPr>
              <w:t xml:space="preserve">to </w:t>
            </w:r>
            <w:r w:rsidR="00D75168" w:rsidRPr="00D40E34">
              <w:rPr>
                <w:rFonts w:cs="Calibri"/>
                <w:bCs/>
                <w:sz w:val="20"/>
                <w:szCs w:val="20"/>
              </w:rPr>
              <w:t>more expensive exports and cheaper import</w:t>
            </w:r>
            <w:r w:rsidR="00D40E34">
              <w:rPr>
                <w:rFonts w:cs="Calibri"/>
                <w:bCs/>
                <w:sz w:val="20"/>
                <w:szCs w:val="20"/>
              </w:rPr>
              <w:t>s</w:t>
            </w:r>
            <w:r w:rsidR="00D75168" w:rsidRPr="00D40E34">
              <w:rPr>
                <w:rFonts w:cs="Calibri"/>
                <w:bCs/>
                <w:sz w:val="20"/>
                <w:szCs w:val="20"/>
              </w:rPr>
              <w:t xml:space="preserve"> of </w:t>
            </w:r>
            <w:r w:rsidR="00D40E34">
              <w:rPr>
                <w:rFonts w:cs="Calibri"/>
                <w:bCs/>
                <w:sz w:val="20"/>
                <w:szCs w:val="20"/>
              </w:rPr>
              <w:t>visible and invisible trade</w:t>
            </w:r>
            <w:r w:rsidR="00D75168" w:rsidRPr="00D40E34">
              <w:rPr>
                <w:rFonts w:cs="Calibri"/>
                <w:bCs/>
                <w:sz w:val="20"/>
                <w:szCs w:val="20"/>
              </w:rPr>
              <w:t xml:space="preserve">. Model of growth of economic activities relies on import </w:t>
            </w:r>
            <w:r w:rsidR="00917ADD" w:rsidRPr="00D40E34">
              <w:rPr>
                <w:rFonts w:cs="Calibri"/>
                <w:bCs/>
                <w:sz w:val="20"/>
                <w:szCs w:val="20"/>
              </w:rPr>
              <w:t>component</w:t>
            </w:r>
            <w:r w:rsidR="00D40E34">
              <w:rPr>
                <w:rFonts w:cs="Calibri"/>
                <w:bCs/>
                <w:sz w:val="20"/>
                <w:szCs w:val="20"/>
              </w:rPr>
              <w:t>s</w:t>
            </w:r>
            <w:r w:rsidR="00917ADD" w:rsidRPr="00D40E34">
              <w:rPr>
                <w:rFonts w:cs="Calibri"/>
                <w:bCs/>
                <w:sz w:val="20"/>
                <w:szCs w:val="20"/>
              </w:rPr>
              <w:t>;</w:t>
            </w:r>
            <w:r w:rsidR="001627D5" w:rsidRPr="00D40E34">
              <w:rPr>
                <w:rFonts w:cs="Calibri"/>
                <w:bCs/>
                <w:sz w:val="20"/>
                <w:szCs w:val="20"/>
              </w:rPr>
              <w:t xml:space="preserve"> growth of export sector implies growth of import of products. Stronger effective exchange rate indicates that e.g. our tourist offer becomes less attractive relative to the competition</w:t>
            </w:r>
            <w:r w:rsidR="00052732" w:rsidRPr="00D40E34">
              <w:rPr>
                <w:rFonts w:cs="Calibri"/>
                <w:bCs/>
                <w:sz w:val="20"/>
                <w:szCs w:val="20"/>
              </w:rPr>
              <w:t xml:space="preserve">. </w:t>
            </w:r>
            <w:r w:rsidR="001627D5" w:rsidRPr="00D40E34">
              <w:rPr>
                <w:rFonts w:cs="Calibri"/>
                <w:bCs/>
                <w:sz w:val="20"/>
                <w:szCs w:val="20"/>
              </w:rPr>
              <w:t>Similarly, import of products becomes cheaper, so it is realistic that reduction in expenditures should reflect on lower prices of tourist offer</w:t>
            </w:r>
            <w:r w:rsidR="00052732" w:rsidRPr="00D40E34">
              <w:rPr>
                <w:rFonts w:cs="Calibri"/>
                <w:bCs/>
                <w:sz w:val="20"/>
                <w:szCs w:val="20"/>
              </w:rPr>
              <w:t xml:space="preserve">. </w:t>
            </w:r>
          </w:p>
          <w:p w:rsidR="00F61509" w:rsidRPr="00D40E34" w:rsidRDefault="00F61509" w:rsidP="004C206D">
            <w:pPr>
              <w:spacing w:line="240" w:lineRule="auto"/>
              <w:jc w:val="both"/>
              <w:rPr>
                <w:sz w:val="20"/>
              </w:rPr>
            </w:pPr>
          </w:p>
          <w:p w:rsidR="00754D46" w:rsidRPr="00D40E34" w:rsidRDefault="00754D46" w:rsidP="001D21BD">
            <w:pPr>
              <w:shd w:val="clear" w:color="auto" w:fill="FFFFFF"/>
              <w:spacing w:line="240" w:lineRule="auto"/>
              <w:jc w:val="both"/>
              <w:textAlignment w:val="top"/>
              <w:rPr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top w:val="nil"/>
            </w:tcBorders>
            <w:vAlign w:val="center"/>
          </w:tcPr>
          <w:p w:rsidR="0082570B" w:rsidRPr="00D40E34" w:rsidRDefault="0082570B" w:rsidP="001D21BD">
            <w:pPr>
              <w:spacing w:after="0" w:line="240" w:lineRule="auto"/>
              <w:ind w:left="34" w:hanging="34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2570B" w:rsidRPr="00D40E34" w:rsidTr="00431253">
        <w:trPr>
          <w:gridAfter w:val="1"/>
          <w:wAfter w:w="112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D40E34" w:rsidRDefault="001627D5" w:rsidP="00162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CaptionChar"/>
              </w:rPr>
            </w:pPr>
            <w:r w:rsidRPr="00D40E34">
              <w:rPr>
                <w:rStyle w:val="CaptionChar"/>
              </w:rPr>
              <w:t>Real Sector</w:t>
            </w:r>
          </w:p>
        </w:tc>
        <w:tc>
          <w:tcPr>
            <w:tcW w:w="3652" w:type="dxa"/>
            <w:vMerge w:val="restart"/>
            <w:vAlign w:val="center"/>
          </w:tcPr>
          <w:p w:rsidR="0082570B" w:rsidRPr="00D40E34" w:rsidRDefault="004F31D0" w:rsidP="001D21BD">
            <w:pPr>
              <w:spacing w:after="0" w:line="240" w:lineRule="auto"/>
              <w:ind w:left="-250"/>
              <w:jc w:val="center"/>
            </w:pPr>
            <w:r w:rsidRPr="00D40E34">
              <w:rPr>
                <w:noProof/>
                <w:lang w:val="en-US"/>
              </w:rPr>
              <w:drawing>
                <wp:inline distT="0" distB="0" distL="0" distR="0">
                  <wp:extent cx="2160000" cy="1800000"/>
                  <wp:effectExtent l="0" t="0" r="0" b="0"/>
                  <wp:docPr id="6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7D0106" w:rsidRPr="00D40E34" w:rsidTr="00917ADD">
        <w:trPr>
          <w:gridAfter w:val="1"/>
          <w:wAfter w:w="112" w:type="dxa"/>
          <w:trHeight w:hRule="exact" w:val="3433"/>
        </w:trPr>
        <w:tc>
          <w:tcPr>
            <w:tcW w:w="6946" w:type="dxa"/>
            <w:tcBorders>
              <w:top w:val="single" w:sz="4" w:space="0" w:color="auto"/>
            </w:tcBorders>
          </w:tcPr>
          <w:p w:rsidR="004F31D0" w:rsidRPr="00D40E34" w:rsidRDefault="001627D5" w:rsidP="004F31D0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40E34">
              <w:rPr>
                <w:rFonts w:cs="Calibri"/>
                <w:b/>
                <w:sz w:val="20"/>
                <w:szCs w:val="20"/>
              </w:rPr>
              <w:t xml:space="preserve">Available </w:t>
            </w:r>
            <w:r w:rsidR="00D40E34">
              <w:rPr>
                <w:rFonts w:cs="Calibri"/>
                <w:b/>
                <w:sz w:val="20"/>
                <w:szCs w:val="20"/>
              </w:rPr>
              <w:t xml:space="preserve">indicators </w:t>
            </w:r>
            <w:r w:rsidRPr="00D40E34">
              <w:rPr>
                <w:rFonts w:cs="Calibri"/>
                <w:b/>
                <w:sz w:val="20"/>
                <w:szCs w:val="20"/>
              </w:rPr>
              <w:t>of real sector activity for February 2014 show</w:t>
            </w:r>
            <w:r w:rsidR="00D40E34">
              <w:rPr>
                <w:rFonts w:cs="Calibri"/>
                <w:b/>
                <w:sz w:val="20"/>
                <w:szCs w:val="20"/>
              </w:rPr>
              <w:t>ed</w:t>
            </w:r>
            <w:r w:rsidRPr="00D40E34">
              <w:rPr>
                <w:rFonts w:cs="Calibri"/>
                <w:b/>
                <w:sz w:val="20"/>
                <w:szCs w:val="20"/>
              </w:rPr>
              <w:t xml:space="preserve"> growth in majority of </w:t>
            </w:r>
            <w:r w:rsidR="00D40E34">
              <w:rPr>
                <w:rFonts w:cs="Calibri"/>
                <w:b/>
                <w:sz w:val="20"/>
                <w:szCs w:val="20"/>
              </w:rPr>
              <w:t>industries</w:t>
            </w:r>
            <w:r w:rsidR="004F31D0" w:rsidRPr="00D40E34">
              <w:rPr>
                <w:sz w:val="20"/>
                <w:szCs w:val="20"/>
              </w:rPr>
              <w:t>.</w:t>
            </w:r>
            <w:r w:rsidR="00D40E34">
              <w:rPr>
                <w:sz w:val="20"/>
                <w:szCs w:val="20"/>
              </w:rPr>
              <w:t xml:space="preserve"> </w:t>
            </w:r>
            <w:r w:rsidRPr="00D40E34">
              <w:rPr>
                <w:sz w:val="20"/>
                <w:szCs w:val="20"/>
              </w:rPr>
              <w:t xml:space="preserve">Retail trade turnover recorded lower growth relative to the previous year (high base in 2013 due to the reclassification of </w:t>
            </w:r>
            <w:r w:rsidR="003E099C" w:rsidRPr="00D40E34">
              <w:rPr>
                <w:sz w:val="20"/>
                <w:szCs w:val="20"/>
              </w:rPr>
              <w:t>wholesale chain stores into retail</w:t>
            </w:r>
            <w:r w:rsidR="004F31D0" w:rsidRPr="00D40E34">
              <w:rPr>
                <w:sz w:val="20"/>
                <w:szCs w:val="20"/>
              </w:rPr>
              <w:t xml:space="preserve">). </w:t>
            </w:r>
            <w:r w:rsidR="003E099C" w:rsidRPr="00D40E34">
              <w:rPr>
                <w:sz w:val="20"/>
                <w:szCs w:val="20"/>
              </w:rPr>
              <w:t xml:space="preserve">Annual retail growth in February 2014 (current prices) amounted to </w:t>
            </w:r>
            <w:r w:rsidR="004F31D0" w:rsidRPr="00D40E34">
              <w:rPr>
                <w:sz w:val="20"/>
                <w:szCs w:val="20"/>
              </w:rPr>
              <w:t>4</w:t>
            </w:r>
            <w:r w:rsidR="003E099C" w:rsidRPr="00D40E34">
              <w:rPr>
                <w:sz w:val="20"/>
                <w:szCs w:val="20"/>
              </w:rPr>
              <w:t>.</w:t>
            </w:r>
            <w:r w:rsidR="004F31D0" w:rsidRPr="00D40E34">
              <w:rPr>
                <w:sz w:val="20"/>
                <w:szCs w:val="20"/>
              </w:rPr>
              <w:t>9%,</w:t>
            </w:r>
            <w:r w:rsidR="003E099C" w:rsidRPr="00D40E34">
              <w:rPr>
                <w:sz w:val="20"/>
                <w:szCs w:val="20"/>
              </w:rPr>
              <w:t xml:space="preserve"> while turnover growth of 1.4% was recorded in </w:t>
            </w:r>
            <w:r w:rsidR="00D40E34">
              <w:rPr>
                <w:sz w:val="20"/>
                <w:szCs w:val="20"/>
              </w:rPr>
              <w:t xml:space="preserve">period </w:t>
            </w:r>
            <w:r w:rsidR="003E099C" w:rsidRPr="00D40E34">
              <w:rPr>
                <w:sz w:val="20"/>
                <w:szCs w:val="20"/>
              </w:rPr>
              <w:t>January-February</w:t>
            </w:r>
            <w:r w:rsidR="004F31D0" w:rsidRPr="00D40E34">
              <w:rPr>
                <w:sz w:val="20"/>
                <w:szCs w:val="20"/>
              </w:rPr>
              <w:t xml:space="preserve">. </w:t>
            </w:r>
            <w:r w:rsidR="003E099C" w:rsidRPr="00D40E34">
              <w:rPr>
                <w:sz w:val="20"/>
                <w:szCs w:val="20"/>
              </w:rPr>
              <w:t xml:space="preserve">Industrial output grew by </w:t>
            </w:r>
            <w:r w:rsidR="004F31D0" w:rsidRPr="00D40E34">
              <w:rPr>
                <w:sz w:val="20"/>
                <w:szCs w:val="20"/>
              </w:rPr>
              <w:t>5</w:t>
            </w:r>
            <w:r w:rsidR="003E099C" w:rsidRPr="00D40E34">
              <w:rPr>
                <w:sz w:val="20"/>
                <w:szCs w:val="20"/>
              </w:rPr>
              <w:t>.</w:t>
            </w:r>
            <w:r w:rsidR="004F31D0" w:rsidRPr="00D40E34">
              <w:rPr>
                <w:sz w:val="20"/>
                <w:szCs w:val="20"/>
              </w:rPr>
              <w:t>7%</w:t>
            </w:r>
            <w:r w:rsidR="00D40E34" w:rsidRPr="00D40E34">
              <w:rPr>
                <w:sz w:val="20"/>
                <w:szCs w:val="20"/>
              </w:rPr>
              <w:t xml:space="preserve"> in February</w:t>
            </w:r>
            <w:r w:rsidR="00D40E34">
              <w:rPr>
                <w:sz w:val="20"/>
                <w:szCs w:val="20"/>
              </w:rPr>
              <w:t>,</w:t>
            </w:r>
            <w:r w:rsidR="00D40E34" w:rsidRPr="00D40E34">
              <w:rPr>
                <w:sz w:val="20"/>
                <w:szCs w:val="20"/>
              </w:rPr>
              <w:t xml:space="preserve"> </w:t>
            </w:r>
            <w:r w:rsidR="003E099C" w:rsidRPr="00D40E34">
              <w:rPr>
                <w:sz w:val="20"/>
                <w:szCs w:val="20"/>
              </w:rPr>
              <w:t xml:space="preserve">while growth since the beginning of the year amounted to </w:t>
            </w:r>
            <w:r w:rsidR="004F31D0" w:rsidRPr="00D40E34">
              <w:rPr>
                <w:sz w:val="20"/>
                <w:szCs w:val="20"/>
              </w:rPr>
              <w:t>6</w:t>
            </w:r>
            <w:r w:rsidR="003E099C" w:rsidRPr="00D40E34">
              <w:rPr>
                <w:sz w:val="20"/>
                <w:szCs w:val="20"/>
              </w:rPr>
              <w:t>.</w:t>
            </w:r>
            <w:r w:rsidR="004F31D0" w:rsidRPr="00D40E34">
              <w:rPr>
                <w:sz w:val="20"/>
                <w:szCs w:val="20"/>
              </w:rPr>
              <w:t xml:space="preserve">5%. </w:t>
            </w:r>
            <w:r w:rsidR="003E099C" w:rsidRPr="00D40E34">
              <w:rPr>
                <w:sz w:val="20"/>
                <w:szCs w:val="20"/>
              </w:rPr>
              <w:t>Annual growth of industrial output</w:t>
            </w:r>
            <w:r w:rsidR="004F31D0" w:rsidRPr="00D40E34">
              <w:rPr>
                <w:sz w:val="20"/>
                <w:szCs w:val="20"/>
              </w:rPr>
              <w:t xml:space="preserve"> (5</w:t>
            </w:r>
            <w:r w:rsidR="003E099C" w:rsidRPr="00D40E34">
              <w:rPr>
                <w:sz w:val="20"/>
                <w:szCs w:val="20"/>
              </w:rPr>
              <w:t>.</w:t>
            </w:r>
            <w:r w:rsidR="004F31D0" w:rsidRPr="00D40E34">
              <w:rPr>
                <w:sz w:val="20"/>
                <w:szCs w:val="20"/>
              </w:rPr>
              <w:t xml:space="preserve">7%) </w:t>
            </w:r>
            <w:r w:rsidR="00D40E34">
              <w:rPr>
                <w:sz w:val="20"/>
                <w:szCs w:val="20"/>
              </w:rPr>
              <w:t>primarily</w:t>
            </w:r>
            <w:r w:rsidR="003E099C" w:rsidRPr="00D40E34">
              <w:rPr>
                <w:sz w:val="20"/>
                <w:szCs w:val="20"/>
              </w:rPr>
              <w:t xml:space="preserve"> resulted from the growth in “manufacturing industry”</w:t>
            </w:r>
            <w:r w:rsidR="00D40E34">
              <w:rPr>
                <w:sz w:val="20"/>
                <w:szCs w:val="20"/>
              </w:rPr>
              <w:t xml:space="preserve"> </w:t>
            </w:r>
            <w:r w:rsidR="004F31D0" w:rsidRPr="00D40E34">
              <w:rPr>
                <w:sz w:val="20"/>
                <w:szCs w:val="20"/>
              </w:rPr>
              <w:t>(29</w:t>
            </w:r>
            <w:r w:rsidR="003E099C" w:rsidRPr="00D40E34">
              <w:rPr>
                <w:sz w:val="20"/>
                <w:szCs w:val="20"/>
              </w:rPr>
              <w:t xml:space="preserve">.6% due to </w:t>
            </w:r>
            <w:r w:rsidR="00D40E34">
              <w:rPr>
                <w:sz w:val="20"/>
                <w:szCs w:val="20"/>
              </w:rPr>
              <w:t xml:space="preserve">the </w:t>
            </w:r>
            <w:r w:rsidR="003E099C" w:rsidRPr="00D40E34">
              <w:rPr>
                <w:sz w:val="20"/>
                <w:szCs w:val="20"/>
              </w:rPr>
              <w:t>increased production of food, beverages and pharmaceutical products</w:t>
            </w:r>
            <w:r w:rsidR="004F31D0" w:rsidRPr="00D40E34">
              <w:rPr>
                <w:sz w:val="20"/>
                <w:szCs w:val="20"/>
              </w:rPr>
              <w:t xml:space="preserve">), </w:t>
            </w:r>
            <w:r w:rsidR="003E099C" w:rsidRPr="00D40E34">
              <w:rPr>
                <w:sz w:val="20"/>
                <w:szCs w:val="20"/>
              </w:rPr>
              <w:t xml:space="preserve">while the production in “electricity, gas and steam supply” </w:t>
            </w:r>
            <w:r w:rsidR="00D40E34">
              <w:rPr>
                <w:sz w:val="20"/>
                <w:szCs w:val="20"/>
              </w:rPr>
              <w:t xml:space="preserve">sector </w:t>
            </w:r>
            <w:r w:rsidR="003E099C" w:rsidRPr="00D40E34">
              <w:rPr>
                <w:sz w:val="20"/>
                <w:szCs w:val="20"/>
              </w:rPr>
              <w:t>declined by 9.</w:t>
            </w:r>
            <w:r w:rsidR="004F31D0" w:rsidRPr="00D40E34">
              <w:rPr>
                <w:sz w:val="20"/>
                <w:szCs w:val="20"/>
              </w:rPr>
              <w:t>4%</w:t>
            </w:r>
            <w:r w:rsidR="00D40E34">
              <w:rPr>
                <w:sz w:val="20"/>
                <w:szCs w:val="20"/>
              </w:rPr>
              <w:t xml:space="preserve"> </w:t>
            </w:r>
            <w:r w:rsidR="004F31D0" w:rsidRPr="00D40E34">
              <w:rPr>
                <w:sz w:val="20"/>
                <w:szCs w:val="20"/>
              </w:rPr>
              <w:t>(</w:t>
            </w:r>
            <w:r w:rsidR="003E099C" w:rsidRPr="00D40E34">
              <w:rPr>
                <w:sz w:val="20"/>
                <w:szCs w:val="20"/>
              </w:rPr>
              <w:t>high base from the previous year</w:t>
            </w:r>
            <w:r w:rsidR="004F31D0" w:rsidRPr="00D40E34">
              <w:rPr>
                <w:sz w:val="20"/>
                <w:szCs w:val="20"/>
              </w:rPr>
              <w:t xml:space="preserve">). </w:t>
            </w:r>
            <w:r w:rsidR="003E099C" w:rsidRPr="00D40E34">
              <w:rPr>
                <w:sz w:val="20"/>
                <w:szCs w:val="20"/>
              </w:rPr>
              <w:t xml:space="preserve">Turnover in tourism in February recorded y-o-y growth in tourist arrivals </w:t>
            </w:r>
            <w:r w:rsidR="004F31D0" w:rsidRPr="00D40E34">
              <w:rPr>
                <w:sz w:val="20"/>
                <w:szCs w:val="20"/>
              </w:rPr>
              <w:t>(6</w:t>
            </w:r>
            <w:r w:rsidR="003E099C" w:rsidRPr="00D40E34">
              <w:rPr>
                <w:sz w:val="20"/>
                <w:szCs w:val="20"/>
              </w:rPr>
              <w:t>.</w:t>
            </w:r>
            <w:r w:rsidR="004F31D0" w:rsidRPr="00D40E34">
              <w:rPr>
                <w:sz w:val="20"/>
                <w:szCs w:val="20"/>
              </w:rPr>
              <w:t>1%)</w:t>
            </w:r>
            <w:r w:rsidR="003E099C" w:rsidRPr="00D40E34">
              <w:rPr>
                <w:sz w:val="20"/>
                <w:szCs w:val="20"/>
              </w:rPr>
              <w:t xml:space="preserve"> and tourist overnights</w:t>
            </w:r>
            <w:r w:rsidR="004F31D0" w:rsidRPr="00D40E34">
              <w:rPr>
                <w:sz w:val="20"/>
                <w:szCs w:val="20"/>
              </w:rPr>
              <w:t xml:space="preserve"> (2</w:t>
            </w:r>
            <w:r w:rsidR="003E099C" w:rsidRPr="00D40E34">
              <w:rPr>
                <w:sz w:val="20"/>
                <w:szCs w:val="20"/>
              </w:rPr>
              <w:t>.</w:t>
            </w:r>
            <w:r w:rsidR="004F31D0" w:rsidRPr="00D40E34">
              <w:rPr>
                <w:sz w:val="20"/>
                <w:szCs w:val="20"/>
              </w:rPr>
              <w:t xml:space="preserve">7%). </w:t>
            </w:r>
            <w:r w:rsidR="00BA258D" w:rsidRPr="00D40E34">
              <w:rPr>
                <w:sz w:val="20"/>
                <w:szCs w:val="20"/>
              </w:rPr>
              <w:t xml:space="preserve">Of total number of tourist overnights, the majority was in </w:t>
            </w:r>
            <w:proofErr w:type="spellStart"/>
            <w:r w:rsidR="00BA258D" w:rsidRPr="00D40E34">
              <w:rPr>
                <w:sz w:val="20"/>
                <w:szCs w:val="20"/>
              </w:rPr>
              <w:t>Herceg</w:t>
            </w:r>
            <w:proofErr w:type="spellEnd"/>
            <w:r w:rsidR="00BA258D" w:rsidRPr="00D40E34">
              <w:rPr>
                <w:sz w:val="20"/>
                <w:szCs w:val="20"/>
              </w:rPr>
              <w:t xml:space="preserve"> Novi (25.9%), </w:t>
            </w:r>
            <w:proofErr w:type="spellStart"/>
            <w:r w:rsidR="00BA258D" w:rsidRPr="00D40E34">
              <w:rPr>
                <w:sz w:val="20"/>
                <w:szCs w:val="20"/>
              </w:rPr>
              <w:t>Tivat</w:t>
            </w:r>
            <w:proofErr w:type="spellEnd"/>
            <w:r w:rsidR="00BA258D" w:rsidRPr="00D40E34">
              <w:rPr>
                <w:sz w:val="20"/>
                <w:szCs w:val="20"/>
              </w:rPr>
              <w:t xml:space="preserve"> (17.4%), </w:t>
            </w:r>
            <w:proofErr w:type="spellStart"/>
            <w:r w:rsidR="00BA258D" w:rsidRPr="00D40E34">
              <w:rPr>
                <w:sz w:val="20"/>
                <w:szCs w:val="20"/>
              </w:rPr>
              <w:t>Budva</w:t>
            </w:r>
            <w:proofErr w:type="spellEnd"/>
            <w:r w:rsidR="00BA258D" w:rsidRPr="00D40E34">
              <w:rPr>
                <w:sz w:val="20"/>
                <w:szCs w:val="20"/>
              </w:rPr>
              <w:t xml:space="preserve"> (15.0%) and</w:t>
            </w:r>
            <w:r w:rsidR="00BA258D">
              <w:rPr>
                <w:sz w:val="20"/>
                <w:szCs w:val="20"/>
              </w:rPr>
              <w:t xml:space="preserve"> </w:t>
            </w:r>
            <w:proofErr w:type="spellStart"/>
            <w:r w:rsidR="00BA258D" w:rsidRPr="00D40E34">
              <w:rPr>
                <w:sz w:val="20"/>
                <w:szCs w:val="20"/>
              </w:rPr>
              <w:t>Kolašin</w:t>
            </w:r>
            <w:proofErr w:type="spellEnd"/>
            <w:r w:rsidR="00BA258D" w:rsidRPr="00D40E34">
              <w:rPr>
                <w:sz w:val="20"/>
                <w:szCs w:val="20"/>
              </w:rPr>
              <w:t xml:space="preserve"> (12.5%).</w:t>
            </w:r>
          </w:p>
          <w:p w:rsidR="00220B59" w:rsidRPr="00D40E34" w:rsidRDefault="00220B59" w:rsidP="001D21BD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7D0106" w:rsidRPr="00D40E34" w:rsidRDefault="007D0106" w:rsidP="001D21BD">
            <w:pPr>
              <w:spacing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355D6" w:rsidRPr="00D40E34" w:rsidRDefault="00B355D6" w:rsidP="001D21BD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52" w:type="dxa"/>
            <w:vMerge/>
            <w:vAlign w:val="center"/>
          </w:tcPr>
          <w:p w:rsidR="007D0106" w:rsidRPr="00D40E34" w:rsidRDefault="007D0106" w:rsidP="001D21BD">
            <w:pPr>
              <w:spacing w:after="119" w:line="240" w:lineRule="auto"/>
              <w:jc w:val="center"/>
            </w:pPr>
          </w:p>
        </w:tc>
      </w:tr>
      <w:tr w:rsidR="007D0106" w:rsidRPr="00D40E34" w:rsidTr="00431253">
        <w:trPr>
          <w:gridAfter w:val="1"/>
          <w:wAfter w:w="112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7D0106" w:rsidRPr="00D40E34" w:rsidRDefault="003E099C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40E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Prices</w:t>
            </w:r>
          </w:p>
        </w:tc>
        <w:tc>
          <w:tcPr>
            <w:tcW w:w="3652" w:type="dxa"/>
            <w:vMerge w:val="restart"/>
            <w:vAlign w:val="center"/>
          </w:tcPr>
          <w:p w:rsidR="007D0106" w:rsidRPr="00D40E34" w:rsidRDefault="00E0598B" w:rsidP="001D21BD">
            <w:pPr>
              <w:spacing w:after="0" w:line="240" w:lineRule="auto"/>
              <w:ind w:left="-250"/>
              <w:jc w:val="center"/>
              <w:rPr>
                <w:b/>
                <w:sz w:val="20"/>
                <w:szCs w:val="20"/>
              </w:rPr>
            </w:pPr>
            <w:r w:rsidRPr="00D40E34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242704" cy="1723159"/>
                  <wp:effectExtent l="0" t="0" r="0" b="0"/>
                  <wp:docPr id="5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7D0106" w:rsidRPr="00D40E34" w:rsidTr="00917ADD">
        <w:trPr>
          <w:gridAfter w:val="1"/>
          <w:wAfter w:w="112" w:type="dxa"/>
          <w:trHeight w:hRule="exact" w:val="3730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E0598B" w:rsidRPr="00D40E34" w:rsidRDefault="00D40E34" w:rsidP="00E0598B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The h</w:t>
            </w:r>
            <w:r w:rsidR="00BC2C68" w:rsidRPr="00D40E34">
              <w:rPr>
                <w:rFonts w:asciiTheme="minorHAnsi" w:hAnsiTheme="minorHAnsi"/>
                <w:b/>
                <w:sz w:val="20"/>
                <w:szCs w:val="20"/>
              </w:rPr>
              <w:t>armonised consumer price index</w:t>
            </w:r>
            <w:r w:rsidR="00E0598B" w:rsidRPr="00D40E34">
              <w:rPr>
                <w:rFonts w:asciiTheme="minorHAnsi" w:hAnsiTheme="minorHAnsi"/>
                <w:b/>
                <w:sz w:val="20"/>
                <w:szCs w:val="20"/>
              </w:rPr>
              <w:t xml:space="preserve"> (HICP) </w:t>
            </w:r>
            <w:r w:rsidR="00BC2C68" w:rsidRPr="00D40E34">
              <w:rPr>
                <w:rFonts w:asciiTheme="minorHAnsi" w:hAnsiTheme="minorHAnsi"/>
                <w:b/>
                <w:sz w:val="20"/>
                <w:szCs w:val="20"/>
              </w:rPr>
              <w:t>recorded zero annual inflation rate in February 2014 and monthly inflation of</w:t>
            </w:r>
            <w:r w:rsidR="00E0598B" w:rsidRPr="00D40E34">
              <w:rPr>
                <w:rFonts w:asciiTheme="minorHAnsi" w:hAnsiTheme="minorHAnsi"/>
                <w:b/>
                <w:sz w:val="20"/>
                <w:szCs w:val="20"/>
              </w:rPr>
              <w:t xml:space="preserve"> 0</w:t>
            </w:r>
            <w:r w:rsidR="00BC2C68" w:rsidRPr="00D40E34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E0598B" w:rsidRPr="00D40E34">
              <w:rPr>
                <w:rFonts w:asciiTheme="minorHAnsi" w:hAnsiTheme="minorHAnsi"/>
                <w:b/>
                <w:sz w:val="20"/>
                <w:szCs w:val="20"/>
              </w:rPr>
              <w:t xml:space="preserve">1%.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 xml:space="preserve">The largest level of positive annual growth rate was recorded 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groups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“alcoholic beverages and tobacco”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>(6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.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 xml:space="preserve">9%)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 xml:space="preserve">due to the increase in tobacco prices of 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>10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.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 xml:space="preserve">2%,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“hotels and restaurants”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>(2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.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 xml:space="preserve">2%)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 xml:space="preserve">due to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increase in pr</w:t>
            </w: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 xml:space="preserve">ces of accommodation services of 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>6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.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 xml:space="preserve">1%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and “health”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>(1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.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 xml:space="preserve">9%)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due to the increase in prices of pharmaceutical products of 3.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 xml:space="preserve">2%,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 xml:space="preserve">while negative growth rates were recorded in “communications” 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>(-4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.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 xml:space="preserve">3%)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due to the decline in pr</w:t>
            </w:r>
            <w:r>
              <w:rPr>
                <w:rFonts w:asciiTheme="minorHAnsi" w:hAnsiTheme="minorHAnsi"/>
                <w:sz w:val="20"/>
                <w:szCs w:val="20"/>
              </w:rPr>
              <w:t>ices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 xml:space="preserve"> of telephone equipment and services of 4.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 xml:space="preserve">3%,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“clothes and footwear”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>(-2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.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 xml:space="preserve">2%)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 xml:space="preserve">due to decline in prices of clothes of 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>6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.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>6%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 xml:space="preserve">, and “recreation and culture” 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>(-2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.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>4%)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 xml:space="preserve"> due to the decline in prices of newspapers and books of 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>3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.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 xml:space="preserve">5%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 xml:space="preserve"> and prices of recreation and culture services of 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>4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.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 xml:space="preserve">5%. </w:t>
            </w:r>
            <w:r>
              <w:rPr>
                <w:rFonts w:asciiTheme="minorHAnsi" w:hAnsiTheme="minorHAnsi"/>
                <w:sz w:val="20"/>
                <w:szCs w:val="20"/>
              </w:rPr>
              <w:t>The c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onsumer price index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 xml:space="preserve"> (CPI)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 xml:space="preserve">indicates that prices </w:t>
            </w:r>
            <w:r w:rsidR="00040E8F">
              <w:rPr>
                <w:rFonts w:asciiTheme="minorHAnsi" w:hAnsiTheme="minorHAnsi"/>
                <w:sz w:val="20"/>
                <w:szCs w:val="20"/>
              </w:rPr>
              <w:t>in</w:t>
            </w:r>
            <w:r w:rsidR="00040E8F" w:rsidRPr="00D40E34">
              <w:rPr>
                <w:rFonts w:asciiTheme="minorHAnsi" w:hAnsiTheme="minorHAnsi"/>
                <w:sz w:val="20"/>
                <w:szCs w:val="20"/>
              </w:rPr>
              <w:t xml:space="preserve"> February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 xml:space="preserve">declined compared to 2013 by 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>0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.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 xml:space="preserve">6%, </w:t>
            </w:r>
            <w:r w:rsidR="00BC2C68" w:rsidRPr="00D40E34">
              <w:rPr>
                <w:rFonts w:asciiTheme="minorHAnsi" w:hAnsiTheme="minorHAnsi"/>
                <w:sz w:val="20"/>
                <w:szCs w:val="20"/>
              </w:rPr>
              <w:t>while they remained unchanged compared to the previous month. The producers’ prices of manufactured products declined y-o-y by 1.2% in February 2014, while they grew by 0.3% compared to January of the current year</w:t>
            </w:r>
            <w:r w:rsidR="00E0598B" w:rsidRPr="00D40E34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E0598B" w:rsidRPr="00D40E34" w:rsidRDefault="00E0598B" w:rsidP="00E0598B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:rsidR="00124730" w:rsidRPr="00D40E34" w:rsidRDefault="00124730" w:rsidP="00E0598B">
            <w:pPr>
              <w:spacing w:line="240" w:lineRule="auto"/>
              <w:jc w:val="both"/>
              <w:rPr>
                <w:rFonts w:asciiTheme="minorHAnsi" w:hAnsiTheme="minorHAnsi" w:cs="Arial-ItalicMT"/>
                <w:b/>
                <w:iCs/>
                <w:sz w:val="20"/>
                <w:szCs w:val="20"/>
              </w:rPr>
            </w:pPr>
          </w:p>
          <w:p w:rsidR="00B355D6" w:rsidRPr="00D40E34" w:rsidRDefault="00B355D6" w:rsidP="00E0598B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52" w:type="dxa"/>
            <w:vMerge/>
            <w:tcBorders>
              <w:bottom w:val="thinThickSmallGap" w:sz="18" w:space="0" w:color="auto"/>
            </w:tcBorders>
            <w:vAlign w:val="center"/>
          </w:tcPr>
          <w:p w:rsidR="007D0106" w:rsidRPr="00D40E34" w:rsidRDefault="007D0106" w:rsidP="001D21BD">
            <w:pPr>
              <w:pStyle w:val="NoSpacing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422784" w:rsidRPr="00D40E34" w:rsidTr="00917ADD">
        <w:trPr>
          <w:gridAfter w:val="1"/>
          <w:wAfter w:w="112" w:type="dxa"/>
          <w:trHeight w:hRule="exact" w:val="3761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E34692" w:rsidRPr="00D40E34" w:rsidRDefault="00BC2C68" w:rsidP="00E34692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40E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>Employment and Wages</w:t>
            </w:r>
          </w:p>
          <w:p w:rsidR="00F8107E" w:rsidRPr="00D40E34" w:rsidRDefault="00185677" w:rsidP="00E34692">
            <w:pPr>
              <w:pStyle w:val="ListParagraph"/>
              <w:pBdr>
                <w:top w:val="single" w:sz="4" w:space="1" w:color="auto"/>
              </w:pBdr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D40E34">
              <w:rPr>
                <w:b/>
                <w:sz w:val="20"/>
                <w:szCs w:val="20"/>
              </w:rPr>
              <w:t>Labour market development indicated increase in employment as well as unemployment</w:t>
            </w:r>
            <w:r w:rsidR="00F8107E" w:rsidRPr="00D40E34">
              <w:rPr>
                <w:sz w:val="20"/>
                <w:szCs w:val="20"/>
              </w:rPr>
              <w:t xml:space="preserve">. </w:t>
            </w:r>
            <w:r w:rsidRPr="00D40E34">
              <w:rPr>
                <w:sz w:val="20"/>
                <w:szCs w:val="20"/>
              </w:rPr>
              <w:t xml:space="preserve">The number of employed amounted to </w:t>
            </w:r>
            <w:r w:rsidR="00F8107E" w:rsidRPr="00D40E34">
              <w:rPr>
                <w:sz w:val="20"/>
                <w:szCs w:val="20"/>
              </w:rPr>
              <w:t>168</w:t>
            </w:r>
            <w:r w:rsidR="00E34692" w:rsidRPr="00D40E34">
              <w:rPr>
                <w:sz w:val="20"/>
                <w:szCs w:val="20"/>
              </w:rPr>
              <w:t>.</w:t>
            </w:r>
            <w:r w:rsidR="00F8107E" w:rsidRPr="00D40E34">
              <w:rPr>
                <w:sz w:val="20"/>
                <w:szCs w:val="20"/>
              </w:rPr>
              <w:t>805</w:t>
            </w:r>
            <w:r w:rsidRPr="00D40E34">
              <w:rPr>
                <w:sz w:val="20"/>
                <w:szCs w:val="20"/>
              </w:rPr>
              <w:t xml:space="preserve"> in February 2014. It increased annually by </w:t>
            </w:r>
            <w:r w:rsidR="00AD2C28" w:rsidRPr="00D40E34">
              <w:rPr>
                <w:sz w:val="20"/>
                <w:szCs w:val="20"/>
              </w:rPr>
              <w:t>0</w:t>
            </w:r>
            <w:r w:rsidRPr="00D40E34">
              <w:rPr>
                <w:sz w:val="20"/>
                <w:szCs w:val="20"/>
              </w:rPr>
              <w:t>.</w:t>
            </w:r>
            <w:r w:rsidR="00AD2C28" w:rsidRPr="00D40E34">
              <w:rPr>
                <w:sz w:val="20"/>
                <w:szCs w:val="20"/>
              </w:rPr>
              <w:t>9%</w:t>
            </w:r>
            <w:r w:rsidRPr="00D40E34">
              <w:rPr>
                <w:sz w:val="20"/>
                <w:szCs w:val="20"/>
              </w:rPr>
              <w:t>, monthly by</w:t>
            </w:r>
            <w:r w:rsidR="00F8107E" w:rsidRPr="00D40E34">
              <w:rPr>
                <w:sz w:val="20"/>
                <w:szCs w:val="20"/>
              </w:rPr>
              <w:t xml:space="preserve"> 0</w:t>
            </w:r>
            <w:r w:rsidRPr="00D40E34">
              <w:rPr>
                <w:sz w:val="20"/>
                <w:szCs w:val="20"/>
              </w:rPr>
              <w:t>.</w:t>
            </w:r>
            <w:r w:rsidR="00F8107E" w:rsidRPr="00D40E34">
              <w:rPr>
                <w:sz w:val="20"/>
                <w:szCs w:val="20"/>
              </w:rPr>
              <w:t>7%</w:t>
            </w:r>
            <w:r w:rsidRPr="00D40E34">
              <w:rPr>
                <w:sz w:val="20"/>
                <w:szCs w:val="20"/>
              </w:rPr>
              <w:t xml:space="preserve">, and for the period by </w:t>
            </w:r>
            <w:r w:rsidR="00F8107E" w:rsidRPr="00D40E34">
              <w:rPr>
                <w:sz w:val="20"/>
                <w:szCs w:val="20"/>
              </w:rPr>
              <w:t>0</w:t>
            </w:r>
            <w:r w:rsidRPr="00D40E34">
              <w:rPr>
                <w:sz w:val="20"/>
                <w:szCs w:val="20"/>
              </w:rPr>
              <w:t>.</w:t>
            </w:r>
            <w:r w:rsidR="00F8107E" w:rsidRPr="00D40E34">
              <w:rPr>
                <w:sz w:val="20"/>
                <w:szCs w:val="20"/>
              </w:rPr>
              <w:t xml:space="preserve">5%. </w:t>
            </w:r>
            <w:r w:rsidRPr="00D40E34">
              <w:rPr>
                <w:sz w:val="20"/>
                <w:szCs w:val="20"/>
              </w:rPr>
              <w:t xml:space="preserve">The number of unemployed amounted to </w:t>
            </w:r>
            <w:r w:rsidR="00F8107E" w:rsidRPr="00D40E34">
              <w:rPr>
                <w:sz w:val="20"/>
                <w:szCs w:val="20"/>
              </w:rPr>
              <w:t>34</w:t>
            </w:r>
            <w:r w:rsidR="00E34692" w:rsidRPr="00D40E34">
              <w:rPr>
                <w:sz w:val="20"/>
                <w:szCs w:val="20"/>
              </w:rPr>
              <w:t>.</w:t>
            </w:r>
            <w:r w:rsidR="00F8107E" w:rsidRPr="00D40E34">
              <w:rPr>
                <w:sz w:val="20"/>
                <w:szCs w:val="20"/>
              </w:rPr>
              <w:t>664</w:t>
            </w:r>
            <w:r w:rsidRPr="00D40E34">
              <w:rPr>
                <w:sz w:val="20"/>
                <w:szCs w:val="20"/>
              </w:rPr>
              <w:t xml:space="preserve"> in February 2014 and it declined by 0.</w:t>
            </w:r>
            <w:r w:rsidR="00F8107E" w:rsidRPr="00D40E34">
              <w:rPr>
                <w:sz w:val="20"/>
                <w:szCs w:val="20"/>
              </w:rPr>
              <w:t>4%</w:t>
            </w:r>
            <w:r w:rsidRPr="00D40E34">
              <w:rPr>
                <w:sz w:val="20"/>
                <w:szCs w:val="20"/>
              </w:rPr>
              <w:t xml:space="preserve"> relative to January, while it increased by </w:t>
            </w:r>
            <w:r w:rsidR="00F8107E" w:rsidRPr="00D40E34">
              <w:rPr>
                <w:sz w:val="20"/>
                <w:szCs w:val="20"/>
              </w:rPr>
              <w:t>7</w:t>
            </w:r>
            <w:r w:rsidR="00040E8F">
              <w:rPr>
                <w:sz w:val="20"/>
                <w:szCs w:val="20"/>
              </w:rPr>
              <w:t>.</w:t>
            </w:r>
            <w:r w:rsidR="00F8107E" w:rsidRPr="00D40E34">
              <w:rPr>
                <w:sz w:val="20"/>
                <w:szCs w:val="20"/>
              </w:rPr>
              <w:t>6%</w:t>
            </w:r>
            <w:r w:rsidRPr="00D40E34">
              <w:rPr>
                <w:sz w:val="20"/>
                <w:szCs w:val="20"/>
              </w:rPr>
              <w:t xml:space="preserve"> for the period. Unemployment rate rose from </w:t>
            </w:r>
            <w:r w:rsidR="00F8107E" w:rsidRPr="00D40E34">
              <w:rPr>
                <w:sz w:val="20"/>
                <w:szCs w:val="20"/>
              </w:rPr>
              <w:t>14</w:t>
            </w:r>
            <w:r w:rsidRPr="00D40E34">
              <w:rPr>
                <w:sz w:val="20"/>
                <w:szCs w:val="20"/>
              </w:rPr>
              <w:t>.</w:t>
            </w:r>
            <w:r w:rsidR="00F8107E" w:rsidRPr="00D40E34">
              <w:rPr>
                <w:sz w:val="20"/>
                <w:szCs w:val="20"/>
              </w:rPr>
              <w:t xml:space="preserve">1% </w:t>
            </w:r>
            <w:r w:rsidRPr="00D40E34">
              <w:rPr>
                <w:sz w:val="20"/>
                <w:szCs w:val="20"/>
              </w:rPr>
              <w:t>(</w:t>
            </w:r>
            <w:r w:rsidR="00F8107E" w:rsidRPr="00D40E34">
              <w:rPr>
                <w:sz w:val="20"/>
                <w:szCs w:val="20"/>
              </w:rPr>
              <w:t>2013</w:t>
            </w:r>
            <w:r w:rsidRPr="00D40E34">
              <w:rPr>
                <w:sz w:val="20"/>
                <w:szCs w:val="20"/>
              </w:rPr>
              <w:t xml:space="preserve">) to </w:t>
            </w:r>
            <w:r w:rsidR="00F8107E" w:rsidRPr="00D40E34">
              <w:rPr>
                <w:sz w:val="20"/>
                <w:szCs w:val="20"/>
              </w:rPr>
              <w:t>14</w:t>
            </w:r>
            <w:r w:rsidRPr="00D40E34">
              <w:rPr>
                <w:sz w:val="20"/>
                <w:szCs w:val="20"/>
              </w:rPr>
              <w:t>.</w:t>
            </w:r>
            <w:r w:rsidR="00F8107E" w:rsidRPr="00D40E34">
              <w:rPr>
                <w:sz w:val="20"/>
                <w:szCs w:val="20"/>
              </w:rPr>
              <w:t xml:space="preserve">9% </w:t>
            </w:r>
            <w:r w:rsidRPr="00D40E34">
              <w:rPr>
                <w:sz w:val="20"/>
                <w:szCs w:val="20"/>
              </w:rPr>
              <w:t>(2</w:t>
            </w:r>
            <w:r w:rsidR="00F8107E" w:rsidRPr="00D40E34">
              <w:rPr>
                <w:sz w:val="20"/>
                <w:szCs w:val="20"/>
              </w:rPr>
              <w:t>014</w:t>
            </w:r>
            <w:r w:rsidRPr="00D40E34">
              <w:rPr>
                <w:sz w:val="20"/>
                <w:szCs w:val="20"/>
              </w:rPr>
              <w:t>)</w:t>
            </w:r>
            <w:r w:rsidR="00F8107E" w:rsidRPr="00D40E34">
              <w:rPr>
                <w:sz w:val="20"/>
                <w:szCs w:val="20"/>
              </w:rPr>
              <w:t xml:space="preserve">. </w:t>
            </w:r>
            <w:r w:rsidRPr="00D40E34">
              <w:rPr>
                <w:sz w:val="20"/>
                <w:szCs w:val="20"/>
              </w:rPr>
              <w:t xml:space="preserve">The number of employment applicants rose y-o-y by 14.0% in February 2014 (increase of </w:t>
            </w:r>
            <w:r w:rsidR="00F8107E" w:rsidRPr="00D40E34">
              <w:rPr>
                <w:sz w:val="20"/>
                <w:szCs w:val="20"/>
              </w:rPr>
              <w:t xml:space="preserve">2358). </w:t>
            </w:r>
            <w:r w:rsidRPr="00D40E34">
              <w:rPr>
                <w:sz w:val="20"/>
                <w:szCs w:val="20"/>
              </w:rPr>
              <w:t xml:space="preserve">Some </w:t>
            </w:r>
            <w:r w:rsidR="00F8107E" w:rsidRPr="00D40E34">
              <w:rPr>
                <w:sz w:val="20"/>
                <w:szCs w:val="20"/>
              </w:rPr>
              <w:t>1051</w:t>
            </w:r>
            <w:r w:rsidR="00E34692" w:rsidRPr="00D40E34">
              <w:rPr>
                <w:sz w:val="20"/>
                <w:szCs w:val="20"/>
              </w:rPr>
              <w:t xml:space="preserve"> </w:t>
            </w:r>
            <w:r w:rsidRPr="00D40E34">
              <w:rPr>
                <w:sz w:val="20"/>
                <w:szCs w:val="20"/>
              </w:rPr>
              <w:t xml:space="preserve">vacancies were announced in February 2014, which indicated to </w:t>
            </w:r>
            <w:r w:rsidR="00040E8F">
              <w:rPr>
                <w:sz w:val="20"/>
                <w:szCs w:val="20"/>
              </w:rPr>
              <w:t xml:space="preserve">the </w:t>
            </w:r>
            <w:r w:rsidRPr="00D40E34">
              <w:rPr>
                <w:sz w:val="20"/>
                <w:szCs w:val="20"/>
              </w:rPr>
              <w:t xml:space="preserve">y-o-y increase of </w:t>
            </w:r>
            <w:r w:rsidR="00680A78" w:rsidRPr="00D40E34">
              <w:rPr>
                <w:sz w:val="20"/>
                <w:szCs w:val="20"/>
              </w:rPr>
              <w:t>80</w:t>
            </w:r>
            <w:r w:rsidRPr="00D40E34">
              <w:rPr>
                <w:sz w:val="20"/>
                <w:szCs w:val="20"/>
              </w:rPr>
              <w:t>.</w:t>
            </w:r>
            <w:r w:rsidR="00680A78" w:rsidRPr="00D40E34">
              <w:rPr>
                <w:sz w:val="20"/>
                <w:szCs w:val="20"/>
              </w:rPr>
              <w:t>3%</w:t>
            </w:r>
            <w:r w:rsidR="00AD2C28" w:rsidRPr="00D40E34">
              <w:rPr>
                <w:sz w:val="20"/>
                <w:szCs w:val="20"/>
              </w:rPr>
              <w:t>.</w:t>
            </w:r>
            <w:r w:rsidR="00E34692" w:rsidRPr="00D40E34">
              <w:rPr>
                <w:sz w:val="20"/>
                <w:szCs w:val="20"/>
              </w:rPr>
              <w:t xml:space="preserve"> </w:t>
            </w:r>
            <w:r w:rsidRPr="00D40E34">
              <w:rPr>
                <w:sz w:val="20"/>
                <w:szCs w:val="20"/>
              </w:rPr>
              <w:t xml:space="preserve">In addition, </w:t>
            </w:r>
            <w:r w:rsidR="00F8107E" w:rsidRPr="00D40E34">
              <w:rPr>
                <w:sz w:val="20"/>
                <w:szCs w:val="20"/>
              </w:rPr>
              <w:t>1</w:t>
            </w:r>
            <w:r w:rsidR="00AD2C28" w:rsidRPr="00D40E34">
              <w:rPr>
                <w:sz w:val="20"/>
                <w:szCs w:val="20"/>
              </w:rPr>
              <w:t>.</w:t>
            </w:r>
            <w:r w:rsidR="00F8107E" w:rsidRPr="00D40E34">
              <w:rPr>
                <w:sz w:val="20"/>
                <w:szCs w:val="20"/>
              </w:rPr>
              <w:t xml:space="preserve">939 </w:t>
            </w:r>
            <w:r w:rsidRPr="00D40E34">
              <w:rPr>
                <w:sz w:val="20"/>
                <w:szCs w:val="20"/>
              </w:rPr>
              <w:t xml:space="preserve">working permits were issued to foreigners, which represented an increase of </w:t>
            </w:r>
            <w:r w:rsidR="00F8107E" w:rsidRPr="00D40E34">
              <w:rPr>
                <w:sz w:val="20"/>
                <w:szCs w:val="20"/>
              </w:rPr>
              <w:t>36</w:t>
            </w:r>
            <w:r w:rsidRPr="00D40E34">
              <w:rPr>
                <w:sz w:val="20"/>
                <w:szCs w:val="20"/>
              </w:rPr>
              <w:t>.</w:t>
            </w:r>
            <w:r w:rsidR="00F8107E" w:rsidRPr="00D40E34">
              <w:rPr>
                <w:sz w:val="20"/>
                <w:szCs w:val="20"/>
              </w:rPr>
              <w:t xml:space="preserve">9%. </w:t>
            </w:r>
            <w:r w:rsidRPr="00D40E34">
              <w:rPr>
                <w:sz w:val="20"/>
                <w:szCs w:val="20"/>
              </w:rPr>
              <w:t xml:space="preserve">Average net wage in February 2014 was </w:t>
            </w:r>
            <w:r w:rsidR="00F8107E" w:rsidRPr="00D40E34">
              <w:rPr>
                <w:sz w:val="20"/>
                <w:szCs w:val="20"/>
              </w:rPr>
              <w:t>729</w:t>
            </w:r>
            <w:r w:rsidRPr="00D40E34">
              <w:rPr>
                <w:sz w:val="20"/>
                <w:szCs w:val="20"/>
              </w:rPr>
              <w:t xml:space="preserve"> </w:t>
            </w:r>
            <w:r w:rsidR="00F8107E" w:rsidRPr="00D40E34">
              <w:rPr>
                <w:sz w:val="20"/>
                <w:szCs w:val="20"/>
              </w:rPr>
              <w:t>€,</w:t>
            </w:r>
            <w:r w:rsidRPr="00D40E34">
              <w:rPr>
                <w:sz w:val="20"/>
                <w:szCs w:val="20"/>
              </w:rPr>
              <w:t xml:space="preserve"> which indicated to an increase of 0.</w:t>
            </w:r>
            <w:r w:rsidR="00AD2C28" w:rsidRPr="00D40E34">
              <w:rPr>
                <w:sz w:val="20"/>
                <w:szCs w:val="20"/>
              </w:rPr>
              <w:t>4%</w:t>
            </w:r>
            <w:r w:rsidRPr="00D40E34">
              <w:rPr>
                <w:sz w:val="20"/>
                <w:szCs w:val="20"/>
              </w:rPr>
              <w:t xml:space="preserve"> compared to the previous month, while it declined by 0.7% in period January – February 2014</w:t>
            </w:r>
            <w:r w:rsidR="00AD2C28" w:rsidRPr="00D40E34">
              <w:rPr>
                <w:sz w:val="20"/>
                <w:szCs w:val="20"/>
              </w:rPr>
              <w:t>.</w:t>
            </w:r>
            <w:r w:rsidR="00F8107E" w:rsidRPr="00D40E34">
              <w:rPr>
                <w:sz w:val="20"/>
                <w:szCs w:val="20"/>
              </w:rPr>
              <w:t xml:space="preserve"> Net</w:t>
            </w:r>
            <w:r w:rsidRPr="00D40E34">
              <w:rPr>
                <w:sz w:val="20"/>
                <w:szCs w:val="20"/>
              </w:rPr>
              <w:t xml:space="preserve"> wage was </w:t>
            </w:r>
            <w:r w:rsidR="00F8107E" w:rsidRPr="00D40E34">
              <w:rPr>
                <w:sz w:val="20"/>
                <w:szCs w:val="20"/>
              </w:rPr>
              <w:t>480</w:t>
            </w:r>
            <w:r w:rsidRPr="00D40E34">
              <w:rPr>
                <w:sz w:val="20"/>
                <w:szCs w:val="20"/>
              </w:rPr>
              <w:t xml:space="preserve"> </w:t>
            </w:r>
            <w:r w:rsidR="00F8107E" w:rsidRPr="00D40E34">
              <w:rPr>
                <w:sz w:val="20"/>
                <w:szCs w:val="20"/>
              </w:rPr>
              <w:t>€</w:t>
            </w:r>
            <w:r w:rsidRPr="00D40E34">
              <w:rPr>
                <w:sz w:val="20"/>
                <w:szCs w:val="20"/>
              </w:rPr>
              <w:t xml:space="preserve">, and it declined in the same period by </w:t>
            </w:r>
            <w:r w:rsidR="00F8107E" w:rsidRPr="00D40E34">
              <w:rPr>
                <w:sz w:val="20"/>
                <w:szCs w:val="20"/>
              </w:rPr>
              <w:t>1</w:t>
            </w:r>
            <w:r w:rsidRPr="00D40E34">
              <w:rPr>
                <w:sz w:val="20"/>
                <w:szCs w:val="20"/>
              </w:rPr>
              <w:t>.</w:t>
            </w:r>
            <w:r w:rsidR="00F8107E" w:rsidRPr="00D40E34">
              <w:rPr>
                <w:sz w:val="20"/>
                <w:szCs w:val="20"/>
              </w:rPr>
              <w:t>8%, a</w:t>
            </w:r>
            <w:r w:rsidR="00917ADD" w:rsidRPr="00D40E34">
              <w:rPr>
                <w:sz w:val="20"/>
                <w:szCs w:val="20"/>
              </w:rPr>
              <w:t>nd compared to the previous month it increased by 0.</w:t>
            </w:r>
            <w:r w:rsidR="00F8107E" w:rsidRPr="00D40E34">
              <w:rPr>
                <w:sz w:val="20"/>
                <w:szCs w:val="20"/>
              </w:rPr>
              <w:t>4%. Real</w:t>
            </w:r>
            <w:r w:rsidR="00917ADD" w:rsidRPr="00D40E34">
              <w:rPr>
                <w:sz w:val="20"/>
                <w:szCs w:val="20"/>
              </w:rPr>
              <w:t xml:space="preserve"> net wages increased y-o-y by </w:t>
            </w:r>
            <w:r w:rsidR="00F8107E" w:rsidRPr="00D40E34">
              <w:rPr>
                <w:sz w:val="20"/>
                <w:szCs w:val="20"/>
              </w:rPr>
              <w:t>0</w:t>
            </w:r>
            <w:r w:rsidR="00917ADD" w:rsidRPr="00D40E34">
              <w:rPr>
                <w:sz w:val="20"/>
                <w:szCs w:val="20"/>
              </w:rPr>
              <w:t>.</w:t>
            </w:r>
            <w:r w:rsidR="00F8107E" w:rsidRPr="00D40E34">
              <w:rPr>
                <w:sz w:val="20"/>
                <w:szCs w:val="20"/>
              </w:rPr>
              <w:t>4%</w:t>
            </w:r>
            <w:r w:rsidR="00917ADD" w:rsidRPr="00D40E34">
              <w:rPr>
                <w:sz w:val="20"/>
                <w:szCs w:val="20"/>
              </w:rPr>
              <w:t xml:space="preserve"> in February 2014</w:t>
            </w:r>
            <w:r w:rsidR="00F8107E" w:rsidRPr="00D40E34">
              <w:rPr>
                <w:sz w:val="20"/>
                <w:szCs w:val="20"/>
              </w:rPr>
              <w:t>.</w:t>
            </w:r>
          </w:p>
          <w:p w:rsidR="00F8107E" w:rsidRPr="00D40E34" w:rsidRDefault="00F8107E" w:rsidP="00E34692">
            <w:pPr>
              <w:spacing w:after="0" w:line="240" w:lineRule="auto"/>
              <w:jc w:val="both"/>
              <w:rPr>
                <w:rFonts w:eastAsia="PMingLiU" w:cs="Calibri"/>
                <w:sz w:val="20"/>
                <w:szCs w:val="20"/>
                <w:lang w:eastAsia="zh-TW"/>
              </w:rPr>
            </w:pPr>
          </w:p>
          <w:p w:rsidR="00422784" w:rsidRPr="00D40E34" w:rsidRDefault="00422784" w:rsidP="00E34692">
            <w:pPr>
              <w:pStyle w:val="NormalWeb"/>
              <w:spacing w:after="0"/>
              <w:jc w:val="both"/>
              <w:rPr>
                <w:rFonts w:ascii="Calibri" w:eastAsia="PMingLiU" w:hAnsi="Calibri" w:cs="Calibri"/>
                <w:sz w:val="20"/>
                <w:szCs w:val="20"/>
                <w:lang w:val="en-GB" w:eastAsia="zh-TW"/>
              </w:rPr>
            </w:pPr>
          </w:p>
          <w:p w:rsidR="00422784" w:rsidRPr="00D40E34" w:rsidRDefault="00422784" w:rsidP="00E34692">
            <w:pPr>
              <w:pStyle w:val="NormalWeb"/>
              <w:spacing w:after="0"/>
              <w:jc w:val="both"/>
              <w:rPr>
                <w:rFonts w:ascii="Calibri" w:eastAsia="PMingLiU" w:hAnsi="Calibri" w:cs="Calibri"/>
                <w:sz w:val="20"/>
                <w:szCs w:val="20"/>
                <w:lang w:val="en-GB" w:eastAsia="zh-TW"/>
              </w:rPr>
            </w:pPr>
          </w:p>
          <w:p w:rsidR="00422784" w:rsidRPr="00D40E34" w:rsidRDefault="00422784" w:rsidP="00E34692">
            <w:pPr>
              <w:pStyle w:val="NormalWeb"/>
              <w:spacing w:after="0"/>
              <w:jc w:val="both"/>
              <w:rPr>
                <w:rFonts w:ascii="Calibri" w:eastAsia="PMingLiU" w:hAnsi="Calibri" w:cs="Calibri"/>
                <w:sz w:val="20"/>
                <w:szCs w:val="20"/>
                <w:lang w:val="en-GB" w:eastAsia="zh-TW"/>
              </w:rPr>
            </w:pPr>
          </w:p>
        </w:tc>
        <w:tc>
          <w:tcPr>
            <w:tcW w:w="3652" w:type="dxa"/>
            <w:tcBorders>
              <w:bottom w:val="thinThickSmallGap" w:sz="18" w:space="0" w:color="auto"/>
            </w:tcBorders>
            <w:vAlign w:val="center"/>
          </w:tcPr>
          <w:p w:rsidR="00422784" w:rsidRPr="00D40E34" w:rsidRDefault="003E719B" w:rsidP="001D21BD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D40E34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2088000" cy="2016000"/>
                  <wp:effectExtent l="0" t="0" r="0" b="0"/>
                  <wp:docPr id="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10452C" w:rsidRPr="00D40E34" w:rsidTr="00974D28">
        <w:trPr>
          <w:trHeight w:hRule="exact" w:val="4229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10452C" w:rsidRPr="00D40E34" w:rsidRDefault="00917ADD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40E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Public Finances</w:t>
            </w:r>
          </w:p>
          <w:p w:rsidR="006C6303" w:rsidRPr="00D40E34" w:rsidRDefault="00917ADD" w:rsidP="006C6303">
            <w:pPr>
              <w:spacing w:after="0" w:line="240" w:lineRule="auto"/>
              <w:jc w:val="both"/>
              <w:rPr>
                <w:sz w:val="20"/>
                <w:szCs w:val="18"/>
              </w:rPr>
            </w:pPr>
            <w:r w:rsidRPr="00D40E34">
              <w:rPr>
                <w:b/>
                <w:bCs/>
                <w:sz w:val="20"/>
                <w:szCs w:val="18"/>
              </w:rPr>
              <w:t xml:space="preserve">Current revenues of the Budget of Montenegro amounted to 81.38 million € in February 2014 and they increased y-o-y by </w:t>
            </w:r>
            <w:r w:rsidR="006C6303" w:rsidRPr="00D40E34">
              <w:rPr>
                <w:b/>
                <w:bCs/>
                <w:sz w:val="20"/>
                <w:szCs w:val="18"/>
              </w:rPr>
              <w:t>7</w:t>
            </w:r>
            <w:r w:rsidRPr="00D40E34">
              <w:rPr>
                <w:b/>
                <w:bCs/>
                <w:sz w:val="20"/>
                <w:szCs w:val="18"/>
              </w:rPr>
              <w:t>.</w:t>
            </w:r>
            <w:r w:rsidR="006C6303" w:rsidRPr="00D40E34">
              <w:rPr>
                <w:b/>
                <w:bCs/>
                <w:sz w:val="20"/>
                <w:szCs w:val="18"/>
              </w:rPr>
              <w:t>5%</w:t>
            </w:r>
            <w:r w:rsidRPr="00D40E34">
              <w:rPr>
                <w:b/>
                <w:bCs/>
                <w:sz w:val="20"/>
                <w:szCs w:val="18"/>
              </w:rPr>
              <w:t xml:space="preserve">. They increased by 2% compared to the plan. </w:t>
            </w:r>
            <w:r w:rsidRPr="00D40E34">
              <w:rPr>
                <w:bCs/>
                <w:sz w:val="20"/>
                <w:szCs w:val="18"/>
              </w:rPr>
              <w:t xml:space="preserve">VAT collection amounted to </w:t>
            </w:r>
            <w:r w:rsidRPr="00D40E34">
              <w:rPr>
                <w:sz w:val="20"/>
                <w:szCs w:val="18"/>
              </w:rPr>
              <w:t>31.</w:t>
            </w:r>
            <w:r w:rsidR="006C6303" w:rsidRPr="00D40E34">
              <w:rPr>
                <w:sz w:val="20"/>
                <w:szCs w:val="18"/>
              </w:rPr>
              <w:t>16</w:t>
            </w:r>
            <w:r w:rsidRPr="00D40E34">
              <w:rPr>
                <w:sz w:val="20"/>
                <w:szCs w:val="18"/>
              </w:rPr>
              <w:t xml:space="preserve"> </w:t>
            </w:r>
            <w:r w:rsidR="006C6303" w:rsidRPr="00D40E34">
              <w:rPr>
                <w:sz w:val="20"/>
                <w:szCs w:val="18"/>
              </w:rPr>
              <w:t>mil</w:t>
            </w:r>
            <w:r w:rsidRPr="00D40E34">
              <w:rPr>
                <w:sz w:val="20"/>
                <w:szCs w:val="18"/>
              </w:rPr>
              <w:t xml:space="preserve">lion </w:t>
            </w:r>
            <w:r w:rsidR="006C6303" w:rsidRPr="00D40E34">
              <w:rPr>
                <w:sz w:val="20"/>
                <w:szCs w:val="18"/>
              </w:rPr>
              <w:t>€</w:t>
            </w:r>
            <w:r w:rsidRPr="00D40E34">
              <w:rPr>
                <w:sz w:val="20"/>
                <w:szCs w:val="18"/>
              </w:rPr>
              <w:t xml:space="preserve"> in the reported month. It increased compared to the plan by </w:t>
            </w:r>
            <w:r w:rsidR="006C6303" w:rsidRPr="00D40E34">
              <w:rPr>
                <w:sz w:val="20"/>
                <w:szCs w:val="18"/>
              </w:rPr>
              <w:t>10</w:t>
            </w:r>
            <w:r w:rsidRPr="00D40E34">
              <w:rPr>
                <w:sz w:val="20"/>
                <w:szCs w:val="18"/>
              </w:rPr>
              <w:t>.</w:t>
            </w:r>
            <w:r w:rsidR="006C6303" w:rsidRPr="00D40E34">
              <w:rPr>
                <w:sz w:val="20"/>
                <w:szCs w:val="18"/>
              </w:rPr>
              <w:t>5%</w:t>
            </w:r>
            <w:r w:rsidRPr="00D40E34">
              <w:rPr>
                <w:sz w:val="20"/>
                <w:szCs w:val="18"/>
              </w:rPr>
              <w:t xml:space="preserve"> and </w:t>
            </w:r>
            <w:r w:rsidR="006C6303" w:rsidRPr="00D40E34">
              <w:rPr>
                <w:sz w:val="20"/>
                <w:szCs w:val="18"/>
              </w:rPr>
              <w:t>25</w:t>
            </w:r>
            <w:r w:rsidRPr="00D40E34">
              <w:rPr>
                <w:sz w:val="20"/>
                <w:szCs w:val="18"/>
              </w:rPr>
              <w:t xml:space="preserve">.9% relative to February 2013. This resulted from </w:t>
            </w:r>
            <w:r w:rsidR="00040E8F">
              <w:rPr>
                <w:sz w:val="20"/>
                <w:szCs w:val="18"/>
              </w:rPr>
              <w:t xml:space="preserve">measures taken for suppressing </w:t>
            </w:r>
            <w:r w:rsidRPr="00D40E34">
              <w:rPr>
                <w:sz w:val="20"/>
                <w:szCs w:val="18"/>
              </w:rPr>
              <w:t xml:space="preserve">shadow economy and increase of higher VAT rate to </w:t>
            </w:r>
            <w:r w:rsidR="006C6303" w:rsidRPr="00D40E34">
              <w:rPr>
                <w:sz w:val="20"/>
                <w:szCs w:val="18"/>
              </w:rPr>
              <w:t xml:space="preserve">19%. </w:t>
            </w:r>
            <w:r w:rsidRPr="00D40E34">
              <w:rPr>
                <w:sz w:val="20"/>
                <w:szCs w:val="18"/>
              </w:rPr>
              <w:t xml:space="preserve">Revenues based on the collection of wage taxes and contributions for period January – February 2014 grew by </w:t>
            </w:r>
            <w:r w:rsidR="006C6303" w:rsidRPr="00D40E34">
              <w:rPr>
                <w:sz w:val="20"/>
                <w:szCs w:val="18"/>
              </w:rPr>
              <w:t xml:space="preserve">14% </w:t>
            </w:r>
            <w:r w:rsidRPr="00D40E34">
              <w:rPr>
                <w:sz w:val="20"/>
                <w:szCs w:val="18"/>
              </w:rPr>
              <w:t>relative to the same period of the last year</w:t>
            </w:r>
            <w:r w:rsidR="006C6303" w:rsidRPr="00D40E34">
              <w:rPr>
                <w:sz w:val="20"/>
                <w:szCs w:val="18"/>
              </w:rPr>
              <w:t>.</w:t>
            </w:r>
          </w:p>
          <w:p w:rsidR="006C6303" w:rsidRPr="00D40E34" w:rsidRDefault="00917ADD" w:rsidP="006C6303">
            <w:pPr>
              <w:spacing w:after="0" w:line="240" w:lineRule="auto"/>
              <w:jc w:val="both"/>
              <w:rPr>
                <w:sz w:val="20"/>
                <w:szCs w:val="18"/>
              </w:rPr>
            </w:pPr>
            <w:r w:rsidRPr="00D40E34">
              <w:rPr>
                <w:b/>
                <w:bCs/>
                <w:sz w:val="20"/>
                <w:szCs w:val="18"/>
              </w:rPr>
              <w:t xml:space="preserve">Budget expenditures </w:t>
            </w:r>
            <w:r w:rsidRPr="00D40E34">
              <w:rPr>
                <w:bCs/>
                <w:sz w:val="20"/>
                <w:szCs w:val="18"/>
              </w:rPr>
              <w:t xml:space="preserve">were </w:t>
            </w:r>
            <w:r w:rsidR="006C6303" w:rsidRPr="00D40E34">
              <w:rPr>
                <w:sz w:val="20"/>
                <w:szCs w:val="18"/>
              </w:rPr>
              <w:t>88</w:t>
            </w:r>
            <w:r w:rsidRPr="00D40E34">
              <w:rPr>
                <w:sz w:val="20"/>
                <w:szCs w:val="18"/>
              </w:rPr>
              <w:t>.</w:t>
            </w:r>
            <w:r w:rsidR="006C6303" w:rsidRPr="00D40E34">
              <w:rPr>
                <w:sz w:val="20"/>
                <w:szCs w:val="18"/>
              </w:rPr>
              <w:t>97 mil</w:t>
            </w:r>
            <w:r w:rsidRPr="00D40E34">
              <w:rPr>
                <w:sz w:val="20"/>
                <w:szCs w:val="18"/>
              </w:rPr>
              <w:t xml:space="preserve">lion €. They declined by 6% compared to January 2014 and 20% compared to the plan as a result of undertaken </w:t>
            </w:r>
            <w:r w:rsidR="00040E8F">
              <w:rPr>
                <w:sz w:val="20"/>
                <w:szCs w:val="18"/>
              </w:rPr>
              <w:t>austerity</w:t>
            </w:r>
            <w:r w:rsidRPr="00D40E34">
              <w:rPr>
                <w:sz w:val="20"/>
                <w:szCs w:val="18"/>
              </w:rPr>
              <w:t xml:space="preserve"> measures</w:t>
            </w:r>
            <w:r w:rsidR="006C6303" w:rsidRPr="00D40E34">
              <w:rPr>
                <w:sz w:val="20"/>
                <w:szCs w:val="18"/>
              </w:rPr>
              <w:t xml:space="preserve">. </w:t>
            </w:r>
          </w:p>
          <w:p w:rsidR="006C6303" w:rsidRPr="00D40E34" w:rsidRDefault="00917ADD" w:rsidP="006C6303">
            <w:pPr>
              <w:spacing w:after="0" w:line="240" w:lineRule="auto"/>
              <w:jc w:val="both"/>
              <w:rPr>
                <w:sz w:val="20"/>
                <w:szCs w:val="18"/>
              </w:rPr>
            </w:pPr>
            <w:r w:rsidRPr="00D40E34">
              <w:rPr>
                <w:b/>
                <w:bCs/>
                <w:sz w:val="20"/>
                <w:szCs w:val="18"/>
              </w:rPr>
              <w:t xml:space="preserve">Budget deficit </w:t>
            </w:r>
            <w:r w:rsidRPr="00D40E34">
              <w:rPr>
                <w:bCs/>
                <w:sz w:val="20"/>
                <w:szCs w:val="18"/>
              </w:rPr>
              <w:t xml:space="preserve">was </w:t>
            </w:r>
            <w:r w:rsidRPr="00D40E34">
              <w:rPr>
                <w:sz w:val="20"/>
                <w:szCs w:val="18"/>
              </w:rPr>
              <w:t>7.</w:t>
            </w:r>
            <w:r w:rsidR="006C6303" w:rsidRPr="00D40E34">
              <w:rPr>
                <w:sz w:val="20"/>
                <w:szCs w:val="18"/>
              </w:rPr>
              <w:t xml:space="preserve">59 </w:t>
            </w:r>
            <w:r w:rsidR="00974D28" w:rsidRPr="00D40E34">
              <w:rPr>
                <w:sz w:val="20"/>
                <w:szCs w:val="18"/>
              </w:rPr>
              <w:t>million</w:t>
            </w:r>
            <w:r w:rsidRPr="00D40E34">
              <w:rPr>
                <w:sz w:val="20"/>
                <w:szCs w:val="18"/>
              </w:rPr>
              <w:t xml:space="preserve"> </w:t>
            </w:r>
            <w:r w:rsidR="006C6303" w:rsidRPr="00D40E34">
              <w:rPr>
                <w:sz w:val="20"/>
                <w:szCs w:val="18"/>
              </w:rPr>
              <w:t>€</w:t>
            </w:r>
            <w:r w:rsidR="00040E8F">
              <w:rPr>
                <w:sz w:val="20"/>
                <w:szCs w:val="18"/>
              </w:rPr>
              <w:t xml:space="preserve"> in February 2014,</w:t>
            </w:r>
            <w:r w:rsidRPr="00D40E34">
              <w:rPr>
                <w:sz w:val="20"/>
                <w:szCs w:val="18"/>
              </w:rPr>
              <w:t xml:space="preserve"> and it declined by </w:t>
            </w:r>
            <w:r w:rsidR="006C6303" w:rsidRPr="00D40E34">
              <w:rPr>
                <w:sz w:val="20"/>
                <w:szCs w:val="18"/>
              </w:rPr>
              <w:t xml:space="preserve">76% </w:t>
            </w:r>
            <w:r w:rsidRPr="00D40E34">
              <w:rPr>
                <w:sz w:val="20"/>
                <w:szCs w:val="18"/>
              </w:rPr>
              <w:t xml:space="preserve">relative to the plan and </w:t>
            </w:r>
            <w:r w:rsidR="006C6303" w:rsidRPr="00D40E34">
              <w:rPr>
                <w:sz w:val="20"/>
                <w:szCs w:val="18"/>
              </w:rPr>
              <w:t xml:space="preserve">60% </w:t>
            </w:r>
            <w:r w:rsidRPr="00D40E34">
              <w:rPr>
                <w:sz w:val="20"/>
                <w:szCs w:val="18"/>
              </w:rPr>
              <w:t xml:space="preserve">relative to February </w:t>
            </w:r>
            <w:r w:rsidR="006C6303" w:rsidRPr="00D40E34">
              <w:rPr>
                <w:sz w:val="20"/>
                <w:szCs w:val="18"/>
              </w:rPr>
              <w:t xml:space="preserve">2013. </w:t>
            </w:r>
          </w:p>
          <w:p w:rsidR="006C6303" w:rsidRPr="00D40E34" w:rsidRDefault="00917ADD" w:rsidP="006C6303">
            <w:pPr>
              <w:spacing w:after="0" w:line="240" w:lineRule="auto"/>
              <w:jc w:val="both"/>
              <w:rPr>
                <w:sz w:val="20"/>
                <w:szCs w:val="18"/>
              </w:rPr>
            </w:pPr>
            <w:r w:rsidRPr="00D40E34">
              <w:rPr>
                <w:b/>
                <w:bCs/>
                <w:sz w:val="20"/>
                <w:szCs w:val="18"/>
              </w:rPr>
              <w:t xml:space="preserve">Government debt </w:t>
            </w:r>
            <w:r w:rsidRPr="00D40E34">
              <w:rPr>
                <w:bCs/>
                <w:sz w:val="20"/>
                <w:szCs w:val="18"/>
              </w:rPr>
              <w:t>amounted t</w:t>
            </w:r>
            <w:r w:rsidR="00040E8F">
              <w:rPr>
                <w:bCs/>
                <w:sz w:val="20"/>
                <w:szCs w:val="18"/>
              </w:rPr>
              <w:t>o</w:t>
            </w:r>
            <w:r w:rsidRPr="00D40E34">
              <w:rPr>
                <w:bCs/>
                <w:sz w:val="20"/>
                <w:szCs w:val="18"/>
              </w:rPr>
              <w:t xml:space="preserve"> 1.950.1 million € at end-January 2014 or </w:t>
            </w:r>
            <w:r w:rsidR="006C6303" w:rsidRPr="00D40E34">
              <w:rPr>
                <w:sz w:val="20"/>
                <w:szCs w:val="18"/>
              </w:rPr>
              <w:t>55</w:t>
            </w:r>
            <w:r w:rsidRPr="00D40E34">
              <w:rPr>
                <w:sz w:val="20"/>
                <w:szCs w:val="18"/>
              </w:rPr>
              <w:t>.</w:t>
            </w:r>
            <w:r w:rsidR="006C6303" w:rsidRPr="00D40E34">
              <w:rPr>
                <w:sz w:val="20"/>
                <w:szCs w:val="18"/>
              </w:rPr>
              <w:t xml:space="preserve">46% </w:t>
            </w:r>
            <w:r w:rsidRPr="00D40E34">
              <w:rPr>
                <w:sz w:val="20"/>
                <w:szCs w:val="18"/>
              </w:rPr>
              <w:t xml:space="preserve">of estimated GDP. It declined by 3.7 percentage points compared to January 2013. Internal debt was </w:t>
            </w:r>
            <w:r w:rsidR="006C6303" w:rsidRPr="00D40E34">
              <w:rPr>
                <w:sz w:val="20"/>
                <w:szCs w:val="18"/>
              </w:rPr>
              <w:t>517</w:t>
            </w:r>
            <w:r w:rsidRPr="00D40E34">
              <w:rPr>
                <w:sz w:val="20"/>
                <w:szCs w:val="18"/>
              </w:rPr>
              <w:t>.</w:t>
            </w:r>
            <w:r w:rsidR="006C6303" w:rsidRPr="00D40E34">
              <w:rPr>
                <w:sz w:val="20"/>
                <w:szCs w:val="18"/>
              </w:rPr>
              <w:t>6 mil</w:t>
            </w:r>
            <w:r w:rsidRPr="00D40E34">
              <w:rPr>
                <w:sz w:val="20"/>
                <w:szCs w:val="18"/>
              </w:rPr>
              <w:t xml:space="preserve">lion </w:t>
            </w:r>
            <w:r w:rsidR="006C6303" w:rsidRPr="00D40E34">
              <w:rPr>
                <w:sz w:val="20"/>
                <w:szCs w:val="18"/>
              </w:rPr>
              <w:t xml:space="preserve">€, </w:t>
            </w:r>
            <w:r w:rsidRPr="00D40E34">
              <w:rPr>
                <w:sz w:val="20"/>
                <w:szCs w:val="18"/>
              </w:rPr>
              <w:t xml:space="preserve">and debt to non-residents was </w:t>
            </w:r>
            <w:r w:rsidR="006C6303" w:rsidRPr="00D40E34">
              <w:rPr>
                <w:sz w:val="20"/>
                <w:szCs w:val="18"/>
              </w:rPr>
              <w:t>1.432</w:t>
            </w:r>
            <w:r w:rsidR="00974D28" w:rsidRPr="00D40E34">
              <w:rPr>
                <w:sz w:val="20"/>
                <w:szCs w:val="18"/>
              </w:rPr>
              <w:t>.</w:t>
            </w:r>
            <w:r w:rsidR="006C6303" w:rsidRPr="00D40E34">
              <w:rPr>
                <w:sz w:val="20"/>
                <w:szCs w:val="18"/>
              </w:rPr>
              <w:t>5 mil</w:t>
            </w:r>
            <w:r w:rsidR="00974D28" w:rsidRPr="00D40E34">
              <w:rPr>
                <w:sz w:val="20"/>
                <w:szCs w:val="18"/>
              </w:rPr>
              <w:t xml:space="preserve">lion </w:t>
            </w:r>
            <w:r w:rsidR="006C6303" w:rsidRPr="00D40E34">
              <w:rPr>
                <w:sz w:val="20"/>
                <w:szCs w:val="18"/>
              </w:rPr>
              <w:t>€.</w:t>
            </w:r>
          </w:p>
          <w:p w:rsidR="0010452C" w:rsidRPr="00D40E34" w:rsidRDefault="0010452C" w:rsidP="00391CC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10452C" w:rsidRPr="00D40E34" w:rsidRDefault="00DA1A1F" w:rsidP="00812862">
            <w:pPr>
              <w:rPr>
                <w:sz w:val="17"/>
                <w:szCs w:val="17"/>
                <w:lang w:eastAsia="sr-Latn-CS"/>
              </w:rPr>
            </w:pPr>
            <w:r w:rsidRPr="00D40E34">
              <w:rPr>
                <w:noProof/>
                <w:sz w:val="17"/>
                <w:szCs w:val="17"/>
                <w:lang w:val="en-US"/>
              </w:rPr>
              <w:drawing>
                <wp:inline distT="0" distB="0" distL="0" distR="0">
                  <wp:extent cx="2298700" cy="2298700"/>
                  <wp:effectExtent l="19050" t="0" r="25400" b="635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DB721D" w:rsidRPr="00D40E34" w:rsidTr="00974D28">
        <w:trPr>
          <w:trHeight w:hRule="exact" w:val="4050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DB721D" w:rsidRPr="00D40E34" w:rsidRDefault="00974D28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40E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Monetary Sector</w:t>
            </w:r>
          </w:p>
          <w:p w:rsidR="00DB721D" w:rsidRPr="00D40E34" w:rsidRDefault="00974D28" w:rsidP="00040E8F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D40E34">
              <w:rPr>
                <w:b/>
                <w:sz w:val="20"/>
                <w:szCs w:val="20"/>
              </w:rPr>
              <w:t xml:space="preserve">Positive trend in total deposits and capital continued in February 2014, while lending activity declined annually. </w:t>
            </w:r>
            <w:r w:rsidRPr="00D40E34">
              <w:rPr>
                <w:sz w:val="20"/>
                <w:szCs w:val="20"/>
              </w:rPr>
              <w:t xml:space="preserve">In the liabilities structure, </w:t>
            </w:r>
            <w:r w:rsidRPr="00D40E34">
              <w:rPr>
                <w:b/>
                <w:sz w:val="20"/>
                <w:szCs w:val="20"/>
              </w:rPr>
              <w:t xml:space="preserve">deposits </w:t>
            </w:r>
            <w:r w:rsidRPr="00D40E34">
              <w:rPr>
                <w:sz w:val="20"/>
                <w:szCs w:val="20"/>
              </w:rPr>
              <w:t>accounted for the main share (</w:t>
            </w:r>
            <w:r w:rsidR="00E527EE" w:rsidRPr="00D40E34">
              <w:rPr>
                <w:sz w:val="20"/>
                <w:szCs w:val="20"/>
              </w:rPr>
              <w:t>70</w:t>
            </w:r>
            <w:r w:rsidRPr="00D40E34">
              <w:rPr>
                <w:sz w:val="20"/>
                <w:szCs w:val="20"/>
              </w:rPr>
              <w:t>.</w:t>
            </w:r>
            <w:r w:rsidR="00E527EE" w:rsidRPr="00D40E34">
              <w:rPr>
                <w:sz w:val="20"/>
                <w:szCs w:val="20"/>
              </w:rPr>
              <w:t>7%</w:t>
            </w:r>
            <w:r w:rsidRPr="00D40E34">
              <w:rPr>
                <w:sz w:val="20"/>
                <w:szCs w:val="20"/>
              </w:rPr>
              <w:t>) and they amounted to 2.101.</w:t>
            </w:r>
            <w:r w:rsidR="00E527EE" w:rsidRPr="00D40E34">
              <w:rPr>
                <w:sz w:val="20"/>
                <w:szCs w:val="20"/>
              </w:rPr>
              <w:t>7 mil</w:t>
            </w:r>
            <w:r w:rsidRPr="00D40E34">
              <w:rPr>
                <w:sz w:val="20"/>
                <w:szCs w:val="20"/>
              </w:rPr>
              <w:t xml:space="preserve">lion </w:t>
            </w:r>
            <w:r w:rsidR="00E527EE" w:rsidRPr="00D40E34">
              <w:rPr>
                <w:sz w:val="20"/>
                <w:szCs w:val="20"/>
              </w:rPr>
              <w:t>€</w:t>
            </w:r>
            <w:r w:rsidRPr="00D40E34">
              <w:rPr>
                <w:sz w:val="20"/>
                <w:szCs w:val="20"/>
              </w:rPr>
              <w:t>. This indicated to a monthly increase of 0.2</w:t>
            </w:r>
            <w:r w:rsidR="00E527EE" w:rsidRPr="00D40E34">
              <w:rPr>
                <w:sz w:val="20"/>
                <w:szCs w:val="20"/>
              </w:rPr>
              <w:t xml:space="preserve">% </w:t>
            </w:r>
            <w:r w:rsidRPr="00D40E34">
              <w:rPr>
                <w:sz w:val="20"/>
                <w:szCs w:val="20"/>
              </w:rPr>
              <w:t xml:space="preserve">and annual increase of </w:t>
            </w:r>
            <w:r w:rsidR="00E527EE" w:rsidRPr="00D40E34">
              <w:rPr>
                <w:sz w:val="20"/>
                <w:szCs w:val="20"/>
              </w:rPr>
              <w:t>5</w:t>
            </w:r>
            <w:r w:rsidRPr="00D40E34">
              <w:rPr>
                <w:sz w:val="20"/>
                <w:szCs w:val="20"/>
              </w:rPr>
              <w:t>.6%</w:t>
            </w:r>
            <w:r w:rsidR="00E527EE" w:rsidRPr="00D40E34">
              <w:rPr>
                <w:sz w:val="20"/>
                <w:szCs w:val="20"/>
              </w:rPr>
              <w:t>.</w:t>
            </w:r>
            <w:r w:rsidRPr="00D40E34">
              <w:rPr>
                <w:sz w:val="20"/>
                <w:szCs w:val="20"/>
              </w:rPr>
              <w:t xml:space="preserve"> In addition, household deposits accounted for </w:t>
            </w:r>
            <w:r w:rsidR="00E527EE" w:rsidRPr="00D40E34">
              <w:rPr>
                <w:sz w:val="20"/>
                <w:szCs w:val="20"/>
              </w:rPr>
              <w:t>1.236</w:t>
            </w:r>
            <w:r w:rsidRPr="00D40E34">
              <w:rPr>
                <w:sz w:val="20"/>
                <w:szCs w:val="20"/>
              </w:rPr>
              <w:t>.</w:t>
            </w:r>
            <w:r w:rsidR="00E527EE" w:rsidRPr="00D40E34">
              <w:rPr>
                <w:sz w:val="20"/>
                <w:szCs w:val="20"/>
              </w:rPr>
              <w:t xml:space="preserve">4 </w:t>
            </w:r>
            <w:r w:rsidRPr="00D40E34">
              <w:rPr>
                <w:sz w:val="20"/>
                <w:szCs w:val="20"/>
              </w:rPr>
              <w:t xml:space="preserve">million € or </w:t>
            </w:r>
            <w:r w:rsidR="00E527EE" w:rsidRPr="00D40E34">
              <w:rPr>
                <w:sz w:val="20"/>
                <w:szCs w:val="20"/>
              </w:rPr>
              <w:t>58</w:t>
            </w:r>
            <w:r w:rsidRPr="00D40E34">
              <w:rPr>
                <w:sz w:val="20"/>
                <w:szCs w:val="20"/>
              </w:rPr>
              <w:t>.</w:t>
            </w:r>
            <w:r w:rsidR="00E527EE" w:rsidRPr="00D40E34">
              <w:rPr>
                <w:sz w:val="20"/>
                <w:szCs w:val="20"/>
              </w:rPr>
              <w:t xml:space="preserve">8%, </w:t>
            </w:r>
            <w:r w:rsidRPr="00D40E34">
              <w:rPr>
                <w:sz w:val="20"/>
                <w:szCs w:val="20"/>
              </w:rPr>
              <w:t xml:space="preserve">while corporate deposits accounted for </w:t>
            </w:r>
            <w:r w:rsidR="00E527EE" w:rsidRPr="00D40E34">
              <w:rPr>
                <w:sz w:val="20"/>
                <w:szCs w:val="20"/>
              </w:rPr>
              <w:t>549</w:t>
            </w:r>
            <w:r w:rsidRPr="00D40E34">
              <w:rPr>
                <w:sz w:val="20"/>
                <w:szCs w:val="20"/>
              </w:rPr>
              <w:t>.</w:t>
            </w:r>
            <w:r w:rsidR="00E527EE" w:rsidRPr="00D40E34">
              <w:rPr>
                <w:sz w:val="20"/>
                <w:szCs w:val="20"/>
              </w:rPr>
              <w:t xml:space="preserve">6 </w:t>
            </w:r>
            <w:r w:rsidRPr="00D40E34">
              <w:rPr>
                <w:sz w:val="20"/>
                <w:szCs w:val="20"/>
              </w:rPr>
              <w:t xml:space="preserve">million € or </w:t>
            </w:r>
            <w:r w:rsidR="00E527EE" w:rsidRPr="00D40E34">
              <w:rPr>
                <w:sz w:val="20"/>
                <w:szCs w:val="20"/>
              </w:rPr>
              <w:t>26</w:t>
            </w:r>
            <w:r w:rsidRPr="00D40E34">
              <w:rPr>
                <w:sz w:val="20"/>
                <w:szCs w:val="20"/>
              </w:rPr>
              <w:t>.</w:t>
            </w:r>
            <w:r w:rsidR="00E527EE" w:rsidRPr="00D40E34">
              <w:rPr>
                <w:sz w:val="20"/>
                <w:szCs w:val="20"/>
              </w:rPr>
              <w:t xml:space="preserve">1% </w:t>
            </w:r>
            <w:r w:rsidRPr="00D40E34">
              <w:rPr>
                <w:sz w:val="20"/>
                <w:szCs w:val="20"/>
              </w:rPr>
              <w:t xml:space="preserve">of total deposits. Total </w:t>
            </w:r>
            <w:r w:rsidRPr="00D40E34">
              <w:rPr>
                <w:b/>
                <w:sz w:val="20"/>
                <w:szCs w:val="20"/>
              </w:rPr>
              <w:t xml:space="preserve">loans </w:t>
            </w:r>
            <w:r w:rsidRPr="00D40E34">
              <w:rPr>
                <w:sz w:val="20"/>
                <w:szCs w:val="20"/>
              </w:rPr>
              <w:t xml:space="preserve">and other receivables amounted to </w:t>
            </w:r>
            <w:r w:rsidR="00E527EE" w:rsidRPr="00D40E34">
              <w:rPr>
                <w:sz w:val="20"/>
                <w:szCs w:val="20"/>
              </w:rPr>
              <w:t>2.415</w:t>
            </w:r>
            <w:r w:rsidRPr="00D40E34">
              <w:rPr>
                <w:sz w:val="20"/>
                <w:szCs w:val="20"/>
              </w:rPr>
              <w:t>.</w:t>
            </w:r>
            <w:r w:rsidR="00E527EE" w:rsidRPr="00D40E34">
              <w:rPr>
                <w:sz w:val="20"/>
                <w:szCs w:val="20"/>
              </w:rPr>
              <w:t xml:space="preserve">0 </w:t>
            </w:r>
            <w:r w:rsidRPr="00D40E34">
              <w:rPr>
                <w:sz w:val="20"/>
                <w:szCs w:val="20"/>
              </w:rPr>
              <w:t xml:space="preserve">million € and they increased by </w:t>
            </w:r>
            <w:r w:rsidR="00E527EE" w:rsidRPr="00D40E34">
              <w:rPr>
                <w:sz w:val="20"/>
                <w:szCs w:val="20"/>
              </w:rPr>
              <w:t>0</w:t>
            </w:r>
            <w:r w:rsidRPr="00D40E34">
              <w:rPr>
                <w:sz w:val="20"/>
                <w:szCs w:val="20"/>
              </w:rPr>
              <w:t>.</w:t>
            </w:r>
            <w:r w:rsidR="00E527EE" w:rsidRPr="00D40E34">
              <w:rPr>
                <w:sz w:val="20"/>
                <w:szCs w:val="20"/>
              </w:rPr>
              <w:t xml:space="preserve">3% </w:t>
            </w:r>
            <w:r w:rsidRPr="00D40E34">
              <w:rPr>
                <w:sz w:val="20"/>
                <w:szCs w:val="20"/>
              </w:rPr>
              <w:t xml:space="preserve">compared to the previous month, while they recorded annual decline of </w:t>
            </w:r>
            <w:r w:rsidR="00E527EE" w:rsidRPr="00D40E34">
              <w:rPr>
                <w:sz w:val="20"/>
                <w:szCs w:val="20"/>
              </w:rPr>
              <w:t>3</w:t>
            </w:r>
            <w:r w:rsidRPr="00D40E34">
              <w:rPr>
                <w:sz w:val="20"/>
                <w:szCs w:val="20"/>
              </w:rPr>
              <w:t>.</w:t>
            </w:r>
            <w:r w:rsidR="00E527EE" w:rsidRPr="00D40E34">
              <w:rPr>
                <w:sz w:val="20"/>
                <w:szCs w:val="20"/>
              </w:rPr>
              <w:t>7%. Bank</w:t>
            </w:r>
            <w:r w:rsidRPr="00D40E34">
              <w:rPr>
                <w:sz w:val="20"/>
                <w:szCs w:val="20"/>
              </w:rPr>
              <w:t xml:space="preserve">s granted </w:t>
            </w:r>
            <w:r w:rsidR="00E527EE" w:rsidRPr="00D40E34">
              <w:rPr>
                <w:sz w:val="20"/>
                <w:szCs w:val="20"/>
              </w:rPr>
              <w:t>105</w:t>
            </w:r>
            <w:r w:rsidRPr="00D40E34">
              <w:rPr>
                <w:sz w:val="20"/>
                <w:szCs w:val="20"/>
              </w:rPr>
              <w:t>.</w:t>
            </w:r>
            <w:r w:rsidR="00E527EE" w:rsidRPr="00D40E34">
              <w:rPr>
                <w:sz w:val="20"/>
                <w:szCs w:val="20"/>
              </w:rPr>
              <w:t xml:space="preserve">9 </w:t>
            </w:r>
            <w:r w:rsidRPr="00D40E34">
              <w:rPr>
                <w:sz w:val="20"/>
                <w:szCs w:val="20"/>
              </w:rPr>
              <w:t xml:space="preserve">million € of new loans in the first two months, which was an increase of </w:t>
            </w:r>
            <w:r w:rsidR="00E527EE" w:rsidRPr="00D40E34">
              <w:rPr>
                <w:sz w:val="20"/>
                <w:szCs w:val="20"/>
              </w:rPr>
              <w:t>9</w:t>
            </w:r>
            <w:r w:rsidRPr="00D40E34">
              <w:rPr>
                <w:sz w:val="20"/>
                <w:szCs w:val="20"/>
              </w:rPr>
              <w:t>.</w:t>
            </w:r>
            <w:r w:rsidR="00E527EE" w:rsidRPr="00D40E34">
              <w:rPr>
                <w:sz w:val="20"/>
                <w:szCs w:val="20"/>
              </w:rPr>
              <w:t xml:space="preserve">0% </w:t>
            </w:r>
            <w:r w:rsidRPr="00D40E34">
              <w:rPr>
                <w:sz w:val="20"/>
                <w:szCs w:val="20"/>
              </w:rPr>
              <w:t xml:space="preserve">compared to the same period last year. As opposed to satisfactory liquidity of the banking system, illiquidity of real sector deteriorated. Thus, in February 2014, accounts of </w:t>
            </w:r>
            <w:r w:rsidR="00E527EE" w:rsidRPr="00D40E34">
              <w:rPr>
                <w:sz w:val="20"/>
                <w:szCs w:val="20"/>
              </w:rPr>
              <w:t>13340</w:t>
            </w:r>
            <w:r w:rsidRPr="00D40E34">
              <w:rPr>
                <w:sz w:val="20"/>
                <w:szCs w:val="20"/>
              </w:rPr>
              <w:t xml:space="preserve"> of enforced debtors were frozen, which represented an increase of 1.44% compared to the previous month. In addition, total amount of debt based on which accounts were frozen amounted to </w:t>
            </w:r>
            <w:r w:rsidR="00E527EE" w:rsidRPr="00D40E34">
              <w:rPr>
                <w:sz w:val="20"/>
                <w:szCs w:val="20"/>
              </w:rPr>
              <w:t>462</w:t>
            </w:r>
            <w:r w:rsidRPr="00D40E34">
              <w:rPr>
                <w:sz w:val="20"/>
                <w:szCs w:val="20"/>
              </w:rPr>
              <w:t>.</w:t>
            </w:r>
            <w:r w:rsidR="00E527EE" w:rsidRPr="00D40E34">
              <w:rPr>
                <w:sz w:val="20"/>
                <w:szCs w:val="20"/>
              </w:rPr>
              <w:t xml:space="preserve">8 </w:t>
            </w:r>
            <w:r w:rsidRPr="00D40E34">
              <w:rPr>
                <w:sz w:val="20"/>
                <w:szCs w:val="20"/>
              </w:rPr>
              <w:t>million €. It recorded monthly</w:t>
            </w:r>
            <w:r w:rsidR="00040E8F" w:rsidRPr="00D40E34">
              <w:rPr>
                <w:sz w:val="20"/>
                <w:szCs w:val="20"/>
              </w:rPr>
              <w:t xml:space="preserve"> and annual increase </w:t>
            </w:r>
            <w:r w:rsidRPr="00D40E34">
              <w:rPr>
                <w:sz w:val="20"/>
                <w:szCs w:val="20"/>
              </w:rPr>
              <w:t xml:space="preserve">of </w:t>
            </w:r>
            <w:r w:rsidR="00E527EE" w:rsidRPr="00D40E34">
              <w:rPr>
                <w:sz w:val="20"/>
                <w:szCs w:val="20"/>
              </w:rPr>
              <w:t>3</w:t>
            </w:r>
            <w:r w:rsidRPr="00D40E34">
              <w:rPr>
                <w:sz w:val="20"/>
                <w:szCs w:val="20"/>
              </w:rPr>
              <w:t>.</w:t>
            </w:r>
            <w:r w:rsidR="00E527EE" w:rsidRPr="00D40E34">
              <w:rPr>
                <w:sz w:val="20"/>
                <w:szCs w:val="20"/>
              </w:rPr>
              <w:t xml:space="preserve">30% </w:t>
            </w:r>
            <w:r w:rsidR="00040E8F">
              <w:rPr>
                <w:sz w:val="20"/>
                <w:szCs w:val="20"/>
              </w:rPr>
              <w:t>and</w:t>
            </w:r>
            <w:r w:rsidRPr="00D40E34">
              <w:rPr>
                <w:sz w:val="20"/>
                <w:szCs w:val="20"/>
              </w:rPr>
              <w:t xml:space="preserve"> 4.</w:t>
            </w:r>
            <w:r w:rsidR="00E527EE" w:rsidRPr="00D40E34">
              <w:rPr>
                <w:sz w:val="20"/>
                <w:szCs w:val="20"/>
              </w:rPr>
              <w:t>1%</w:t>
            </w:r>
            <w:r w:rsidR="00040E8F">
              <w:rPr>
                <w:sz w:val="20"/>
                <w:szCs w:val="20"/>
              </w:rPr>
              <w:t>, respectively</w:t>
            </w:r>
            <w:r w:rsidR="00E527EE" w:rsidRPr="00D40E34">
              <w:rPr>
                <w:sz w:val="20"/>
                <w:szCs w:val="20"/>
              </w:rPr>
              <w:t>.</w:t>
            </w: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B721D" w:rsidRPr="00D40E34" w:rsidRDefault="00E527EE" w:rsidP="001D21BD">
            <w:pPr>
              <w:jc w:val="center"/>
              <w:rPr>
                <w:sz w:val="17"/>
                <w:szCs w:val="17"/>
                <w:lang w:eastAsia="sr-Latn-CS"/>
              </w:rPr>
            </w:pPr>
            <w:r w:rsidRPr="00D40E34">
              <w:rPr>
                <w:noProof/>
                <w:sz w:val="17"/>
                <w:szCs w:val="17"/>
                <w:lang w:val="en-US"/>
              </w:rPr>
              <w:drawing>
                <wp:inline distT="0" distB="0" distL="0" distR="0">
                  <wp:extent cx="2371725" cy="2219325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436FB4" w:rsidRPr="00D40E34" w:rsidTr="0006612C">
        <w:trPr>
          <w:trHeight w:hRule="exact" w:val="5922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1D21BD" w:rsidRPr="00D40E34" w:rsidRDefault="00974D28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40E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>Fo</w:t>
            </w:r>
            <w:r w:rsidR="00DB6D54" w:rsidRPr="00D40E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r</w:t>
            </w:r>
            <w:r w:rsidRPr="00D40E3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eign Trade Exchange and Investments</w:t>
            </w:r>
          </w:p>
          <w:p w:rsidR="00C94C39" w:rsidRPr="00D40E34" w:rsidRDefault="00DB6D54" w:rsidP="00C94C39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40E34">
              <w:rPr>
                <w:rFonts w:cstheme="minorHAnsi"/>
                <w:b/>
                <w:sz w:val="20"/>
                <w:szCs w:val="20"/>
              </w:rPr>
              <w:t xml:space="preserve">Visible trade amounted to </w:t>
            </w:r>
            <w:r w:rsidR="00C94C39" w:rsidRPr="00D40E34">
              <w:rPr>
                <w:rFonts w:cstheme="minorHAnsi"/>
                <w:b/>
                <w:sz w:val="20"/>
                <w:szCs w:val="20"/>
              </w:rPr>
              <w:t>240</w:t>
            </w:r>
            <w:r w:rsidRPr="00D40E34">
              <w:rPr>
                <w:rFonts w:cstheme="minorHAnsi"/>
                <w:b/>
                <w:sz w:val="20"/>
                <w:szCs w:val="20"/>
              </w:rPr>
              <w:t>.</w:t>
            </w:r>
            <w:r w:rsidR="006C1458" w:rsidRPr="00D40E34">
              <w:rPr>
                <w:rFonts w:cstheme="minorHAnsi"/>
                <w:b/>
                <w:sz w:val="20"/>
                <w:szCs w:val="20"/>
              </w:rPr>
              <w:t xml:space="preserve">4 </w:t>
            </w:r>
            <w:r w:rsidRPr="00D40E34">
              <w:rPr>
                <w:rFonts w:cstheme="minorHAnsi"/>
                <w:b/>
                <w:sz w:val="20"/>
                <w:szCs w:val="20"/>
              </w:rPr>
              <w:t xml:space="preserve">million € </w:t>
            </w:r>
            <w:r w:rsidR="00040E8F">
              <w:rPr>
                <w:rFonts w:cstheme="minorHAnsi"/>
                <w:b/>
                <w:sz w:val="20"/>
                <w:szCs w:val="20"/>
              </w:rPr>
              <w:t>in</w:t>
            </w:r>
            <w:r w:rsidRPr="00D40E34">
              <w:rPr>
                <w:rFonts w:cstheme="minorHAnsi"/>
                <w:b/>
                <w:sz w:val="20"/>
                <w:szCs w:val="20"/>
              </w:rPr>
              <w:t xml:space="preserve"> the first two months 2014</w:t>
            </w:r>
            <w:r w:rsidR="006C1458" w:rsidRPr="00D40E34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D40E34">
              <w:rPr>
                <w:rFonts w:cstheme="minorHAnsi"/>
                <w:b/>
                <w:sz w:val="20"/>
                <w:szCs w:val="20"/>
              </w:rPr>
              <w:t xml:space="preserve">which indicated to a decrease of </w:t>
            </w:r>
            <w:r w:rsidR="006C1458" w:rsidRPr="00D40E34">
              <w:rPr>
                <w:rFonts w:cstheme="minorHAnsi"/>
                <w:b/>
                <w:sz w:val="20"/>
                <w:szCs w:val="20"/>
              </w:rPr>
              <w:t>15</w:t>
            </w:r>
            <w:r w:rsidRPr="00D40E34">
              <w:rPr>
                <w:rFonts w:cstheme="minorHAnsi"/>
                <w:b/>
                <w:sz w:val="20"/>
                <w:szCs w:val="20"/>
              </w:rPr>
              <w:t>.</w:t>
            </w:r>
            <w:r w:rsidR="006C1458" w:rsidRPr="00D40E34">
              <w:rPr>
                <w:rFonts w:cstheme="minorHAnsi"/>
                <w:b/>
                <w:sz w:val="20"/>
                <w:szCs w:val="20"/>
              </w:rPr>
              <w:t xml:space="preserve">2% </w:t>
            </w:r>
            <w:r w:rsidRPr="00D40E34">
              <w:rPr>
                <w:rFonts w:cstheme="minorHAnsi"/>
                <w:b/>
                <w:sz w:val="20"/>
                <w:szCs w:val="20"/>
              </w:rPr>
              <w:t>compared to the same period 2013</w:t>
            </w:r>
            <w:r w:rsidR="00C94C39" w:rsidRPr="00D40E34">
              <w:rPr>
                <w:rFonts w:cstheme="minorHAnsi"/>
                <w:b/>
                <w:sz w:val="20"/>
                <w:szCs w:val="20"/>
              </w:rPr>
              <w:t>.</w:t>
            </w:r>
            <w:r w:rsidRPr="00D40E3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40E34">
              <w:rPr>
                <w:rFonts w:cstheme="minorHAnsi"/>
                <w:sz w:val="20"/>
                <w:szCs w:val="20"/>
              </w:rPr>
              <w:t xml:space="preserve">Foreign trade deficit declined by </w:t>
            </w:r>
            <w:r w:rsidR="00C94C39" w:rsidRPr="00D40E34">
              <w:rPr>
                <w:rFonts w:cstheme="minorHAnsi"/>
                <w:sz w:val="20"/>
                <w:szCs w:val="20"/>
              </w:rPr>
              <w:t>8</w:t>
            </w:r>
            <w:r w:rsidRPr="00D40E34">
              <w:rPr>
                <w:rFonts w:cstheme="minorHAnsi"/>
                <w:sz w:val="20"/>
                <w:szCs w:val="20"/>
              </w:rPr>
              <w:t>.</w:t>
            </w:r>
            <w:r w:rsidR="00C94C39" w:rsidRPr="00D40E34">
              <w:rPr>
                <w:rFonts w:cstheme="minorHAnsi"/>
                <w:sz w:val="20"/>
                <w:szCs w:val="20"/>
              </w:rPr>
              <w:t>6%</w:t>
            </w:r>
            <w:r w:rsidRPr="00D40E34">
              <w:rPr>
                <w:rFonts w:cstheme="minorHAnsi"/>
                <w:sz w:val="20"/>
                <w:szCs w:val="20"/>
              </w:rPr>
              <w:t xml:space="preserve"> and it amounted to </w:t>
            </w:r>
            <w:r w:rsidR="00C94C39" w:rsidRPr="00D40E34">
              <w:rPr>
                <w:rFonts w:cstheme="minorHAnsi"/>
                <w:sz w:val="20"/>
                <w:szCs w:val="20"/>
              </w:rPr>
              <w:t>150</w:t>
            </w:r>
            <w:r w:rsidRPr="00D40E34">
              <w:rPr>
                <w:rFonts w:cstheme="minorHAnsi"/>
                <w:sz w:val="20"/>
                <w:szCs w:val="20"/>
              </w:rPr>
              <w:t>.</w:t>
            </w:r>
            <w:r w:rsidR="00C94C39" w:rsidRPr="00D40E34">
              <w:rPr>
                <w:rFonts w:cstheme="minorHAnsi"/>
                <w:sz w:val="20"/>
                <w:szCs w:val="20"/>
              </w:rPr>
              <w:t>8</w:t>
            </w:r>
            <w:r w:rsidRPr="00D40E34">
              <w:rPr>
                <w:rFonts w:cstheme="minorHAnsi"/>
                <w:sz w:val="20"/>
                <w:szCs w:val="20"/>
              </w:rPr>
              <w:t xml:space="preserve"> million €</w:t>
            </w:r>
            <w:r w:rsidR="00C94C39" w:rsidRPr="00D40E34">
              <w:rPr>
                <w:rFonts w:cstheme="minorHAnsi"/>
                <w:sz w:val="20"/>
                <w:szCs w:val="20"/>
              </w:rPr>
              <w:t xml:space="preserve"> </w:t>
            </w:r>
            <w:r w:rsidRPr="00D40E34">
              <w:rPr>
                <w:rFonts w:cstheme="minorHAnsi"/>
                <w:sz w:val="20"/>
                <w:szCs w:val="20"/>
              </w:rPr>
              <w:t xml:space="preserve">as a result of decline in exports and imports by </w:t>
            </w:r>
            <w:r w:rsidR="00C94C39" w:rsidRPr="00D40E34">
              <w:rPr>
                <w:rFonts w:cstheme="minorHAnsi"/>
                <w:sz w:val="20"/>
                <w:szCs w:val="20"/>
              </w:rPr>
              <w:t>24</w:t>
            </w:r>
            <w:r w:rsidRPr="00D40E34">
              <w:rPr>
                <w:rFonts w:cstheme="minorHAnsi"/>
                <w:sz w:val="20"/>
                <w:szCs w:val="20"/>
              </w:rPr>
              <w:t>.</w:t>
            </w:r>
            <w:r w:rsidR="00C94C39" w:rsidRPr="00D40E34">
              <w:rPr>
                <w:rFonts w:cstheme="minorHAnsi"/>
                <w:sz w:val="20"/>
                <w:szCs w:val="20"/>
              </w:rPr>
              <w:t>4</w:t>
            </w:r>
            <w:r w:rsidRPr="00D40E34">
              <w:rPr>
                <w:rFonts w:cstheme="minorHAnsi"/>
                <w:sz w:val="20"/>
                <w:szCs w:val="20"/>
              </w:rPr>
              <w:t xml:space="preserve">% and </w:t>
            </w:r>
            <w:r w:rsidR="00C94C39" w:rsidRPr="00D40E34">
              <w:rPr>
                <w:rFonts w:cstheme="minorHAnsi"/>
                <w:sz w:val="20"/>
                <w:szCs w:val="20"/>
              </w:rPr>
              <w:t>12</w:t>
            </w:r>
            <w:r w:rsidRPr="00D40E34">
              <w:rPr>
                <w:rFonts w:cstheme="minorHAnsi"/>
                <w:sz w:val="20"/>
                <w:szCs w:val="20"/>
              </w:rPr>
              <w:t>.</w:t>
            </w:r>
            <w:r w:rsidR="00C94C39" w:rsidRPr="00D40E34">
              <w:rPr>
                <w:rFonts w:cstheme="minorHAnsi"/>
                <w:sz w:val="20"/>
                <w:szCs w:val="20"/>
              </w:rPr>
              <w:t xml:space="preserve">7%, </w:t>
            </w:r>
            <w:r w:rsidR="00A953B1" w:rsidRPr="00D40E34">
              <w:rPr>
                <w:rFonts w:cstheme="minorHAnsi"/>
                <w:sz w:val="20"/>
                <w:szCs w:val="20"/>
              </w:rPr>
              <w:t>respectively. Some</w:t>
            </w:r>
            <w:r w:rsidR="00C94C39" w:rsidRPr="00D40E34">
              <w:rPr>
                <w:rFonts w:cstheme="minorHAnsi"/>
                <w:sz w:val="20"/>
                <w:szCs w:val="20"/>
              </w:rPr>
              <w:t xml:space="preserve"> 44</w:t>
            </w:r>
            <w:r w:rsidR="00A953B1" w:rsidRPr="00D40E34">
              <w:rPr>
                <w:rFonts w:cstheme="minorHAnsi"/>
                <w:sz w:val="20"/>
                <w:szCs w:val="20"/>
              </w:rPr>
              <w:t>.</w:t>
            </w:r>
            <w:r w:rsidR="00C94C39" w:rsidRPr="00D40E34">
              <w:rPr>
                <w:rFonts w:cstheme="minorHAnsi"/>
                <w:sz w:val="20"/>
                <w:szCs w:val="20"/>
              </w:rPr>
              <w:t xml:space="preserve">8 </w:t>
            </w:r>
            <w:r w:rsidRPr="00D40E34">
              <w:rPr>
                <w:rFonts w:cstheme="minorHAnsi"/>
                <w:sz w:val="20"/>
                <w:szCs w:val="20"/>
              </w:rPr>
              <w:t>million €</w:t>
            </w:r>
            <w:r w:rsidR="00C94C39" w:rsidRPr="00D40E34">
              <w:rPr>
                <w:rFonts w:cstheme="minorHAnsi"/>
                <w:sz w:val="20"/>
                <w:szCs w:val="20"/>
              </w:rPr>
              <w:t xml:space="preserve"> </w:t>
            </w:r>
            <w:r w:rsidR="00A953B1" w:rsidRPr="00D40E34">
              <w:rPr>
                <w:rFonts w:cstheme="minorHAnsi"/>
                <w:sz w:val="20"/>
                <w:szCs w:val="20"/>
              </w:rPr>
              <w:t xml:space="preserve">was exported, while </w:t>
            </w:r>
            <w:r w:rsidR="00C94C39" w:rsidRPr="00D40E34">
              <w:rPr>
                <w:rFonts w:cstheme="minorHAnsi"/>
                <w:sz w:val="20"/>
                <w:szCs w:val="20"/>
              </w:rPr>
              <w:t>195</w:t>
            </w:r>
            <w:r w:rsidR="00A953B1" w:rsidRPr="00D40E34">
              <w:rPr>
                <w:rFonts w:cstheme="minorHAnsi"/>
                <w:sz w:val="20"/>
                <w:szCs w:val="20"/>
              </w:rPr>
              <w:t>.</w:t>
            </w:r>
            <w:r w:rsidR="00C94C39" w:rsidRPr="00D40E34">
              <w:rPr>
                <w:rFonts w:cstheme="minorHAnsi"/>
                <w:sz w:val="20"/>
                <w:szCs w:val="20"/>
              </w:rPr>
              <w:t>6</w:t>
            </w:r>
            <w:r w:rsidR="00A953B1" w:rsidRPr="00D40E34">
              <w:rPr>
                <w:rFonts w:cstheme="minorHAnsi"/>
                <w:sz w:val="20"/>
                <w:szCs w:val="20"/>
              </w:rPr>
              <w:t xml:space="preserve"> </w:t>
            </w:r>
            <w:r w:rsidR="00C94C39" w:rsidRPr="00D40E34">
              <w:rPr>
                <w:rFonts w:cstheme="minorHAnsi"/>
                <w:sz w:val="20"/>
                <w:szCs w:val="20"/>
              </w:rPr>
              <w:t>mil</w:t>
            </w:r>
            <w:r w:rsidR="00A953B1" w:rsidRPr="00D40E34">
              <w:rPr>
                <w:rFonts w:cstheme="minorHAnsi"/>
                <w:sz w:val="20"/>
                <w:szCs w:val="20"/>
              </w:rPr>
              <w:t xml:space="preserve">lion </w:t>
            </w:r>
            <w:r w:rsidR="00C94C39" w:rsidRPr="00D40E34">
              <w:rPr>
                <w:rFonts w:cstheme="minorHAnsi"/>
                <w:sz w:val="20"/>
                <w:szCs w:val="20"/>
              </w:rPr>
              <w:t>€</w:t>
            </w:r>
            <w:r w:rsidR="00A953B1" w:rsidRPr="00D40E34">
              <w:rPr>
                <w:rFonts w:cstheme="minorHAnsi"/>
                <w:sz w:val="20"/>
                <w:szCs w:val="20"/>
              </w:rPr>
              <w:t xml:space="preserve"> was imported</w:t>
            </w:r>
            <w:r w:rsidR="00C94C39" w:rsidRPr="00D40E34">
              <w:rPr>
                <w:rFonts w:cstheme="minorHAnsi"/>
                <w:sz w:val="20"/>
                <w:szCs w:val="20"/>
              </w:rPr>
              <w:t xml:space="preserve">. </w:t>
            </w:r>
            <w:r w:rsidR="00A953B1" w:rsidRPr="00D40E34">
              <w:rPr>
                <w:rFonts w:cstheme="minorHAnsi"/>
                <w:sz w:val="20"/>
                <w:szCs w:val="20"/>
              </w:rPr>
              <w:t>Import-export coverage amounted 22.</w:t>
            </w:r>
            <w:r w:rsidR="00C94C39" w:rsidRPr="00D40E34">
              <w:rPr>
                <w:rFonts w:cstheme="minorHAnsi"/>
                <w:sz w:val="20"/>
                <w:szCs w:val="20"/>
              </w:rPr>
              <w:t xml:space="preserve">9% </w:t>
            </w:r>
            <w:r w:rsidR="00A953B1" w:rsidRPr="00D40E34">
              <w:rPr>
                <w:rFonts w:cstheme="minorHAnsi"/>
                <w:sz w:val="20"/>
                <w:szCs w:val="20"/>
              </w:rPr>
              <w:t xml:space="preserve">and it declined by </w:t>
            </w:r>
            <w:r w:rsidR="00C94C39" w:rsidRPr="00D40E34">
              <w:rPr>
                <w:rFonts w:cstheme="minorHAnsi"/>
                <w:sz w:val="20"/>
                <w:szCs w:val="20"/>
              </w:rPr>
              <w:t>3</w:t>
            </w:r>
            <w:r w:rsidR="00A953B1" w:rsidRPr="00D40E34">
              <w:rPr>
                <w:rFonts w:cstheme="minorHAnsi"/>
                <w:sz w:val="20"/>
                <w:szCs w:val="20"/>
              </w:rPr>
              <w:t>.</w:t>
            </w:r>
            <w:r w:rsidR="00C94C39" w:rsidRPr="00D40E34">
              <w:rPr>
                <w:rFonts w:cstheme="minorHAnsi"/>
                <w:sz w:val="20"/>
                <w:szCs w:val="20"/>
              </w:rPr>
              <w:t>5 p</w:t>
            </w:r>
            <w:r w:rsidR="00A953B1" w:rsidRPr="00D40E34">
              <w:rPr>
                <w:rFonts w:cstheme="minorHAnsi"/>
                <w:sz w:val="20"/>
                <w:szCs w:val="20"/>
              </w:rPr>
              <w:t>ercentage points</w:t>
            </w:r>
            <w:r w:rsidR="00C94C39" w:rsidRPr="00D40E34">
              <w:rPr>
                <w:rFonts w:cstheme="minorHAnsi"/>
                <w:sz w:val="20"/>
                <w:szCs w:val="20"/>
              </w:rPr>
              <w:t xml:space="preserve">. </w:t>
            </w:r>
            <w:r w:rsidR="00A953B1" w:rsidRPr="00D40E34">
              <w:rPr>
                <w:rFonts w:cstheme="minorHAnsi"/>
                <w:sz w:val="20"/>
                <w:szCs w:val="20"/>
              </w:rPr>
              <w:t xml:space="preserve">Export in electricity and aluminium, which declined by 30.0 and 39.0% respectively, had negative impact on export trend. Decline in import of machines and transport devices (36.0%) influenced </w:t>
            </w:r>
            <w:r w:rsidR="00040E8F">
              <w:rPr>
                <w:rFonts w:cstheme="minorHAnsi"/>
                <w:sz w:val="20"/>
                <w:szCs w:val="20"/>
              </w:rPr>
              <w:t>primarily</w:t>
            </w:r>
            <w:r w:rsidR="00A953B1" w:rsidRPr="00D40E34">
              <w:rPr>
                <w:rFonts w:cstheme="minorHAnsi"/>
                <w:sz w:val="20"/>
                <w:szCs w:val="20"/>
              </w:rPr>
              <w:t xml:space="preserve"> the decline in imports (high base from the previous year due to the purchase of </w:t>
            </w:r>
            <w:r w:rsidR="00040E8F">
              <w:rPr>
                <w:rFonts w:cstheme="minorHAnsi"/>
                <w:sz w:val="20"/>
                <w:szCs w:val="20"/>
              </w:rPr>
              <w:t xml:space="preserve">maritime </w:t>
            </w:r>
            <w:r w:rsidR="00A953B1" w:rsidRPr="00D40E34">
              <w:rPr>
                <w:rFonts w:cstheme="minorHAnsi"/>
                <w:sz w:val="20"/>
                <w:szCs w:val="20"/>
              </w:rPr>
              <w:t>vessels in the amount of 21.0 million € in January 2013</w:t>
            </w:r>
            <w:r w:rsidR="00C94C39" w:rsidRPr="00D40E34">
              <w:rPr>
                <w:rFonts w:cstheme="minorHAnsi"/>
                <w:sz w:val="20"/>
                <w:szCs w:val="20"/>
              </w:rPr>
              <w:t xml:space="preserve">). </w:t>
            </w:r>
            <w:r w:rsidR="00A953B1" w:rsidRPr="00D40E34">
              <w:rPr>
                <w:rFonts w:cstheme="minorHAnsi"/>
                <w:sz w:val="20"/>
                <w:szCs w:val="20"/>
              </w:rPr>
              <w:t xml:space="preserve">Observed by group of countries, </w:t>
            </w:r>
            <w:r w:rsidR="00C94C39" w:rsidRPr="00D40E34">
              <w:rPr>
                <w:rFonts w:cstheme="minorHAnsi"/>
                <w:sz w:val="20"/>
                <w:szCs w:val="20"/>
              </w:rPr>
              <w:t>46</w:t>
            </w:r>
            <w:r w:rsidR="00A953B1" w:rsidRPr="00D40E34">
              <w:rPr>
                <w:rFonts w:cstheme="minorHAnsi"/>
                <w:sz w:val="20"/>
                <w:szCs w:val="20"/>
              </w:rPr>
              <w:t>.</w:t>
            </w:r>
            <w:r w:rsidR="00C94C39" w:rsidRPr="00D40E34">
              <w:rPr>
                <w:rFonts w:cstheme="minorHAnsi"/>
                <w:sz w:val="20"/>
                <w:szCs w:val="20"/>
              </w:rPr>
              <w:t xml:space="preserve">7% </w:t>
            </w:r>
            <w:r w:rsidR="00A953B1" w:rsidRPr="00D40E34">
              <w:rPr>
                <w:rFonts w:cstheme="minorHAnsi"/>
                <w:sz w:val="20"/>
                <w:szCs w:val="20"/>
              </w:rPr>
              <w:t xml:space="preserve">of total exports and </w:t>
            </w:r>
            <w:r w:rsidR="00C94C39" w:rsidRPr="00D40E34">
              <w:rPr>
                <w:rFonts w:cstheme="minorHAnsi"/>
                <w:sz w:val="20"/>
                <w:szCs w:val="20"/>
              </w:rPr>
              <w:t>40</w:t>
            </w:r>
            <w:r w:rsidR="00A953B1" w:rsidRPr="00D40E34">
              <w:rPr>
                <w:rFonts w:cstheme="minorHAnsi"/>
                <w:sz w:val="20"/>
                <w:szCs w:val="20"/>
              </w:rPr>
              <w:t>.</w:t>
            </w:r>
            <w:r w:rsidR="00C94C39" w:rsidRPr="00D40E34">
              <w:rPr>
                <w:rFonts w:cstheme="minorHAnsi"/>
                <w:sz w:val="20"/>
                <w:szCs w:val="20"/>
              </w:rPr>
              <w:t>0</w:t>
            </w:r>
            <w:r w:rsidR="00A953B1" w:rsidRPr="00D40E34">
              <w:rPr>
                <w:rFonts w:cstheme="minorHAnsi"/>
                <w:sz w:val="20"/>
                <w:szCs w:val="20"/>
              </w:rPr>
              <w:t>% of total imports referred to CEFTA countries</w:t>
            </w:r>
            <w:r w:rsidR="00C94C39" w:rsidRPr="00D40E34">
              <w:rPr>
                <w:rFonts w:cstheme="minorHAnsi"/>
                <w:sz w:val="20"/>
                <w:szCs w:val="20"/>
              </w:rPr>
              <w:t>.</w:t>
            </w:r>
          </w:p>
          <w:p w:rsidR="00436FB4" w:rsidRPr="00D40E34" w:rsidRDefault="00C94C39" w:rsidP="00BA258D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D40E34">
              <w:rPr>
                <w:b/>
                <w:bCs/>
                <w:sz w:val="20"/>
                <w:szCs w:val="20"/>
              </w:rPr>
              <w:t>Net</w:t>
            </w:r>
            <w:r w:rsidR="00A953B1" w:rsidRPr="00D40E34">
              <w:rPr>
                <w:b/>
                <w:bCs/>
                <w:sz w:val="20"/>
                <w:szCs w:val="20"/>
              </w:rPr>
              <w:t xml:space="preserve"> FDI inflow</w:t>
            </w:r>
            <w:r w:rsidR="00040E8F">
              <w:rPr>
                <w:b/>
                <w:bCs/>
                <w:sz w:val="20"/>
                <w:szCs w:val="20"/>
              </w:rPr>
              <w:t>s</w:t>
            </w:r>
            <w:r w:rsidR="00A953B1" w:rsidRPr="00D40E34">
              <w:rPr>
                <w:b/>
                <w:bCs/>
                <w:sz w:val="20"/>
                <w:szCs w:val="20"/>
              </w:rPr>
              <w:t xml:space="preserve"> in January 2014 amounted to </w:t>
            </w:r>
            <w:r w:rsidRPr="00D40E34">
              <w:rPr>
                <w:b/>
                <w:bCs/>
                <w:sz w:val="20"/>
                <w:szCs w:val="20"/>
              </w:rPr>
              <w:t>17</w:t>
            </w:r>
            <w:r w:rsidR="0006612C" w:rsidRPr="00D40E34">
              <w:rPr>
                <w:b/>
                <w:bCs/>
                <w:sz w:val="20"/>
                <w:szCs w:val="20"/>
              </w:rPr>
              <w:t>.</w:t>
            </w:r>
            <w:r w:rsidRPr="00D40E34">
              <w:rPr>
                <w:b/>
                <w:bCs/>
                <w:sz w:val="20"/>
                <w:szCs w:val="20"/>
              </w:rPr>
              <w:t xml:space="preserve">0 </w:t>
            </w:r>
            <w:r w:rsidR="00DB6D54" w:rsidRPr="00D40E34">
              <w:rPr>
                <w:b/>
                <w:bCs/>
                <w:sz w:val="20"/>
                <w:szCs w:val="20"/>
              </w:rPr>
              <w:t>million €</w:t>
            </w:r>
            <w:r w:rsidR="00A953B1" w:rsidRPr="00D40E34">
              <w:rPr>
                <w:b/>
                <w:bCs/>
                <w:sz w:val="20"/>
                <w:szCs w:val="20"/>
              </w:rPr>
              <w:t xml:space="preserve">, which is </w:t>
            </w:r>
            <w:r w:rsidRPr="00D40E34">
              <w:rPr>
                <w:b/>
                <w:bCs/>
                <w:sz w:val="20"/>
                <w:szCs w:val="20"/>
              </w:rPr>
              <w:t>2</w:t>
            </w:r>
            <w:r w:rsidR="00A953B1" w:rsidRPr="00D40E34">
              <w:rPr>
                <w:b/>
                <w:bCs/>
                <w:sz w:val="20"/>
                <w:szCs w:val="20"/>
              </w:rPr>
              <w:t>.</w:t>
            </w:r>
            <w:r w:rsidRPr="00D40E34">
              <w:rPr>
                <w:b/>
                <w:bCs/>
                <w:sz w:val="20"/>
                <w:szCs w:val="20"/>
              </w:rPr>
              <w:t xml:space="preserve">5 </w:t>
            </w:r>
            <w:r w:rsidR="00A953B1" w:rsidRPr="00D40E34">
              <w:rPr>
                <w:b/>
                <w:bCs/>
                <w:sz w:val="20"/>
                <w:szCs w:val="20"/>
              </w:rPr>
              <w:t xml:space="preserve">higher than in January </w:t>
            </w:r>
            <w:r w:rsidRPr="00D40E34">
              <w:rPr>
                <w:b/>
                <w:bCs/>
                <w:sz w:val="20"/>
                <w:szCs w:val="20"/>
              </w:rPr>
              <w:t>2013</w:t>
            </w:r>
            <w:r w:rsidR="00A953B1" w:rsidRPr="00D40E34">
              <w:rPr>
                <w:b/>
                <w:bCs/>
                <w:sz w:val="20"/>
                <w:szCs w:val="20"/>
              </w:rPr>
              <w:t xml:space="preserve"> </w:t>
            </w:r>
            <w:r w:rsidRPr="00D40E34">
              <w:rPr>
                <w:b/>
                <w:bCs/>
                <w:sz w:val="20"/>
                <w:szCs w:val="20"/>
              </w:rPr>
              <w:t>(6</w:t>
            </w:r>
            <w:r w:rsidR="00A953B1" w:rsidRPr="00D40E34">
              <w:rPr>
                <w:b/>
                <w:bCs/>
                <w:sz w:val="20"/>
                <w:szCs w:val="20"/>
              </w:rPr>
              <w:t>.</w:t>
            </w:r>
            <w:r w:rsidRPr="00D40E34">
              <w:rPr>
                <w:b/>
                <w:bCs/>
                <w:sz w:val="20"/>
                <w:szCs w:val="20"/>
              </w:rPr>
              <w:t>6</w:t>
            </w:r>
            <w:r w:rsidR="00A953B1" w:rsidRPr="00D40E34">
              <w:rPr>
                <w:b/>
                <w:bCs/>
                <w:sz w:val="20"/>
                <w:szCs w:val="20"/>
              </w:rPr>
              <w:t xml:space="preserve"> </w:t>
            </w:r>
            <w:r w:rsidRPr="00D40E34">
              <w:rPr>
                <w:b/>
                <w:bCs/>
                <w:sz w:val="20"/>
                <w:szCs w:val="20"/>
              </w:rPr>
              <w:t>mil</w:t>
            </w:r>
            <w:r w:rsidR="00A953B1" w:rsidRPr="00D40E34">
              <w:rPr>
                <w:b/>
                <w:bCs/>
                <w:sz w:val="20"/>
                <w:szCs w:val="20"/>
              </w:rPr>
              <w:t xml:space="preserve">lion </w:t>
            </w:r>
            <w:r w:rsidRPr="00D40E34">
              <w:rPr>
                <w:b/>
                <w:bCs/>
                <w:sz w:val="20"/>
                <w:szCs w:val="20"/>
              </w:rPr>
              <w:t xml:space="preserve">€). </w:t>
            </w:r>
            <w:r w:rsidR="00A953B1" w:rsidRPr="00D40E34">
              <w:rPr>
                <w:bCs/>
                <w:sz w:val="20"/>
                <w:szCs w:val="20"/>
              </w:rPr>
              <w:t>Total FDI inflow</w:t>
            </w:r>
            <w:r w:rsidR="00040E8F">
              <w:rPr>
                <w:bCs/>
                <w:sz w:val="20"/>
                <w:szCs w:val="20"/>
              </w:rPr>
              <w:t>s</w:t>
            </w:r>
            <w:r w:rsidR="00A953B1" w:rsidRPr="00D40E34">
              <w:rPr>
                <w:bCs/>
                <w:sz w:val="20"/>
                <w:szCs w:val="20"/>
              </w:rPr>
              <w:t xml:space="preserve"> amounted to </w:t>
            </w:r>
            <w:r w:rsidRPr="00D40E34">
              <w:rPr>
                <w:bCs/>
                <w:sz w:val="20"/>
                <w:szCs w:val="20"/>
              </w:rPr>
              <w:t>31</w:t>
            </w:r>
            <w:r w:rsidR="00A953B1" w:rsidRPr="00D40E34">
              <w:rPr>
                <w:bCs/>
                <w:sz w:val="20"/>
                <w:szCs w:val="20"/>
              </w:rPr>
              <w:t>.</w:t>
            </w:r>
            <w:r w:rsidRPr="00D40E34">
              <w:rPr>
                <w:bCs/>
                <w:sz w:val="20"/>
                <w:szCs w:val="20"/>
              </w:rPr>
              <w:t xml:space="preserve">0 </w:t>
            </w:r>
            <w:r w:rsidR="00DB6D54" w:rsidRPr="00D40E34">
              <w:rPr>
                <w:bCs/>
                <w:sz w:val="20"/>
                <w:szCs w:val="20"/>
              </w:rPr>
              <w:t>million €</w:t>
            </w:r>
            <w:r w:rsidR="00A953B1" w:rsidRPr="00D40E34">
              <w:rPr>
                <w:bCs/>
                <w:sz w:val="20"/>
                <w:szCs w:val="20"/>
              </w:rPr>
              <w:t xml:space="preserve"> showing increase of </w:t>
            </w:r>
            <w:r w:rsidRPr="00D40E34">
              <w:rPr>
                <w:bCs/>
                <w:sz w:val="20"/>
                <w:szCs w:val="20"/>
              </w:rPr>
              <w:t>82</w:t>
            </w:r>
            <w:r w:rsidR="00A953B1" w:rsidRPr="00D40E34">
              <w:rPr>
                <w:bCs/>
                <w:sz w:val="20"/>
                <w:szCs w:val="20"/>
              </w:rPr>
              <w:t>.</w:t>
            </w:r>
            <w:r w:rsidRPr="00D40E34">
              <w:rPr>
                <w:bCs/>
                <w:sz w:val="20"/>
                <w:szCs w:val="20"/>
              </w:rPr>
              <w:t>4%</w:t>
            </w:r>
            <w:r w:rsidR="00A953B1" w:rsidRPr="00D40E34">
              <w:rPr>
                <w:bCs/>
                <w:sz w:val="20"/>
                <w:szCs w:val="20"/>
              </w:rPr>
              <w:t xml:space="preserve"> compared to January of the last year. With regard to the structure of total inflows, equity investments accounted for</w:t>
            </w:r>
            <w:r w:rsidRPr="00D40E34">
              <w:rPr>
                <w:sz w:val="20"/>
                <w:szCs w:val="20"/>
              </w:rPr>
              <w:t xml:space="preserve"> 49</w:t>
            </w:r>
            <w:r w:rsidR="00A953B1" w:rsidRPr="00D40E34">
              <w:rPr>
                <w:sz w:val="20"/>
                <w:szCs w:val="20"/>
              </w:rPr>
              <w:t>.</w:t>
            </w:r>
            <w:r w:rsidRPr="00D40E34">
              <w:rPr>
                <w:sz w:val="20"/>
                <w:szCs w:val="20"/>
              </w:rPr>
              <w:t>2% (</w:t>
            </w:r>
            <w:r w:rsidR="00A953B1" w:rsidRPr="00D40E34">
              <w:rPr>
                <w:sz w:val="20"/>
                <w:szCs w:val="20"/>
              </w:rPr>
              <w:t>investments in companies and banks of 1</w:t>
            </w:r>
            <w:r w:rsidRPr="00D40E34">
              <w:rPr>
                <w:sz w:val="20"/>
                <w:szCs w:val="20"/>
              </w:rPr>
              <w:t>5</w:t>
            </w:r>
            <w:r w:rsidR="00A953B1" w:rsidRPr="00D40E34">
              <w:rPr>
                <w:sz w:val="20"/>
                <w:szCs w:val="20"/>
              </w:rPr>
              <w:t xml:space="preserve">.3% or increase of </w:t>
            </w:r>
            <w:r w:rsidRPr="00D40E34">
              <w:rPr>
                <w:sz w:val="20"/>
                <w:szCs w:val="20"/>
              </w:rPr>
              <w:t>216</w:t>
            </w:r>
            <w:r w:rsidR="00A953B1" w:rsidRPr="00D40E34">
              <w:rPr>
                <w:sz w:val="20"/>
                <w:szCs w:val="20"/>
              </w:rPr>
              <w:t>.</w:t>
            </w:r>
            <w:r w:rsidRPr="00D40E34">
              <w:rPr>
                <w:sz w:val="20"/>
                <w:szCs w:val="20"/>
              </w:rPr>
              <w:t>7%</w:t>
            </w:r>
            <w:r w:rsidR="00A953B1" w:rsidRPr="00D40E34">
              <w:rPr>
                <w:sz w:val="20"/>
                <w:szCs w:val="20"/>
              </w:rPr>
              <w:t xml:space="preserve">, and investments in real estate of </w:t>
            </w:r>
            <w:r w:rsidRPr="00D40E34">
              <w:rPr>
                <w:sz w:val="20"/>
                <w:szCs w:val="20"/>
              </w:rPr>
              <w:t>34</w:t>
            </w:r>
            <w:r w:rsidR="00A953B1" w:rsidRPr="00D40E34">
              <w:rPr>
                <w:sz w:val="20"/>
                <w:szCs w:val="20"/>
              </w:rPr>
              <w:t>.</w:t>
            </w:r>
            <w:r w:rsidRPr="00D40E34">
              <w:rPr>
                <w:sz w:val="20"/>
                <w:szCs w:val="20"/>
              </w:rPr>
              <w:t>0%</w:t>
            </w:r>
            <w:r w:rsidR="00A953B1" w:rsidRPr="00D40E34">
              <w:rPr>
                <w:sz w:val="20"/>
                <w:szCs w:val="20"/>
              </w:rPr>
              <w:t xml:space="preserve"> or increase of </w:t>
            </w:r>
            <w:r w:rsidRPr="00D40E34">
              <w:rPr>
                <w:sz w:val="20"/>
                <w:szCs w:val="20"/>
              </w:rPr>
              <w:t>8</w:t>
            </w:r>
            <w:r w:rsidR="00A953B1" w:rsidRPr="00D40E34">
              <w:rPr>
                <w:sz w:val="20"/>
                <w:szCs w:val="20"/>
              </w:rPr>
              <w:t>.</w:t>
            </w:r>
            <w:r w:rsidRPr="00D40E34">
              <w:rPr>
                <w:sz w:val="20"/>
                <w:szCs w:val="20"/>
              </w:rPr>
              <w:t xml:space="preserve">2%), </w:t>
            </w:r>
            <w:r w:rsidR="00A953B1" w:rsidRPr="00D40E34">
              <w:rPr>
                <w:sz w:val="20"/>
                <w:szCs w:val="20"/>
              </w:rPr>
              <w:t xml:space="preserve">intercompany debt </w:t>
            </w:r>
            <w:r w:rsidR="00BA258D">
              <w:rPr>
                <w:sz w:val="20"/>
                <w:szCs w:val="20"/>
              </w:rPr>
              <w:t>was</w:t>
            </w:r>
            <w:r w:rsidR="00A953B1" w:rsidRPr="00D40E34">
              <w:rPr>
                <w:sz w:val="20"/>
                <w:szCs w:val="20"/>
              </w:rPr>
              <w:t xml:space="preserve"> </w:t>
            </w:r>
            <w:r w:rsidRPr="00D40E34">
              <w:rPr>
                <w:sz w:val="20"/>
                <w:szCs w:val="20"/>
              </w:rPr>
              <w:t>49</w:t>
            </w:r>
            <w:r w:rsidR="00A953B1" w:rsidRPr="00D40E34">
              <w:rPr>
                <w:sz w:val="20"/>
                <w:szCs w:val="20"/>
              </w:rPr>
              <w:t>.</w:t>
            </w:r>
            <w:r w:rsidRPr="00D40E34">
              <w:rPr>
                <w:sz w:val="20"/>
                <w:szCs w:val="20"/>
              </w:rPr>
              <w:t>2%</w:t>
            </w:r>
            <w:r w:rsidR="00A953B1" w:rsidRPr="00D40E34">
              <w:rPr>
                <w:sz w:val="20"/>
                <w:szCs w:val="20"/>
              </w:rPr>
              <w:t xml:space="preserve"> </w:t>
            </w:r>
            <w:r w:rsidRPr="00D40E34">
              <w:rPr>
                <w:sz w:val="20"/>
                <w:szCs w:val="20"/>
              </w:rPr>
              <w:t>(</w:t>
            </w:r>
            <w:r w:rsidR="00A953B1" w:rsidRPr="00D40E34">
              <w:rPr>
                <w:sz w:val="20"/>
                <w:szCs w:val="20"/>
              </w:rPr>
              <w:t>increase of</w:t>
            </w:r>
            <w:r w:rsidRPr="00D40E34">
              <w:rPr>
                <w:sz w:val="20"/>
                <w:szCs w:val="20"/>
              </w:rPr>
              <w:t xml:space="preserve"> 274</w:t>
            </w:r>
            <w:r w:rsidR="0006612C" w:rsidRPr="00D40E34">
              <w:rPr>
                <w:sz w:val="20"/>
                <w:szCs w:val="20"/>
              </w:rPr>
              <w:t>.3%</w:t>
            </w:r>
            <w:r w:rsidRPr="00D40E34">
              <w:rPr>
                <w:sz w:val="20"/>
                <w:szCs w:val="20"/>
              </w:rPr>
              <w:t xml:space="preserve">) </w:t>
            </w:r>
            <w:r w:rsidR="0006612C" w:rsidRPr="00D40E34">
              <w:rPr>
                <w:sz w:val="20"/>
                <w:szCs w:val="20"/>
              </w:rPr>
              <w:t xml:space="preserve">and others </w:t>
            </w:r>
            <w:r w:rsidR="00BA258D">
              <w:rPr>
                <w:sz w:val="20"/>
                <w:szCs w:val="20"/>
              </w:rPr>
              <w:t>were</w:t>
            </w:r>
            <w:r w:rsidR="0006612C" w:rsidRPr="00D40E34">
              <w:rPr>
                <w:sz w:val="20"/>
                <w:szCs w:val="20"/>
              </w:rPr>
              <w:t xml:space="preserve"> 1.</w:t>
            </w:r>
            <w:r w:rsidRPr="00D40E34">
              <w:rPr>
                <w:sz w:val="20"/>
                <w:szCs w:val="20"/>
              </w:rPr>
              <w:t>6% (50</w:t>
            </w:r>
            <w:r w:rsidR="0006612C" w:rsidRPr="00D40E34">
              <w:rPr>
                <w:sz w:val="20"/>
                <w:szCs w:val="20"/>
              </w:rPr>
              <w:t>.</w:t>
            </w:r>
            <w:r w:rsidRPr="00D40E34">
              <w:rPr>
                <w:sz w:val="20"/>
                <w:szCs w:val="20"/>
              </w:rPr>
              <w:t xml:space="preserve">4% </w:t>
            </w:r>
            <w:r w:rsidR="0006612C" w:rsidRPr="00D40E34">
              <w:rPr>
                <w:sz w:val="20"/>
                <w:szCs w:val="20"/>
              </w:rPr>
              <w:t>decline</w:t>
            </w:r>
            <w:r w:rsidRPr="00D40E34">
              <w:rPr>
                <w:sz w:val="20"/>
                <w:szCs w:val="20"/>
              </w:rPr>
              <w:t xml:space="preserve">). </w:t>
            </w:r>
            <w:r w:rsidR="0006612C" w:rsidRPr="00D40E34">
              <w:rPr>
                <w:sz w:val="20"/>
                <w:szCs w:val="20"/>
              </w:rPr>
              <w:t>Total FDI outflow</w:t>
            </w:r>
            <w:r w:rsidR="00BA258D">
              <w:rPr>
                <w:sz w:val="20"/>
                <w:szCs w:val="20"/>
              </w:rPr>
              <w:t>s</w:t>
            </w:r>
            <w:r w:rsidR="0006612C" w:rsidRPr="00D40E34">
              <w:rPr>
                <w:sz w:val="20"/>
                <w:szCs w:val="20"/>
              </w:rPr>
              <w:t xml:space="preserve"> amounted to </w:t>
            </w:r>
            <w:r w:rsidRPr="00D40E34">
              <w:rPr>
                <w:sz w:val="20"/>
                <w:szCs w:val="20"/>
              </w:rPr>
              <w:t>14</w:t>
            </w:r>
            <w:r w:rsidR="0006612C" w:rsidRPr="00D40E34">
              <w:rPr>
                <w:sz w:val="20"/>
                <w:szCs w:val="20"/>
              </w:rPr>
              <w:t>.</w:t>
            </w:r>
            <w:r w:rsidRPr="00D40E34">
              <w:rPr>
                <w:sz w:val="20"/>
                <w:szCs w:val="20"/>
              </w:rPr>
              <w:t xml:space="preserve">0 </w:t>
            </w:r>
            <w:r w:rsidR="00DB6D54" w:rsidRPr="00D40E34">
              <w:rPr>
                <w:sz w:val="20"/>
                <w:szCs w:val="20"/>
              </w:rPr>
              <w:t>million €</w:t>
            </w:r>
            <w:r w:rsidRPr="00D40E34">
              <w:rPr>
                <w:sz w:val="20"/>
                <w:szCs w:val="20"/>
              </w:rPr>
              <w:t xml:space="preserve"> </w:t>
            </w:r>
            <w:r w:rsidR="0006612C" w:rsidRPr="00D40E34">
              <w:rPr>
                <w:sz w:val="20"/>
                <w:szCs w:val="20"/>
              </w:rPr>
              <w:t xml:space="preserve">showing a decline of </w:t>
            </w:r>
            <w:r w:rsidRPr="00D40E34">
              <w:rPr>
                <w:sz w:val="20"/>
                <w:szCs w:val="20"/>
              </w:rPr>
              <w:t>43</w:t>
            </w:r>
            <w:r w:rsidR="0006612C" w:rsidRPr="00D40E34">
              <w:rPr>
                <w:sz w:val="20"/>
                <w:szCs w:val="20"/>
              </w:rPr>
              <w:t>.</w:t>
            </w:r>
            <w:r w:rsidRPr="00D40E34">
              <w:rPr>
                <w:sz w:val="20"/>
                <w:szCs w:val="20"/>
              </w:rPr>
              <w:t xml:space="preserve">6% </w:t>
            </w:r>
            <w:r w:rsidR="0006612C" w:rsidRPr="00D40E34">
              <w:rPr>
                <w:sz w:val="20"/>
                <w:szCs w:val="20"/>
              </w:rPr>
              <w:t xml:space="preserve">compared to January 2013 </w:t>
            </w:r>
            <w:r w:rsidRPr="00D40E34">
              <w:rPr>
                <w:sz w:val="20"/>
                <w:szCs w:val="20"/>
              </w:rPr>
              <w:t>(9</w:t>
            </w:r>
            <w:r w:rsidR="0006612C" w:rsidRPr="00D40E34">
              <w:rPr>
                <w:sz w:val="20"/>
                <w:szCs w:val="20"/>
              </w:rPr>
              <w:t>.</w:t>
            </w:r>
            <w:r w:rsidRPr="00D40E34">
              <w:rPr>
                <w:sz w:val="20"/>
                <w:szCs w:val="20"/>
              </w:rPr>
              <w:t>7 mil</w:t>
            </w:r>
            <w:r w:rsidR="0006612C" w:rsidRPr="00D40E34">
              <w:rPr>
                <w:sz w:val="20"/>
                <w:szCs w:val="20"/>
              </w:rPr>
              <w:t xml:space="preserve">lion </w:t>
            </w:r>
            <w:r w:rsidRPr="00D40E34">
              <w:rPr>
                <w:sz w:val="20"/>
                <w:szCs w:val="20"/>
              </w:rPr>
              <w:t>€).</w:t>
            </w:r>
            <w:r w:rsidR="0006612C" w:rsidRPr="00D40E34">
              <w:rPr>
                <w:sz w:val="20"/>
                <w:szCs w:val="20"/>
              </w:rPr>
              <w:t xml:space="preserve"> With regard to the outflows structure, the largest portion referred to the withdrawal of non-resident funds (</w:t>
            </w:r>
            <w:r w:rsidRPr="00D40E34">
              <w:rPr>
                <w:sz w:val="20"/>
                <w:szCs w:val="20"/>
              </w:rPr>
              <w:t>98</w:t>
            </w:r>
            <w:r w:rsidR="0006612C" w:rsidRPr="00D40E34">
              <w:rPr>
                <w:sz w:val="20"/>
                <w:szCs w:val="20"/>
              </w:rPr>
              <w:t>.</w:t>
            </w:r>
            <w:r w:rsidRPr="00D40E34">
              <w:rPr>
                <w:sz w:val="20"/>
                <w:szCs w:val="20"/>
              </w:rPr>
              <w:t>5%</w:t>
            </w:r>
            <w:r w:rsidR="0006612C" w:rsidRPr="00D40E34">
              <w:rPr>
                <w:sz w:val="20"/>
                <w:szCs w:val="20"/>
              </w:rPr>
              <w:t>)</w:t>
            </w:r>
            <w:r w:rsidRPr="00D40E34">
              <w:rPr>
                <w:sz w:val="20"/>
                <w:szCs w:val="20"/>
              </w:rPr>
              <w:t xml:space="preserve">, </w:t>
            </w:r>
            <w:r w:rsidR="0006612C" w:rsidRPr="00D40E34">
              <w:rPr>
                <w:sz w:val="20"/>
                <w:szCs w:val="20"/>
              </w:rPr>
              <w:t xml:space="preserve">while investments of residents abroad accounted for </w:t>
            </w:r>
            <w:r w:rsidRPr="00D40E34">
              <w:rPr>
                <w:sz w:val="20"/>
                <w:szCs w:val="20"/>
              </w:rPr>
              <w:t>1</w:t>
            </w:r>
            <w:r w:rsidR="0006612C" w:rsidRPr="00D40E34">
              <w:rPr>
                <w:sz w:val="20"/>
                <w:szCs w:val="20"/>
              </w:rPr>
              <w:t>.</w:t>
            </w:r>
            <w:r w:rsidRPr="00D40E34">
              <w:rPr>
                <w:sz w:val="20"/>
                <w:szCs w:val="20"/>
              </w:rPr>
              <w:t>5 %.</w:t>
            </w: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436FB4" w:rsidRPr="00D40E34" w:rsidRDefault="00E474C1" w:rsidP="001D21BD">
            <w:pPr>
              <w:jc w:val="center"/>
              <w:rPr>
                <w:sz w:val="17"/>
                <w:szCs w:val="17"/>
              </w:rPr>
            </w:pPr>
            <w:r w:rsidRPr="00D40E34">
              <w:rPr>
                <w:noProof/>
                <w:sz w:val="17"/>
                <w:szCs w:val="17"/>
                <w:lang w:val="en-US"/>
              </w:rPr>
              <w:drawing>
                <wp:inline distT="0" distB="0" distL="0" distR="0">
                  <wp:extent cx="2407227" cy="1916819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82570B" w:rsidRPr="00D40E34" w:rsidRDefault="0082570B" w:rsidP="00D51C00">
      <w:pPr>
        <w:sectPr w:rsidR="0082570B" w:rsidRPr="00D40E34" w:rsidSect="009C5011">
          <w:pgSz w:w="11907" w:h="16839" w:code="9"/>
          <w:pgMar w:top="720" w:right="720" w:bottom="709" w:left="720" w:header="720" w:footer="720" w:gutter="0"/>
          <w:cols w:space="720"/>
          <w:rtlGutter/>
          <w:docGrid w:linePitch="360"/>
        </w:sectPr>
      </w:pPr>
    </w:p>
    <w:p w:rsidR="002A1639" w:rsidRPr="00D40E34" w:rsidRDefault="00DC0E6A" w:rsidP="00332574">
      <w:pPr>
        <w:jc w:val="center"/>
        <w:outlineLvl w:val="0"/>
        <w:rPr>
          <w:sz w:val="17"/>
          <w:szCs w:val="16"/>
        </w:rPr>
      </w:pPr>
      <w:r w:rsidRPr="00D40E34">
        <w:rPr>
          <w:sz w:val="17"/>
          <w:szCs w:val="16"/>
        </w:rPr>
        <w:lastRenderedPageBreak/>
        <w:t xml:space="preserve">Table 1: </w:t>
      </w:r>
      <w:r w:rsidRPr="00D40E34">
        <w:rPr>
          <w:b/>
          <w:bCs/>
          <w:sz w:val="17"/>
          <w:szCs w:val="16"/>
        </w:rPr>
        <w:t>MACROECONOMIC INDICATORS</w:t>
      </w:r>
      <w:r w:rsidRPr="00D40E34">
        <w:rPr>
          <w:sz w:val="17"/>
          <w:szCs w:val="16"/>
        </w:rPr>
        <w:t xml:space="preserve"> </w:t>
      </w:r>
      <w:r w:rsidR="0082570B" w:rsidRPr="00D40E34">
        <w:rPr>
          <w:sz w:val="17"/>
          <w:szCs w:val="16"/>
        </w:rPr>
        <w:t xml:space="preserve">– </w:t>
      </w:r>
      <w:r w:rsidRPr="00D40E34">
        <w:rPr>
          <w:sz w:val="17"/>
          <w:szCs w:val="16"/>
        </w:rPr>
        <w:t>F</w:t>
      </w:r>
      <w:r w:rsidR="00725E16" w:rsidRPr="00D40E34">
        <w:rPr>
          <w:sz w:val="17"/>
          <w:szCs w:val="16"/>
        </w:rPr>
        <w:t>ebruar</w:t>
      </w:r>
      <w:r w:rsidRPr="00D40E34">
        <w:rPr>
          <w:sz w:val="17"/>
          <w:szCs w:val="16"/>
        </w:rPr>
        <w:t>y</w:t>
      </w:r>
      <w:r w:rsidR="00725E16" w:rsidRPr="00D40E34">
        <w:rPr>
          <w:sz w:val="17"/>
          <w:szCs w:val="16"/>
        </w:rPr>
        <w:t xml:space="preserve"> </w:t>
      </w:r>
      <w:r w:rsidR="0082570B" w:rsidRPr="00D40E34">
        <w:rPr>
          <w:sz w:val="17"/>
          <w:szCs w:val="16"/>
        </w:rPr>
        <w:t>201</w:t>
      </w:r>
      <w:r w:rsidR="00B355D6" w:rsidRPr="00D40E34">
        <w:rPr>
          <w:sz w:val="17"/>
          <w:szCs w:val="16"/>
        </w:rPr>
        <w:t>4</w:t>
      </w:r>
    </w:p>
    <w:p w:rsidR="0082570B" w:rsidRPr="00D40E34" w:rsidRDefault="0082570B" w:rsidP="00875C4F">
      <w:pPr>
        <w:spacing w:after="0" w:line="240" w:lineRule="auto"/>
        <w:ind w:firstLine="142"/>
        <w:rPr>
          <w:i/>
          <w:iCs/>
          <w:sz w:val="12"/>
          <w:szCs w:val="12"/>
        </w:rPr>
      </w:pPr>
    </w:p>
    <w:p w:rsidR="00784DAE" w:rsidRPr="00D40E34" w:rsidRDefault="00784DAE" w:rsidP="00875C4F">
      <w:pPr>
        <w:spacing w:after="0" w:line="240" w:lineRule="auto"/>
        <w:ind w:firstLine="142"/>
        <w:rPr>
          <w:i/>
          <w:iCs/>
          <w:sz w:val="12"/>
          <w:szCs w:val="12"/>
        </w:rPr>
      </w:pPr>
    </w:p>
    <w:p w:rsidR="00DC0E6A" w:rsidRPr="00D40E34" w:rsidRDefault="00DC0E6A" w:rsidP="00DC0E6A">
      <w:pPr>
        <w:spacing w:after="0"/>
        <w:ind w:firstLine="142"/>
        <w:rPr>
          <w:i/>
          <w:iCs/>
          <w:sz w:val="14"/>
          <w:szCs w:val="14"/>
        </w:rPr>
      </w:pPr>
      <w:r w:rsidRPr="00D40E34">
        <w:rPr>
          <w:b/>
          <w:bCs/>
          <w:i/>
          <w:iCs/>
          <w:sz w:val="14"/>
          <w:szCs w:val="14"/>
        </w:rPr>
        <w:t xml:space="preserve">Source: </w:t>
      </w:r>
      <w:proofErr w:type="spellStart"/>
      <w:r w:rsidRPr="00D40E34">
        <w:rPr>
          <w:b/>
          <w:bCs/>
          <w:i/>
          <w:iCs/>
          <w:sz w:val="14"/>
          <w:szCs w:val="14"/>
        </w:rPr>
        <w:t>Monstat</w:t>
      </w:r>
      <w:proofErr w:type="spellEnd"/>
      <w:r w:rsidRPr="00D40E34">
        <w:rPr>
          <w:b/>
          <w:bCs/>
          <w:i/>
          <w:iCs/>
          <w:sz w:val="14"/>
          <w:szCs w:val="14"/>
        </w:rPr>
        <w:t>, Central bank, Employment Bureau of Montenegro</w:t>
      </w:r>
    </w:p>
    <w:p w:rsidR="00DC0E6A" w:rsidRPr="00D40E34" w:rsidRDefault="00DC0E6A" w:rsidP="00DC0E6A">
      <w:pPr>
        <w:spacing w:after="0"/>
        <w:ind w:firstLine="142"/>
        <w:rPr>
          <w:i/>
          <w:iCs/>
          <w:sz w:val="12"/>
          <w:szCs w:val="12"/>
        </w:rPr>
      </w:pPr>
      <w:r w:rsidRPr="00D40E34">
        <w:rPr>
          <w:i/>
          <w:iCs/>
          <w:sz w:val="12"/>
          <w:szCs w:val="12"/>
        </w:rPr>
        <w:t xml:space="preserve">All indicators are presented as annual growth rates (indicators’ change rate of the observed month in comparison to the same month of previous year in %) unless differently stated in title </w:t>
      </w:r>
    </w:p>
    <w:p w:rsidR="00332574" w:rsidRPr="00D40E34" w:rsidRDefault="00DC0E6A" w:rsidP="00DC0E6A">
      <w:pPr>
        <w:spacing w:after="0" w:line="240" w:lineRule="auto"/>
        <w:ind w:firstLine="142"/>
        <w:rPr>
          <w:i/>
          <w:iCs/>
          <w:sz w:val="12"/>
          <w:szCs w:val="12"/>
        </w:rPr>
      </w:pPr>
      <w:r w:rsidRPr="00D40E34">
        <w:rPr>
          <w:i/>
          <w:iCs/>
          <w:sz w:val="12"/>
          <w:szCs w:val="12"/>
        </w:rPr>
        <w:t>M-n-M stand for monthly change (indicators’ change rate of the observed month in comparison to the previous month in %) *FDI data refers to January 2014</w:t>
      </w:r>
    </w:p>
    <w:p w:rsidR="003E719B" w:rsidRPr="00D40E34" w:rsidRDefault="003E719B" w:rsidP="00332574">
      <w:pPr>
        <w:spacing w:after="0" w:line="240" w:lineRule="auto"/>
        <w:ind w:firstLine="142"/>
        <w:rPr>
          <w:i/>
          <w:iCs/>
          <w:sz w:val="12"/>
          <w:szCs w:val="12"/>
        </w:rPr>
      </w:pPr>
    </w:p>
    <w:tbl>
      <w:tblPr>
        <w:tblW w:w="16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40"/>
        <w:gridCol w:w="860"/>
        <w:gridCol w:w="680"/>
        <w:gridCol w:w="720"/>
        <w:gridCol w:w="680"/>
        <w:gridCol w:w="680"/>
        <w:gridCol w:w="800"/>
        <w:gridCol w:w="900"/>
      </w:tblGrid>
      <w:tr w:rsidR="00842C5E" w:rsidRPr="00D40E34" w:rsidTr="00842C5E">
        <w:trPr>
          <w:divId w:val="1870558896"/>
          <w:trHeight w:val="53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842C5E" w:rsidP="00DC0E6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Indi</w:t>
            </w:r>
            <w:r w:rsidR="00DC0E6A"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cators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2013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IV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V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VI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VII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VIII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IX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X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XI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XII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2014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C5E" w:rsidRPr="00D40E34" w:rsidRDefault="00842C5E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4"/>
                <w:szCs w:val="16"/>
                <w:lang w:eastAsia="sr-Latn-CS"/>
              </w:rPr>
              <w:t>M-n-M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BA258D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eastAsia="sr-Latn-CS"/>
              </w:rPr>
            </w:pPr>
            <w:r>
              <w:rPr>
                <w:rFonts w:cs="Calibri"/>
                <w:b/>
                <w:bCs/>
                <w:sz w:val="14"/>
                <w:szCs w:val="16"/>
                <w:lang w:eastAsia="sr-Latn-CS"/>
              </w:rPr>
              <w:t>Feb</w:t>
            </w:r>
            <w:r w:rsidR="00842C5E" w:rsidRPr="00D40E34">
              <w:rPr>
                <w:rFonts w:cs="Calibri"/>
                <w:b/>
                <w:bCs/>
                <w:sz w:val="14"/>
                <w:szCs w:val="16"/>
                <w:lang w:eastAsia="sr-Latn-CS"/>
              </w:rPr>
              <w:t xml:space="preserve"> 2014 / </w:t>
            </w:r>
            <w:r w:rsidRPr="00D40E34">
              <w:rPr>
                <w:rFonts w:cs="Calibri"/>
                <w:b/>
                <w:bCs/>
                <w:sz w:val="14"/>
                <w:szCs w:val="16"/>
                <w:lang w:eastAsia="sr-Latn-CS"/>
              </w:rPr>
              <w:t>Feb</w:t>
            </w:r>
            <w:r w:rsidR="00842C5E" w:rsidRPr="00D40E34">
              <w:rPr>
                <w:rFonts w:cs="Calibri"/>
                <w:b/>
                <w:bCs/>
                <w:sz w:val="14"/>
                <w:szCs w:val="16"/>
                <w:lang w:eastAsia="sr-Latn-CS"/>
              </w:rPr>
              <w:t xml:space="preserve"> 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C5E" w:rsidRPr="00D40E34" w:rsidRDefault="00BA258D" w:rsidP="00842C5E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6"/>
                <w:lang w:eastAsia="sr-Latn-CS"/>
              </w:rPr>
            </w:pPr>
            <w:r>
              <w:rPr>
                <w:rFonts w:cs="Calibri"/>
                <w:b/>
                <w:bCs/>
                <w:sz w:val="14"/>
                <w:szCs w:val="16"/>
                <w:lang w:eastAsia="sr-Latn-CS"/>
              </w:rPr>
              <w:t>Jan-Feb</w:t>
            </w:r>
            <w:r w:rsidR="00842C5E" w:rsidRPr="00D40E34">
              <w:rPr>
                <w:rFonts w:cs="Calibri"/>
                <w:b/>
                <w:bCs/>
                <w:sz w:val="14"/>
                <w:szCs w:val="16"/>
                <w:lang w:eastAsia="sr-Latn-CS"/>
              </w:rPr>
              <w:t xml:space="preserve"> 2014/</w:t>
            </w:r>
            <w:r w:rsidRPr="00D40E34">
              <w:rPr>
                <w:rFonts w:cs="Calibri"/>
                <w:b/>
                <w:bCs/>
                <w:sz w:val="14"/>
                <w:szCs w:val="16"/>
                <w:lang w:eastAsia="sr-Latn-CS"/>
              </w:rPr>
              <w:t>Jan-Feb</w:t>
            </w:r>
            <w:r w:rsidR="00842C5E" w:rsidRPr="00D40E34">
              <w:rPr>
                <w:rFonts w:cs="Calibri"/>
                <w:b/>
                <w:bCs/>
                <w:sz w:val="14"/>
                <w:szCs w:val="16"/>
                <w:lang w:eastAsia="sr-Latn-CS"/>
              </w:rPr>
              <w:t xml:space="preserve"> 2013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REAL SECTOR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Industrial output (growth rate)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6,5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Manufacturing industry (growth rate)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-36,40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-32,80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-34,40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20,5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29,6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Tourist overnights (growth rate)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2,3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Retail trade turnover (growth rate)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1,4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Value of works in construction industry (growth rate)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5,7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-1,0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27,9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color w:val="9933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color w:val="9933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color w:val="993300"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INFLATION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Consumer Price Index /CPI/ (growth rate)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-0,5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HCIP (growth rate)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0,1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Producers Price Index (growth rate)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-1,2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EMPLOYMENT AND WAGES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D40E34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6A" w:rsidRPr="00D40E34" w:rsidRDefault="00DC0E6A" w:rsidP="00D40E34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Employed (number, end of period)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167.370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167.379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167.738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170.302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174.369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179.861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178.815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176.588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169.044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169.044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167.607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167.173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167.616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168.805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0,5</w:t>
            </w:r>
          </w:p>
        </w:tc>
      </w:tr>
      <w:tr w:rsidR="00DC0E6A" w:rsidRPr="00D40E34" w:rsidTr="00D40E34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6A" w:rsidRPr="00D40E34" w:rsidRDefault="00DC0E6A" w:rsidP="00D40E34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Unemployed (number, end of period)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31.890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32.648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32.986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32.624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31.363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30.337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30.102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30.947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33.271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33.271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34.680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34.514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34.804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34.664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7,6</w:t>
            </w:r>
          </w:p>
        </w:tc>
      </w:tr>
      <w:tr w:rsidR="00DC0E6A" w:rsidRPr="00D40E34" w:rsidTr="00D40E34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6A" w:rsidRPr="00D40E34" w:rsidRDefault="00DC0E6A" w:rsidP="00D40E34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Unemployment rate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7,6</w:t>
            </w:r>
          </w:p>
        </w:tc>
      </w:tr>
      <w:tr w:rsidR="00DC0E6A" w:rsidRPr="00D40E34" w:rsidTr="00D40E34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6A" w:rsidRPr="00D40E34" w:rsidRDefault="00DC0E6A" w:rsidP="00D40E34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Unemployment rate (LFS) (%)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21,5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19,3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17,8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19,5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D40E34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6A" w:rsidRPr="00D40E34" w:rsidRDefault="00DC0E6A" w:rsidP="00D40E34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Vacancies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80,3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89,3</w:t>
            </w:r>
          </w:p>
        </w:tc>
      </w:tr>
      <w:tr w:rsidR="00DC0E6A" w:rsidRPr="00D40E34" w:rsidTr="00D40E34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E6A" w:rsidRPr="00D40E34" w:rsidRDefault="00DC0E6A" w:rsidP="00D40E34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Average monthly gross wage (€)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-0,7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Average monthly net wage (€)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-1,7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MONETARY SECTOR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Total loans (cumulative, million 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2.482,8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2.507,6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2.490,7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2.466,7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2.477,6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2.457,5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2.505,8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2.538,3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2.474,5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2.474,5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2.463,9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2.411,9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2.407,9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2.415,0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-3,7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Total loans (growth rate)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-3,7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Non-performing loans /NPL/ (cumulative, million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457,1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455,7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465,3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480,8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492,9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441,3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447,0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441,9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438,6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438,6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428,3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423,2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425,6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-6,5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NPL to total loans (%)*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Total deposits (cumulative, million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1.969,8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1.990,1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1.999,3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1.951,5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1.974,4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2.009,7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2.075,0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2.144,3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2.104,3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2.104,3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2.084,9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2.098,6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2.096,7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2.101,7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Total deposits (growth rate)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Corporate loans (cumulative, million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1.013,2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1.019,0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1.026,5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1.029,1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1.027,9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990,5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970,2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947,6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951,1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951,1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955,2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948,4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942,6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951,6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-6,6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Household loans (cumulative, million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857,4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861,1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865,8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872,5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875,1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880,9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882,5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880,6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886,8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886,8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887,1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881,3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881,1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Corporate deposits (cumulative, million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507,8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518,7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525,4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489,8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509,8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539,3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576,2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612,3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572,8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572,8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553,9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554,8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554,0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549,6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Individual savings (cumulative, million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1.150,4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1.158,7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1.165,0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1.165,1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1.162,4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1.164,7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1.192,9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1.218,1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1.218,1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1.218,1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1.221,0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1.237,7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1.235,1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1.236,4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Interest rate for loans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-0,03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Interest rate for deposits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3,06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2,99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-0,71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EXTERNAL SECTOR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0A3D47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sr-Latn-CS"/>
              </w:rPr>
              <w:t>E</w:t>
            </w:r>
            <w:r w:rsidR="00BA258D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xport</w:t>
            </w:r>
            <w:r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of goods</w:t>
            </w:r>
            <w:r w:rsidR="00DC0E6A"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(mil</w:t>
            </w:r>
            <w:r w:rsidR="00BA258D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lion</w:t>
            </w:r>
            <w:r w:rsidR="00DC0E6A"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28,0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36,9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39,4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30,6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31,8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28,4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31,2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22,2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-28,9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-24,4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0A3D47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</w:t>
            </w:r>
            <w:r w:rsidR="00BA258D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mport</w:t>
            </w:r>
            <w:r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of goods</w:t>
            </w:r>
            <w:bookmarkStart w:id="0" w:name="_GoBack"/>
            <w:bookmarkEnd w:id="0"/>
            <w:r w:rsidR="00DC0E6A"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</w:t>
            </w:r>
            <w:r w:rsidR="00BA258D"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mil</w:t>
            </w:r>
            <w:r w:rsidR="00BA258D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lion</w:t>
            </w:r>
            <w:r w:rsidR="00BA258D"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</w:t>
            </w:r>
            <w:r w:rsidR="00DC0E6A"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110,2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113,9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138,8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162,4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152,3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172,6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164,9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161,4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161,4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130,7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148,9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83,0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112,6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35,6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-12,7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Foreign Trade Exchange Balance (</w:t>
            </w:r>
            <w:r w:rsidR="00BA258D"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mil</w:t>
            </w:r>
            <w:r w:rsidR="00BA258D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lion</w:t>
            </w: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-82,2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-82,7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-108,9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-125,5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-112,9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-139,9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-140,8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-136,5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-136,9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-136,9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-99,5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-114,3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-60,5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-90,4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49,5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9,3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-8,5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BA258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Foreign Direct Investment (</w:t>
            </w:r>
            <w:r w:rsidR="00BA258D"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mil</w:t>
            </w:r>
            <w:r w:rsidR="00BA258D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lion</w:t>
            </w: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6,6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33,7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38,8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30,7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55,5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17,0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proofErr w:type="spellStart"/>
            <w:r w:rsidRPr="00D40E34">
              <w:rPr>
                <w:rFonts w:cs="Calibri"/>
                <w:sz w:val="16"/>
                <w:szCs w:val="16"/>
                <w:lang w:eastAsia="sr-Latn-CS"/>
              </w:rPr>
              <w:t>n.d.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341,6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38,3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30,7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INTERNATIONAL ENVIRONMENT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Brent crude oil (USD/barrel)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116,8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110,4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111,1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100,4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103,0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107,7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115,7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105,9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105,9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111,5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107,8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108,8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-3,8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Aluminium (USD/T)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2.037,6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2.053,6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1.911,3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1.861,0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1.832,6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1.814,5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1.769,6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1.816,2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1.814,6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1.814,6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1.748,0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1.739,8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1.740,8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1.695,2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-17,5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-16,0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proofErr w:type="spellStart"/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Euribor</w:t>
            </w:r>
            <w:proofErr w:type="spellEnd"/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(12 months)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-0,07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-0,03</w:t>
            </w:r>
          </w:p>
        </w:tc>
      </w:tr>
      <w:tr w:rsidR="00DC0E6A" w:rsidRPr="00D40E34" w:rsidTr="00842C5E">
        <w:trPr>
          <w:divId w:val="1870558896"/>
          <w:trHeight w:hRule="exact" w:val="198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Inflation in Euro area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2,0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DC0E6A" w:rsidRPr="00D40E34" w:rsidRDefault="00DC0E6A" w:rsidP="00842C5E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40E34">
              <w:rPr>
                <w:rFonts w:cs="Calibri"/>
                <w:sz w:val="16"/>
                <w:szCs w:val="16"/>
                <w:lang w:eastAsia="sr-Latn-CS"/>
              </w:rPr>
              <w:t>-1,2</w:t>
            </w:r>
          </w:p>
        </w:tc>
      </w:tr>
    </w:tbl>
    <w:p w:rsidR="00842C5E" w:rsidRPr="00D40E34" w:rsidRDefault="00842C5E" w:rsidP="00332574">
      <w:pPr>
        <w:spacing w:after="0" w:line="240" w:lineRule="auto"/>
        <w:ind w:firstLine="142"/>
        <w:rPr>
          <w:i/>
          <w:iCs/>
          <w:sz w:val="12"/>
          <w:szCs w:val="12"/>
        </w:rPr>
      </w:pPr>
    </w:p>
    <w:p w:rsidR="00842C5E" w:rsidRPr="00D40E34" w:rsidRDefault="00842C5E" w:rsidP="00332574">
      <w:pPr>
        <w:spacing w:after="0" w:line="240" w:lineRule="auto"/>
        <w:ind w:firstLine="142"/>
        <w:rPr>
          <w:i/>
          <w:iCs/>
          <w:sz w:val="12"/>
          <w:szCs w:val="12"/>
        </w:rPr>
      </w:pPr>
    </w:p>
    <w:p w:rsidR="00842C5E" w:rsidRPr="00D40E34" w:rsidRDefault="00842C5E" w:rsidP="00332574">
      <w:pPr>
        <w:spacing w:after="0" w:line="240" w:lineRule="auto"/>
        <w:ind w:firstLine="142"/>
        <w:rPr>
          <w:i/>
          <w:iCs/>
          <w:sz w:val="12"/>
          <w:szCs w:val="12"/>
        </w:rPr>
      </w:pPr>
    </w:p>
    <w:p w:rsidR="00842C5E" w:rsidRPr="00D40E34" w:rsidRDefault="00842C5E" w:rsidP="00332574">
      <w:pPr>
        <w:spacing w:after="0" w:line="240" w:lineRule="auto"/>
        <w:ind w:firstLine="142"/>
        <w:rPr>
          <w:i/>
          <w:iCs/>
          <w:sz w:val="12"/>
          <w:szCs w:val="12"/>
        </w:rPr>
      </w:pPr>
    </w:p>
    <w:p w:rsidR="00842C5E" w:rsidRPr="00D40E34" w:rsidRDefault="00842C5E" w:rsidP="00332574">
      <w:pPr>
        <w:spacing w:after="0" w:line="240" w:lineRule="auto"/>
        <w:ind w:firstLine="142"/>
        <w:rPr>
          <w:i/>
          <w:iCs/>
          <w:sz w:val="12"/>
          <w:szCs w:val="12"/>
        </w:rPr>
      </w:pPr>
    </w:p>
    <w:p w:rsidR="00842C5E" w:rsidRPr="00D40E34" w:rsidRDefault="00842C5E" w:rsidP="00332574">
      <w:pPr>
        <w:spacing w:after="0" w:line="240" w:lineRule="auto"/>
        <w:ind w:firstLine="142"/>
        <w:rPr>
          <w:i/>
          <w:iCs/>
          <w:sz w:val="12"/>
          <w:szCs w:val="12"/>
        </w:rPr>
      </w:pPr>
    </w:p>
    <w:p w:rsidR="00842C5E" w:rsidRPr="00D40E34" w:rsidRDefault="00842C5E" w:rsidP="00332574">
      <w:pPr>
        <w:spacing w:after="0" w:line="240" w:lineRule="auto"/>
        <w:ind w:firstLine="142"/>
        <w:rPr>
          <w:i/>
          <w:iCs/>
          <w:sz w:val="12"/>
          <w:szCs w:val="12"/>
        </w:rPr>
      </w:pPr>
    </w:p>
    <w:p w:rsidR="00842C5E" w:rsidRPr="00D40E34" w:rsidRDefault="00842C5E" w:rsidP="00332574">
      <w:pPr>
        <w:spacing w:after="0" w:line="240" w:lineRule="auto"/>
        <w:ind w:firstLine="142"/>
        <w:rPr>
          <w:i/>
          <w:iCs/>
          <w:sz w:val="12"/>
          <w:szCs w:val="12"/>
        </w:rPr>
      </w:pPr>
    </w:p>
    <w:p w:rsidR="00D800B5" w:rsidRPr="00D40E34" w:rsidRDefault="00D800B5" w:rsidP="00A30E95">
      <w:pPr>
        <w:pStyle w:val="ListParagraph"/>
        <w:spacing w:after="0" w:line="240" w:lineRule="auto"/>
        <w:ind w:left="502"/>
        <w:rPr>
          <w:i/>
          <w:iCs/>
          <w:sz w:val="16"/>
          <w:szCs w:val="16"/>
        </w:rPr>
      </w:pPr>
    </w:p>
    <w:p w:rsidR="00CD707C" w:rsidRPr="00D40E34" w:rsidRDefault="00DC0E6A" w:rsidP="00784DAE">
      <w:pPr>
        <w:spacing w:after="0" w:line="240" w:lineRule="auto"/>
        <w:ind w:firstLine="142"/>
        <w:jc w:val="center"/>
        <w:rPr>
          <w:sz w:val="17"/>
          <w:szCs w:val="16"/>
        </w:rPr>
      </w:pPr>
      <w:r w:rsidRPr="00D40E34">
        <w:rPr>
          <w:sz w:val="17"/>
          <w:szCs w:val="16"/>
        </w:rPr>
        <w:t xml:space="preserve">Table 2: </w:t>
      </w:r>
      <w:r w:rsidRPr="00D40E34">
        <w:rPr>
          <w:b/>
          <w:bCs/>
          <w:sz w:val="17"/>
          <w:szCs w:val="16"/>
        </w:rPr>
        <w:t>BUDGET OF MONTENEGRO</w:t>
      </w:r>
      <w:r w:rsidRPr="00D40E34">
        <w:rPr>
          <w:sz w:val="17"/>
          <w:szCs w:val="16"/>
        </w:rPr>
        <w:t xml:space="preserve"> </w:t>
      </w:r>
      <w:r w:rsidR="00784DAE" w:rsidRPr="00D40E34">
        <w:rPr>
          <w:sz w:val="17"/>
          <w:szCs w:val="16"/>
        </w:rPr>
        <w:t>–</w:t>
      </w:r>
      <w:r w:rsidR="00725E16" w:rsidRPr="00D40E34">
        <w:rPr>
          <w:sz w:val="17"/>
          <w:szCs w:val="16"/>
        </w:rPr>
        <w:t>Februar</w:t>
      </w:r>
      <w:r w:rsidRPr="00D40E34">
        <w:rPr>
          <w:sz w:val="17"/>
          <w:szCs w:val="16"/>
        </w:rPr>
        <w:t>y</w:t>
      </w:r>
      <w:r w:rsidR="009C5011" w:rsidRPr="00D40E34">
        <w:rPr>
          <w:sz w:val="17"/>
          <w:szCs w:val="16"/>
        </w:rPr>
        <w:t xml:space="preserve"> 2014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6"/>
        <w:gridCol w:w="662"/>
        <w:gridCol w:w="662"/>
        <w:gridCol w:w="662"/>
        <w:gridCol w:w="663"/>
        <w:gridCol w:w="662"/>
        <w:gridCol w:w="662"/>
        <w:gridCol w:w="663"/>
        <w:gridCol w:w="743"/>
        <w:gridCol w:w="743"/>
        <w:gridCol w:w="743"/>
        <w:gridCol w:w="743"/>
        <w:gridCol w:w="743"/>
        <w:gridCol w:w="744"/>
        <w:gridCol w:w="582"/>
        <w:gridCol w:w="693"/>
        <w:gridCol w:w="979"/>
        <w:gridCol w:w="1081"/>
        <w:gridCol w:w="1029"/>
      </w:tblGrid>
      <w:tr w:rsidR="00912260" w:rsidRPr="00D40E34" w:rsidTr="00912260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60" w:rsidRPr="00D40E34" w:rsidRDefault="00912260" w:rsidP="0091226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2013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plan 2014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en-US"/>
              </w:rPr>
              <w:t>Breakdown - February</w:t>
            </w:r>
          </w:p>
        </w:tc>
      </w:tr>
      <w:tr w:rsidR="00BA258D" w:rsidRPr="00D40E34" w:rsidTr="0091226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i/>
                <w:iCs/>
                <w:sz w:val="16"/>
                <w:szCs w:val="16"/>
              </w:rPr>
              <w:t>BUDŽET CRNE GORE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XI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XII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60" w:rsidRPr="00D40E34" w:rsidRDefault="00912260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260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Feb</w:t>
            </w:r>
            <w:r w:rsidR="00912260" w:rsidRPr="00D40E34">
              <w:rPr>
                <w:rFonts w:cs="Calibri"/>
                <w:sz w:val="16"/>
                <w:szCs w:val="16"/>
              </w:rPr>
              <w:t xml:space="preserve"> 2014/</w:t>
            </w:r>
            <w:r w:rsidRPr="00D40E34">
              <w:rPr>
                <w:rFonts w:cs="Calibri"/>
                <w:sz w:val="16"/>
                <w:szCs w:val="16"/>
              </w:rPr>
              <w:t>Feb</w:t>
            </w:r>
            <w:r w:rsidR="00912260" w:rsidRPr="00D40E34">
              <w:rPr>
                <w:rFonts w:cs="Calibri"/>
                <w:sz w:val="16"/>
                <w:szCs w:val="16"/>
              </w:rPr>
              <w:t xml:space="preserve"> 2013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260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Jan-Feb</w:t>
            </w:r>
            <w:r w:rsidR="00912260" w:rsidRPr="00D40E34">
              <w:rPr>
                <w:rFonts w:cs="Calibri"/>
                <w:sz w:val="16"/>
                <w:szCs w:val="16"/>
              </w:rPr>
              <w:t xml:space="preserve"> 2014/</w:t>
            </w:r>
            <w:r w:rsidRPr="00D40E34">
              <w:rPr>
                <w:rFonts w:cs="Calibri"/>
                <w:sz w:val="16"/>
                <w:szCs w:val="16"/>
              </w:rPr>
              <w:t>Jan-Feb</w:t>
            </w:r>
            <w:r w:rsidR="00912260" w:rsidRPr="00D40E34">
              <w:rPr>
                <w:rFonts w:cs="Calibri"/>
                <w:sz w:val="16"/>
                <w:szCs w:val="16"/>
              </w:rPr>
              <w:t xml:space="preserve"> 2013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260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Feb</w:t>
            </w:r>
            <w:r w:rsidR="00912260" w:rsidRPr="00D40E34">
              <w:rPr>
                <w:rFonts w:cs="Calibri"/>
                <w:sz w:val="16"/>
                <w:szCs w:val="16"/>
              </w:rPr>
              <w:t xml:space="preserve"> 2014/</w:t>
            </w:r>
            <w:r w:rsidRPr="00D40E34">
              <w:rPr>
                <w:rFonts w:cs="Calibri"/>
                <w:sz w:val="16"/>
                <w:szCs w:val="16"/>
              </w:rPr>
              <w:t>Feb</w:t>
            </w:r>
            <w:r w:rsidR="00912260" w:rsidRPr="00D40E34">
              <w:rPr>
                <w:rFonts w:cs="Calibri"/>
                <w:sz w:val="16"/>
                <w:szCs w:val="16"/>
              </w:rPr>
              <w:t xml:space="preserve"> 2014 plan (%)</w:t>
            </w:r>
          </w:p>
        </w:tc>
      </w:tr>
      <w:tr w:rsidR="00BA258D" w:rsidRPr="00D40E34" w:rsidTr="0091226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>CURRENT REVENUES, out of which: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>54,76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>75,68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>88,30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>103,95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99,56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122,02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125,05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116,34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117,28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95,78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142,43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70,63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81,38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>79,76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16,55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2,03</w:t>
            </w:r>
          </w:p>
        </w:tc>
      </w:tr>
      <w:tr w:rsidR="00BA258D" w:rsidRPr="00D40E34" w:rsidTr="0091226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E6A" w:rsidRPr="00BA258D" w:rsidRDefault="00BA258D" w:rsidP="00BA258D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Wage t</w:t>
            </w:r>
            <w:r w:rsidR="00DC0E6A" w:rsidRPr="00BA258D">
              <w:rPr>
                <w:rFonts w:cs="Calibri"/>
                <w:i/>
                <w:iCs/>
                <w:sz w:val="16"/>
                <w:szCs w:val="16"/>
              </w:rPr>
              <w:t xml:space="preserve">axes and contributions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40,63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44,81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47,38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54,03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75,77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21,23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34,36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13,96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-0,61</w:t>
            </w:r>
          </w:p>
        </w:tc>
      </w:tr>
      <w:tr w:rsidR="00BA258D" w:rsidRPr="00D40E34" w:rsidTr="00D40E3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BA258D" w:rsidRDefault="00DC0E6A" w:rsidP="00D40E34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BA258D">
              <w:rPr>
                <w:rFonts w:cs="Calibri"/>
                <w:i/>
                <w:iCs/>
                <w:sz w:val="16"/>
                <w:szCs w:val="16"/>
              </w:rPr>
              <w:t>Corporate Income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60,47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-17,05</w:t>
            </w:r>
          </w:p>
        </w:tc>
      </w:tr>
      <w:tr w:rsidR="00BA258D" w:rsidRPr="00D40E34" w:rsidTr="00D40E3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BA258D" w:rsidRDefault="00DC0E6A" w:rsidP="00D40E34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BA258D">
              <w:rPr>
                <w:rFonts w:cs="Calibri"/>
                <w:i/>
                <w:iCs/>
                <w:sz w:val="16"/>
                <w:szCs w:val="16"/>
              </w:rPr>
              <w:t>Value Added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24,86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24,75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29,49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47,07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40,69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40,19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32,17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31,16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28,19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25,89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27,66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10,51</w:t>
            </w:r>
          </w:p>
        </w:tc>
      </w:tr>
      <w:tr w:rsidR="00BA258D" w:rsidRPr="00D40E34" w:rsidTr="00D40E3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BA258D" w:rsidRDefault="00DC0E6A" w:rsidP="00D40E34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BA258D">
              <w:rPr>
                <w:rFonts w:cs="Calibri"/>
                <w:i/>
                <w:iCs/>
                <w:sz w:val="16"/>
                <w:szCs w:val="16"/>
              </w:rPr>
              <w:t>Excises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20,98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13,08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-16,14</w:t>
            </w:r>
          </w:p>
        </w:tc>
      </w:tr>
      <w:tr w:rsidR="00BA258D" w:rsidRPr="00D40E34" w:rsidTr="00D40E3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BA258D" w:rsidRDefault="00DC0E6A" w:rsidP="00D40E34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BA258D">
              <w:rPr>
                <w:rFonts w:cs="Calibri"/>
                <w:i/>
                <w:iCs/>
                <w:sz w:val="16"/>
                <w:szCs w:val="16"/>
              </w:rPr>
              <w:t>International Trade and Transaction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-7,13</w:t>
            </w:r>
          </w:p>
        </w:tc>
      </w:tr>
      <w:tr w:rsidR="00BA258D" w:rsidRPr="00D40E34" w:rsidTr="00912260">
        <w:trPr>
          <w:trHeight w:val="330"/>
        </w:trPr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>BUDGET EXPENDITURES, out of which: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80,79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94,64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103,84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119,84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95,54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100,17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160,33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141,28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99,42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98,49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150,13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94,33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88,97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111,47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-20,18</w:t>
            </w:r>
          </w:p>
        </w:tc>
      </w:tr>
      <w:tr w:rsidR="00BA258D" w:rsidRPr="00D40E34" w:rsidTr="00912260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BA258D" w:rsidRDefault="00DC0E6A" w:rsidP="00BA258D">
            <w:pPr>
              <w:spacing w:after="0" w:line="240" w:lineRule="auto"/>
              <w:rPr>
                <w:rFonts w:cs="Calibri"/>
                <w:bCs/>
                <w:i/>
                <w:sz w:val="16"/>
                <w:szCs w:val="16"/>
              </w:rPr>
            </w:pPr>
            <w:r w:rsidRPr="00BA258D">
              <w:rPr>
                <w:rFonts w:cs="Calibri"/>
                <w:bCs/>
                <w:i/>
                <w:sz w:val="16"/>
                <w:szCs w:val="16"/>
              </w:rPr>
              <w:t xml:space="preserve">Gross </w:t>
            </w:r>
            <w:r w:rsidR="00BA258D">
              <w:rPr>
                <w:rFonts w:cs="Calibri"/>
                <w:bCs/>
                <w:i/>
                <w:sz w:val="16"/>
                <w:szCs w:val="16"/>
              </w:rPr>
              <w:t>wages</w:t>
            </w:r>
            <w:r w:rsidRPr="00BA258D">
              <w:rPr>
                <w:rFonts w:cs="Calibri"/>
                <w:bCs/>
                <w:i/>
                <w:sz w:val="16"/>
                <w:szCs w:val="16"/>
              </w:rPr>
              <w:t xml:space="preserve"> and </w:t>
            </w:r>
            <w:r w:rsidR="00BA258D">
              <w:rPr>
                <w:rFonts w:cs="Calibri"/>
                <w:bCs/>
                <w:i/>
                <w:sz w:val="16"/>
                <w:szCs w:val="16"/>
              </w:rPr>
              <w:t>c</w:t>
            </w:r>
            <w:r w:rsidRPr="00BA258D">
              <w:rPr>
                <w:rFonts w:cs="Calibri"/>
                <w:bCs/>
                <w:i/>
                <w:sz w:val="16"/>
                <w:szCs w:val="16"/>
              </w:rPr>
              <w:t>ontributions against employers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29,27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30,67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28,82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31,75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32,07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-0,42</w:t>
            </w:r>
          </w:p>
        </w:tc>
      </w:tr>
      <w:tr w:rsidR="00BA258D" w:rsidRPr="00D40E34" w:rsidTr="0091226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E6A" w:rsidRPr="00BA258D" w:rsidRDefault="00DC0E6A" w:rsidP="00D40E34">
            <w:pPr>
              <w:spacing w:after="0" w:line="240" w:lineRule="auto"/>
              <w:rPr>
                <w:rFonts w:cs="Calibri"/>
                <w:bCs/>
                <w:i/>
                <w:sz w:val="16"/>
                <w:szCs w:val="16"/>
              </w:rPr>
            </w:pPr>
            <w:r w:rsidRPr="00BA258D">
              <w:rPr>
                <w:rFonts w:cs="Calibri"/>
                <w:bCs/>
                <w:i/>
                <w:sz w:val="16"/>
                <w:szCs w:val="16"/>
              </w:rPr>
              <w:t>Material and services expenditures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6,48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-31,41</w:t>
            </w:r>
          </w:p>
        </w:tc>
      </w:tr>
      <w:tr w:rsidR="00BA258D" w:rsidRPr="00D40E34" w:rsidTr="00D40E3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BA258D" w:rsidRDefault="00BA258D" w:rsidP="00D40E34">
            <w:pPr>
              <w:spacing w:after="0" w:line="240" w:lineRule="auto"/>
              <w:rPr>
                <w:rFonts w:cs="Calibri"/>
                <w:bCs/>
                <w:i/>
                <w:sz w:val="16"/>
                <w:szCs w:val="16"/>
              </w:rPr>
            </w:pPr>
            <w:r>
              <w:rPr>
                <w:rFonts w:cs="Calibri"/>
                <w:bCs/>
                <w:i/>
                <w:sz w:val="16"/>
                <w:szCs w:val="16"/>
              </w:rPr>
              <w:t>Interest rates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24,83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-36,98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47,80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-81,83</w:t>
            </w:r>
          </w:p>
        </w:tc>
      </w:tr>
      <w:tr w:rsidR="00BA258D" w:rsidRPr="00D40E34" w:rsidTr="00D40E3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BA258D" w:rsidRDefault="00BA258D" w:rsidP="00D40E34">
            <w:pPr>
              <w:spacing w:after="0" w:line="240" w:lineRule="auto"/>
              <w:rPr>
                <w:rFonts w:cs="Calibri"/>
                <w:bCs/>
                <w:i/>
                <w:sz w:val="16"/>
                <w:szCs w:val="16"/>
              </w:rPr>
            </w:pPr>
            <w:r w:rsidRPr="00BA258D">
              <w:rPr>
                <w:rFonts w:cs="Calibri"/>
                <w:bCs/>
                <w:i/>
                <w:sz w:val="16"/>
                <w:szCs w:val="16"/>
              </w:rPr>
              <w:t>Social Security Transfers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42,30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40,50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40,45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40,14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39,83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43,05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41,43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41,52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-0,23</w:t>
            </w:r>
          </w:p>
        </w:tc>
      </w:tr>
      <w:tr w:rsidR="00BA258D" w:rsidRPr="00D40E34" w:rsidTr="0091226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8D" w:rsidRPr="00BA258D" w:rsidRDefault="00BA258D" w:rsidP="00F10FFB">
            <w:pPr>
              <w:spacing w:after="0" w:line="240" w:lineRule="auto"/>
              <w:rPr>
                <w:rFonts w:cs="Calibri"/>
                <w:bCs/>
                <w:i/>
                <w:sz w:val="16"/>
                <w:szCs w:val="16"/>
              </w:rPr>
            </w:pPr>
            <w:r w:rsidRPr="00BA258D">
              <w:rPr>
                <w:rFonts w:cs="Calibri"/>
                <w:bCs/>
                <w:i/>
                <w:sz w:val="16"/>
                <w:szCs w:val="16"/>
              </w:rPr>
              <w:t>Transfers to Institutions, Individuals and NGOs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-48,93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-29,72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-56,43</w:t>
            </w:r>
          </w:p>
        </w:tc>
      </w:tr>
      <w:tr w:rsidR="00BA258D" w:rsidRPr="00D40E34" w:rsidTr="00D40E3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8D" w:rsidRPr="00BA258D" w:rsidRDefault="00BA258D" w:rsidP="00F10FFB">
            <w:pPr>
              <w:spacing w:after="0" w:line="240" w:lineRule="auto"/>
              <w:rPr>
                <w:rFonts w:cs="Calibri"/>
                <w:bCs/>
                <w:i/>
                <w:sz w:val="16"/>
                <w:szCs w:val="16"/>
              </w:rPr>
            </w:pPr>
            <w:r w:rsidRPr="00BA258D">
              <w:rPr>
                <w:rFonts w:cs="Calibri"/>
                <w:bCs/>
                <w:i/>
                <w:sz w:val="16"/>
                <w:szCs w:val="16"/>
              </w:rPr>
              <w:t>Capital expenditures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6,49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-49,35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13,65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258D" w:rsidRPr="00D40E34" w:rsidRDefault="00BA258D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-88,52</w:t>
            </w:r>
          </w:p>
        </w:tc>
      </w:tr>
      <w:tr w:rsidR="00BA258D" w:rsidRPr="00D40E34" w:rsidTr="00912260">
        <w:trPr>
          <w:trHeight w:val="330"/>
        </w:trPr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 xml:space="preserve">Budget Surplus / Deficit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>-26,03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>-18,96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>-15,54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>-15,89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>-1,54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-0,61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-38,31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-16,22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-2,66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17,86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-2,71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-7,70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-23,70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-7,59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>-31,70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-59,98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-30,47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-76,07</w:t>
            </w:r>
          </w:p>
        </w:tc>
      </w:tr>
      <w:tr w:rsidR="00BA258D" w:rsidRPr="00D40E34" w:rsidTr="00912260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E6A" w:rsidRPr="00BA258D" w:rsidRDefault="00DC0E6A" w:rsidP="00D40E34">
            <w:pPr>
              <w:spacing w:after="0" w:line="240" w:lineRule="auto"/>
              <w:rPr>
                <w:rFonts w:cs="Calibri"/>
                <w:bCs/>
                <w:i/>
                <w:sz w:val="16"/>
                <w:szCs w:val="16"/>
              </w:rPr>
            </w:pPr>
            <w:r w:rsidRPr="00BA258D">
              <w:rPr>
                <w:rFonts w:cs="Calibri"/>
                <w:bCs/>
                <w:i/>
                <w:sz w:val="16"/>
                <w:szCs w:val="16"/>
              </w:rPr>
              <w:t>Primary deficit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-25,48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-17,20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-13,40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-0,42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-32,57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-14,12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-1,96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-2,58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-21,38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-6,48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-25,60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-62,33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-34,71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-74,69</w:t>
            </w:r>
          </w:p>
        </w:tc>
      </w:tr>
      <w:tr w:rsidR="00BA258D" w:rsidRPr="00D40E34" w:rsidTr="00912260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E6A" w:rsidRPr="00BA258D" w:rsidRDefault="00DC0E6A" w:rsidP="00D40E34">
            <w:pPr>
              <w:spacing w:after="0" w:line="240" w:lineRule="auto"/>
              <w:rPr>
                <w:rFonts w:cs="Calibri"/>
                <w:bCs/>
                <w:i/>
                <w:sz w:val="16"/>
                <w:szCs w:val="16"/>
              </w:rPr>
            </w:pPr>
            <w:r w:rsidRPr="00BA258D">
              <w:rPr>
                <w:rFonts w:cs="Calibri"/>
                <w:bCs/>
                <w:i/>
                <w:sz w:val="16"/>
                <w:szCs w:val="16"/>
              </w:rPr>
              <w:t>Debt repayment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34,60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24,39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17,57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-33,34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-51,15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-65,59</w:t>
            </w:r>
          </w:p>
        </w:tc>
      </w:tr>
      <w:tr w:rsidR="00BA258D" w:rsidRPr="00D40E34" w:rsidTr="0091226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D40E34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sz w:val="16"/>
                <w:szCs w:val="16"/>
              </w:rPr>
              <w:t>Government debt (debt balance)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1726,6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1732,7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1755,7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1764,2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1767,1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1760,9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1810,4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1844,90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1846,50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1832,00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1886,30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1873,15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1950,10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BA258D" w:rsidRPr="00D40E34" w:rsidTr="0091226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BA258D" w:rsidRDefault="00DC0E6A" w:rsidP="00D40E34">
            <w:pPr>
              <w:spacing w:after="0" w:line="240" w:lineRule="auto"/>
              <w:rPr>
                <w:rFonts w:cs="Calibri"/>
                <w:bCs/>
                <w:i/>
                <w:sz w:val="16"/>
                <w:szCs w:val="16"/>
              </w:rPr>
            </w:pPr>
            <w:r w:rsidRPr="00BA258D">
              <w:rPr>
                <w:rFonts w:cs="Calibri"/>
                <w:bCs/>
                <w:i/>
                <w:sz w:val="16"/>
                <w:szCs w:val="16"/>
              </w:rPr>
              <w:t>Internal debt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396,7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420,3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431,7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436,0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442,7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442,8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433,80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480,90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471,70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440,40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440,13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517,60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BA258D" w:rsidRPr="00D40E34" w:rsidTr="0091226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BA258D" w:rsidRDefault="00DC0E6A" w:rsidP="00D40E34">
            <w:pPr>
              <w:spacing w:after="0" w:line="240" w:lineRule="auto"/>
              <w:rPr>
                <w:rFonts w:cs="Calibri"/>
                <w:bCs/>
                <w:i/>
                <w:sz w:val="16"/>
                <w:szCs w:val="16"/>
              </w:rPr>
            </w:pPr>
            <w:r w:rsidRPr="00BA258D">
              <w:rPr>
                <w:rFonts w:cs="Calibri"/>
                <w:bCs/>
                <w:i/>
                <w:sz w:val="16"/>
                <w:szCs w:val="16"/>
              </w:rPr>
              <w:t>Foreign debt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1332,6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1336,0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1335,4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1332,5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1331,1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1318,2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1367,6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1411,10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1365,60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1360,30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1445,90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color w:val="000000"/>
                <w:sz w:val="16"/>
                <w:szCs w:val="16"/>
              </w:rPr>
              <w:t>1433,02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1432,50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40E34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E6A" w:rsidRPr="00D40E34" w:rsidRDefault="00DC0E6A" w:rsidP="0091226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40E34">
              <w:rPr>
                <w:rFonts w:cs="Calibri"/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</w:tbl>
    <w:p w:rsidR="00CD707C" w:rsidRPr="00D40E34" w:rsidRDefault="00CD707C" w:rsidP="00784DAE">
      <w:pPr>
        <w:spacing w:after="0" w:line="240" w:lineRule="auto"/>
        <w:ind w:firstLine="142"/>
        <w:jc w:val="center"/>
        <w:rPr>
          <w:i/>
          <w:iCs/>
          <w:sz w:val="12"/>
          <w:szCs w:val="12"/>
        </w:rPr>
      </w:pPr>
    </w:p>
    <w:p w:rsidR="00332574" w:rsidRPr="00D40E34" w:rsidRDefault="00DC0E6A" w:rsidP="00332574">
      <w:pPr>
        <w:outlineLvl w:val="0"/>
        <w:rPr>
          <w:b/>
          <w:i/>
          <w:sz w:val="16"/>
          <w:szCs w:val="16"/>
        </w:rPr>
      </w:pPr>
      <w:r w:rsidRPr="00D40E34">
        <w:rPr>
          <w:b/>
          <w:i/>
          <w:sz w:val="16"/>
          <w:szCs w:val="16"/>
        </w:rPr>
        <w:t>Source: Ministry of Finance of Montenegro</w:t>
      </w:r>
    </w:p>
    <w:p w:rsidR="00A30E95" w:rsidRPr="00D40E34" w:rsidRDefault="00A30E95" w:rsidP="00332574">
      <w:pPr>
        <w:outlineLvl w:val="0"/>
        <w:rPr>
          <w:b/>
          <w:i/>
          <w:sz w:val="16"/>
          <w:szCs w:val="16"/>
        </w:rPr>
      </w:pPr>
    </w:p>
    <w:p w:rsidR="0082570B" w:rsidRPr="00D40E34" w:rsidRDefault="0082570B" w:rsidP="005025EC">
      <w:pPr>
        <w:ind w:left="-142"/>
        <w:jc w:val="both"/>
        <w:rPr>
          <w:sz w:val="14"/>
          <w:szCs w:val="14"/>
        </w:rPr>
      </w:pPr>
    </w:p>
    <w:sectPr w:rsidR="0082570B" w:rsidRPr="00D40E34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6EB" w:rsidRDefault="00FE56EB" w:rsidP="00965FCD">
      <w:pPr>
        <w:spacing w:after="0" w:line="240" w:lineRule="auto"/>
      </w:pPr>
      <w:r>
        <w:separator/>
      </w:r>
    </w:p>
  </w:endnote>
  <w:endnote w:type="continuationSeparator" w:id="0">
    <w:p w:rsidR="00FE56EB" w:rsidRDefault="00FE56EB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6EB" w:rsidRDefault="00FE56EB" w:rsidP="00965FCD">
      <w:pPr>
        <w:spacing w:after="0" w:line="240" w:lineRule="auto"/>
      </w:pPr>
      <w:r>
        <w:separator/>
      </w:r>
    </w:p>
  </w:footnote>
  <w:footnote w:type="continuationSeparator" w:id="0">
    <w:p w:rsidR="00FE56EB" w:rsidRDefault="00FE56EB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20"/>
  </w:num>
  <w:num w:numId="4">
    <w:abstractNumId w:val="1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2"/>
  </w:num>
  <w:num w:numId="9">
    <w:abstractNumId w:val="0"/>
  </w:num>
  <w:num w:numId="10">
    <w:abstractNumId w:val="19"/>
  </w:num>
  <w:num w:numId="11">
    <w:abstractNumId w:val="1"/>
  </w:num>
  <w:num w:numId="12">
    <w:abstractNumId w:val="18"/>
  </w:num>
  <w:num w:numId="13">
    <w:abstractNumId w:val="16"/>
  </w:num>
  <w:num w:numId="14">
    <w:abstractNumId w:val="5"/>
  </w:num>
  <w:num w:numId="15">
    <w:abstractNumId w:val="3"/>
  </w:num>
  <w:num w:numId="16">
    <w:abstractNumId w:val="10"/>
  </w:num>
  <w:num w:numId="17">
    <w:abstractNumId w:val="7"/>
  </w:num>
  <w:num w:numId="18">
    <w:abstractNumId w:val="13"/>
  </w:num>
  <w:num w:numId="19">
    <w:abstractNumId w:val="6"/>
  </w:num>
  <w:num w:numId="20">
    <w:abstractNumId w:val="11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04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692"/>
    <w:rsid w:val="000000CB"/>
    <w:rsid w:val="000009E1"/>
    <w:rsid w:val="000010A3"/>
    <w:rsid w:val="00003D78"/>
    <w:rsid w:val="00004B56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24B4"/>
    <w:rsid w:val="00022789"/>
    <w:rsid w:val="0002327A"/>
    <w:rsid w:val="00024DC9"/>
    <w:rsid w:val="0002564B"/>
    <w:rsid w:val="00025AC0"/>
    <w:rsid w:val="000263A4"/>
    <w:rsid w:val="000300F0"/>
    <w:rsid w:val="000314E5"/>
    <w:rsid w:val="00031722"/>
    <w:rsid w:val="00031FAD"/>
    <w:rsid w:val="00032524"/>
    <w:rsid w:val="000341DE"/>
    <w:rsid w:val="00034923"/>
    <w:rsid w:val="0003497A"/>
    <w:rsid w:val="00034D42"/>
    <w:rsid w:val="00034F07"/>
    <w:rsid w:val="0003544A"/>
    <w:rsid w:val="000369E1"/>
    <w:rsid w:val="00037B58"/>
    <w:rsid w:val="00040E8F"/>
    <w:rsid w:val="0004205C"/>
    <w:rsid w:val="000421A3"/>
    <w:rsid w:val="00042CE6"/>
    <w:rsid w:val="00043DED"/>
    <w:rsid w:val="000449CD"/>
    <w:rsid w:val="00044CB0"/>
    <w:rsid w:val="00045654"/>
    <w:rsid w:val="00045D59"/>
    <w:rsid w:val="00046C9E"/>
    <w:rsid w:val="00050EAB"/>
    <w:rsid w:val="00052732"/>
    <w:rsid w:val="00052DC4"/>
    <w:rsid w:val="00054068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5F3"/>
    <w:rsid w:val="0006612C"/>
    <w:rsid w:val="00067726"/>
    <w:rsid w:val="00067FD6"/>
    <w:rsid w:val="00070965"/>
    <w:rsid w:val="000734AF"/>
    <w:rsid w:val="00073786"/>
    <w:rsid w:val="00074378"/>
    <w:rsid w:val="000746C7"/>
    <w:rsid w:val="000747AC"/>
    <w:rsid w:val="00074C3E"/>
    <w:rsid w:val="00074D69"/>
    <w:rsid w:val="0007530C"/>
    <w:rsid w:val="0007555E"/>
    <w:rsid w:val="000771F2"/>
    <w:rsid w:val="00080AEE"/>
    <w:rsid w:val="000812E2"/>
    <w:rsid w:val="0008138F"/>
    <w:rsid w:val="00082D87"/>
    <w:rsid w:val="00083320"/>
    <w:rsid w:val="00085B67"/>
    <w:rsid w:val="00090FDD"/>
    <w:rsid w:val="00091154"/>
    <w:rsid w:val="000915D3"/>
    <w:rsid w:val="000917D8"/>
    <w:rsid w:val="000924C0"/>
    <w:rsid w:val="000925F7"/>
    <w:rsid w:val="00094311"/>
    <w:rsid w:val="000945C9"/>
    <w:rsid w:val="0009505C"/>
    <w:rsid w:val="0009548F"/>
    <w:rsid w:val="000956EB"/>
    <w:rsid w:val="00097527"/>
    <w:rsid w:val="00097E38"/>
    <w:rsid w:val="000A0E78"/>
    <w:rsid w:val="000A1159"/>
    <w:rsid w:val="000A14DA"/>
    <w:rsid w:val="000A2350"/>
    <w:rsid w:val="000A2F52"/>
    <w:rsid w:val="000A33CB"/>
    <w:rsid w:val="000A3D47"/>
    <w:rsid w:val="000A43CE"/>
    <w:rsid w:val="000A47FF"/>
    <w:rsid w:val="000A4E37"/>
    <w:rsid w:val="000A787A"/>
    <w:rsid w:val="000B19D0"/>
    <w:rsid w:val="000B1DD7"/>
    <w:rsid w:val="000B45AB"/>
    <w:rsid w:val="000B48EE"/>
    <w:rsid w:val="000B502D"/>
    <w:rsid w:val="000B54A3"/>
    <w:rsid w:val="000B5DD4"/>
    <w:rsid w:val="000B6252"/>
    <w:rsid w:val="000B67B1"/>
    <w:rsid w:val="000B69BF"/>
    <w:rsid w:val="000B788B"/>
    <w:rsid w:val="000B7AE2"/>
    <w:rsid w:val="000C06C5"/>
    <w:rsid w:val="000C0B0A"/>
    <w:rsid w:val="000C108E"/>
    <w:rsid w:val="000C1965"/>
    <w:rsid w:val="000C36DB"/>
    <w:rsid w:val="000C5764"/>
    <w:rsid w:val="000C65A2"/>
    <w:rsid w:val="000C6818"/>
    <w:rsid w:val="000C72DD"/>
    <w:rsid w:val="000D0368"/>
    <w:rsid w:val="000D0374"/>
    <w:rsid w:val="000D09EB"/>
    <w:rsid w:val="000D52CF"/>
    <w:rsid w:val="000D588E"/>
    <w:rsid w:val="000D5D48"/>
    <w:rsid w:val="000D5ED7"/>
    <w:rsid w:val="000D6CD4"/>
    <w:rsid w:val="000D6DF1"/>
    <w:rsid w:val="000D765B"/>
    <w:rsid w:val="000E13EB"/>
    <w:rsid w:val="000E2251"/>
    <w:rsid w:val="000E2351"/>
    <w:rsid w:val="000E3987"/>
    <w:rsid w:val="000E40CC"/>
    <w:rsid w:val="000E6096"/>
    <w:rsid w:val="000E77A4"/>
    <w:rsid w:val="000E7E9D"/>
    <w:rsid w:val="000F1186"/>
    <w:rsid w:val="000F1AA9"/>
    <w:rsid w:val="000F4D73"/>
    <w:rsid w:val="000F5B09"/>
    <w:rsid w:val="000F6577"/>
    <w:rsid w:val="000F6C6B"/>
    <w:rsid w:val="000F756E"/>
    <w:rsid w:val="000F7DDF"/>
    <w:rsid w:val="00100371"/>
    <w:rsid w:val="001021CB"/>
    <w:rsid w:val="001030CC"/>
    <w:rsid w:val="0010339D"/>
    <w:rsid w:val="00103CA9"/>
    <w:rsid w:val="0010452C"/>
    <w:rsid w:val="00106446"/>
    <w:rsid w:val="0010656B"/>
    <w:rsid w:val="00107128"/>
    <w:rsid w:val="00107647"/>
    <w:rsid w:val="00107A07"/>
    <w:rsid w:val="00112853"/>
    <w:rsid w:val="00112E23"/>
    <w:rsid w:val="00114109"/>
    <w:rsid w:val="00114378"/>
    <w:rsid w:val="00115519"/>
    <w:rsid w:val="00115C83"/>
    <w:rsid w:val="00116365"/>
    <w:rsid w:val="001164A1"/>
    <w:rsid w:val="00116A8F"/>
    <w:rsid w:val="00117AB0"/>
    <w:rsid w:val="00120A3A"/>
    <w:rsid w:val="00123CBD"/>
    <w:rsid w:val="00124730"/>
    <w:rsid w:val="001251D5"/>
    <w:rsid w:val="001276C7"/>
    <w:rsid w:val="00127B5A"/>
    <w:rsid w:val="00131185"/>
    <w:rsid w:val="001326B7"/>
    <w:rsid w:val="00134816"/>
    <w:rsid w:val="00134A21"/>
    <w:rsid w:val="00134C6C"/>
    <w:rsid w:val="00136E70"/>
    <w:rsid w:val="00141FDD"/>
    <w:rsid w:val="00143FCB"/>
    <w:rsid w:val="00144C86"/>
    <w:rsid w:val="00144EE5"/>
    <w:rsid w:val="0014607D"/>
    <w:rsid w:val="00147278"/>
    <w:rsid w:val="00150707"/>
    <w:rsid w:val="00152409"/>
    <w:rsid w:val="00152E4F"/>
    <w:rsid w:val="001530CE"/>
    <w:rsid w:val="0015322D"/>
    <w:rsid w:val="00153490"/>
    <w:rsid w:val="00154145"/>
    <w:rsid w:val="0015515C"/>
    <w:rsid w:val="00156E33"/>
    <w:rsid w:val="001575F1"/>
    <w:rsid w:val="00157601"/>
    <w:rsid w:val="001577A1"/>
    <w:rsid w:val="00160183"/>
    <w:rsid w:val="001610BD"/>
    <w:rsid w:val="001613FC"/>
    <w:rsid w:val="001627A3"/>
    <w:rsid w:val="001627D5"/>
    <w:rsid w:val="00163041"/>
    <w:rsid w:val="00163A7B"/>
    <w:rsid w:val="001644C7"/>
    <w:rsid w:val="001646BA"/>
    <w:rsid w:val="00165DE6"/>
    <w:rsid w:val="001672AB"/>
    <w:rsid w:val="001678F1"/>
    <w:rsid w:val="00170C82"/>
    <w:rsid w:val="00170CCE"/>
    <w:rsid w:val="00172816"/>
    <w:rsid w:val="00172D59"/>
    <w:rsid w:val="001730BE"/>
    <w:rsid w:val="00174836"/>
    <w:rsid w:val="0017540F"/>
    <w:rsid w:val="00181309"/>
    <w:rsid w:val="001824C2"/>
    <w:rsid w:val="0018289E"/>
    <w:rsid w:val="00185677"/>
    <w:rsid w:val="0018592D"/>
    <w:rsid w:val="0018626E"/>
    <w:rsid w:val="0018666E"/>
    <w:rsid w:val="00186BEF"/>
    <w:rsid w:val="00186F09"/>
    <w:rsid w:val="0018794A"/>
    <w:rsid w:val="00187C66"/>
    <w:rsid w:val="00190285"/>
    <w:rsid w:val="00191F90"/>
    <w:rsid w:val="00192506"/>
    <w:rsid w:val="00192F1E"/>
    <w:rsid w:val="00193785"/>
    <w:rsid w:val="001942BA"/>
    <w:rsid w:val="001971A8"/>
    <w:rsid w:val="001A2829"/>
    <w:rsid w:val="001A2F7A"/>
    <w:rsid w:val="001A392F"/>
    <w:rsid w:val="001A594D"/>
    <w:rsid w:val="001A5B99"/>
    <w:rsid w:val="001A65F4"/>
    <w:rsid w:val="001A7319"/>
    <w:rsid w:val="001B0396"/>
    <w:rsid w:val="001B25FF"/>
    <w:rsid w:val="001B3267"/>
    <w:rsid w:val="001B3BE3"/>
    <w:rsid w:val="001B4CB9"/>
    <w:rsid w:val="001B4F99"/>
    <w:rsid w:val="001B7AD0"/>
    <w:rsid w:val="001B7D00"/>
    <w:rsid w:val="001C0237"/>
    <w:rsid w:val="001C0AB4"/>
    <w:rsid w:val="001C1490"/>
    <w:rsid w:val="001C1928"/>
    <w:rsid w:val="001C1F7E"/>
    <w:rsid w:val="001C22CB"/>
    <w:rsid w:val="001C23DD"/>
    <w:rsid w:val="001C264C"/>
    <w:rsid w:val="001C2751"/>
    <w:rsid w:val="001C51EC"/>
    <w:rsid w:val="001C5CE9"/>
    <w:rsid w:val="001C6698"/>
    <w:rsid w:val="001C6750"/>
    <w:rsid w:val="001C70BA"/>
    <w:rsid w:val="001D0226"/>
    <w:rsid w:val="001D0A32"/>
    <w:rsid w:val="001D21BD"/>
    <w:rsid w:val="001D37FD"/>
    <w:rsid w:val="001D4E81"/>
    <w:rsid w:val="001E2403"/>
    <w:rsid w:val="001E29C8"/>
    <w:rsid w:val="001E29D1"/>
    <w:rsid w:val="001E2BC7"/>
    <w:rsid w:val="001E33FE"/>
    <w:rsid w:val="001E4EAE"/>
    <w:rsid w:val="001E52D0"/>
    <w:rsid w:val="001E5BE3"/>
    <w:rsid w:val="001E5E69"/>
    <w:rsid w:val="001F1378"/>
    <w:rsid w:val="001F19CC"/>
    <w:rsid w:val="001F27F8"/>
    <w:rsid w:val="001F2B57"/>
    <w:rsid w:val="001F3E69"/>
    <w:rsid w:val="001F4C02"/>
    <w:rsid w:val="001F69DD"/>
    <w:rsid w:val="001F7445"/>
    <w:rsid w:val="001F7C33"/>
    <w:rsid w:val="001F7C4B"/>
    <w:rsid w:val="002000E5"/>
    <w:rsid w:val="00200A3F"/>
    <w:rsid w:val="0020246C"/>
    <w:rsid w:val="00203447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8D8"/>
    <w:rsid w:val="00212CDE"/>
    <w:rsid w:val="002135A2"/>
    <w:rsid w:val="0021614C"/>
    <w:rsid w:val="00220834"/>
    <w:rsid w:val="00220B59"/>
    <w:rsid w:val="002210E9"/>
    <w:rsid w:val="00222175"/>
    <w:rsid w:val="00223E45"/>
    <w:rsid w:val="00224AD0"/>
    <w:rsid w:val="002251C3"/>
    <w:rsid w:val="00225534"/>
    <w:rsid w:val="00225F74"/>
    <w:rsid w:val="002263B3"/>
    <w:rsid w:val="0022695C"/>
    <w:rsid w:val="00227682"/>
    <w:rsid w:val="00227D75"/>
    <w:rsid w:val="00230DE8"/>
    <w:rsid w:val="00230FA2"/>
    <w:rsid w:val="00231268"/>
    <w:rsid w:val="00232A05"/>
    <w:rsid w:val="00233D4D"/>
    <w:rsid w:val="0023443E"/>
    <w:rsid w:val="00234902"/>
    <w:rsid w:val="00235857"/>
    <w:rsid w:val="00236B99"/>
    <w:rsid w:val="00237066"/>
    <w:rsid w:val="00237CC5"/>
    <w:rsid w:val="00240136"/>
    <w:rsid w:val="002402CA"/>
    <w:rsid w:val="00240CF4"/>
    <w:rsid w:val="002417C5"/>
    <w:rsid w:val="002427AE"/>
    <w:rsid w:val="00243419"/>
    <w:rsid w:val="00245A6C"/>
    <w:rsid w:val="00245B04"/>
    <w:rsid w:val="002503CE"/>
    <w:rsid w:val="0025102C"/>
    <w:rsid w:val="0025137D"/>
    <w:rsid w:val="00252FF6"/>
    <w:rsid w:val="00253ECF"/>
    <w:rsid w:val="00253F71"/>
    <w:rsid w:val="00256550"/>
    <w:rsid w:val="0025757E"/>
    <w:rsid w:val="00257D9D"/>
    <w:rsid w:val="00257EFB"/>
    <w:rsid w:val="00260688"/>
    <w:rsid w:val="00260976"/>
    <w:rsid w:val="00260EF0"/>
    <w:rsid w:val="002611D1"/>
    <w:rsid w:val="0026489F"/>
    <w:rsid w:val="00265023"/>
    <w:rsid w:val="002650CF"/>
    <w:rsid w:val="00265406"/>
    <w:rsid w:val="00265A3D"/>
    <w:rsid w:val="002662BE"/>
    <w:rsid w:val="002668AA"/>
    <w:rsid w:val="00270FD9"/>
    <w:rsid w:val="002717A8"/>
    <w:rsid w:val="002723A7"/>
    <w:rsid w:val="002723D9"/>
    <w:rsid w:val="00274EBC"/>
    <w:rsid w:val="00275609"/>
    <w:rsid w:val="00280105"/>
    <w:rsid w:val="00282488"/>
    <w:rsid w:val="00282DBE"/>
    <w:rsid w:val="00283704"/>
    <w:rsid w:val="00287A18"/>
    <w:rsid w:val="00292EC3"/>
    <w:rsid w:val="00294586"/>
    <w:rsid w:val="00294DE0"/>
    <w:rsid w:val="00296127"/>
    <w:rsid w:val="00296B08"/>
    <w:rsid w:val="00297AC4"/>
    <w:rsid w:val="002A046A"/>
    <w:rsid w:val="002A0CAC"/>
    <w:rsid w:val="002A0D49"/>
    <w:rsid w:val="002A10A8"/>
    <w:rsid w:val="002A1639"/>
    <w:rsid w:val="002A1B2B"/>
    <w:rsid w:val="002A1DC4"/>
    <w:rsid w:val="002A235B"/>
    <w:rsid w:val="002A2CED"/>
    <w:rsid w:val="002A4910"/>
    <w:rsid w:val="002A5C73"/>
    <w:rsid w:val="002A68B8"/>
    <w:rsid w:val="002B10AE"/>
    <w:rsid w:val="002B318C"/>
    <w:rsid w:val="002B552A"/>
    <w:rsid w:val="002B74C5"/>
    <w:rsid w:val="002C1A52"/>
    <w:rsid w:val="002C1FBF"/>
    <w:rsid w:val="002C25C6"/>
    <w:rsid w:val="002C47B8"/>
    <w:rsid w:val="002C4A81"/>
    <w:rsid w:val="002C6888"/>
    <w:rsid w:val="002C78FB"/>
    <w:rsid w:val="002D0814"/>
    <w:rsid w:val="002D0F81"/>
    <w:rsid w:val="002D170B"/>
    <w:rsid w:val="002D175D"/>
    <w:rsid w:val="002D2E80"/>
    <w:rsid w:val="002D3B0F"/>
    <w:rsid w:val="002D4073"/>
    <w:rsid w:val="002D447A"/>
    <w:rsid w:val="002D5865"/>
    <w:rsid w:val="002D77A7"/>
    <w:rsid w:val="002D7BA6"/>
    <w:rsid w:val="002E294A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6AB2"/>
    <w:rsid w:val="002F7C7C"/>
    <w:rsid w:val="003004B8"/>
    <w:rsid w:val="003022A7"/>
    <w:rsid w:val="00303D85"/>
    <w:rsid w:val="00307512"/>
    <w:rsid w:val="00307F4D"/>
    <w:rsid w:val="0031098B"/>
    <w:rsid w:val="00311A9D"/>
    <w:rsid w:val="00312994"/>
    <w:rsid w:val="00313CA3"/>
    <w:rsid w:val="0031558E"/>
    <w:rsid w:val="00315780"/>
    <w:rsid w:val="00315B94"/>
    <w:rsid w:val="003165E5"/>
    <w:rsid w:val="003201BC"/>
    <w:rsid w:val="00320293"/>
    <w:rsid w:val="003212E4"/>
    <w:rsid w:val="003217C9"/>
    <w:rsid w:val="00321CA6"/>
    <w:rsid w:val="00322DF3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6A"/>
    <w:rsid w:val="0033283B"/>
    <w:rsid w:val="00333C49"/>
    <w:rsid w:val="00336033"/>
    <w:rsid w:val="00337648"/>
    <w:rsid w:val="00340752"/>
    <w:rsid w:val="003409C9"/>
    <w:rsid w:val="00341583"/>
    <w:rsid w:val="00341F7C"/>
    <w:rsid w:val="00344581"/>
    <w:rsid w:val="00344DF2"/>
    <w:rsid w:val="003454A9"/>
    <w:rsid w:val="0034655C"/>
    <w:rsid w:val="00346FFA"/>
    <w:rsid w:val="00350CFE"/>
    <w:rsid w:val="0035139C"/>
    <w:rsid w:val="003524FD"/>
    <w:rsid w:val="003568F4"/>
    <w:rsid w:val="00357182"/>
    <w:rsid w:val="00357B8D"/>
    <w:rsid w:val="00357E66"/>
    <w:rsid w:val="00360100"/>
    <w:rsid w:val="00360197"/>
    <w:rsid w:val="003625F1"/>
    <w:rsid w:val="003638CF"/>
    <w:rsid w:val="00363C84"/>
    <w:rsid w:val="00364D14"/>
    <w:rsid w:val="00365311"/>
    <w:rsid w:val="003655B6"/>
    <w:rsid w:val="00365E46"/>
    <w:rsid w:val="00366F41"/>
    <w:rsid w:val="0037726C"/>
    <w:rsid w:val="00377697"/>
    <w:rsid w:val="00377A53"/>
    <w:rsid w:val="003809F3"/>
    <w:rsid w:val="0038117E"/>
    <w:rsid w:val="0038135E"/>
    <w:rsid w:val="003813A6"/>
    <w:rsid w:val="00381900"/>
    <w:rsid w:val="0038259A"/>
    <w:rsid w:val="00382F01"/>
    <w:rsid w:val="00384DC2"/>
    <w:rsid w:val="00387C29"/>
    <w:rsid w:val="00387DAD"/>
    <w:rsid w:val="00390732"/>
    <w:rsid w:val="00391CC7"/>
    <w:rsid w:val="0039257B"/>
    <w:rsid w:val="0039441A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E5E"/>
    <w:rsid w:val="003A5C77"/>
    <w:rsid w:val="003A5EB6"/>
    <w:rsid w:val="003A785D"/>
    <w:rsid w:val="003A7A69"/>
    <w:rsid w:val="003B04DA"/>
    <w:rsid w:val="003B0E7A"/>
    <w:rsid w:val="003B15C8"/>
    <w:rsid w:val="003B1992"/>
    <w:rsid w:val="003B1A29"/>
    <w:rsid w:val="003B1C22"/>
    <w:rsid w:val="003B1D25"/>
    <w:rsid w:val="003B2900"/>
    <w:rsid w:val="003B2B30"/>
    <w:rsid w:val="003B2CAA"/>
    <w:rsid w:val="003B30D8"/>
    <w:rsid w:val="003B3299"/>
    <w:rsid w:val="003B436A"/>
    <w:rsid w:val="003B48D5"/>
    <w:rsid w:val="003B4F8C"/>
    <w:rsid w:val="003B62EC"/>
    <w:rsid w:val="003B6749"/>
    <w:rsid w:val="003B6844"/>
    <w:rsid w:val="003B75FC"/>
    <w:rsid w:val="003B7F5E"/>
    <w:rsid w:val="003C14C9"/>
    <w:rsid w:val="003C15EF"/>
    <w:rsid w:val="003C1D23"/>
    <w:rsid w:val="003C4817"/>
    <w:rsid w:val="003C5E7B"/>
    <w:rsid w:val="003C6A22"/>
    <w:rsid w:val="003C79AC"/>
    <w:rsid w:val="003D1EDB"/>
    <w:rsid w:val="003D4359"/>
    <w:rsid w:val="003D4739"/>
    <w:rsid w:val="003D56FD"/>
    <w:rsid w:val="003D75A1"/>
    <w:rsid w:val="003D7D58"/>
    <w:rsid w:val="003E0266"/>
    <w:rsid w:val="003E099C"/>
    <w:rsid w:val="003E0C4A"/>
    <w:rsid w:val="003E221F"/>
    <w:rsid w:val="003E3296"/>
    <w:rsid w:val="003E3C65"/>
    <w:rsid w:val="003E3F0E"/>
    <w:rsid w:val="003E4749"/>
    <w:rsid w:val="003E4CC0"/>
    <w:rsid w:val="003E51DE"/>
    <w:rsid w:val="003E5D3F"/>
    <w:rsid w:val="003E60D1"/>
    <w:rsid w:val="003E719B"/>
    <w:rsid w:val="003E757E"/>
    <w:rsid w:val="003F0052"/>
    <w:rsid w:val="003F0CAE"/>
    <w:rsid w:val="003F0EA8"/>
    <w:rsid w:val="003F5183"/>
    <w:rsid w:val="003F56BD"/>
    <w:rsid w:val="003F5A35"/>
    <w:rsid w:val="003F7085"/>
    <w:rsid w:val="00400C11"/>
    <w:rsid w:val="004010A8"/>
    <w:rsid w:val="00401DED"/>
    <w:rsid w:val="00402680"/>
    <w:rsid w:val="00404546"/>
    <w:rsid w:val="00406097"/>
    <w:rsid w:val="00406C7B"/>
    <w:rsid w:val="00407182"/>
    <w:rsid w:val="004078E5"/>
    <w:rsid w:val="00407FE4"/>
    <w:rsid w:val="00412F68"/>
    <w:rsid w:val="0041311D"/>
    <w:rsid w:val="00415784"/>
    <w:rsid w:val="00415806"/>
    <w:rsid w:val="004159BE"/>
    <w:rsid w:val="004168B3"/>
    <w:rsid w:val="0041784C"/>
    <w:rsid w:val="00417DAC"/>
    <w:rsid w:val="00417E13"/>
    <w:rsid w:val="00420CBC"/>
    <w:rsid w:val="00421432"/>
    <w:rsid w:val="00421CD5"/>
    <w:rsid w:val="00421E9D"/>
    <w:rsid w:val="00422784"/>
    <w:rsid w:val="00423EE9"/>
    <w:rsid w:val="00425EC2"/>
    <w:rsid w:val="00427696"/>
    <w:rsid w:val="00427FB8"/>
    <w:rsid w:val="00431253"/>
    <w:rsid w:val="00435D37"/>
    <w:rsid w:val="00436469"/>
    <w:rsid w:val="00436FB4"/>
    <w:rsid w:val="004379FA"/>
    <w:rsid w:val="00442E20"/>
    <w:rsid w:val="0044465C"/>
    <w:rsid w:val="0044550D"/>
    <w:rsid w:val="004471B9"/>
    <w:rsid w:val="00447221"/>
    <w:rsid w:val="004509F6"/>
    <w:rsid w:val="00453CE3"/>
    <w:rsid w:val="00454093"/>
    <w:rsid w:val="00454C7D"/>
    <w:rsid w:val="00455227"/>
    <w:rsid w:val="004574D9"/>
    <w:rsid w:val="0045758B"/>
    <w:rsid w:val="00461324"/>
    <w:rsid w:val="0046148B"/>
    <w:rsid w:val="00461657"/>
    <w:rsid w:val="00461995"/>
    <w:rsid w:val="004634E4"/>
    <w:rsid w:val="004639A5"/>
    <w:rsid w:val="004655E7"/>
    <w:rsid w:val="00466A02"/>
    <w:rsid w:val="00466E96"/>
    <w:rsid w:val="00466F15"/>
    <w:rsid w:val="004725CB"/>
    <w:rsid w:val="0047278D"/>
    <w:rsid w:val="00475763"/>
    <w:rsid w:val="00475BE2"/>
    <w:rsid w:val="00480082"/>
    <w:rsid w:val="00483B9D"/>
    <w:rsid w:val="0048470D"/>
    <w:rsid w:val="004848E8"/>
    <w:rsid w:val="00484EA7"/>
    <w:rsid w:val="004865CE"/>
    <w:rsid w:val="004868F5"/>
    <w:rsid w:val="0048699B"/>
    <w:rsid w:val="00487296"/>
    <w:rsid w:val="0049070F"/>
    <w:rsid w:val="004932C1"/>
    <w:rsid w:val="00493B63"/>
    <w:rsid w:val="004940E0"/>
    <w:rsid w:val="00496861"/>
    <w:rsid w:val="004A1113"/>
    <w:rsid w:val="004A2665"/>
    <w:rsid w:val="004A344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B1C2A"/>
    <w:rsid w:val="004B1ECF"/>
    <w:rsid w:val="004B378C"/>
    <w:rsid w:val="004B41B2"/>
    <w:rsid w:val="004B5F63"/>
    <w:rsid w:val="004B7800"/>
    <w:rsid w:val="004B7883"/>
    <w:rsid w:val="004B7C4B"/>
    <w:rsid w:val="004C0135"/>
    <w:rsid w:val="004C0541"/>
    <w:rsid w:val="004C16F3"/>
    <w:rsid w:val="004C206D"/>
    <w:rsid w:val="004C373F"/>
    <w:rsid w:val="004C3C31"/>
    <w:rsid w:val="004C659C"/>
    <w:rsid w:val="004D49A0"/>
    <w:rsid w:val="004D4E0F"/>
    <w:rsid w:val="004D7775"/>
    <w:rsid w:val="004E02D3"/>
    <w:rsid w:val="004E28B9"/>
    <w:rsid w:val="004E4063"/>
    <w:rsid w:val="004E475F"/>
    <w:rsid w:val="004E6169"/>
    <w:rsid w:val="004E6C21"/>
    <w:rsid w:val="004E7676"/>
    <w:rsid w:val="004F17AF"/>
    <w:rsid w:val="004F2797"/>
    <w:rsid w:val="004F288B"/>
    <w:rsid w:val="004F31D0"/>
    <w:rsid w:val="004F3817"/>
    <w:rsid w:val="004F4CFC"/>
    <w:rsid w:val="004F50B8"/>
    <w:rsid w:val="004F62C2"/>
    <w:rsid w:val="004F7808"/>
    <w:rsid w:val="004F7D2D"/>
    <w:rsid w:val="004F7F54"/>
    <w:rsid w:val="004F7F71"/>
    <w:rsid w:val="005025EC"/>
    <w:rsid w:val="005027D6"/>
    <w:rsid w:val="0050365D"/>
    <w:rsid w:val="005065E6"/>
    <w:rsid w:val="005070CF"/>
    <w:rsid w:val="005078B9"/>
    <w:rsid w:val="0051201B"/>
    <w:rsid w:val="0051345D"/>
    <w:rsid w:val="00516264"/>
    <w:rsid w:val="00516511"/>
    <w:rsid w:val="00517175"/>
    <w:rsid w:val="00521DE6"/>
    <w:rsid w:val="005221F4"/>
    <w:rsid w:val="00522282"/>
    <w:rsid w:val="00524587"/>
    <w:rsid w:val="0052511E"/>
    <w:rsid w:val="0052531F"/>
    <w:rsid w:val="005253D1"/>
    <w:rsid w:val="005264EC"/>
    <w:rsid w:val="00530AE6"/>
    <w:rsid w:val="00532B88"/>
    <w:rsid w:val="005331B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D70"/>
    <w:rsid w:val="005429A2"/>
    <w:rsid w:val="005436E2"/>
    <w:rsid w:val="00543A1F"/>
    <w:rsid w:val="005468F5"/>
    <w:rsid w:val="00546967"/>
    <w:rsid w:val="00547212"/>
    <w:rsid w:val="005479C8"/>
    <w:rsid w:val="00547B34"/>
    <w:rsid w:val="005523CF"/>
    <w:rsid w:val="0055364A"/>
    <w:rsid w:val="00553E61"/>
    <w:rsid w:val="0055409D"/>
    <w:rsid w:val="00555066"/>
    <w:rsid w:val="0055507E"/>
    <w:rsid w:val="00555A5E"/>
    <w:rsid w:val="005562D6"/>
    <w:rsid w:val="005568D7"/>
    <w:rsid w:val="0055713F"/>
    <w:rsid w:val="00560113"/>
    <w:rsid w:val="00560529"/>
    <w:rsid w:val="00560667"/>
    <w:rsid w:val="00561992"/>
    <w:rsid w:val="00564436"/>
    <w:rsid w:val="005644BB"/>
    <w:rsid w:val="0056509E"/>
    <w:rsid w:val="00565662"/>
    <w:rsid w:val="00566BFA"/>
    <w:rsid w:val="005700F4"/>
    <w:rsid w:val="00570C9B"/>
    <w:rsid w:val="00570EEF"/>
    <w:rsid w:val="005715D6"/>
    <w:rsid w:val="00571A37"/>
    <w:rsid w:val="0057438A"/>
    <w:rsid w:val="00575B7D"/>
    <w:rsid w:val="00580172"/>
    <w:rsid w:val="00580859"/>
    <w:rsid w:val="00581749"/>
    <w:rsid w:val="005818A8"/>
    <w:rsid w:val="005829D9"/>
    <w:rsid w:val="00583591"/>
    <w:rsid w:val="005838F0"/>
    <w:rsid w:val="005852DA"/>
    <w:rsid w:val="005858DC"/>
    <w:rsid w:val="00585B6B"/>
    <w:rsid w:val="00585F7B"/>
    <w:rsid w:val="0058776D"/>
    <w:rsid w:val="00590ABD"/>
    <w:rsid w:val="00590B7B"/>
    <w:rsid w:val="005916D5"/>
    <w:rsid w:val="00592DF3"/>
    <w:rsid w:val="00593B25"/>
    <w:rsid w:val="00595DA2"/>
    <w:rsid w:val="00596079"/>
    <w:rsid w:val="005966E6"/>
    <w:rsid w:val="005A054F"/>
    <w:rsid w:val="005A13E6"/>
    <w:rsid w:val="005A1C61"/>
    <w:rsid w:val="005A4AB8"/>
    <w:rsid w:val="005A5064"/>
    <w:rsid w:val="005A5229"/>
    <w:rsid w:val="005B0DB1"/>
    <w:rsid w:val="005B18F4"/>
    <w:rsid w:val="005B1AD3"/>
    <w:rsid w:val="005B25F8"/>
    <w:rsid w:val="005B2BF5"/>
    <w:rsid w:val="005B5CB7"/>
    <w:rsid w:val="005B5F21"/>
    <w:rsid w:val="005B7040"/>
    <w:rsid w:val="005C19AB"/>
    <w:rsid w:val="005C363C"/>
    <w:rsid w:val="005C3915"/>
    <w:rsid w:val="005C3D3E"/>
    <w:rsid w:val="005C4CBE"/>
    <w:rsid w:val="005C4DBD"/>
    <w:rsid w:val="005C4E87"/>
    <w:rsid w:val="005C5F38"/>
    <w:rsid w:val="005D07D1"/>
    <w:rsid w:val="005D0E14"/>
    <w:rsid w:val="005D4BC4"/>
    <w:rsid w:val="005D5D14"/>
    <w:rsid w:val="005D6EEB"/>
    <w:rsid w:val="005D751B"/>
    <w:rsid w:val="005E0358"/>
    <w:rsid w:val="005E038B"/>
    <w:rsid w:val="005E150E"/>
    <w:rsid w:val="005E2852"/>
    <w:rsid w:val="005E2B06"/>
    <w:rsid w:val="005E35C9"/>
    <w:rsid w:val="005E4CD1"/>
    <w:rsid w:val="005E5941"/>
    <w:rsid w:val="005E6D35"/>
    <w:rsid w:val="005F13D5"/>
    <w:rsid w:val="005F50EA"/>
    <w:rsid w:val="005F568D"/>
    <w:rsid w:val="006006C6"/>
    <w:rsid w:val="006050EA"/>
    <w:rsid w:val="006070E0"/>
    <w:rsid w:val="006071F2"/>
    <w:rsid w:val="00607217"/>
    <w:rsid w:val="00607500"/>
    <w:rsid w:val="00607541"/>
    <w:rsid w:val="0061084D"/>
    <w:rsid w:val="00610DDD"/>
    <w:rsid w:val="006127E9"/>
    <w:rsid w:val="00612A53"/>
    <w:rsid w:val="00612A74"/>
    <w:rsid w:val="00612F5E"/>
    <w:rsid w:val="00613676"/>
    <w:rsid w:val="006139C9"/>
    <w:rsid w:val="006142D5"/>
    <w:rsid w:val="006152FB"/>
    <w:rsid w:val="0061569F"/>
    <w:rsid w:val="00616B6E"/>
    <w:rsid w:val="00617CA0"/>
    <w:rsid w:val="00620FA4"/>
    <w:rsid w:val="00621B53"/>
    <w:rsid w:val="0062271A"/>
    <w:rsid w:val="00622F10"/>
    <w:rsid w:val="00622FAC"/>
    <w:rsid w:val="00623BC4"/>
    <w:rsid w:val="00624C12"/>
    <w:rsid w:val="006304FD"/>
    <w:rsid w:val="00632692"/>
    <w:rsid w:val="00634B74"/>
    <w:rsid w:val="006357BA"/>
    <w:rsid w:val="0063610A"/>
    <w:rsid w:val="00642A13"/>
    <w:rsid w:val="00642F40"/>
    <w:rsid w:val="006435D8"/>
    <w:rsid w:val="00645ED4"/>
    <w:rsid w:val="00647463"/>
    <w:rsid w:val="00647B12"/>
    <w:rsid w:val="006509EE"/>
    <w:rsid w:val="00651027"/>
    <w:rsid w:val="0065108A"/>
    <w:rsid w:val="006534C5"/>
    <w:rsid w:val="00653CF3"/>
    <w:rsid w:val="00654A8A"/>
    <w:rsid w:val="0065518C"/>
    <w:rsid w:val="0065775B"/>
    <w:rsid w:val="00657F58"/>
    <w:rsid w:val="00661339"/>
    <w:rsid w:val="00661C7E"/>
    <w:rsid w:val="00663690"/>
    <w:rsid w:val="00664DEB"/>
    <w:rsid w:val="00665A5C"/>
    <w:rsid w:val="00666EFC"/>
    <w:rsid w:val="0066756D"/>
    <w:rsid w:val="00670373"/>
    <w:rsid w:val="006705D4"/>
    <w:rsid w:val="00670C5E"/>
    <w:rsid w:val="00670C6E"/>
    <w:rsid w:val="00671844"/>
    <w:rsid w:val="00671961"/>
    <w:rsid w:val="006723F0"/>
    <w:rsid w:val="00672DCB"/>
    <w:rsid w:val="006751BF"/>
    <w:rsid w:val="006752C1"/>
    <w:rsid w:val="006756E9"/>
    <w:rsid w:val="006759B4"/>
    <w:rsid w:val="00675DCF"/>
    <w:rsid w:val="006760A4"/>
    <w:rsid w:val="00676256"/>
    <w:rsid w:val="00676A4B"/>
    <w:rsid w:val="00676C8B"/>
    <w:rsid w:val="0067730D"/>
    <w:rsid w:val="006807FE"/>
    <w:rsid w:val="00680A78"/>
    <w:rsid w:val="00681351"/>
    <w:rsid w:val="00681A9E"/>
    <w:rsid w:val="00682718"/>
    <w:rsid w:val="00684818"/>
    <w:rsid w:val="00684902"/>
    <w:rsid w:val="00685393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AC5"/>
    <w:rsid w:val="006966E3"/>
    <w:rsid w:val="006971AF"/>
    <w:rsid w:val="00697A91"/>
    <w:rsid w:val="006A0B4A"/>
    <w:rsid w:val="006A144B"/>
    <w:rsid w:val="006A1C8D"/>
    <w:rsid w:val="006A290B"/>
    <w:rsid w:val="006A478E"/>
    <w:rsid w:val="006A4801"/>
    <w:rsid w:val="006A5DE6"/>
    <w:rsid w:val="006A6C58"/>
    <w:rsid w:val="006B159D"/>
    <w:rsid w:val="006B22E5"/>
    <w:rsid w:val="006B2866"/>
    <w:rsid w:val="006B3579"/>
    <w:rsid w:val="006B4777"/>
    <w:rsid w:val="006B5211"/>
    <w:rsid w:val="006B5863"/>
    <w:rsid w:val="006B729D"/>
    <w:rsid w:val="006B7725"/>
    <w:rsid w:val="006C1458"/>
    <w:rsid w:val="006C15C6"/>
    <w:rsid w:val="006C1C26"/>
    <w:rsid w:val="006C27EC"/>
    <w:rsid w:val="006C28CF"/>
    <w:rsid w:val="006C2906"/>
    <w:rsid w:val="006C2EF6"/>
    <w:rsid w:val="006C3C84"/>
    <w:rsid w:val="006C5096"/>
    <w:rsid w:val="006C5F17"/>
    <w:rsid w:val="006C6303"/>
    <w:rsid w:val="006C6B7E"/>
    <w:rsid w:val="006C6BF9"/>
    <w:rsid w:val="006C6C06"/>
    <w:rsid w:val="006C7BA4"/>
    <w:rsid w:val="006C7EA3"/>
    <w:rsid w:val="006D1A57"/>
    <w:rsid w:val="006D1BC2"/>
    <w:rsid w:val="006D2608"/>
    <w:rsid w:val="006D2A9C"/>
    <w:rsid w:val="006D2B20"/>
    <w:rsid w:val="006D2D6C"/>
    <w:rsid w:val="006D3720"/>
    <w:rsid w:val="006D3727"/>
    <w:rsid w:val="006D3763"/>
    <w:rsid w:val="006D4A5C"/>
    <w:rsid w:val="006D53D7"/>
    <w:rsid w:val="006D74DB"/>
    <w:rsid w:val="006E11AC"/>
    <w:rsid w:val="006E4746"/>
    <w:rsid w:val="006E4B91"/>
    <w:rsid w:val="006E6751"/>
    <w:rsid w:val="006E7282"/>
    <w:rsid w:val="006F0752"/>
    <w:rsid w:val="006F1525"/>
    <w:rsid w:val="006F1AFE"/>
    <w:rsid w:val="006F2861"/>
    <w:rsid w:val="006F4309"/>
    <w:rsid w:val="006F4C84"/>
    <w:rsid w:val="006F5E1B"/>
    <w:rsid w:val="006F682D"/>
    <w:rsid w:val="006F6B2B"/>
    <w:rsid w:val="006F6D5E"/>
    <w:rsid w:val="006F7123"/>
    <w:rsid w:val="006F7C03"/>
    <w:rsid w:val="00701093"/>
    <w:rsid w:val="007027D1"/>
    <w:rsid w:val="00703B0B"/>
    <w:rsid w:val="00705089"/>
    <w:rsid w:val="007055C9"/>
    <w:rsid w:val="007067B2"/>
    <w:rsid w:val="00706A33"/>
    <w:rsid w:val="00706CF0"/>
    <w:rsid w:val="00707E96"/>
    <w:rsid w:val="00710BC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57A"/>
    <w:rsid w:val="00717FE8"/>
    <w:rsid w:val="00720A33"/>
    <w:rsid w:val="00721DCD"/>
    <w:rsid w:val="007227E1"/>
    <w:rsid w:val="00722A4C"/>
    <w:rsid w:val="007234B4"/>
    <w:rsid w:val="00725D07"/>
    <w:rsid w:val="00725E16"/>
    <w:rsid w:val="00727967"/>
    <w:rsid w:val="00727BED"/>
    <w:rsid w:val="007307C9"/>
    <w:rsid w:val="007319C8"/>
    <w:rsid w:val="007326D7"/>
    <w:rsid w:val="00733BCB"/>
    <w:rsid w:val="0073431B"/>
    <w:rsid w:val="00734688"/>
    <w:rsid w:val="00734729"/>
    <w:rsid w:val="00736E76"/>
    <w:rsid w:val="0073706D"/>
    <w:rsid w:val="00737DB4"/>
    <w:rsid w:val="007406F2"/>
    <w:rsid w:val="00742C04"/>
    <w:rsid w:val="00743684"/>
    <w:rsid w:val="007452A1"/>
    <w:rsid w:val="00745BCE"/>
    <w:rsid w:val="00746132"/>
    <w:rsid w:val="007469F9"/>
    <w:rsid w:val="00747828"/>
    <w:rsid w:val="007515DA"/>
    <w:rsid w:val="007534AA"/>
    <w:rsid w:val="00753C0A"/>
    <w:rsid w:val="00753E85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79F4"/>
    <w:rsid w:val="00757A6C"/>
    <w:rsid w:val="0076100C"/>
    <w:rsid w:val="00761287"/>
    <w:rsid w:val="0076182F"/>
    <w:rsid w:val="007618B8"/>
    <w:rsid w:val="00762622"/>
    <w:rsid w:val="0076413B"/>
    <w:rsid w:val="007652FD"/>
    <w:rsid w:val="0076645A"/>
    <w:rsid w:val="007675AF"/>
    <w:rsid w:val="00771538"/>
    <w:rsid w:val="00771D94"/>
    <w:rsid w:val="007722BC"/>
    <w:rsid w:val="00772A01"/>
    <w:rsid w:val="00772F45"/>
    <w:rsid w:val="00773C65"/>
    <w:rsid w:val="00775529"/>
    <w:rsid w:val="00776A67"/>
    <w:rsid w:val="00776DE5"/>
    <w:rsid w:val="00777134"/>
    <w:rsid w:val="00781377"/>
    <w:rsid w:val="00781FAF"/>
    <w:rsid w:val="00783810"/>
    <w:rsid w:val="00783A9F"/>
    <w:rsid w:val="00784166"/>
    <w:rsid w:val="0078476D"/>
    <w:rsid w:val="00784BF8"/>
    <w:rsid w:val="00784DAE"/>
    <w:rsid w:val="00784E09"/>
    <w:rsid w:val="00785339"/>
    <w:rsid w:val="00786F50"/>
    <w:rsid w:val="00787E88"/>
    <w:rsid w:val="00791DC2"/>
    <w:rsid w:val="00793F4D"/>
    <w:rsid w:val="007941BB"/>
    <w:rsid w:val="00794B8C"/>
    <w:rsid w:val="00796ED1"/>
    <w:rsid w:val="007978AC"/>
    <w:rsid w:val="00797B66"/>
    <w:rsid w:val="00797BA2"/>
    <w:rsid w:val="007A0816"/>
    <w:rsid w:val="007A1882"/>
    <w:rsid w:val="007A2838"/>
    <w:rsid w:val="007A299E"/>
    <w:rsid w:val="007A2D7A"/>
    <w:rsid w:val="007A33EE"/>
    <w:rsid w:val="007A3B09"/>
    <w:rsid w:val="007A5A5D"/>
    <w:rsid w:val="007A67CB"/>
    <w:rsid w:val="007A6A82"/>
    <w:rsid w:val="007A73EE"/>
    <w:rsid w:val="007A7E1A"/>
    <w:rsid w:val="007B0888"/>
    <w:rsid w:val="007B0B93"/>
    <w:rsid w:val="007B41C4"/>
    <w:rsid w:val="007B5A1B"/>
    <w:rsid w:val="007B5C2E"/>
    <w:rsid w:val="007B7DBE"/>
    <w:rsid w:val="007B7EED"/>
    <w:rsid w:val="007C1EE8"/>
    <w:rsid w:val="007C2107"/>
    <w:rsid w:val="007C2827"/>
    <w:rsid w:val="007C43BE"/>
    <w:rsid w:val="007C49FF"/>
    <w:rsid w:val="007C601C"/>
    <w:rsid w:val="007D0106"/>
    <w:rsid w:val="007D033B"/>
    <w:rsid w:val="007D0956"/>
    <w:rsid w:val="007D39CD"/>
    <w:rsid w:val="007D410B"/>
    <w:rsid w:val="007D48C4"/>
    <w:rsid w:val="007D4C9D"/>
    <w:rsid w:val="007D4EE7"/>
    <w:rsid w:val="007D5AB1"/>
    <w:rsid w:val="007D6AA1"/>
    <w:rsid w:val="007E0203"/>
    <w:rsid w:val="007E056C"/>
    <w:rsid w:val="007E0761"/>
    <w:rsid w:val="007E081D"/>
    <w:rsid w:val="007E1AB8"/>
    <w:rsid w:val="007E293C"/>
    <w:rsid w:val="007E36EB"/>
    <w:rsid w:val="007E5CC1"/>
    <w:rsid w:val="007E7DDD"/>
    <w:rsid w:val="007F182C"/>
    <w:rsid w:val="007F33E9"/>
    <w:rsid w:val="007F388B"/>
    <w:rsid w:val="007F4571"/>
    <w:rsid w:val="007F4D55"/>
    <w:rsid w:val="007F61AF"/>
    <w:rsid w:val="007F775F"/>
    <w:rsid w:val="007F7F34"/>
    <w:rsid w:val="0080031F"/>
    <w:rsid w:val="00801411"/>
    <w:rsid w:val="00801DB8"/>
    <w:rsid w:val="0080291E"/>
    <w:rsid w:val="00802B7F"/>
    <w:rsid w:val="00804F0B"/>
    <w:rsid w:val="00805844"/>
    <w:rsid w:val="00805F78"/>
    <w:rsid w:val="00806B4B"/>
    <w:rsid w:val="00810837"/>
    <w:rsid w:val="00810CDD"/>
    <w:rsid w:val="00811332"/>
    <w:rsid w:val="0081184B"/>
    <w:rsid w:val="00811943"/>
    <w:rsid w:val="00811DF5"/>
    <w:rsid w:val="00812862"/>
    <w:rsid w:val="00812E0B"/>
    <w:rsid w:val="00813346"/>
    <w:rsid w:val="00813F13"/>
    <w:rsid w:val="00815A2F"/>
    <w:rsid w:val="00817A6A"/>
    <w:rsid w:val="0082070B"/>
    <w:rsid w:val="0082084A"/>
    <w:rsid w:val="00822F67"/>
    <w:rsid w:val="008251C2"/>
    <w:rsid w:val="0082570B"/>
    <w:rsid w:val="0082721B"/>
    <w:rsid w:val="008312F3"/>
    <w:rsid w:val="008343BA"/>
    <w:rsid w:val="0083553F"/>
    <w:rsid w:val="008355A8"/>
    <w:rsid w:val="00836A00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680E"/>
    <w:rsid w:val="00847B5B"/>
    <w:rsid w:val="00847EBF"/>
    <w:rsid w:val="00854098"/>
    <w:rsid w:val="0085673A"/>
    <w:rsid w:val="00856DE2"/>
    <w:rsid w:val="008573C7"/>
    <w:rsid w:val="00857B59"/>
    <w:rsid w:val="00860BDB"/>
    <w:rsid w:val="00861096"/>
    <w:rsid w:val="008617B7"/>
    <w:rsid w:val="00861D85"/>
    <w:rsid w:val="00861F52"/>
    <w:rsid w:val="00863019"/>
    <w:rsid w:val="00864891"/>
    <w:rsid w:val="00864D7E"/>
    <w:rsid w:val="008654E2"/>
    <w:rsid w:val="008656F4"/>
    <w:rsid w:val="00866008"/>
    <w:rsid w:val="00870795"/>
    <w:rsid w:val="00871ED5"/>
    <w:rsid w:val="008722E4"/>
    <w:rsid w:val="00873808"/>
    <w:rsid w:val="00873FD5"/>
    <w:rsid w:val="00874F31"/>
    <w:rsid w:val="0087527E"/>
    <w:rsid w:val="00875C4F"/>
    <w:rsid w:val="008770B1"/>
    <w:rsid w:val="00877642"/>
    <w:rsid w:val="00877FE9"/>
    <w:rsid w:val="00880646"/>
    <w:rsid w:val="00882650"/>
    <w:rsid w:val="00883754"/>
    <w:rsid w:val="008842AB"/>
    <w:rsid w:val="008844C7"/>
    <w:rsid w:val="008855BC"/>
    <w:rsid w:val="00886302"/>
    <w:rsid w:val="00886930"/>
    <w:rsid w:val="0089243B"/>
    <w:rsid w:val="00892AFB"/>
    <w:rsid w:val="0089368B"/>
    <w:rsid w:val="00893A0A"/>
    <w:rsid w:val="0089702D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68EC"/>
    <w:rsid w:val="008A73B0"/>
    <w:rsid w:val="008B285E"/>
    <w:rsid w:val="008B2B3C"/>
    <w:rsid w:val="008B4A2E"/>
    <w:rsid w:val="008B58DE"/>
    <w:rsid w:val="008B599F"/>
    <w:rsid w:val="008B6202"/>
    <w:rsid w:val="008B665D"/>
    <w:rsid w:val="008B6D0D"/>
    <w:rsid w:val="008C01EB"/>
    <w:rsid w:val="008C15C8"/>
    <w:rsid w:val="008C215C"/>
    <w:rsid w:val="008C2299"/>
    <w:rsid w:val="008C34B7"/>
    <w:rsid w:val="008C3941"/>
    <w:rsid w:val="008C4151"/>
    <w:rsid w:val="008C5163"/>
    <w:rsid w:val="008C5984"/>
    <w:rsid w:val="008C7C7F"/>
    <w:rsid w:val="008D0308"/>
    <w:rsid w:val="008D0998"/>
    <w:rsid w:val="008D20A3"/>
    <w:rsid w:val="008D27EB"/>
    <w:rsid w:val="008D2C8B"/>
    <w:rsid w:val="008D30AF"/>
    <w:rsid w:val="008D3CDF"/>
    <w:rsid w:val="008D4618"/>
    <w:rsid w:val="008D5823"/>
    <w:rsid w:val="008D6A5D"/>
    <w:rsid w:val="008D6E96"/>
    <w:rsid w:val="008D6F6A"/>
    <w:rsid w:val="008D6F78"/>
    <w:rsid w:val="008D76BE"/>
    <w:rsid w:val="008E0886"/>
    <w:rsid w:val="008E0E90"/>
    <w:rsid w:val="008E10D6"/>
    <w:rsid w:val="008E27E6"/>
    <w:rsid w:val="008E2B58"/>
    <w:rsid w:val="008E3805"/>
    <w:rsid w:val="008E3D20"/>
    <w:rsid w:val="008E4582"/>
    <w:rsid w:val="008E462B"/>
    <w:rsid w:val="008E5EDA"/>
    <w:rsid w:val="008E636B"/>
    <w:rsid w:val="008E6D00"/>
    <w:rsid w:val="008E7183"/>
    <w:rsid w:val="008E77D5"/>
    <w:rsid w:val="008F0415"/>
    <w:rsid w:val="008F0BE5"/>
    <w:rsid w:val="008F195C"/>
    <w:rsid w:val="008F34CB"/>
    <w:rsid w:val="008F3986"/>
    <w:rsid w:val="008F4F59"/>
    <w:rsid w:val="008F6653"/>
    <w:rsid w:val="008F71E6"/>
    <w:rsid w:val="008F7755"/>
    <w:rsid w:val="009008A2"/>
    <w:rsid w:val="00900F62"/>
    <w:rsid w:val="0090210D"/>
    <w:rsid w:val="00902289"/>
    <w:rsid w:val="009022BB"/>
    <w:rsid w:val="009045B3"/>
    <w:rsid w:val="0090493D"/>
    <w:rsid w:val="00904C72"/>
    <w:rsid w:val="00904F52"/>
    <w:rsid w:val="00905430"/>
    <w:rsid w:val="00905BF5"/>
    <w:rsid w:val="00905F6A"/>
    <w:rsid w:val="00907FE0"/>
    <w:rsid w:val="00910CBD"/>
    <w:rsid w:val="0091144B"/>
    <w:rsid w:val="00912260"/>
    <w:rsid w:val="009126D6"/>
    <w:rsid w:val="00915576"/>
    <w:rsid w:val="00915B6A"/>
    <w:rsid w:val="0091631F"/>
    <w:rsid w:val="00916A0F"/>
    <w:rsid w:val="00917ADD"/>
    <w:rsid w:val="00920528"/>
    <w:rsid w:val="00922BF8"/>
    <w:rsid w:val="0092368D"/>
    <w:rsid w:val="0092378E"/>
    <w:rsid w:val="0092403C"/>
    <w:rsid w:val="0092474C"/>
    <w:rsid w:val="00925448"/>
    <w:rsid w:val="00925536"/>
    <w:rsid w:val="00925FF2"/>
    <w:rsid w:val="009271A2"/>
    <w:rsid w:val="009329C9"/>
    <w:rsid w:val="00933305"/>
    <w:rsid w:val="0093378D"/>
    <w:rsid w:val="0093484E"/>
    <w:rsid w:val="00935A48"/>
    <w:rsid w:val="00937C0F"/>
    <w:rsid w:val="009404CE"/>
    <w:rsid w:val="00940D56"/>
    <w:rsid w:val="00941C71"/>
    <w:rsid w:val="00941E99"/>
    <w:rsid w:val="0094299F"/>
    <w:rsid w:val="00942C49"/>
    <w:rsid w:val="009472A1"/>
    <w:rsid w:val="00947B02"/>
    <w:rsid w:val="00947E4E"/>
    <w:rsid w:val="009508FA"/>
    <w:rsid w:val="00951A56"/>
    <w:rsid w:val="009543FD"/>
    <w:rsid w:val="009545F5"/>
    <w:rsid w:val="009553DE"/>
    <w:rsid w:val="00955421"/>
    <w:rsid w:val="0095549B"/>
    <w:rsid w:val="00956F1D"/>
    <w:rsid w:val="0095708D"/>
    <w:rsid w:val="009570EC"/>
    <w:rsid w:val="00957325"/>
    <w:rsid w:val="009611F6"/>
    <w:rsid w:val="00961D65"/>
    <w:rsid w:val="00962341"/>
    <w:rsid w:val="00962426"/>
    <w:rsid w:val="009636C3"/>
    <w:rsid w:val="009637F1"/>
    <w:rsid w:val="009647DB"/>
    <w:rsid w:val="00965B35"/>
    <w:rsid w:val="00965E55"/>
    <w:rsid w:val="00965FCD"/>
    <w:rsid w:val="009667E4"/>
    <w:rsid w:val="00966CC3"/>
    <w:rsid w:val="009674E4"/>
    <w:rsid w:val="00967750"/>
    <w:rsid w:val="009707F3"/>
    <w:rsid w:val="00970817"/>
    <w:rsid w:val="00972F5D"/>
    <w:rsid w:val="00973022"/>
    <w:rsid w:val="0097377E"/>
    <w:rsid w:val="00974320"/>
    <w:rsid w:val="00974AD2"/>
    <w:rsid w:val="00974D28"/>
    <w:rsid w:val="00974F42"/>
    <w:rsid w:val="00975511"/>
    <w:rsid w:val="0098296F"/>
    <w:rsid w:val="00982E62"/>
    <w:rsid w:val="009836D7"/>
    <w:rsid w:val="0098562F"/>
    <w:rsid w:val="00985C9B"/>
    <w:rsid w:val="009860B5"/>
    <w:rsid w:val="00992B90"/>
    <w:rsid w:val="00993E5A"/>
    <w:rsid w:val="00994D96"/>
    <w:rsid w:val="009960CD"/>
    <w:rsid w:val="009A0736"/>
    <w:rsid w:val="009A1376"/>
    <w:rsid w:val="009A24E1"/>
    <w:rsid w:val="009A2EA5"/>
    <w:rsid w:val="009A4C61"/>
    <w:rsid w:val="009A63D0"/>
    <w:rsid w:val="009A6D2F"/>
    <w:rsid w:val="009A74A7"/>
    <w:rsid w:val="009A792A"/>
    <w:rsid w:val="009B1B81"/>
    <w:rsid w:val="009B1C0A"/>
    <w:rsid w:val="009B320B"/>
    <w:rsid w:val="009B5779"/>
    <w:rsid w:val="009B65AF"/>
    <w:rsid w:val="009B6603"/>
    <w:rsid w:val="009B6985"/>
    <w:rsid w:val="009C0493"/>
    <w:rsid w:val="009C162D"/>
    <w:rsid w:val="009C1D43"/>
    <w:rsid w:val="009C406B"/>
    <w:rsid w:val="009C42D7"/>
    <w:rsid w:val="009C4EAF"/>
    <w:rsid w:val="009C5011"/>
    <w:rsid w:val="009C5462"/>
    <w:rsid w:val="009C62C0"/>
    <w:rsid w:val="009C756D"/>
    <w:rsid w:val="009D04AF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36CD"/>
    <w:rsid w:val="009E510B"/>
    <w:rsid w:val="009E58AC"/>
    <w:rsid w:val="009E5D48"/>
    <w:rsid w:val="009E70C1"/>
    <w:rsid w:val="009E7177"/>
    <w:rsid w:val="009F0EB0"/>
    <w:rsid w:val="009F1090"/>
    <w:rsid w:val="009F18E0"/>
    <w:rsid w:val="009F2C2B"/>
    <w:rsid w:val="009F3035"/>
    <w:rsid w:val="009F3089"/>
    <w:rsid w:val="009F35DF"/>
    <w:rsid w:val="009F3C6F"/>
    <w:rsid w:val="009F3CF9"/>
    <w:rsid w:val="009F3DA9"/>
    <w:rsid w:val="009F4195"/>
    <w:rsid w:val="009F4E29"/>
    <w:rsid w:val="00A00218"/>
    <w:rsid w:val="00A0035B"/>
    <w:rsid w:val="00A01261"/>
    <w:rsid w:val="00A0226B"/>
    <w:rsid w:val="00A040F6"/>
    <w:rsid w:val="00A060B3"/>
    <w:rsid w:val="00A06C70"/>
    <w:rsid w:val="00A06E10"/>
    <w:rsid w:val="00A07539"/>
    <w:rsid w:val="00A10CF5"/>
    <w:rsid w:val="00A119B4"/>
    <w:rsid w:val="00A119F1"/>
    <w:rsid w:val="00A11CDE"/>
    <w:rsid w:val="00A11E17"/>
    <w:rsid w:val="00A14996"/>
    <w:rsid w:val="00A16685"/>
    <w:rsid w:val="00A16C9B"/>
    <w:rsid w:val="00A17447"/>
    <w:rsid w:val="00A20571"/>
    <w:rsid w:val="00A2097F"/>
    <w:rsid w:val="00A209F6"/>
    <w:rsid w:val="00A20D1B"/>
    <w:rsid w:val="00A22776"/>
    <w:rsid w:val="00A22911"/>
    <w:rsid w:val="00A233F2"/>
    <w:rsid w:val="00A2480A"/>
    <w:rsid w:val="00A2559B"/>
    <w:rsid w:val="00A25D5F"/>
    <w:rsid w:val="00A30660"/>
    <w:rsid w:val="00A30E95"/>
    <w:rsid w:val="00A3121D"/>
    <w:rsid w:val="00A324F2"/>
    <w:rsid w:val="00A33860"/>
    <w:rsid w:val="00A34E49"/>
    <w:rsid w:val="00A34E9D"/>
    <w:rsid w:val="00A35C10"/>
    <w:rsid w:val="00A360C2"/>
    <w:rsid w:val="00A36F39"/>
    <w:rsid w:val="00A37526"/>
    <w:rsid w:val="00A4133A"/>
    <w:rsid w:val="00A419CE"/>
    <w:rsid w:val="00A423C3"/>
    <w:rsid w:val="00A429F2"/>
    <w:rsid w:val="00A4482B"/>
    <w:rsid w:val="00A44F75"/>
    <w:rsid w:val="00A451E5"/>
    <w:rsid w:val="00A45934"/>
    <w:rsid w:val="00A45F99"/>
    <w:rsid w:val="00A468B1"/>
    <w:rsid w:val="00A4692E"/>
    <w:rsid w:val="00A46C9C"/>
    <w:rsid w:val="00A46DEF"/>
    <w:rsid w:val="00A52BC0"/>
    <w:rsid w:val="00A55764"/>
    <w:rsid w:val="00A55823"/>
    <w:rsid w:val="00A559ED"/>
    <w:rsid w:val="00A55AB0"/>
    <w:rsid w:val="00A5642C"/>
    <w:rsid w:val="00A56F16"/>
    <w:rsid w:val="00A57868"/>
    <w:rsid w:val="00A57CDB"/>
    <w:rsid w:val="00A6220E"/>
    <w:rsid w:val="00A62711"/>
    <w:rsid w:val="00A63167"/>
    <w:rsid w:val="00A66994"/>
    <w:rsid w:val="00A66BEC"/>
    <w:rsid w:val="00A67103"/>
    <w:rsid w:val="00A67F78"/>
    <w:rsid w:val="00A719D1"/>
    <w:rsid w:val="00A73828"/>
    <w:rsid w:val="00A74590"/>
    <w:rsid w:val="00A75004"/>
    <w:rsid w:val="00A76BD3"/>
    <w:rsid w:val="00A80523"/>
    <w:rsid w:val="00A8105B"/>
    <w:rsid w:val="00A8196A"/>
    <w:rsid w:val="00A81A72"/>
    <w:rsid w:val="00A84EF6"/>
    <w:rsid w:val="00A85320"/>
    <w:rsid w:val="00A85322"/>
    <w:rsid w:val="00A862EE"/>
    <w:rsid w:val="00A86AE2"/>
    <w:rsid w:val="00A919D2"/>
    <w:rsid w:val="00A92C88"/>
    <w:rsid w:val="00A93193"/>
    <w:rsid w:val="00A94105"/>
    <w:rsid w:val="00A9414F"/>
    <w:rsid w:val="00A94444"/>
    <w:rsid w:val="00A944B7"/>
    <w:rsid w:val="00A953B1"/>
    <w:rsid w:val="00A965E6"/>
    <w:rsid w:val="00A96B95"/>
    <w:rsid w:val="00A975A4"/>
    <w:rsid w:val="00AA1568"/>
    <w:rsid w:val="00AA4229"/>
    <w:rsid w:val="00AA4C9B"/>
    <w:rsid w:val="00AA53FC"/>
    <w:rsid w:val="00AA57C2"/>
    <w:rsid w:val="00AA6372"/>
    <w:rsid w:val="00AB08DE"/>
    <w:rsid w:val="00AB1AAD"/>
    <w:rsid w:val="00AB356D"/>
    <w:rsid w:val="00AB3700"/>
    <w:rsid w:val="00AB47EB"/>
    <w:rsid w:val="00AB4C24"/>
    <w:rsid w:val="00AB4C79"/>
    <w:rsid w:val="00AB517A"/>
    <w:rsid w:val="00AB7198"/>
    <w:rsid w:val="00AC2EF2"/>
    <w:rsid w:val="00AC33D0"/>
    <w:rsid w:val="00AC41A8"/>
    <w:rsid w:val="00AC4D78"/>
    <w:rsid w:val="00AC4E44"/>
    <w:rsid w:val="00AC558D"/>
    <w:rsid w:val="00AC7CE7"/>
    <w:rsid w:val="00AD02E0"/>
    <w:rsid w:val="00AD0474"/>
    <w:rsid w:val="00AD0892"/>
    <w:rsid w:val="00AD0FC1"/>
    <w:rsid w:val="00AD1B16"/>
    <w:rsid w:val="00AD1CF2"/>
    <w:rsid w:val="00AD2C28"/>
    <w:rsid w:val="00AD308A"/>
    <w:rsid w:val="00AD4978"/>
    <w:rsid w:val="00AD5FD2"/>
    <w:rsid w:val="00AD677F"/>
    <w:rsid w:val="00AD69AC"/>
    <w:rsid w:val="00AD6C85"/>
    <w:rsid w:val="00AD6E0C"/>
    <w:rsid w:val="00AD71D3"/>
    <w:rsid w:val="00AD725A"/>
    <w:rsid w:val="00AE1A52"/>
    <w:rsid w:val="00AE2C4C"/>
    <w:rsid w:val="00AE2FC9"/>
    <w:rsid w:val="00AE3B29"/>
    <w:rsid w:val="00AE3EC8"/>
    <w:rsid w:val="00AE46D2"/>
    <w:rsid w:val="00AF16EF"/>
    <w:rsid w:val="00AF2A35"/>
    <w:rsid w:val="00AF39C0"/>
    <w:rsid w:val="00AF3F13"/>
    <w:rsid w:val="00AF62DF"/>
    <w:rsid w:val="00AF6471"/>
    <w:rsid w:val="00AF71DC"/>
    <w:rsid w:val="00B012FF"/>
    <w:rsid w:val="00B022B2"/>
    <w:rsid w:val="00B02D66"/>
    <w:rsid w:val="00B039A4"/>
    <w:rsid w:val="00B0449D"/>
    <w:rsid w:val="00B063C0"/>
    <w:rsid w:val="00B10371"/>
    <w:rsid w:val="00B12463"/>
    <w:rsid w:val="00B12E31"/>
    <w:rsid w:val="00B12FFF"/>
    <w:rsid w:val="00B13932"/>
    <w:rsid w:val="00B1410C"/>
    <w:rsid w:val="00B144B8"/>
    <w:rsid w:val="00B14CA8"/>
    <w:rsid w:val="00B15B7B"/>
    <w:rsid w:val="00B215A7"/>
    <w:rsid w:val="00B21B23"/>
    <w:rsid w:val="00B22227"/>
    <w:rsid w:val="00B2229B"/>
    <w:rsid w:val="00B2262C"/>
    <w:rsid w:val="00B2447D"/>
    <w:rsid w:val="00B2654F"/>
    <w:rsid w:val="00B27D61"/>
    <w:rsid w:val="00B30BC0"/>
    <w:rsid w:val="00B355D6"/>
    <w:rsid w:val="00B36D48"/>
    <w:rsid w:val="00B40133"/>
    <w:rsid w:val="00B41E7A"/>
    <w:rsid w:val="00B42AAB"/>
    <w:rsid w:val="00B434CF"/>
    <w:rsid w:val="00B46ABF"/>
    <w:rsid w:val="00B47CAB"/>
    <w:rsid w:val="00B50021"/>
    <w:rsid w:val="00B50CF4"/>
    <w:rsid w:val="00B5154B"/>
    <w:rsid w:val="00B52271"/>
    <w:rsid w:val="00B53433"/>
    <w:rsid w:val="00B57358"/>
    <w:rsid w:val="00B57E89"/>
    <w:rsid w:val="00B600D9"/>
    <w:rsid w:val="00B603E6"/>
    <w:rsid w:val="00B62D9E"/>
    <w:rsid w:val="00B6394D"/>
    <w:rsid w:val="00B63FBA"/>
    <w:rsid w:val="00B6519A"/>
    <w:rsid w:val="00B663B8"/>
    <w:rsid w:val="00B669C4"/>
    <w:rsid w:val="00B71665"/>
    <w:rsid w:val="00B71C0B"/>
    <w:rsid w:val="00B72332"/>
    <w:rsid w:val="00B72446"/>
    <w:rsid w:val="00B74947"/>
    <w:rsid w:val="00B7591E"/>
    <w:rsid w:val="00B75991"/>
    <w:rsid w:val="00B76838"/>
    <w:rsid w:val="00B77D13"/>
    <w:rsid w:val="00B801BF"/>
    <w:rsid w:val="00B81BD0"/>
    <w:rsid w:val="00B82794"/>
    <w:rsid w:val="00B82B9C"/>
    <w:rsid w:val="00B82F96"/>
    <w:rsid w:val="00B84CCB"/>
    <w:rsid w:val="00B862AF"/>
    <w:rsid w:val="00B86637"/>
    <w:rsid w:val="00B87E79"/>
    <w:rsid w:val="00B90D97"/>
    <w:rsid w:val="00B91241"/>
    <w:rsid w:val="00B92746"/>
    <w:rsid w:val="00B92D47"/>
    <w:rsid w:val="00BA06C1"/>
    <w:rsid w:val="00BA0B65"/>
    <w:rsid w:val="00BA1E04"/>
    <w:rsid w:val="00BA1F78"/>
    <w:rsid w:val="00BA258D"/>
    <w:rsid w:val="00BA54D0"/>
    <w:rsid w:val="00BA6C18"/>
    <w:rsid w:val="00BA6F69"/>
    <w:rsid w:val="00BA6FEF"/>
    <w:rsid w:val="00BB24C2"/>
    <w:rsid w:val="00BB30FF"/>
    <w:rsid w:val="00BB360B"/>
    <w:rsid w:val="00BB40F6"/>
    <w:rsid w:val="00BB573E"/>
    <w:rsid w:val="00BB5FE7"/>
    <w:rsid w:val="00BB60B2"/>
    <w:rsid w:val="00BB68A6"/>
    <w:rsid w:val="00BB785F"/>
    <w:rsid w:val="00BB7878"/>
    <w:rsid w:val="00BB7D3F"/>
    <w:rsid w:val="00BB7F73"/>
    <w:rsid w:val="00BC05DD"/>
    <w:rsid w:val="00BC1BBF"/>
    <w:rsid w:val="00BC2C68"/>
    <w:rsid w:val="00BC2E39"/>
    <w:rsid w:val="00BC4BB9"/>
    <w:rsid w:val="00BC5779"/>
    <w:rsid w:val="00BC6076"/>
    <w:rsid w:val="00BC6E86"/>
    <w:rsid w:val="00BC73F7"/>
    <w:rsid w:val="00BC76FE"/>
    <w:rsid w:val="00BD0C9A"/>
    <w:rsid w:val="00BD18F0"/>
    <w:rsid w:val="00BD30D2"/>
    <w:rsid w:val="00BE1624"/>
    <w:rsid w:val="00BE20AC"/>
    <w:rsid w:val="00BE2E1E"/>
    <w:rsid w:val="00BE3C50"/>
    <w:rsid w:val="00BE3FF4"/>
    <w:rsid w:val="00BE47BD"/>
    <w:rsid w:val="00BE5B52"/>
    <w:rsid w:val="00BE6311"/>
    <w:rsid w:val="00BE6E6D"/>
    <w:rsid w:val="00BF0ACC"/>
    <w:rsid w:val="00BF0C5D"/>
    <w:rsid w:val="00BF1440"/>
    <w:rsid w:val="00BF1786"/>
    <w:rsid w:val="00BF1A0B"/>
    <w:rsid w:val="00BF1F70"/>
    <w:rsid w:val="00BF2B93"/>
    <w:rsid w:val="00BF301B"/>
    <w:rsid w:val="00BF43FA"/>
    <w:rsid w:val="00BF6AAD"/>
    <w:rsid w:val="00BF7150"/>
    <w:rsid w:val="00BF72CE"/>
    <w:rsid w:val="00C00FED"/>
    <w:rsid w:val="00C0135E"/>
    <w:rsid w:val="00C01F4F"/>
    <w:rsid w:val="00C025D3"/>
    <w:rsid w:val="00C07170"/>
    <w:rsid w:val="00C077DA"/>
    <w:rsid w:val="00C0788A"/>
    <w:rsid w:val="00C07EBB"/>
    <w:rsid w:val="00C11266"/>
    <w:rsid w:val="00C123A0"/>
    <w:rsid w:val="00C131FA"/>
    <w:rsid w:val="00C13F58"/>
    <w:rsid w:val="00C14571"/>
    <w:rsid w:val="00C1491F"/>
    <w:rsid w:val="00C157D1"/>
    <w:rsid w:val="00C20050"/>
    <w:rsid w:val="00C20BFE"/>
    <w:rsid w:val="00C20E5A"/>
    <w:rsid w:val="00C22E55"/>
    <w:rsid w:val="00C23729"/>
    <w:rsid w:val="00C25367"/>
    <w:rsid w:val="00C26844"/>
    <w:rsid w:val="00C2734A"/>
    <w:rsid w:val="00C309B8"/>
    <w:rsid w:val="00C31D0E"/>
    <w:rsid w:val="00C321B7"/>
    <w:rsid w:val="00C32DED"/>
    <w:rsid w:val="00C34184"/>
    <w:rsid w:val="00C34787"/>
    <w:rsid w:val="00C34AC1"/>
    <w:rsid w:val="00C35CAA"/>
    <w:rsid w:val="00C37756"/>
    <w:rsid w:val="00C37B69"/>
    <w:rsid w:val="00C40651"/>
    <w:rsid w:val="00C40CFD"/>
    <w:rsid w:val="00C41BAB"/>
    <w:rsid w:val="00C41D78"/>
    <w:rsid w:val="00C42122"/>
    <w:rsid w:val="00C427B1"/>
    <w:rsid w:val="00C42838"/>
    <w:rsid w:val="00C43371"/>
    <w:rsid w:val="00C45B6B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49E0"/>
    <w:rsid w:val="00C565D2"/>
    <w:rsid w:val="00C56A3A"/>
    <w:rsid w:val="00C576EA"/>
    <w:rsid w:val="00C57CD2"/>
    <w:rsid w:val="00C603DE"/>
    <w:rsid w:val="00C6164F"/>
    <w:rsid w:val="00C62171"/>
    <w:rsid w:val="00C6348A"/>
    <w:rsid w:val="00C63916"/>
    <w:rsid w:val="00C63FC1"/>
    <w:rsid w:val="00C6406C"/>
    <w:rsid w:val="00C64636"/>
    <w:rsid w:val="00C646AC"/>
    <w:rsid w:val="00C652CE"/>
    <w:rsid w:val="00C6630B"/>
    <w:rsid w:val="00C663B6"/>
    <w:rsid w:val="00C701AF"/>
    <w:rsid w:val="00C7054F"/>
    <w:rsid w:val="00C70D2D"/>
    <w:rsid w:val="00C72651"/>
    <w:rsid w:val="00C72C89"/>
    <w:rsid w:val="00C73B10"/>
    <w:rsid w:val="00C74B05"/>
    <w:rsid w:val="00C75F0D"/>
    <w:rsid w:val="00C75F73"/>
    <w:rsid w:val="00C80520"/>
    <w:rsid w:val="00C80EF3"/>
    <w:rsid w:val="00C81007"/>
    <w:rsid w:val="00C83BDD"/>
    <w:rsid w:val="00C84A12"/>
    <w:rsid w:val="00C85EA2"/>
    <w:rsid w:val="00C86D66"/>
    <w:rsid w:val="00C87E02"/>
    <w:rsid w:val="00C90367"/>
    <w:rsid w:val="00C907BB"/>
    <w:rsid w:val="00C909BF"/>
    <w:rsid w:val="00C9152B"/>
    <w:rsid w:val="00C9246F"/>
    <w:rsid w:val="00C9290A"/>
    <w:rsid w:val="00C93D87"/>
    <w:rsid w:val="00C93DA1"/>
    <w:rsid w:val="00C94C39"/>
    <w:rsid w:val="00C9626E"/>
    <w:rsid w:val="00C97975"/>
    <w:rsid w:val="00CA211C"/>
    <w:rsid w:val="00CA2C46"/>
    <w:rsid w:val="00CA2DC5"/>
    <w:rsid w:val="00CA44ED"/>
    <w:rsid w:val="00CA6E7C"/>
    <w:rsid w:val="00CA7C68"/>
    <w:rsid w:val="00CA7C77"/>
    <w:rsid w:val="00CB0013"/>
    <w:rsid w:val="00CB04AC"/>
    <w:rsid w:val="00CB0D35"/>
    <w:rsid w:val="00CB2C84"/>
    <w:rsid w:val="00CB311F"/>
    <w:rsid w:val="00CB407D"/>
    <w:rsid w:val="00CB4560"/>
    <w:rsid w:val="00CB47DE"/>
    <w:rsid w:val="00CB7966"/>
    <w:rsid w:val="00CC16C7"/>
    <w:rsid w:val="00CC199B"/>
    <w:rsid w:val="00CC2AAE"/>
    <w:rsid w:val="00CC53C4"/>
    <w:rsid w:val="00CC577F"/>
    <w:rsid w:val="00CC67DD"/>
    <w:rsid w:val="00CC6A54"/>
    <w:rsid w:val="00CD019B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E0770"/>
    <w:rsid w:val="00CE0D08"/>
    <w:rsid w:val="00CE1254"/>
    <w:rsid w:val="00CE518B"/>
    <w:rsid w:val="00CE69B5"/>
    <w:rsid w:val="00CE6CFC"/>
    <w:rsid w:val="00CE7444"/>
    <w:rsid w:val="00CF0291"/>
    <w:rsid w:val="00CF0D75"/>
    <w:rsid w:val="00CF162C"/>
    <w:rsid w:val="00CF1DF9"/>
    <w:rsid w:val="00CF4E1E"/>
    <w:rsid w:val="00CF586D"/>
    <w:rsid w:val="00CF5FA3"/>
    <w:rsid w:val="00D004D6"/>
    <w:rsid w:val="00D00D24"/>
    <w:rsid w:val="00D0131E"/>
    <w:rsid w:val="00D01C27"/>
    <w:rsid w:val="00D02C61"/>
    <w:rsid w:val="00D0344E"/>
    <w:rsid w:val="00D0409E"/>
    <w:rsid w:val="00D04EE0"/>
    <w:rsid w:val="00D0655B"/>
    <w:rsid w:val="00D06D66"/>
    <w:rsid w:val="00D0711F"/>
    <w:rsid w:val="00D10F1E"/>
    <w:rsid w:val="00D134CD"/>
    <w:rsid w:val="00D14D13"/>
    <w:rsid w:val="00D15C59"/>
    <w:rsid w:val="00D17067"/>
    <w:rsid w:val="00D17EA4"/>
    <w:rsid w:val="00D20419"/>
    <w:rsid w:val="00D20CDA"/>
    <w:rsid w:val="00D21899"/>
    <w:rsid w:val="00D222E7"/>
    <w:rsid w:val="00D2271A"/>
    <w:rsid w:val="00D253F6"/>
    <w:rsid w:val="00D26B12"/>
    <w:rsid w:val="00D26EB8"/>
    <w:rsid w:val="00D31577"/>
    <w:rsid w:val="00D31748"/>
    <w:rsid w:val="00D3212B"/>
    <w:rsid w:val="00D32131"/>
    <w:rsid w:val="00D322B0"/>
    <w:rsid w:val="00D32FC1"/>
    <w:rsid w:val="00D333BF"/>
    <w:rsid w:val="00D33EDE"/>
    <w:rsid w:val="00D3402D"/>
    <w:rsid w:val="00D34181"/>
    <w:rsid w:val="00D34827"/>
    <w:rsid w:val="00D35983"/>
    <w:rsid w:val="00D3631D"/>
    <w:rsid w:val="00D36486"/>
    <w:rsid w:val="00D4058D"/>
    <w:rsid w:val="00D40A23"/>
    <w:rsid w:val="00D40E34"/>
    <w:rsid w:val="00D44ED9"/>
    <w:rsid w:val="00D45256"/>
    <w:rsid w:val="00D47D6A"/>
    <w:rsid w:val="00D501DA"/>
    <w:rsid w:val="00D506A3"/>
    <w:rsid w:val="00D50FD4"/>
    <w:rsid w:val="00D51C00"/>
    <w:rsid w:val="00D51E0A"/>
    <w:rsid w:val="00D527AF"/>
    <w:rsid w:val="00D52AB9"/>
    <w:rsid w:val="00D5378F"/>
    <w:rsid w:val="00D542E5"/>
    <w:rsid w:val="00D55775"/>
    <w:rsid w:val="00D564C8"/>
    <w:rsid w:val="00D5714E"/>
    <w:rsid w:val="00D57413"/>
    <w:rsid w:val="00D60D35"/>
    <w:rsid w:val="00D61692"/>
    <w:rsid w:val="00D61837"/>
    <w:rsid w:val="00D64F6E"/>
    <w:rsid w:val="00D64FD3"/>
    <w:rsid w:val="00D66F3C"/>
    <w:rsid w:val="00D67D95"/>
    <w:rsid w:val="00D710FD"/>
    <w:rsid w:val="00D71690"/>
    <w:rsid w:val="00D719A0"/>
    <w:rsid w:val="00D733AC"/>
    <w:rsid w:val="00D73AA8"/>
    <w:rsid w:val="00D75168"/>
    <w:rsid w:val="00D75F50"/>
    <w:rsid w:val="00D76A94"/>
    <w:rsid w:val="00D7718A"/>
    <w:rsid w:val="00D77F3E"/>
    <w:rsid w:val="00D800B5"/>
    <w:rsid w:val="00D803C1"/>
    <w:rsid w:val="00D834E8"/>
    <w:rsid w:val="00D848EE"/>
    <w:rsid w:val="00D85C94"/>
    <w:rsid w:val="00D85F1E"/>
    <w:rsid w:val="00D8651E"/>
    <w:rsid w:val="00D90D26"/>
    <w:rsid w:val="00D91904"/>
    <w:rsid w:val="00D92C91"/>
    <w:rsid w:val="00D94466"/>
    <w:rsid w:val="00D96B77"/>
    <w:rsid w:val="00D96CD3"/>
    <w:rsid w:val="00DA1A1F"/>
    <w:rsid w:val="00DA2655"/>
    <w:rsid w:val="00DA2F0A"/>
    <w:rsid w:val="00DA35C2"/>
    <w:rsid w:val="00DA372E"/>
    <w:rsid w:val="00DA3BC4"/>
    <w:rsid w:val="00DA6330"/>
    <w:rsid w:val="00DB0D61"/>
    <w:rsid w:val="00DB2EE2"/>
    <w:rsid w:val="00DB3E5E"/>
    <w:rsid w:val="00DB4A28"/>
    <w:rsid w:val="00DB51B0"/>
    <w:rsid w:val="00DB55E7"/>
    <w:rsid w:val="00DB561E"/>
    <w:rsid w:val="00DB67E3"/>
    <w:rsid w:val="00DB6B8F"/>
    <w:rsid w:val="00DB6D54"/>
    <w:rsid w:val="00DB6DB6"/>
    <w:rsid w:val="00DB721D"/>
    <w:rsid w:val="00DB7C5D"/>
    <w:rsid w:val="00DC006E"/>
    <w:rsid w:val="00DC0241"/>
    <w:rsid w:val="00DC0E6A"/>
    <w:rsid w:val="00DC1184"/>
    <w:rsid w:val="00DC19DD"/>
    <w:rsid w:val="00DC3690"/>
    <w:rsid w:val="00DC47F3"/>
    <w:rsid w:val="00DC48C0"/>
    <w:rsid w:val="00DC4AD1"/>
    <w:rsid w:val="00DC6634"/>
    <w:rsid w:val="00DC7E28"/>
    <w:rsid w:val="00DD0300"/>
    <w:rsid w:val="00DD230D"/>
    <w:rsid w:val="00DD2925"/>
    <w:rsid w:val="00DD2C83"/>
    <w:rsid w:val="00DD351E"/>
    <w:rsid w:val="00DD5A8F"/>
    <w:rsid w:val="00DD6AB8"/>
    <w:rsid w:val="00DD6B2D"/>
    <w:rsid w:val="00DD756A"/>
    <w:rsid w:val="00DD75DD"/>
    <w:rsid w:val="00DE0595"/>
    <w:rsid w:val="00DE1A7C"/>
    <w:rsid w:val="00DE2A1F"/>
    <w:rsid w:val="00DE2C31"/>
    <w:rsid w:val="00DE4794"/>
    <w:rsid w:val="00DE47FC"/>
    <w:rsid w:val="00DE495F"/>
    <w:rsid w:val="00DE63E8"/>
    <w:rsid w:val="00DE7609"/>
    <w:rsid w:val="00DF1C86"/>
    <w:rsid w:val="00DF1ED1"/>
    <w:rsid w:val="00DF228E"/>
    <w:rsid w:val="00DF2695"/>
    <w:rsid w:val="00DF27B1"/>
    <w:rsid w:val="00DF2AA3"/>
    <w:rsid w:val="00DF2C31"/>
    <w:rsid w:val="00DF4F9D"/>
    <w:rsid w:val="00DF6B9D"/>
    <w:rsid w:val="00E00EA3"/>
    <w:rsid w:val="00E00EAA"/>
    <w:rsid w:val="00E01B04"/>
    <w:rsid w:val="00E01F45"/>
    <w:rsid w:val="00E0269D"/>
    <w:rsid w:val="00E02E82"/>
    <w:rsid w:val="00E03367"/>
    <w:rsid w:val="00E04E50"/>
    <w:rsid w:val="00E0598B"/>
    <w:rsid w:val="00E05C49"/>
    <w:rsid w:val="00E06855"/>
    <w:rsid w:val="00E0706D"/>
    <w:rsid w:val="00E074E4"/>
    <w:rsid w:val="00E07C08"/>
    <w:rsid w:val="00E139E6"/>
    <w:rsid w:val="00E143F2"/>
    <w:rsid w:val="00E14901"/>
    <w:rsid w:val="00E157D0"/>
    <w:rsid w:val="00E16763"/>
    <w:rsid w:val="00E17FAB"/>
    <w:rsid w:val="00E20800"/>
    <w:rsid w:val="00E2133B"/>
    <w:rsid w:val="00E22571"/>
    <w:rsid w:val="00E2307A"/>
    <w:rsid w:val="00E237D9"/>
    <w:rsid w:val="00E249A9"/>
    <w:rsid w:val="00E25472"/>
    <w:rsid w:val="00E27F19"/>
    <w:rsid w:val="00E30184"/>
    <w:rsid w:val="00E3083C"/>
    <w:rsid w:val="00E30F05"/>
    <w:rsid w:val="00E318AD"/>
    <w:rsid w:val="00E32169"/>
    <w:rsid w:val="00E328B1"/>
    <w:rsid w:val="00E34692"/>
    <w:rsid w:val="00E34A15"/>
    <w:rsid w:val="00E35767"/>
    <w:rsid w:val="00E35972"/>
    <w:rsid w:val="00E35BCC"/>
    <w:rsid w:val="00E36E18"/>
    <w:rsid w:val="00E37149"/>
    <w:rsid w:val="00E37A47"/>
    <w:rsid w:val="00E40915"/>
    <w:rsid w:val="00E41355"/>
    <w:rsid w:val="00E42290"/>
    <w:rsid w:val="00E43D7A"/>
    <w:rsid w:val="00E44BCC"/>
    <w:rsid w:val="00E453FC"/>
    <w:rsid w:val="00E456CD"/>
    <w:rsid w:val="00E4745C"/>
    <w:rsid w:val="00E474C1"/>
    <w:rsid w:val="00E50BCF"/>
    <w:rsid w:val="00E51282"/>
    <w:rsid w:val="00E523EF"/>
    <w:rsid w:val="00E527EE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4AA5"/>
    <w:rsid w:val="00E64E93"/>
    <w:rsid w:val="00E660EE"/>
    <w:rsid w:val="00E72541"/>
    <w:rsid w:val="00E72808"/>
    <w:rsid w:val="00E72F93"/>
    <w:rsid w:val="00E734B7"/>
    <w:rsid w:val="00E73E27"/>
    <w:rsid w:val="00E75796"/>
    <w:rsid w:val="00E8093F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7BA7"/>
    <w:rsid w:val="00E9031B"/>
    <w:rsid w:val="00E90B13"/>
    <w:rsid w:val="00E9108B"/>
    <w:rsid w:val="00E91311"/>
    <w:rsid w:val="00E91ED3"/>
    <w:rsid w:val="00E92380"/>
    <w:rsid w:val="00E95A95"/>
    <w:rsid w:val="00EA0BE5"/>
    <w:rsid w:val="00EA2FB5"/>
    <w:rsid w:val="00EA43D5"/>
    <w:rsid w:val="00EA5738"/>
    <w:rsid w:val="00EA60A7"/>
    <w:rsid w:val="00EB250E"/>
    <w:rsid w:val="00EB32D7"/>
    <w:rsid w:val="00EB3658"/>
    <w:rsid w:val="00EB39B5"/>
    <w:rsid w:val="00EB39E1"/>
    <w:rsid w:val="00EB405A"/>
    <w:rsid w:val="00EB54F9"/>
    <w:rsid w:val="00EB568C"/>
    <w:rsid w:val="00EB6068"/>
    <w:rsid w:val="00EB64B9"/>
    <w:rsid w:val="00EB7CD3"/>
    <w:rsid w:val="00EC0C1D"/>
    <w:rsid w:val="00EC0D33"/>
    <w:rsid w:val="00EC1003"/>
    <w:rsid w:val="00EC3691"/>
    <w:rsid w:val="00EC3B14"/>
    <w:rsid w:val="00EC4680"/>
    <w:rsid w:val="00EC6854"/>
    <w:rsid w:val="00EC70BD"/>
    <w:rsid w:val="00ED05BC"/>
    <w:rsid w:val="00ED0E4C"/>
    <w:rsid w:val="00ED21BB"/>
    <w:rsid w:val="00ED2422"/>
    <w:rsid w:val="00ED2988"/>
    <w:rsid w:val="00ED3980"/>
    <w:rsid w:val="00ED3FE9"/>
    <w:rsid w:val="00ED4AD3"/>
    <w:rsid w:val="00ED4E43"/>
    <w:rsid w:val="00ED66A9"/>
    <w:rsid w:val="00EE0167"/>
    <w:rsid w:val="00EE0860"/>
    <w:rsid w:val="00EE096D"/>
    <w:rsid w:val="00EE2019"/>
    <w:rsid w:val="00EE219A"/>
    <w:rsid w:val="00EE2426"/>
    <w:rsid w:val="00EE337A"/>
    <w:rsid w:val="00EE4F3A"/>
    <w:rsid w:val="00EE5F9C"/>
    <w:rsid w:val="00EE725A"/>
    <w:rsid w:val="00EE7773"/>
    <w:rsid w:val="00EF0EF4"/>
    <w:rsid w:val="00EF3CD5"/>
    <w:rsid w:val="00EF4511"/>
    <w:rsid w:val="00EF490F"/>
    <w:rsid w:val="00EF5EA4"/>
    <w:rsid w:val="00EF668F"/>
    <w:rsid w:val="00EF6766"/>
    <w:rsid w:val="00EF6D1A"/>
    <w:rsid w:val="00EF737D"/>
    <w:rsid w:val="00F00B04"/>
    <w:rsid w:val="00F01200"/>
    <w:rsid w:val="00F02C33"/>
    <w:rsid w:val="00F032DD"/>
    <w:rsid w:val="00F03604"/>
    <w:rsid w:val="00F03B06"/>
    <w:rsid w:val="00F03CCF"/>
    <w:rsid w:val="00F04386"/>
    <w:rsid w:val="00F048C2"/>
    <w:rsid w:val="00F04AF5"/>
    <w:rsid w:val="00F053FC"/>
    <w:rsid w:val="00F064DC"/>
    <w:rsid w:val="00F076BD"/>
    <w:rsid w:val="00F10750"/>
    <w:rsid w:val="00F10EBC"/>
    <w:rsid w:val="00F1178A"/>
    <w:rsid w:val="00F11F0D"/>
    <w:rsid w:val="00F1270D"/>
    <w:rsid w:val="00F13EE1"/>
    <w:rsid w:val="00F176FB"/>
    <w:rsid w:val="00F17E2E"/>
    <w:rsid w:val="00F20B19"/>
    <w:rsid w:val="00F21847"/>
    <w:rsid w:val="00F21D60"/>
    <w:rsid w:val="00F22301"/>
    <w:rsid w:val="00F231BA"/>
    <w:rsid w:val="00F2366D"/>
    <w:rsid w:val="00F24232"/>
    <w:rsid w:val="00F24992"/>
    <w:rsid w:val="00F2525E"/>
    <w:rsid w:val="00F26EE8"/>
    <w:rsid w:val="00F27924"/>
    <w:rsid w:val="00F3219F"/>
    <w:rsid w:val="00F32946"/>
    <w:rsid w:val="00F32E78"/>
    <w:rsid w:val="00F34299"/>
    <w:rsid w:val="00F36375"/>
    <w:rsid w:val="00F37E59"/>
    <w:rsid w:val="00F37F75"/>
    <w:rsid w:val="00F40003"/>
    <w:rsid w:val="00F409E5"/>
    <w:rsid w:val="00F4195C"/>
    <w:rsid w:val="00F41ABF"/>
    <w:rsid w:val="00F43051"/>
    <w:rsid w:val="00F44108"/>
    <w:rsid w:val="00F500C1"/>
    <w:rsid w:val="00F52271"/>
    <w:rsid w:val="00F52987"/>
    <w:rsid w:val="00F54342"/>
    <w:rsid w:val="00F54BF8"/>
    <w:rsid w:val="00F550CB"/>
    <w:rsid w:val="00F5720E"/>
    <w:rsid w:val="00F5737B"/>
    <w:rsid w:val="00F61509"/>
    <w:rsid w:val="00F619FF"/>
    <w:rsid w:val="00F6365F"/>
    <w:rsid w:val="00F65299"/>
    <w:rsid w:val="00F653CD"/>
    <w:rsid w:val="00F65D2D"/>
    <w:rsid w:val="00F6620F"/>
    <w:rsid w:val="00F664A5"/>
    <w:rsid w:val="00F6696A"/>
    <w:rsid w:val="00F67252"/>
    <w:rsid w:val="00F67463"/>
    <w:rsid w:val="00F70CC9"/>
    <w:rsid w:val="00F72EE3"/>
    <w:rsid w:val="00F737D1"/>
    <w:rsid w:val="00F73FC6"/>
    <w:rsid w:val="00F74097"/>
    <w:rsid w:val="00F743B0"/>
    <w:rsid w:val="00F80192"/>
    <w:rsid w:val="00F8107E"/>
    <w:rsid w:val="00F81AF7"/>
    <w:rsid w:val="00F81F17"/>
    <w:rsid w:val="00F8300B"/>
    <w:rsid w:val="00F838C5"/>
    <w:rsid w:val="00F8680A"/>
    <w:rsid w:val="00F911BE"/>
    <w:rsid w:val="00F9185B"/>
    <w:rsid w:val="00F92862"/>
    <w:rsid w:val="00F92BD8"/>
    <w:rsid w:val="00F92EB4"/>
    <w:rsid w:val="00F93E6F"/>
    <w:rsid w:val="00F943E3"/>
    <w:rsid w:val="00F94653"/>
    <w:rsid w:val="00F967FC"/>
    <w:rsid w:val="00F96C7B"/>
    <w:rsid w:val="00FA053C"/>
    <w:rsid w:val="00FA0AE5"/>
    <w:rsid w:val="00FA1BE2"/>
    <w:rsid w:val="00FA2AA4"/>
    <w:rsid w:val="00FA3278"/>
    <w:rsid w:val="00FA3780"/>
    <w:rsid w:val="00FA3E67"/>
    <w:rsid w:val="00FB03D2"/>
    <w:rsid w:val="00FB0828"/>
    <w:rsid w:val="00FB33D1"/>
    <w:rsid w:val="00FB495F"/>
    <w:rsid w:val="00FB54D1"/>
    <w:rsid w:val="00FB55B2"/>
    <w:rsid w:val="00FB6971"/>
    <w:rsid w:val="00FB6B92"/>
    <w:rsid w:val="00FB73F7"/>
    <w:rsid w:val="00FC1555"/>
    <w:rsid w:val="00FC1EDA"/>
    <w:rsid w:val="00FC2E1D"/>
    <w:rsid w:val="00FC39C8"/>
    <w:rsid w:val="00FC3AFD"/>
    <w:rsid w:val="00FC4259"/>
    <w:rsid w:val="00FD004E"/>
    <w:rsid w:val="00FD0116"/>
    <w:rsid w:val="00FD0297"/>
    <w:rsid w:val="00FD06B2"/>
    <w:rsid w:val="00FD0AB9"/>
    <w:rsid w:val="00FD2C51"/>
    <w:rsid w:val="00FD41E4"/>
    <w:rsid w:val="00FD4282"/>
    <w:rsid w:val="00FD6D73"/>
    <w:rsid w:val="00FE0243"/>
    <w:rsid w:val="00FE097A"/>
    <w:rsid w:val="00FE138A"/>
    <w:rsid w:val="00FE28DC"/>
    <w:rsid w:val="00FE3405"/>
    <w:rsid w:val="00FE4291"/>
    <w:rsid w:val="00FE56EB"/>
    <w:rsid w:val="00FE5CB3"/>
    <w:rsid w:val="00FE6153"/>
    <w:rsid w:val="00FE641C"/>
    <w:rsid w:val="00FE6A48"/>
    <w:rsid w:val="00FE7290"/>
    <w:rsid w:val="00FE76FA"/>
    <w:rsid w:val="00FF0188"/>
    <w:rsid w:val="00FF13A2"/>
    <w:rsid w:val="00FF1463"/>
    <w:rsid w:val="00FF390E"/>
    <w:rsid w:val="00FF3DED"/>
    <w:rsid w:val="00FF5BDC"/>
    <w:rsid w:val="00FF5D0A"/>
    <w:rsid w:val="00FF614F"/>
    <w:rsid w:val="00FF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48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radovan.zivkovic\Dropbox\Radovan\Svi%20radni%20folderi\PEP%202014\Radni%20fajlovi\REER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radovan.zivkovic\Dropbox\MINISTARSTVO%20FINANSIJA%20(1)\SEP\02_MMI\MMI%202014\MMI_2014_03\mmi-2014_0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nko.jeknic\Desktop\Dropbox\MINISTARSTVO%20FINANSIJA%20(1)\SEP\02_MMI\MMI%202014\MMI_2014_03\mmi-2014_03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Marija.novosel\Desktop\Podaci%20za%20MF%20-%20DECEMBAR%202013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zdenka.dabovic\Desktop\MMI\mmi_sirovi%20podaci_2014%20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sr-Latn-CS" sz="1050"/>
            </a:pPr>
            <a:r>
              <a:rPr lang="en-US" sz="900"/>
              <a:t>Real Effective Exchange Rate in Montenegro </a:t>
            </a:r>
            <a:r>
              <a:rPr lang="x-none" sz="900"/>
              <a:t> </a:t>
            </a:r>
            <a:endParaRPr lang="en-US" sz="900"/>
          </a:p>
        </c:rich>
      </c:tx>
      <c:layout>
        <c:manualLayout>
          <c:xMode val="edge"/>
          <c:yMode val="edge"/>
          <c:x val="0.25796791187739482"/>
          <c:y val="4.7663966820552524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4926660313047224"/>
          <c:y val="6.4705882352941793E-2"/>
          <c:w val="0.77990006644111221"/>
          <c:h val="0.71434321445113902"/>
        </c:manualLayout>
      </c:layout>
      <c:areaChart>
        <c:grouping val="standard"/>
        <c:varyColors val="0"/>
        <c:ser>
          <c:idx val="0"/>
          <c:order val="0"/>
          <c:spPr>
            <a:ln w="38100" cap="sq" cmpd="dbl">
              <a:solidFill>
                <a:schemeClr val="bg2"/>
              </a:solidFill>
            </a:ln>
          </c:spPr>
          <c:cat>
            <c:numRef>
              <c:f>NEERM!$D$1:$BA$1</c:f>
              <c:numCache>
                <c:formatCode>mmm/yy</c:formatCode>
                <c:ptCount val="50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</c:numCache>
            </c:numRef>
          </c:cat>
          <c:val>
            <c:numRef>
              <c:f>NEERM!$D$33:$BA$33</c:f>
              <c:numCache>
                <c:formatCode>0.00</c:formatCode>
                <c:ptCount val="50"/>
                <c:pt idx="0">
                  <c:v>100.43943920460866</c:v>
                </c:pt>
                <c:pt idx="1">
                  <c:v>99.859965029638403</c:v>
                </c:pt>
                <c:pt idx="2">
                  <c:v>99.974981021477433</c:v>
                </c:pt>
                <c:pt idx="3">
                  <c:v>99.016291319328175</c:v>
                </c:pt>
                <c:pt idx="4">
                  <c:v>98.787380959824418</c:v>
                </c:pt>
                <c:pt idx="5">
                  <c:v>99.297369530025932</c:v>
                </c:pt>
                <c:pt idx="6">
                  <c:v>100.55739094946415</c:v>
                </c:pt>
                <c:pt idx="7">
                  <c:v>99.50604200605504</c:v>
                </c:pt>
                <c:pt idx="8">
                  <c:v>99.869183169588979</c:v>
                </c:pt>
                <c:pt idx="9">
                  <c:v>100.89775284024851</c:v>
                </c:pt>
                <c:pt idx="10">
                  <c:v>101.26741798379422</c:v>
                </c:pt>
                <c:pt idx="11">
                  <c:v>100.52678598594522</c:v>
                </c:pt>
                <c:pt idx="12">
                  <c:v>100.58306250510003</c:v>
                </c:pt>
                <c:pt idx="13">
                  <c:v>101.3401518661957</c:v>
                </c:pt>
                <c:pt idx="14">
                  <c:v>102.92820361528292</c:v>
                </c:pt>
                <c:pt idx="15">
                  <c:v>102.58815457773133</c:v>
                </c:pt>
                <c:pt idx="16">
                  <c:v>101.62273930841647</c:v>
                </c:pt>
                <c:pt idx="17">
                  <c:v>102.0076967164833</c:v>
                </c:pt>
                <c:pt idx="18">
                  <c:v>102.54325325183731</c:v>
                </c:pt>
                <c:pt idx="19">
                  <c:v>103.52227025613615</c:v>
                </c:pt>
                <c:pt idx="20">
                  <c:v>102.57452594090192</c:v>
                </c:pt>
                <c:pt idx="21">
                  <c:v>102.48112321947374</c:v>
                </c:pt>
                <c:pt idx="22">
                  <c:v>102.91813309095407</c:v>
                </c:pt>
                <c:pt idx="23">
                  <c:v>102.88283476605586</c:v>
                </c:pt>
                <c:pt idx="24">
                  <c:v>103.17460912392878</c:v>
                </c:pt>
                <c:pt idx="25">
                  <c:v>105.50795354190583</c:v>
                </c:pt>
                <c:pt idx="26">
                  <c:v>104.91484781696425</c:v>
                </c:pt>
                <c:pt idx="27">
                  <c:v>105.38009689300245</c:v>
                </c:pt>
                <c:pt idx="28">
                  <c:v>106.28371060074622</c:v>
                </c:pt>
                <c:pt idx="29">
                  <c:v>107.36027997312468</c:v>
                </c:pt>
                <c:pt idx="30">
                  <c:v>107.72460927470622</c:v>
                </c:pt>
                <c:pt idx="31">
                  <c:v>107.26903233959561</c:v>
                </c:pt>
                <c:pt idx="32">
                  <c:v>107.67049839675387</c:v>
                </c:pt>
                <c:pt idx="33">
                  <c:v>107.86337049611578</c:v>
                </c:pt>
                <c:pt idx="34">
                  <c:v>107.88944487015567</c:v>
                </c:pt>
                <c:pt idx="35">
                  <c:v>108.26836533984206</c:v>
                </c:pt>
                <c:pt idx="36">
                  <c:v>107.58079537072007</c:v>
                </c:pt>
                <c:pt idx="37">
                  <c:v>106.76769222174192</c:v>
                </c:pt>
                <c:pt idx="38">
                  <c:v>107.06087584406615</c:v>
                </c:pt>
                <c:pt idx="39">
                  <c:v>107.2661790814859</c:v>
                </c:pt>
                <c:pt idx="40">
                  <c:v>106.84717380637947</c:v>
                </c:pt>
                <c:pt idx="41">
                  <c:v>106.87494158191259</c:v>
                </c:pt>
                <c:pt idx="42">
                  <c:v>107.42523680811719</c:v>
                </c:pt>
                <c:pt idx="43">
                  <c:v>107.56788670412823</c:v>
                </c:pt>
                <c:pt idx="44">
                  <c:v>107.64361722944346</c:v>
                </c:pt>
                <c:pt idx="45">
                  <c:v>106.70230131331974</c:v>
                </c:pt>
                <c:pt idx="46">
                  <c:v>106.50002138438792</c:v>
                </c:pt>
                <c:pt idx="47">
                  <c:v>107.02681899705023</c:v>
                </c:pt>
                <c:pt idx="48">
                  <c:v>106.57026701342579</c:v>
                </c:pt>
                <c:pt idx="49">
                  <c:v>106.681338582392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5006720"/>
        <c:axId val="188329984"/>
      </c:areaChart>
      <c:dateAx>
        <c:axId val="165006720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88329984"/>
        <c:crosses val="autoZero"/>
        <c:auto val="1"/>
        <c:lblOffset val="100"/>
        <c:baseTimeUnit val="months"/>
      </c:dateAx>
      <c:valAx>
        <c:axId val="188329984"/>
        <c:scaling>
          <c:orientation val="minMax"/>
          <c:max val="110"/>
          <c:min val="98"/>
        </c:scaling>
        <c:delete val="0"/>
        <c:axPos val="l"/>
        <c:majorGridlines/>
        <c:numFmt formatCode="0.00" sourceLinked="0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65006720"/>
        <c:crosses val="autoZero"/>
        <c:crossBetween val="midCat"/>
      </c:valAx>
      <c:spPr>
        <a:gradFill flip="none" rotWithShape="1">
          <a:gsLst>
            <a:gs pos="57000">
              <a:sysClr val="window" lastClr="FFFFFF">
                <a:alpha val="18000"/>
              </a:sysClr>
            </a:gs>
            <a:gs pos="67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path path="circle">
            <a:fillToRect l="100000" t="100000"/>
          </a:path>
          <a:tileRect r="-100000" b="-100000"/>
        </a:gradFill>
      </c:spPr>
    </c:plotArea>
    <c:plotVisOnly val="1"/>
    <c:dispBlanksAs val="zero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sr-Latn-CS" sz="800"/>
            </a:pPr>
            <a:r>
              <a:rPr lang="en-US"/>
              <a:t>Retail</a:t>
            </a:r>
            <a:r>
              <a:rPr lang="en-US" baseline="0"/>
              <a:t> turnover</a:t>
            </a:r>
            <a:r>
              <a:rPr lang="en-US"/>
              <a:t> (growth rate)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'Makroekonomski indikatori'!$C$17</c:f>
              <c:strCache>
                <c:ptCount val="1"/>
                <c:pt idx="0">
                  <c:v>Promet u maloprodaji (stopa rasta)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'Makroekonomski indikatori'!$AC$28:$AP$28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2014</c:v>
                </c:pt>
                <c:pt idx="12">
                  <c:v>II</c:v>
                </c:pt>
              </c:strCache>
            </c:strRef>
          </c:cat>
          <c:val>
            <c:numRef>
              <c:f>'Makroekonomski indikatori'!$AC$17:$AP$17</c:f>
              <c:numCache>
                <c:formatCode>0.0</c:formatCode>
                <c:ptCount val="13"/>
                <c:pt idx="0">
                  <c:v>8.2000000000000011</c:v>
                </c:pt>
                <c:pt idx="1">
                  <c:v>6.6</c:v>
                </c:pt>
                <c:pt idx="2">
                  <c:v>7.8</c:v>
                </c:pt>
                <c:pt idx="3">
                  <c:v>8.6</c:v>
                </c:pt>
                <c:pt idx="4">
                  <c:v>10.3</c:v>
                </c:pt>
                <c:pt idx="5">
                  <c:v>11.5</c:v>
                </c:pt>
                <c:pt idx="6">
                  <c:v>14.4</c:v>
                </c:pt>
                <c:pt idx="7">
                  <c:v>11.5</c:v>
                </c:pt>
                <c:pt idx="8">
                  <c:v>16</c:v>
                </c:pt>
                <c:pt idx="9">
                  <c:v>12.8</c:v>
                </c:pt>
                <c:pt idx="10">
                  <c:v>14.2</c:v>
                </c:pt>
                <c:pt idx="11" formatCode="General">
                  <c:v>-1.9000000000000001</c:v>
                </c:pt>
                <c:pt idx="12" formatCode="General">
                  <c:v>4.9000000000000004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0740736"/>
        <c:axId val="230742656"/>
      </c:lineChart>
      <c:catAx>
        <c:axId val="230740736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/>
          <a:lstStyle/>
          <a:p>
            <a:pPr>
              <a:defRPr lang="sr-Latn-CS" sz="600"/>
            </a:pPr>
            <a:endParaRPr lang="en-US"/>
          </a:p>
        </c:txPr>
        <c:crossAx val="230742656"/>
        <c:crosses val="autoZero"/>
        <c:auto val="1"/>
        <c:lblAlgn val="ctr"/>
        <c:lblOffset val="100"/>
        <c:tickLblSkip val="2"/>
        <c:noMultiLvlLbl val="0"/>
      </c:catAx>
      <c:valAx>
        <c:axId val="230742656"/>
        <c:scaling>
          <c:orientation val="minMax"/>
          <c:max val="18"/>
          <c:min val="-4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2307407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sr-Latn-CS" sz="800"/>
            </a:pPr>
            <a:r>
              <a:rPr lang="en-US" sz="800"/>
              <a:t>HICP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'Makroekonomski indikatori'!$C$21</c:f>
              <c:strCache>
                <c:ptCount val="1"/>
                <c:pt idx="0">
                  <c:v>Harmonizovani indeks potrošačkih cijena (stopa rasta)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lang="sr-Latn-CS" sz="6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'Makroekonomski indikatori'!$AC$28:$AP$28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2014</c:v>
                </c:pt>
                <c:pt idx="12">
                  <c:v>II</c:v>
                </c:pt>
              </c:strCache>
            </c:strRef>
          </c:cat>
          <c:val>
            <c:numRef>
              <c:f>'Makroekonomski indikatori'!$AC$21:$AP$21</c:f>
              <c:numCache>
                <c:formatCode>#,##0.0</c:formatCode>
                <c:ptCount val="13"/>
                <c:pt idx="0">
                  <c:v>3.1</c:v>
                </c:pt>
                <c:pt idx="1">
                  <c:v>3</c:v>
                </c:pt>
                <c:pt idx="2">
                  <c:v>2.4</c:v>
                </c:pt>
                <c:pt idx="3">
                  <c:v>2.1</c:v>
                </c:pt>
                <c:pt idx="4">
                  <c:v>1.5</c:v>
                </c:pt>
                <c:pt idx="5">
                  <c:v>2.2000000000000002</c:v>
                </c:pt>
                <c:pt idx="6">
                  <c:v>1.7</c:v>
                </c:pt>
                <c:pt idx="7">
                  <c:v>1.5</c:v>
                </c:pt>
                <c:pt idx="8">
                  <c:v>0.30000000000000032</c:v>
                </c:pt>
                <c:pt idx="9">
                  <c:v>0</c:v>
                </c:pt>
                <c:pt idx="10">
                  <c:v>0.4</c:v>
                </c:pt>
                <c:pt idx="11" formatCode="General">
                  <c:v>0.1</c:v>
                </c:pt>
                <c:pt idx="12" formatCode="0.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axId val="9587712"/>
        <c:axId val="9589504"/>
      </c:barChart>
      <c:catAx>
        <c:axId val="95877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9589504"/>
        <c:crosses val="autoZero"/>
        <c:auto val="1"/>
        <c:lblAlgn val="ctr"/>
        <c:lblOffset val="100"/>
        <c:noMultiLvlLbl val="0"/>
      </c:catAx>
      <c:valAx>
        <c:axId val="9589504"/>
        <c:scaling>
          <c:orientation val="minMax"/>
        </c:scaling>
        <c:delete val="0"/>
        <c:axPos val="l"/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95877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'Makroekonomski indikatori'!$AB$9:$AO$9</c:f>
              <c:strCache>
                <c:ptCount val="14"/>
                <c:pt idx="0">
                  <c:v>2013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2014</c:v>
                </c:pt>
                <c:pt idx="13">
                  <c:v>II</c:v>
                </c:pt>
              </c:strCache>
            </c:strRef>
          </c:cat>
          <c:val>
            <c:numRef>
              <c:f>'Makroekonomski indikatori'!$AB$21:$AO$21</c:f>
              <c:numCache>
                <c:formatCode>#,##0</c:formatCode>
                <c:ptCount val="14"/>
                <c:pt idx="0">
                  <c:v>167370</c:v>
                </c:pt>
                <c:pt idx="1">
                  <c:v>167379</c:v>
                </c:pt>
                <c:pt idx="2">
                  <c:v>167738</c:v>
                </c:pt>
                <c:pt idx="3">
                  <c:v>170302</c:v>
                </c:pt>
                <c:pt idx="4">
                  <c:v>174369</c:v>
                </c:pt>
                <c:pt idx="5">
                  <c:v>179861</c:v>
                </c:pt>
                <c:pt idx="6">
                  <c:v>178815</c:v>
                </c:pt>
                <c:pt idx="7">
                  <c:v>176588</c:v>
                </c:pt>
                <c:pt idx="8">
                  <c:v>169044</c:v>
                </c:pt>
                <c:pt idx="9">
                  <c:v>169044</c:v>
                </c:pt>
                <c:pt idx="10">
                  <c:v>167607</c:v>
                </c:pt>
                <c:pt idx="11">
                  <c:v>167173</c:v>
                </c:pt>
                <c:pt idx="12">
                  <c:v>167616</c:v>
                </c:pt>
                <c:pt idx="13">
                  <c:v>168805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03328"/>
        <c:axId val="9609216"/>
      </c:lineChart>
      <c:lineChart>
        <c:grouping val="standard"/>
        <c:varyColors val="0"/>
        <c:ser>
          <c:idx val="1"/>
          <c:order val="1"/>
          <c:marker>
            <c:symbol val="none"/>
          </c:marker>
          <c:val>
            <c:numRef>
              <c:f>'Makroekonomski indikatori'!$AB$22:$AO$22</c:f>
              <c:numCache>
                <c:formatCode>#,##0</c:formatCode>
                <c:ptCount val="14"/>
                <c:pt idx="0">
                  <c:v>31890</c:v>
                </c:pt>
                <c:pt idx="1">
                  <c:v>32648</c:v>
                </c:pt>
                <c:pt idx="2">
                  <c:v>32986</c:v>
                </c:pt>
                <c:pt idx="3">
                  <c:v>32624</c:v>
                </c:pt>
                <c:pt idx="4">
                  <c:v>31363</c:v>
                </c:pt>
                <c:pt idx="5">
                  <c:v>30337</c:v>
                </c:pt>
                <c:pt idx="6">
                  <c:v>30102</c:v>
                </c:pt>
                <c:pt idx="7">
                  <c:v>30947</c:v>
                </c:pt>
                <c:pt idx="8">
                  <c:v>33271</c:v>
                </c:pt>
                <c:pt idx="9">
                  <c:v>33271</c:v>
                </c:pt>
                <c:pt idx="10">
                  <c:v>34680</c:v>
                </c:pt>
                <c:pt idx="11">
                  <c:v>34514</c:v>
                </c:pt>
                <c:pt idx="12">
                  <c:v>34804</c:v>
                </c:pt>
                <c:pt idx="13">
                  <c:v>34664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17408"/>
        <c:axId val="9611136"/>
      </c:lineChart>
      <c:catAx>
        <c:axId val="96033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9609216"/>
        <c:crosses val="autoZero"/>
        <c:auto val="1"/>
        <c:lblAlgn val="ctr"/>
        <c:lblOffset val="100"/>
        <c:noMultiLvlLbl val="0"/>
      </c:catAx>
      <c:valAx>
        <c:axId val="9609216"/>
        <c:scaling>
          <c:orientation val="minMax"/>
          <c:min val="164000"/>
        </c:scaling>
        <c:delete val="0"/>
        <c:axPos val="l"/>
        <c:majorGridlines>
          <c:spPr>
            <a:ln>
              <a:prstDash val="sysDot"/>
            </a:ln>
          </c:spPr>
        </c:majorGridlines>
        <c:numFmt formatCode="#,##0.0" sourceLinked="0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9603328"/>
        <c:crosses val="autoZero"/>
        <c:crossBetween val="between"/>
        <c:dispUnits>
          <c:builtInUnit val="thousands"/>
        </c:dispUnits>
      </c:valAx>
      <c:valAx>
        <c:axId val="9611136"/>
        <c:scaling>
          <c:orientation val="maxMin"/>
          <c:max val="35000"/>
          <c:min val="27000"/>
        </c:scaling>
        <c:delete val="0"/>
        <c:axPos val="r"/>
        <c:numFmt formatCode="#,##0.0" sourceLinked="0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9617408"/>
        <c:crosses val="max"/>
        <c:crossBetween val="between"/>
        <c:dispUnits>
          <c:builtInUnit val="thousands"/>
        </c:dispUnits>
      </c:valAx>
      <c:catAx>
        <c:axId val="9617408"/>
        <c:scaling>
          <c:orientation val="minMax"/>
        </c:scaling>
        <c:delete val="1"/>
        <c:axPos val="t"/>
        <c:majorTickMark val="out"/>
        <c:minorTickMark val="none"/>
        <c:tickLblPos val="none"/>
        <c:crossAx val="961113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629019028871391"/>
          <c:y val="4.1424756844533513E-2"/>
          <c:w val="0.64460499846745245"/>
          <c:h val="0.71317252062958703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'Fiskalni indikatori'!$BA$30</c:f>
              <c:strCache>
                <c:ptCount val="1"/>
                <c:pt idx="0">
                  <c:v>Suficit/Deficit</c:v>
                </c:pt>
              </c:strCache>
            </c:strRef>
          </c:tx>
          <c:spPr>
            <a:solidFill>
              <a:srgbClr val="EEECE1"/>
            </a:solidFill>
            <a:ln>
              <a:solidFill>
                <a:srgbClr val="C00000"/>
              </a:solidFill>
            </a:ln>
          </c:spPr>
          <c:invertIfNegative val="0"/>
          <c:cat>
            <c:strRef>
              <c:f>'Fiskalni indikatori'!$BZ$6:$CJ$6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'Fiskalni indikatori'!$BZ$20:$CM$20</c:f>
              <c:numCache>
                <c:formatCode>0.00,,</c:formatCode>
                <c:ptCount val="14"/>
                <c:pt idx="0">
                  <c:v>-26030734.600000054</c:v>
                </c:pt>
                <c:pt idx="1">
                  <c:v>-18960347.565214217</c:v>
                </c:pt>
                <c:pt idx="2">
                  <c:v>-15539514.20428363</c:v>
                </c:pt>
                <c:pt idx="3">
                  <c:v>-15891365.313259348</c:v>
                </c:pt>
                <c:pt idx="4">
                  <c:v>-1544398.8301670935</c:v>
                </c:pt>
                <c:pt idx="5">
                  <c:v>-607686.93338963401</c:v>
                </c:pt>
                <c:pt idx="6">
                  <c:v>-38312345.495714545</c:v>
                </c:pt>
                <c:pt idx="7">
                  <c:v>-16221972.00090231</c:v>
                </c:pt>
                <c:pt idx="8">
                  <c:v>-2657604.3090550057</c:v>
                </c:pt>
                <c:pt idx="9">
                  <c:v>17862496.387521476</c:v>
                </c:pt>
                <c:pt idx="10">
                  <c:v>-2710356.1671831482</c:v>
                </c:pt>
                <c:pt idx="11">
                  <c:v>-7703230.0812701583</c:v>
                </c:pt>
                <c:pt idx="12">
                  <c:v>-23695362.289999992</c:v>
                </c:pt>
                <c:pt idx="13">
                  <c:v>-7588170.5796951205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619840"/>
        <c:axId val="93805184"/>
      </c:barChart>
      <c:lineChart>
        <c:grouping val="standard"/>
        <c:varyColors val="0"/>
        <c:ser>
          <c:idx val="0"/>
          <c:order val="0"/>
          <c:tx>
            <c:strRef>
              <c:f>'Fiskalni indikatori'!$BA$28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cat>
            <c:strRef>
              <c:f>'Fiskalni indikatori'!$V$5:$AT$5</c:f>
              <c:strCache>
                <c:ptCount val="1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</c:strCache>
            </c:strRef>
          </c:cat>
          <c:val>
            <c:numRef>
              <c:f>'Fiskalni indikatori'!$BZ$7:$CM$7</c:f>
              <c:numCache>
                <c:formatCode>0.00,,</c:formatCode>
                <c:ptCount val="14"/>
                <c:pt idx="0">
                  <c:v>54756357.980000004</c:v>
                </c:pt>
                <c:pt idx="1">
                  <c:v>75675730.060000002</c:v>
                </c:pt>
                <c:pt idx="2">
                  <c:v>88296245.580000013</c:v>
                </c:pt>
                <c:pt idx="3">
                  <c:v>103948838</c:v>
                </c:pt>
                <c:pt idx="4">
                  <c:v>93997829.599999994</c:v>
                </c:pt>
                <c:pt idx="5">
                  <c:v>99561632.659999892</c:v>
                </c:pt>
                <c:pt idx="6">
                  <c:v>122021331.04999998</c:v>
                </c:pt>
                <c:pt idx="7">
                  <c:v>125053427.64999999</c:v>
                </c:pt>
                <c:pt idx="8">
                  <c:v>116342017.78000002</c:v>
                </c:pt>
                <c:pt idx="9">
                  <c:v>117283627.60000001</c:v>
                </c:pt>
                <c:pt idx="10">
                  <c:v>95781753.159999892</c:v>
                </c:pt>
                <c:pt idx="11">
                  <c:v>142429369.22999999</c:v>
                </c:pt>
                <c:pt idx="12">
                  <c:v>70632268.589999989</c:v>
                </c:pt>
                <c:pt idx="13">
                  <c:v>81381758.450000033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indikatori'!$BA$29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'Fiskalni indikatori'!$V$5:$AT$5</c:f>
              <c:strCache>
                <c:ptCount val="1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</c:strCache>
            </c:strRef>
          </c:cat>
          <c:val>
            <c:numRef>
              <c:f>'Fiskalni indikatori'!$BZ$13:$CM$13</c:f>
              <c:numCache>
                <c:formatCode>0.00,,</c:formatCode>
                <c:ptCount val="14"/>
                <c:pt idx="0">
                  <c:v>80787092.580000043</c:v>
                </c:pt>
                <c:pt idx="1">
                  <c:v>94636077.625213578</c:v>
                </c:pt>
                <c:pt idx="2">
                  <c:v>103835759.78428364</c:v>
                </c:pt>
                <c:pt idx="3">
                  <c:v>119840203.31325933</c:v>
                </c:pt>
                <c:pt idx="4">
                  <c:v>95542228.43016769</c:v>
                </c:pt>
                <c:pt idx="5">
                  <c:v>100169319.59339021</c:v>
                </c:pt>
                <c:pt idx="6">
                  <c:v>160333676.54571453</c:v>
                </c:pt>
                <c:pt idx="7">
                  <c:v>141275399.6509023</c:v>
                </c:pt>
                <c:pt idx="8">
                  <c:v>118999622.08905503</c:v>
                </c:pt>
                <c:pt idx="9">
                  <c:v>99421131.212479368</c:v>
                </c:pt>
                <c:pt idx="10">
                  <c:v>98492109.327183142</c:v>
                </c:pt>
                <c:pt idx="11">
                  <c:v>150132599.31127</c:v>
                </c:pt>
                <c:pt idx="12">
                  <c:v>94327630.879999891</c:v>
                </c:pt>
                <c:pt idx="13">
                  <c:v>88969929.029695153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33152"/>
        <c:axId val="93803648"/>
      </c:lineChart>
      <c:dateAx>
        <c:axId val="9633152"/>
        <c:scaling>
          <c:orientation val="minMax"/>
        </c:scaling>
        <c:delete val="0"/>
        <c:axPos val="b"/>
        <c:numFmt formatCode="#,##0.00" sourceLinked="0"/>
        <c:majorTickMark val="out"/>
        <c:minorTickMark val="none"/>
        <c:tickLblPos val="nextTo"/>
        <c:txPr>
          <a:bodyPr/>
          <a:lstStyle/>
          <a:p>
            <a:pPr>
              <a:defRPr lang="sr-Latn-CS" sz="620" baseline="0"/>
            </a:pPr>
            <a:endParaRPr lang="en-US"/>
          </a:p>
        </c:txPr>
        <c:crossAx val="93803648"/>
        <c:crosses val="autoZero"/>
        <c:auto val="0"/>
        <c:lblOffset val="100"/>
        <c:baseTimeUnit val="days"/>
      </c:dateAx>
      <c:valAx>
        <c:axId val="93803648"/>
        <c:scaling>
          <c:orientation val="minMax"/>
        </c:scaling>
        <c:delete val="0"/>
        <c:axPos val="l"/>
        <c:numFmt formatCode="0.0,," sourceLinked="0"/>
        <c:majorTickMark val="out"/>
        <c:minorTickMark val="none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9633152"/>
        <c:crosses val="autoZero"/>
        <c:crossBetween val="between"/>
      </c:valAx>
      <c:valAx>
        <c:axId val="93805184"/>
        <c:scaling>
          <c:orientation val="minMax"/>
          <c:max val="130000000"/>
          <c:min val="-50000000"/>
        </c:scaling>
        <c:delete val="0"/>
        <c:axPos val="r"/>
        <c:numFmt formatCode="0.0,," sourceLinked="0"/>
        <c:majorTickMark val="out"/>
        <c:minorTickMark val="none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05619840"/>
        <c:crosses val="max"/>
        <c:crossBetween val="between"/>
        <c:majorUnit val="20000000"/>
      </c:valAx>
      <c:catAx>
        <c:axId val="1056198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93805184"/>
        <c:crosses val="autoZero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b"/>
      <c:layout/>
      <c:overlay val="0"/>
      <c:txPr>
        <a:bodyPr/>
        <a:lstStyle/>
        <a:p>
          <a:pPr>
            <a:defRPr lang="sr-Latn-CS"/>
          </a:pPr>
          <a:endParaRPr lang="en-US"/>
        </a:p>
      </c:txPr>
    </c:legend>
    <c:plotVisOnly val="1"/>
    <c:dispBlanksAs val="gap"/>
    <c:showDLblsOverMax val="0"/>
  </c:chart>
  <c:spPr>
    <a:ln w="6350">
      <a:prstDash val="sysDot"/>
    </a:ln>
  </c:spPr>
  <c:txPr>
    <a:bodyPr/>
    <a:lstStyle/>
    <a:p>
      <a:pPr>
        <a:defRPr sz="700" baseline="0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315489642184558"/>
          <c:y val="0.26116666666666682"/>
          <c:w val="0.63512429378531265"/>
          <c:h val="0.57557546296296258"/>
        </c:manualLayout>
      </c:layout>
      <c:barChart>
        <c:barDir val="col"/>
        <c:grouping val="clustered"/>
        <c:varyColors val="0"/>
        <c:ser>
          <c:idx val="0"/>
          <c:order val="0"/>
          <c:tx>
            <c:v>Iznos duga po osnovu blokade</c:v>
          </c:tx>
          <c:invertIfNegative val="0"/>
          <c:cat>
            <c:strRef>
              <c:f>'Platni promet u zemlji'!$AP$4:$BB$4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'Platni promet u zemlji'!$AP$6:$BB$6</c:f>
              <c:numCache>
                <c:formatCode>#,##0</c:formatCode>
                <c:ptCount val="13"/>
                <c:pt idx="0">
                  <c:v>414268.36754999997</c:v>
                </c:pt>
                <c:pt idx="1">
                  <c:v>425917.57672999986</c:v>
                </c:pt>
                <c:pt idx="2">
                  <c:v>430703.99425000022</c:v>
                </c:pt>
                <c:pt idx="3">
                  <c:v>439179.09438000288</c:v>
                </c:pt>
                <c:pt idx="4">
                  <c:v>432691.55081999995</c:v>
                </c:pt>
                <c:pt idx="5">
                  <c:v>436792.39875999989</c:v>
                </c:pt>
                <c:pt idx="6">
                  <c:v>438222.09702000004</c:v>
                </c:pt>
                <c:pt idx="7">
                  <c:v>420967.03003999998</c:v>
                </c:pt>
                <c:pt idx="8">
                  <c:v>432905.14107999986</c:v>
                </c:pt>
                <c:pt idx="9">
                  <c:v>425874.68141000002</c:v>
                </c:pt>
                <c:pt idx="10">
                  <c:v>437020.59684999997</c:v>
                </c:pt>
                <c:pt idx="11">
                  <c:v>448017</c:v>
                </c:pt>
                <c:pt idx="12">
                  <c:v>462825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09971328"/>
        <c:axId val="109972864"/>
      </c:barChart>
      <c:lineChart>
        <c:grouping val="standard"/>
        <c:varyColors val="0"/>
        <c:ser>
          <c:idx val="1"/>
          <c:order val="1"/>
          <c:tx>
            <c:v>Broj blokiranih pravnih lica</c:v>
          </c:tx>
          <c:marker>
            <c:symbol val="none"/>
          </c:marker>
          <c:cat>
            <c:strRef>
              <c:f>'Platni promet u zemlji'!$AP$4:$BB$4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'Platni promet u zemlji'!$AP$5:$BB$5</c:f>
              <c:numCache>
                <c:formatCode>#,##0</c:formatCode>
                <c:ptCount val="13"/>
                <c:pt idx="0">
                  <c:v>12393</c:v>
                </c:pt>
                <c:pt idx="1">
                  <c:v>12459</c:v>
                </c:pt>
                <c:pt idx="2">
                  <c:v>12482</c:v>
                </c:pt>
                <c:pt idx="3">
                  <c:v>12516</c:v>
                </c:pt>
                <c:pt idx="4">
                  <c:v>12480</c:v>
                </c:pt>
                <c:pt idx="5">
                  <c:v>12491</c:v>
                </c:pt>
                <c:pt idx="6">
                  <c:v>12594</c:v>
                </c:pt>
                <c:pt idx="7">
                  <c:v>12449</c:v>
                </c:pt>
                <c:pt idx="8">
                  <c:v>12561</c:v>
                </c:pt>
                <c:pt idx="9">
                  <c:v>12761</c:v>
                </c:pt>
                <c:pt idx="10">
                  <c:v>12981</c:v>
                </c:pt>
                <c:pt idx="11">
                  <c:v>13150</c:v>
                </c:pt>
                <c:pt idx="12">
                  <c:v>13340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983616"/>
        <c:axId val="109985152"/>
      </c:lineChart>
      <c:catAx>
        <c:axId val="10997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099728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109972864"/>
        <c:scaling>
          <c:orientation val="minMax"/>
          <c:min val="4000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US" sz="700" b="1"/>
                </a:pPr>
                <a:r>
                  <a:rPr lang="en-US" sz="700" b="1"/>
                  <a:t>u mil.</a:t>
                </a:r>
              </a:p>
            </c:rich>
          </c:tx>
          <c:layout/>
          <c:overlay val="0"/>
        </c:title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 anchor="b" anchorCtr="1"/>
          <a:lstStyle/>
          <a:p>
            <a:pPr>
              <a:defRPr lang="en-US" sz="700"/>
            </a:pPr>
            <a:endParaRPr lang="en-US"/>
          </a:p>
        </c:txPr>
        <c:crossAx val="109971328"/>
        <c:crosses val="autoZero"/>
        <c:crossBetween val="between"/>
        <c:dispUnits>
          <c:builtInUnit val="thousands"/>
        </c:dispUnits>
      </c:valAx>
      <c:catAx>
        <c:axId val="109983616"/>
        <c:scaling>
          <c:orientation val="minMax"/>
        </c:scaling>
        <c:delete val="1"/>
        <c:axPos val="b"/>
        <c:majorTickMark val="out"/>
        <c:minorTickMark val="none"/>
        <c:tickLblPos val="none"/>
        <c:crossAx val="109985152"/>
        <c:crosses val="autoZero"/>
        <c:auto val="1"/>
        <c:lblAlgn val="ctr"/>
        <c:lblOffset val="100"/>
        <c:noMultiLvlLbl val="0"/>
      </c:catAx>
      <c:valAx>
        <c:axId val="109985152"/>
        <c:scaling>
          <c:orientation val="minMax"/>
        </c:scaling>
        <c:delete val="0"/>
        <c:axPos val="r"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09983616"/>
        <c:crosses val="max"/>
        <c:crossBetween val="between"/>
      </c:valAx>
    </c:plotArea>
    <c:legend>
      <c:legendPos val="t"/>
      <c:layout/>
      <c:overlay val="0"/>
      <c:txPr>
        <a:bodyPr/>
        <a:lstStyle/>
        <a:p>
          <a:pPr>
            <a:defRPr lang="en-US" sz="7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n-US" sz="600"/>
            </a:pPr>
            <a:r>
              <a:rPr lang="x-none" sz="600"/>
              <a:t>Spoljnotrgovinski bilans i strane direktne investicije</a:t>
            </a:r>
            <a:endParaRPr lang="en-US" sz="600"/>
          </a:p>
        </c:rich>
      </c:tx>
      <c:layout>
        <c:manualLayout>
          <c:xMode val="edge"/>
          <c:yMode val="edge"/>
          <c:x val="0.1294866071428572"/>
          <c:y val="7.471132897604091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3648556522814018"/>
          <c:y val="0.2324099775297872"/>
          <c:w val="0.74772956018074765"/>
          <c:h val="0.60640646537888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'Makroekonomski indikatori'!$C$47</c:f>
              <c:strCache>
                <c:ptCount val="1"/>
                <c:pt idx="0">
                  <c:v>Spoljnotrgovinski bilans (u mil €)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cat>
            <c:strRef>
              <c:f>'Makroekonomski indikatori'!$AB$60:$AO$60</c:f>
              <c:strCache>
                <c:ptCount val="14"/>
                <c:pt idx="0">
                  <c:v>2013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2014</c:v>
                </c:pt>
                <c:pt idx="13">
                  <c:v>II</c:v>
                </c:pt>
              </c:strCache>
            </c:strRef>
          </c:cat>
          <c:val>
            <c:numRef>
              <c:f>'Makroekonomski indikatori'!$AB$47:$AO$47</c:f>
              <c:numCache>
                <c:formatCode>#,##0.0,,</c:formatCode>
                <c:ptCount val="14"/>
                <c:pt idx="0">
                  <c:v>-82238000</c:v>
                </c:pt>
                <c:pt idx="1">
                  <c:v>-82676000</c:v>
                </c:pt>
                <c:pt idx="2">
                  <c:v>-108861000</c:v>
                </c:pt>
                <c:pt idx="3">
                  <c:v>-125467000</c:v>
                </c:pt>
                <c:pt idx="4">
                  <c:v>-112907000</c:v>
                </c:pt>
                <c:pt idx="5">
                  <c:v>-139888000</c:v>
                </c:pt>
                <c:pt idx="6">
                  <c:v>-140813000</c:v>
                </c:pt>
                <c:pt idx="7">
                  <c:v>-136504000</c:v>
                </c:pt>
                <c:pt idx="8">
                  <c:v>-117596000</c:v>
                </c:pt>
                <c:pt idx="9">
                  <c:v>-136853000</c:v>
                </c:pt>
                <c:pt idx="10">
                  <c:v>-99542000</c:v>
                </c:pt>
                <c:pt idx="11">
                  <c:v>-114334000</c:v>
                </c:pt>
                <c:pt idx="12">
                  <c:v>-60461000</c:v>
                </c:pt>
                <c:pt idx="13">
                  <c:v>-90362000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09995520"/>
        <c:axId val="109997056"/>
      </c:barChart>
      <c:lineChart>
        <c:grouping val="standard"/>
        <c:varyColors val="0"/>
        <c:ser>
          <c:idx val="1"/>
          <c:order val="1"/>
          <c:tx>
            <c:strRef>
              <c:f>'Makroekonomski indikatori'!$C$48</c:f>
              <c:strCache>
                <c:ptCount val="1"/>
                <c:pt idx="0">
                  <c:v>Strane direktne investicije (mil.€)</c:v>
                </c:pt>
              </c:strCache>
            </c:strRef>
          </c:tx>
          <c:spPr>
            <a:ln>
              <a:solidFill>
                <a:srgbClr val="C00000"/>
              </a:solidFill>
            </a:ln>
            <a:effectLst>
              <a:outerShdw blurRad="50800" dist="38100" algn="l" rotWithShape="0">
                <a:prstClr val="black">
                  <a:alpha val="40000"/>
                </a:prstClr>
              </a:outerShdw>
            </a:effectLst>
          </c:spPr>
          <c:marker>
            <c:symbol val="none"/>
          </c:marker>
          <c:cat>
            <c:strRef>
              <c:f>'Makroekonomski indikatori'!$K$60:$W$60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2012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indikatori'!$AB$48:$AN$48</c:f>
              <c:numCache>
                <c:formatCode>0.0,,</c:formatCode>
                <c:ptCount val="13"/>
                <c:pt idx="0">
                  <c:v>6560302.5300000012</c:v>
                </c:pt>
                <c:pt idx="1">
                  <c:v>19478189.93</c:v>
                </c:pt>
                <c:pt idx="2">
                  <c:v>39496029.809999995</c:v>
                </c:pt>
                <c:pt idx="3">
                  <c:v>17076705.57</c:v>
                </c:pt>
                <c:pt idx="4">
                  <c:v>33726992.320000008</c:v>
                </c:pt>
                <c:pt idx="5">
                  <c:v>38820915.670000002</c:v>
                </c:pt>
                <c:pt idx="6">
                  <c:v>32480649.380000003</c:v>
                </c:pt>
                <c:pt idx="7">
                  <c:v>30711085.860000007</c:v>
                </c:pt>
                <c:pt idx="8">
                  <c:v>57267705.660000011</c:v>
                </c:pt>
                <c:pt idx="9">
                  <c:v>-19761662.039999999</c:v>
                </c:pt>
                <c:pt idx="10">
                  <c:v>12560000</c:v>
                </c:pt>
                <c:pt idx="11">
                  <c:v>55461668.130000003</c:v>
                </c:pt>
                <c:pt idx="12">
                  <c:v>17014486.699999999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033152"/>
        <c:axId val="110031616"/>
      </c:lineChart>
      <c:catAx>
        <c:axId val="109995520"/>
        <c:scaling>
          <c:orientation val="minMax"/>
        </c:scaling>
        <c:delete val="0"/>
        <c:axPos val="b"/>
        <c:majorTickMark val="none"/>
        <c:minorTickMark val="none"/>
        <c:tickLblPos val="low"/>
        <c:txPr>
          <a:bodyPr/>
          <a:lstStyle/>
          <a:p>
            <a:pPr>
              <a:defRPr lang="en-US" sz="600">
                <a:solidFill>
                  <a:schemeClr val="tx1"/>
                </a:solidFill>
              </a:defRPr>
            </a:pPr>
            <a:endParaRPr lang="en-US"/>
          </a:p>
        </c:txPr>
        <c:crossAx val="1099970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109997056"/>
        <c:scaling>
          <c:orientation val="minMax"/>
          <c:max val="160000000"/>
        </c:scaling>
        <c:delete val="0"/>
        <c:axPos val="l"/>
        <c:numFmt formatCode="#,##0.0,," sourceLinked="1"/>
        <c:majorTickMark val="none"/>
        <c:minorTickMark val="none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109995520"/>
        <c:crosses val="autoZero"/>
        <c:crossBetween val="between"/>
      </c:valAx>
      <c:valAx>
        <c:axId val="110031616"/>
        <c:scaling>
          <c:orientation val="minMax"/>
        </c:scaling>
        <c:delete val="0"/>
        <c:axPos val="r"/>
        <c:numFmt formatCode="0.0,," sourceLinked="1"/>
        <c:majorTickMark val="out"/>
        <c:minorTickMark val="none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110033152"/>
        <c:crosses val="max"/>
        <c:crossBetween val="between"/>
      </c:valAx>
      <c:catAx>
        <c:axId val="110033152"/>
        <c:scaling>
          <c:orientation val="minMax"/>
        </c:scaling>
        <c:delete val="1"/>
        <c:axPos val="b"/>
        <c:majorTickMark val="out"/>
        <c:minorTickMark val="none"/>
        <c:tickLblPos val="none"/>
        <c:crossAx val="110031616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14203870903818355"/>
          <c:y val="0.13532034745985785"/>
          <c:w val="0.66177232142860065"/>
          <c:h val="0.18495656751777129"/>
        </c:manualLayout>
      </c:layout>
      <c:overlay val="0"/>
      <c:txPr>
        <a:bodyPr/>
        <a:lstStyle/>
        <a:p>
          <a:pPr>
            <a:defRPr lang="en-US" sz="600"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0.21844</cdr:x>
      <cdr:y>0.33605</cdr:y>
    </cdr:from>
    <cdr:to>
      <cdr:x>0.5653</cdr:x>
      <cdr:y>0.40504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56096" y="736362"/>
          <a:ext cx="724258" cy="151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 b="1"/>
            <a:t>2010=100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0.23372</cdr:x>
      <cdr:y>0.05832</cdr:y>
    </cdr:from>
    <cdr:to>
      <cdr:x>0.43372</cdr:x>
      <cdr:y>0.1303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87999" y="117579"/>
          <a:ext cx="417600" cy="1451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800"/>
            <a:t>broj</a:t>
          </a:r>
          <a:r>
            <a:rPr lang="sr-Latn-CS" sz="800" baseline="0"/>
            <a:t> zaposlenih</a:t>
          </a:r>
          <a:endParaRPr lang="sr-Latn-CS" sz="800"/>
        </a:p>
      </cdr:txBody>
    </cdr:sp>
  </cdr:relSizeAnchor>
  <cdr:relSizeAnchor xmlns:cdr="http://schemas.openxmlformats.org/drawingml/2006/chartDrawing">
    <cdr:from>
      <cdr:x>0.3075</cdr:x>
      <cdr:y>0.70696</cdr:y>
    </cdr:from>
    <cdr:to>
      <cdr:x>0.7603</cdr:x>
      <cdr:y>0.78395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642056" y="1425223"/>
          <a:ext cx="945445" cy="1552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/>
            <a:t>broj</a:t>
          </a:r>
          <a:r>
            <a:rPr lang="sr-Latn-CS" sz="700" baseline="0"/>
            <a:t> nezaposlenih</a:t>
          </a:r>
          <a:endParaRPr lang="sr-Latn-CS" sz="7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0.02691</cdr:x>
      <cdr:y>0.08155</cdr:y>
    </cdr:from>
    <cdr:to>
      <cdr:x>0.18835</cdr:x>
      <cdr:y>0.21459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150" y="180977"/>
          <a:ext cx="342900" cy="295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US" sz="8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5BCE6-22FD-4C60-9CB6-C0022BE3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2681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milos.popovic;Iva Radovan</dc:creator>
  <cp:lastModifiedBy>Milena Ljumovic</cp:lastModifiedBy>
  <cp:revision>10</cp:revision>
  <cp:lastPrinted>2014-01-16T09:51:00Z</cp:lastPrinted>
  <dcterms:created xsi:type="dcterms:W3CDTF">2014-04-29T10:59:00Z</dcterms:created>
  <dcterms:modified xsi:type="dcterms:W3CDTF">2014-04-30T13:16:00Z</dcterms:modified>
</cp:coreProperties>
</file>