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F465" w14:textId="77777777" w:rsidR="00F63B89" w:rsidRPr="009E4431" w:rsidRDefault="00F63B89" w:rsidP="00F63B8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val="sr-Latn-ME" w:eastAsia="en-GB"/>
        </w:rPr>
      </w:pPr>
      <w:r w:rsidRPr="009E4431">
        <w:rPr>
          <w:rFonts w:ascii="Arial" w:eastAsia="Times New Roman" w:hAnsi="Arial" w:cs="Arial"/>
          <w:b/>
          <w:bCs/>
          <w:lang w:val="sr-Latn-ME" w:eastAsia="en-GB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886"/>
        <w:gridCol w:w="5454"/>
      </w:tblGrid>
      <w:tr w:rsidR="00F63B89" w:rsidRPr="009E4431" w14:paraId="70ED7241" w14:textId="77777777" w:rsidTr="00E27883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14:paraId="41B5A7A6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IZVJEŠTAJ O SPROVEDENOJ ANALIZI PROCJENE UTICAJA PROPISA</w:t>
            </w:r>
          </w:p>
        </w:tc>
      </w:tr>
      <w:tr w:rsidR="00F63B89" w:rsidRPr="009E4431" w14:paraId="5C81D0AD" w14:textId="77777777" w:rsidTr="00E27883">
        <w:tc>
          <w:tcPr>
            <w:tcW w:w="3978" w:type="dxa"/>
            <w:shd w:val="clear" w:color="auto" w:fill="D2EAF1"/>
          </w:tcPr>
          <w:p w14:paraId="6045177B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14:paraId="55A2AADD" w14:textId="095632C9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MINISTARSTVO FINANSIJA</w:t>
            </w:r>
            <w:r w:rsidR="00AD2AA2" w:rsidRPr="009E443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– KOMISIJA ZA TRŽIŠTE KAPITALA</w:t>
            </w:r>
          </w:p>
        </w:tc>
      </w:tr>
      <w:tr w:rsidR="00F63B89" w:rsidRPr="009E4431" w14:paraId="47392B68" w14:textId="77777777" w:rsidTr="00E27883">
        <w:tc>
          <w:tcPr>
            <w:tcW w:w="3978" w:type="dxa"/>
          </w:tcPr>
          <w:p w14:paraId="7B2F685E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NAZIV PROPISA</w:t>
            </w:r>
          </w:p>
        </w:tc>
        <w:tc>
          <w:tcPr>
            <w:tcW w:w="5598" w:type="dxa"/>
          </w:tcPr>
          <w:p w14:paraId="64C3D116" w14:textId="7858290C" w:rsidR="00F63B89" w:rsidRPr="009E4431" w:rsidRDefault="00302EE6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lang w:val="sr-Latn-ME"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val="sr-Latn-ME" w:eastAsia="en-GB"/>
              </w:rPr>
              <w:t>NACRT</w:t>
            </w:r>
            <w:r w:rsidR="00AD2AA2" w:rsidRPr="009E4431">
              <w:rPr>
                <w:rFonts w:ascii="Arial" w:eastAsia="Times New Roman" w:hAnsi="Arial" w:cs="Arial"/>
                <w:b/>
                <w:bCs/>
                <w:lang w:val="sr-Latn-ME" w:eastAsia="en-GB"/>
              </w:rPr>
              <w:t xml:space="preserve"> ZAKONA O IZMJENAMA I DOPUNAMA ZAKONA O SANACIJI INVESTICIONIH DRUŠTAVA</w:t>
            </w:r>
          </w:p>
        </w:tc>
      </w:tr>
      <w:tr w:rsidR="00F63B89" w:rsidRPr="009E4431" w14:paraId="08A7B9E6" w14:textId="77777777" w:rsidTr="00E27883">
        <w:tc>
          <w:tcPr>
            <w:tcW w:w="9576" w:type="dxa"/>
            <w:gridSpan w:val="2"/>
            <w:shd w:val="clear" w:color="auto" w:fill="D2EAF1"/>
          </w:tcPr>
          <w:p w14:paraId="77431CA1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1. Definisanje problema</w:t>
            </w:r>
          </w:p>
          <w:p w14:paraId="64AE433F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Koje probleme  treba da riješi predloženi akt?</w:t>
            </w:r>
          </w:p>
          <w:p w14:paraId="0C56C459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Koji su uzroci problema?</w:t>
            </w:r>
          </w:p>
          <w:p w14:paraId="77B7327E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Koje su posljedice problema?</w:t>
            </w:r>
          </w:p>
          <w:p w14:paraId="4A18F366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Koji su subjekti oštećeni, na koji način i u kojoj mjeri?</w:t>
            </w:r>
          </w:p>
          <w:p w14:paraId="3A3E71FD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Kako bi problem evoluirao bez promjene propisa (“status quo” opcija)?</w:t>
            </w:r>
          </w:p>
        </w:tc>
      </w:tr>
      <w:tr w:rsidR="00F63B89" w:rsidRPr="009E4431" w14:paraId="004980BA" w14:textId="77777777" w:rsidTr="00E27883">
        <w:tc>
          <w:tcPr>
            <w:tcW w:w="9576" w:type="dxa"/>
            <w:gridSpan w:val="2"/>
          </w:tcPr>
          <w:p w14:paraId="25936EDE" w14:textId="77777777" w:rsidR="00F63B89" w:rsidRPr="009E4431" w:rsidRDefault="00F63B89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/>
              </w:rPr>
            </w:pPr>
          </w:p>
          <w:p w14:paraId="56EF35D3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431">
              <w:rPr>
                <w:rFonts w:ascii="Arial" w:hAnsi="Arial" w:cs="Arial"/>
                <w:sz w:val="22"/>
                <w:szCs w:val="22"/>
              </w:rPr>
              <w:t>Predloženi akt ima za cilj da riješi ključne nedostatke postojećeg zakonskog okvira za sanaciju investicionih društava, posebno u dijelu neusklađenosti sa izmijenjenim zahtjevima pravne tekovine Evropske unije (BRRD II, izmjene BRRD I kroz Direktivu (EU) 2024/1174), kao i sa savremenim pravilima o minimalnom zahtjevu za regulatorni kapital i kvalifikovane obaveze (MREL). Dosadašnje rješenje ne obezbjeđuje dovoljno precizne mehanizme za ranu intervenciju, procjenu sanabilnosti, utvrđivanje i održavanje kapaciteta pokrivanja gubitaka, niti jasne uslove za upotrebu instrumenata sanacije, što otežava pravovremeno i efikasno djelovanje nadležnog organa. Dodatno, važeći propisi ne predviđaju sve obaveze u vezi sa standardizovanim, mašinski čitljivim i interoperabilnim formatom podataka potrebnih za integraciju u Evropsku jedinstvenu pristupnu tačku (ESAP), prema Direktivi (EU) 2023/2864, što stvara rizik od tehničke i regulatorne neusklađenosti u budućem periodu.</w:t>
            </w:r>
          </w:p>
          <w:p w14:paraId="31F0B2E6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0BF3D3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431">
              <w:rPr>
                <w:rFonts w:ascii="Arial" w:hAnsi="Arial" w:cs="Arial"/>
                <w:sz w:val="22"/>
                <w:szCs w:val="22"/>
              </w:rPr>
              <w:t>Uzroci identifikovanih problema proizlaze iz promjena evropskog regulatornog okvira nakon donošenja važećeg zakona, uključujući obavezu implementacije novih standarda koji se odnose na MREL, harmonizaciju sa pravilima o prekograničnoj saradnji nadzornih i sanacionih tijela, kao i zahtjeve za veću transparentnost i razmjenu informacija kroz ESAP. Dodatni uzrok je nedovoljna normativna razrađenost pojedinih instituta sanacije, što otežava njihovu praktičnu primjenu i povećava rizik od neujednačenog postupanja.</w:t>
            </w:r>
          </w:p>
          <w:p w14:paraId="3795D06D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B94C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431">
              <w:rPr>
                <w:rFonts w:ascii="Arial" w:hAnsi="Arial" w:cs="Arial"/>
                <w:sz w:val="22"/>
                <w:szCs w:val="22"/>
              </w:rPr>
              <w:t>Posljedice postojećih nedostataka ogledaju se u potencijalno sporijem reagovanju u slučaju finansijskih poteškoća investicionih društava, povećanim troškovima sanacije, mogućem narušavanju stabilnosti tržišta kapitala i izloženosti finansijskog sistema većim rizicima. Nedostatak jasnih pravila može dovesti do neadekvatnog korišćenja instrumenata kao što su bail-in, prodaja poslovanja ili prenos imovine i obaveza, što povećava vjerovatnoću da teret gubitaka padne na državne finansije umjesto na vlasnike i povjerioce, suprotno evropskim principima. Istovremeno, neimplementiranje standarda potrebnih za ESAP dovodi do slabije dostupnosti, kvaliteta i uporedivosti podataka, što ograničava transparentnost i konkurentnost domaćeg tržišta.</w:t>
            </w:r>
          </w:p>
          <w:p w14:paraId="37F647F7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A0C6" w14:textId="77777777" w:rsidR="00AD2AA2" w:rsidRPr="009E4431" w:rsidRDefault="00AD2AA2" w:rsidP="00AD2AA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431">
              <w:rPr>
                <w:rFonts w:ascii="Arial" w:hAnsi="Arial" w:cs="Arial"/>
                <w:sz w:val="22"/>
                <w:szCs w:val="22"/>
              </w:rPr>
              <w:t xml:space="preserve">Subjekti koji su najviše oštećeni postojećim stanjem su investiciona društva, koja posluju u uslovima neizvjesnosti i regulatornih praznina, zatim investitori i klijenti koji se suočavaju sa potencijalno slabijom zaštitom, kao i država i nadležne institucije koje u slučaju krize mogu biti opterećene većim operativnim i fiskalnim rizicima. Tržište kapitala u cjelini trpi kroz smanjenu </w:t>
            </w:r>
            <w:r w:rsidRPr="009E4431">
              <w:rPr>
                <w:rFonts w:ascii="Arial" w:hAnsi="Arial" w:cs="Arial"/>
                <w:sz w:val="22"/>
                <w:szCs w:val="22"/>
              </w:rPr>
              <w:lastRenderedPageBreak/>
              <w:t>transparentnost, povećane troškove rizika i manju konkurentnost u odnosu na EU, posebno u dijelu dostupnosti podataka koji se u EU objavljuju kroz ESAP.</w:t>
            </w:r>
          </w:p>
          <w:p w14:paraId="56363996" w14:textId="77777777" w:rsidR="00AD2AA2" w:rsidRPr="009E4431" w:rsidRDefault="00AD2AA2" w:rsidP="00AD2AA2">
            <w:pPr>
              <w:spacing w:after="0" w:line="240" w:lineRule="auto"/>
              <w:jc w:val="both"/>
              <w:rPr>
                <w:rFonts w:ascii="Arial" w:hAnsi="Arial" w:cs="Arial"/>
                <w:lang w:val="sr-Latn-ME"/>
              </w:rPr>
            </w:pPr>
          </w:p>
          <w:p w14:paraId="2B99C057" w14:textId="3044B08F" w:rsidR="00AD2AA2" w:rsidRPr="009E4431" w:rsidRDefault="00AD2AA2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9E4431">
              <w:rPr>
                <w:rFonts w:ascii="Arial" w:hAnsi="Arial" w:cs="Arial"/>
                <w:lang w:val="sr-Latn-ME"/>
              </w:rPr>
              <w:t>Ukoliko se propisi ne izmijene (“status quo” opcija), problemi bi se intenzivirali: Crna Gora bi ostala neusklađena sa ključnim EU direktivama u oblasti sanacije i nedovoljno pripremljena za obaveze povezane sa ESAP-om, što bi negativno uticalo na proces pristupanja EU i onemogućilo punu integraciju u evropske nadzorne i informacione mehanizme. Nadležni organ ne bi imao adekvatna i ažurirana ovlašćenja za postupanje; investiciona društva bi poslovala pod povećanim operativnim i sistemskim rizikom; dostupnost podataka bi ostala ograničena; a u slučaju finansijskih poteškoća troškovi sanacije bili bi veći, sporiji i rizičniji. Ovo bi dugoročno narušilo stabilnost finansijskog sistema, povjerenje investitora i sposobnost tržišta kapitala da funkcioniše u skladu sa evropskim standardima.</w:t>
            </w:r>
            <w:r w:rsidRPr="009E4431">
              <w:rPr>
                <w:rFonts w:ascii="Arial" w:eastAsia="Times New Roman" w:hAnsi="Arial" w:cs="Arial"/>
                <w:lang w:val="sr-Latn-ME"/>
              </w:rPr>
              <w:t xml:space="preserve">Izmjene i dopune Zakona o sanaciji investicionih društava je potrebno donijeti zbog daljeg usaglašavanja sa evropskom regulativom, daljeg unapređenja propisa kojima se uređuje poslovanje investicionih društava iz oblasti sanacije investicionih društava, kao i veće stabilnosti finansijskog sistema. Naime, Evropski parlament je usvojio Direktivu (EU) 2019/879 od 20. maja 2019. godine o izmjeni Direktive 2014/59/EU u pogledu kapaciteta pokrivanja gubitaka i dokapitalizacije kreditnih institucija i investicionih društava kao i Direktive 98/26/EZ (tzv. BRRD II). Kao zemlja kandidat za ulazak u Evropsku uniju, Crna Gora ima obavezu usklađivanja svog zakonodavstva sa BRRD II Direktivom. Postupak, instrumenti i ovlašćenja za rješavanje pitanja investicionih društava koje su od sistemskog značaja a koje propadaju ili će propasti, uređeni su Zakonom o sanaciji investicionih društava koji sadrži odredbe koje se odnose na pokretanje postupka sanacije, planove sanacije, postupak sanacije, mjere i instrumente sanacije, sanacioni fond i dr. </w:t>
            </w:r>
          </w:p>
          <w:p w14:paraId="4474A46B" w14:textId="77777777" w:rsidR="00AD2AA2" w:rsidRPr="009E4431" w:rsidRDefault="00AD2AA2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4822C72E" w14:textId="5F687AB2" w:rsidR="00AD2AA2" w:rsidRPr="009E4431" w:rsidRDefault="00AD2AA2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9E4431">
              <w:rPr>
                <w:rFonts w:ascii="Arial" w:eastAsia="Times New Roman" w:hAnsi="Arial" w:cs="Arial"/>
                <w:lang w:val="sr-Latn-ME"/>
              </w:rPr>
              <w:t>Usvajanjem ovih izmjena i dopuna zakona stvoriće se uslovi za primjenu ovlašćenja i instrumenata sanacije koji su propisani izmijenjenom direktivom EU i time značajno unaprijediti regulatorni okvir za rješavanje pitanja kreditnih institucija koje imaju problema u poslovanju na novim osnovama</w:t>
            </w:r>
          </w:p>
          <w:p w14:paraId="2ACC201A" w14:textId="77777777" w:rsidR="00AD2AA2" w:rsidRPr="009E4431" w:rsidRDefault="00AD2AA2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  <w:p w14:paraId="70D63153" w14:textId="12174763" w:rsidR="00F63B89" w:rsidRPr="009E4431" w:rsidRDefault="00F63B89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  <w:r w:rsidRPr="009E4431">
              <w:rPr>
                <w:rFonts w:ascii="Arial" w:eastAsia="Times New Roman" w:hAnsi="Arial" w:cs="Arial"/>
                <w:lang w:val="sr-Latn-ME"/>
              </w:rPr>
              <w:t>U cilju potpunog usklađivanja sa relevantnim pravnim okvirom EU, Nacrt zakona o</w:t>
            </w:r>
            <w:r w:rsidR="00AD2AA2" w:rsidRPr="009E4431">
              <w:rPr>
                <w:rFonts w:ascii="Arial" w:eastAsia="Times New Roman" w:hAnsi="Arial" w:cs="Arial"/>
                <w:lang w:val="sr-Latn-ME"/>
              </w:rPr>
              <w:t xml:space="preserve"> izmjenama i dopunama zakona o</w:t>
            </w:r>
            <w:r w:rsidRPr="009E4431">
              <w:rPr>
                <w:rFonts w:ascii="Arial" w:eastAsia="Times New Roman" w:hAnsi="Arial" w:cs="Arial"/>
                <w:lang w:val="sr-Latn-ME"/>
              </w:rPr>
              <w:t xml:space="preserve"> sanaciji investicionih društava sadrži i dio odredaba koje će se primjenjivati nakon pristupanja Crne Gore Evropskoj uniji i kojima se dodatno jača sistem prevencije i sanacije investicionih društava koje su članovi grupe investicionih društava iz Evropske unije.</w:t>
            </w:r>
          </w:p>
          <w:p w14:paraId="642F291F" w14:textId="77777777" w:rsidR="00F63B89" w:rsidRPr="009E4431" w:rsidRDefault="00F63B89" w:rsidP="00AD2A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Latn-ME"/>
              </w:rPr>
            </w:pPr>
          </w:p>
        </w:tc>
      </w:tr>
      <w:tr w:rsidR="00F63B89" w:rsidRPr="009E4431" w14:paraId="49EEC433" w14:textId="77777777" w:rsidTr="00E27883">
        <w:tc>
          <w:tcPr>
            <w:tcW w:w="9576" w:type="dxa"/>
            <w:gridSpan w:val="2"/>
            <w:shd w:val="clear" w:color="auto" w:fill="D2EAF1"/>
          </w:tcPr>
          <w:p w14:paraId="1EDC19B8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2. Ciljevi</w:t>
            </w:r>
          </w:p>
          <w:p w14:paraId="7CD35985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Koji ciljevi se postižu predloženim propisom?</w:t>
            </w:r>
          </w:p>
          <w:p w14:paraId="531E3BF3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450" w:hanging="18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Navesti usklađenost ovih ciljeva sa postojećim strategijama ili programima Vlade, ako je primjenljivo.</w:t>
            </w:r>
          </w:p>
        </w:tc>
      </w:tr>
      <w:tr w:rsidR="00F63B89" w:rsidRPr="009E4431" w14:paraId="6ABC0964" w14:textId="77777777" w:rsidTr="00E27883">
        <w:tc>
          <w:tcPr>
            <w:tcW w:w="9576" w:type="dxa"/>
            <w:gridSpan w:val="2"/>
          </w:tcPr>
          <w:p w14:paraId="67E9BA15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0C94A481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Usvajanjem predloženih odredaba zakona stvoriće se preduslovi za ostvarivanje sljedećih ciljeva:</w:t>
            </w:r>
          </w:p>
          <w:p w14:paraId="3D77996B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unaprjeđenje regulatornog okvira iz oblasti sanacije investicionih društava u pravcu njegovog usklađivanja sa propisima EU; </w:t>
            </w:r>
          </w:p>
          <w:p w14:paraId="30456C53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podizanje nivoa kapaciteta za pokrivanje gubitaka i dokapitalizacije od strane investicionih društava, </w:t>
            </w:r>
          </w:p>
          <w:p w14:paraId="72596672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unaprjeđenje ugovornog priznavanja instrumenta na kojima se može primijeniti instrument interne sanacije.</w:t>
            </w:r>
          </w:p>
        </w:tc>
      </w:tr>
      <w:tr w:rsidR="00F63B89" w:rsidRPr="009E4431" w14:paraId="7C67D1D1" w14:textId="77777777" w:rsidTr="00E27883">
        <w:tc>
          <w:tcPr>
            <w:tcW w:w="9576" w:type="dxa"/>
            <w:gridSpan w:val="2"/>
            <w:shd w:val="clear" w:color="auto" w:fill="D2EAF1"/>
          </w:tcPr>
          <w:p w14:paraId="4AC12369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3. Opcije</w:t>
            </w:r>
          </w:p>
          <w:p w14:paraId="6E784411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16D8209D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Obrazložiti preferiranu opciju?</w:t>
            </w:r>
          </w:p>
        </w:tc>
      </w:tr>
      <w:tr w:rsidR="00F63B89" w:rsidRPr="009E4431" w14:paraId="4C0FEE07" w14:textId="77777777" w:rsidTr="00E27883">
        <w:tc>
          <w:tcPr>
            <w:tcW w:w="9576" w:type="dxa"/>
            <w:gridSpan w:val="2"/>
          </w:tcPr>
          <w:p w14:paraId="35E93444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4E86D990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Ovim zakonom, izvršiće se unapređenje regulatornog i nadzornog okvira, što će doprinijeti smanjenju vjerovatnoće nastanka budućih kriza i povećanju otpornosti investicionih društava na ekonomski stres, bilo da je on uzrokovan sistemskim poremećajima ili događajima koji su specifični za pojedinačnu instituciju, ali se time ne može u potpunosti spriječiti da te institucije zapadnu u teškoće. </w:t>
            </w:r>
          </w:p>
          <w:p w14:paraId="26554062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2F93A5A0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>U slučaju opcije “status quo” izostalo bi dodatno regulisanje mehanizama kojima će se obezbijediti sledeće:</w:t>
            </w:r>
          </w:p>
          <w:p w14:paraId="4E45C38A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656B6BDC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obezbjeđivanje kontinuiteta u obavljanju ključnih funkcija investicionih društava;</w:t>
            </w:r>
          </w:p>
          <w:p w14:paraId="6515B1E2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dodatno definisanje uslova za minimalni zahtjev za regulatornim kapitalom i kvalifikovanim obavezama (</w:t>
            </w:r>
            <w:r w:rsidR="0014404A" w:rsidRPr="009E4431">
              <w:rPr>
                <w:rFonts w:ascii="Arial" w:eastAsia="MS Mincho" w:hAnsi="Arial" w:cs="Arial"/>
                <w:noProof/>
                <w:lang w:val="sr-Latn-ME"/>
              </w:rPr>
              <w:t xml:space="preserve">u daljem tekstu skraćeno: 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>MREL), odnosno utvrđivanje kriterijum</w:t>
            </w:r>
            <w:r w:rsidR="00DA4726" w:rsidRPr="009E4431">
              <w:rPr>
                <w:rFonts w:ascii="Arial" w:eastAsia="MS Mincho" w:hAnsi="Arial" w:cs="Arial"/>
                <w:noProof/>
                <w:lang w:val="sr-Latn-ME"/>
              </w:rPr>
              <w:t>a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 pod kojima organ za sanaciju mora da osigura da se zadovoljavaju uslovi za MREL, uz sagledavanje strukture vlasnika MREL instrumenata sa aspekta vrste investitora i utvrđivanje uslova za usklađenost investicionih društava sa zahtjevima za MREL, čak i ako ta investiciona društva nisu subjekti sanacije, što bi u određenim slučajevima sanacije investicionih društava ili stečaja, moglo imati uticaja na stabilnost finansijskog sistema Crne Gore;</w:t>
            </w:r>
          </w:p>
          <w:p w14:paraId="0C561893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izbjegavanje znatnog negativnog uticaja na stabilnost finansijskog sistema, naročito sprečavanja širenja negativnih uticaja na finansijski sistem, uključujući i njihovo širenje na tržišnu infrastrukturu i održavanje tržišne discipline, kroz implementaciju EU standarda u zakonodavstvo Crne Gore za kontinuirano održavanje dovoljnog iznosa obaveza za pokriće gubitaka i dokapitalizaciju investicionog društva u sanaciji;</w:t>
            </w:r>
          </w:p>
          <w:p w14:paraId="5DF98156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ograničenje raspodjela, ako</w:t>
            </w:r>
            <w:r w:rsidRPr="009E4431">
              <w:rPr>
                <w:rFonts w:ascii="Calibri" w:eastAsia="MS Mincho" w:hAnsi="Calibri" w:cs="Times New Roman"/>
                <w:lang w:val="sr-Latn-ME"/>
              </w:rPr>
              <w:t xml:space="preserve"> 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>institucija ne ispunjava zahtjev za kombinovanim baferom kada se isti uzima u obzir kao dodatak uz minimalni zahtjev za regulatornim kapitalom i kvalifikovanim obavezama;</w:t>
            </w:r>
          </w:p>
          <w:p w14:paraId="47E3BA73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zaštita malih investitora;</w:t>
            </w:r>
          </w:p>
          <w:p w14:paraId="0674B170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zaštita investitora koji imaju garantovane depozite položene u fond za zaštitu investitora; i</w:t>
            </w:r>
          </w:p>
          <w:p w14:paraId="45C7B921" w14:textId="77777777" w:rsidR="00F63B89" w:rsidRPr="009E4431" w:rsidRDefault="00F63B89" w:rsidP="00F63B8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zaštita novčanih sredstava, finansijskih instrumenata i druge imovine klijenata.</w:t>
            </w:r>
          </w:p>
          <w:p w14:paraId="1A15FD9C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58AEFC3F" w14:textId="77777777" w:rsidR="00F63B89" w:rsidRPr="009E4431" w:rsidRDefault="00F63B89" w:rsidP="00B14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>Ovi mehanizmi će Komisiji</w:t>
            </w:r>
            <w:r w:rsidR="00B146E8" w:rsidRPr="009E4431">
              <w:rPr>
                <w:lang w:val="sr-Latn-ME"/>
              </w:rPr>
              <w:t xml:space="preserve"> </w:t>
            </w:r>
            <w:r w:rsidR="00B146E8" w:rsidRPr="009E4431">
              <w:rPr>
                <w:rFonts w:ascii="Arial" w:eastAsia="Times New Roman" w:hAnsi="Arial" w:cs="Arial"/>
                <w:bCs/>
                <w:lang w:val="sr-Latn-ME" w:eastAsia="en-GB"/>
              </w:rPr>
              <w:t>za tržište kapitala Crne Gore</w:t>
            </w: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 pružiti dodatne mogućnosti efikasnijeg bavljenja problemima investicionih društava koje propadaju ili kojima prijeti propadanje, uvođenjem skupa instrumenata za blagovremenu intervenciju u takvim investicionim društvima kako bi se obezbijedio nastavak obavljanja njihovih ključnih finansijskih funkcija, uz istovremeno ograničavanje negativnog uticaja propadanja </w:t>
            </w:r>
            <w:r w:rsidRPr="009E4431">
              <w:rPr>
                <w:rFonts w:ascii="Arial" w:eastAsia="Times New Roman" w:hAnsi="Arial" w:cs="Arial"/>
                <w:lang w:val="sr-Latn-ME" w:eastAsia="en-GB"/>
              </w:rPr>
              <w:t xml:space="preserve">investicionog društva </w:t>
            </w: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>na ekonomski i finansijski sistem na najmanju moguću mjeru.</w:t>
            </w:r>
          </w:p>
        </w:tc>
      </w:tr>
      <w:tr w:rsidR="00F63B89" w:rsidRPr="009E4431" w14:paraId="66B2EA86" w14:textId="77777777" w:rsidTr="00E27883">
        <w:tc>
          <w:tcPr>
            <w:tcW w:w="9576" w:type="dxa"/>
            <w:gridSpan w:val="2"/>
            <w:shd w:val="clear" w:color="auto" w:fill="D2EAF1"/>
          </w:tcPr>
          <w:p w14:paraId="1A2B6706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4. Analiza uticaja</w:t>
            </w:r>
          </w:p>
          <w:p w14:paraId="0E1C1AEA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 koga će i kako će najvjerovatnije uticati rješenja u propisu - nabrojati pozitivne i negativne uticaje, direktne i indirektne.</w:t>
            </w:r>
          </w:p>
          <w:p w14:paraId="67412C4B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Koje troškove će primjena propisa izazvati građanima i privredi (naročito malim i srednjim preduzećima).</w:t>
            </w:r>
          </w:p>
          <w:p w14:paraId="4A4D164F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Da li pozitivne posljedice donošenja propisa opravdavaju troškove koje će on stvoriti.</w:t>
            </w:r>
          </w:p>
          <w:p w14:paraId="0A5D9F1B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se propisom podržava stvaranje novih privrednih subjekata na tržištu i tržišna konkurencija.</w:t>
            </w:r>
          </w:p>
          <w:p w14:paraId="44AD9072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Uključiti procjenu administrativnih opterećenja i biznis barijera.</w:t>
            </w:r>
          </w:p>
          <w:p w14:paraId="518B43BF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9E4431" w14:paraId="27E1D819" w14:textId="77777777" w:rsidTr="00E27883">
        <w:tc>
          <w:tcPr>
            <w:tcW w:w="9576" w:type="dxa"/>
            <w:gridSpan w:val="2"/>
          </w:tcPr>
          <w:p w14:paraId="78DC0558" w14:textId="0748A91F" w:rsidR="00A45F37" w:rsidRPr="009E443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lastRenderedPageBreak/>
              <w:t>Ovaj Nacrt zakona</w:t>
            </w:r>
            <w:r w:rsidR="00AD2AA2" w:rsidRPr="009E4431">
              <w:rPr>
                <w:rFonts w:ascii="Arial" w:eastAsia="MS Mincho" w:hAnsi="Arial" w:cs="Arial"/>
                <w:noProof/>
                <w:lang w:val="sr-Latn-ME"/>
              </w:rPr>
              <w:t xml:space="preserve"> o izmjenama i dopunama zakona o sanaciji investicionih društava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 se odnosi na poslovanje investicionih društava koja imaju dozvolu za rad izdatu od strane </w:t>
            </w:r>
            <w:r w:rsidR="00B146E8" w:rsidRPr="009E4431">
              <w:rPr>
                <w:rFonts w:ascii="Arial" w:eastAsia="MS Mincho" w:hAnsi="Arial" w:cs="Arial"/>
                <w:noProof/>
                <w:lang w:val="sr-Latn-ME"/>
              </w:rPr>
              <w:t>Komisije za tržište kapitala Crne Gore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>, kao i na subjekte sa sjedištem u Crnoj Gori koji predstavljaju dio grupe na koju se primjenjuje kontrola na konsolidovanoj osnovi u skladu sa zakonom kojim se uređuje tržište kapitala.</w:t>
            </w:r>
          </w:p>
          <w:p w14:paraId="2BC60C0A" w14:textId="77777777" w:rsidR="00A45F37" w:rsidRPr="009E443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67C893E7" w14:textId="77777777" w:rsidR="00F63B89" w:rsidRPr="009E4431" w:rsidRDefault="00A45F37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Usaglašavanjem teksta Nacrta Zakona o sanaciji investicionih društava sa </w:t>
            </w:r>
            <w:r w:rsidR="00F63B89" w:rsidRPr="009E4431">
              <w:rPr>
                <w:rFonts w:ascii="Arial" w:eastAsia="MS Mincho" w:hAnsi="Arial" w:cs="Arial"/>
                <w:noProof/>
                <w:lang w:val="sr-Latn-ME"/>
              </w:rPr>
              <w:t>BRRD II Direktiv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>om</w:t>
            </w:r>
            <w:r w:rsidR="00F63B89" w:rsidRPr="009E4431">
              <w:rPr>
                <w:rFonts w:ascii="Arial" w:eastAsia="MS Mincho" w:hAnsi="Arial" w:cs="Arial"/>
                <w:noProof/>
                <w:lang w:val="sr-Latn-ME"/>
              </w:rPr>
              <w:t xml:space="preserve"> 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za rezultat ima </w:t>
            </w:r>
            <w:r w:rsidR="00F63B89" w:rsidRPr="009E4431">
              <w:rPr>
                <w:rFonts w:ascii="Arial" w:eastAsia="MS Mincho" w:hAnsi="Arial" w:cs="Arial"/>
                <w:noProof/>
                <w:lang w:val="sr-Latn-ME"/>
              </w:rPr>
              <w:t xml:space="preserve">postojanje usklađenih pravila u Evropskoj uniji 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čime se </w:t>
            </w:r>
            <w:r w:rsidR="00F63B89" w:rsidRPr="009E4431">
              <w:rPr>
                <w:rFonts w:ascii="Arial" w:eastAsia="MS Mincho" w:hAnsi="Arial" w:cs="Arial"/>
                <w:noProof/>
                <w:lang w:val="sr-Latn-ME"/>
              </w:rPr>
              <w:t>smanjuju troškovi i pravna nesigurnost kao i olakšava primjena instrumenta interne sanacije za prekogranične institucije i subjekte. Takođe, sprječava se narušavanje konkurencije na unutrašnjem tržištu, s obzirom da bi se bez usklađivanja zakonodavstva troškovi za institucije, kao i ostale subjekte kojima je naloženo ispunjavanje minimalnog zahtjeva za regulatornim kapitalom i kvalifikovanim obavezama, u pogledu usklađivanja s postojećim zahtjevima, mogli znatno razlikovati širom Evropske unije.</w:t>
            </w:r>
          </w:p>
          <w:p w14:paraId="14DEEE92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color w:val="FF0000"/>
                <w:lang w:val="sr-Latn-ME"/>
              </w:rPr>
            </w:pPr>
          </w:p>
          <w:p w14:paraId="47730EDC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Takođe, ojačavaju se preventivni mehanizmi, kao što je već pomenuto, dodatnim definisanjem uslova za minimalni zahtjev za regulatornim kapitalom i kvalifikovanim obavezama (MREL), odnosno utvrđivanjem kriterijuma pod kojima </w:t>
            </w:r>
            <w:r w:rsidR="00B146E8" w:rsidRPr="009E443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 mora da osigura da se zadovoljavaju uslovi za MREL, uz sagledavanje strukture vlasnika MREL instrumenata sa aspekta vrste investitora, kao i utvrđivanje uslova za usklađenost investicionih društava sa zahtjevima za MREL, čak i ako ta investiciona društva nisu subjekti sanacije. </w:t>
            </w:r>
          </w:p>
          <w:p w14:paraId="240DF420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highlight w:val="yellow"/>
                <w:lang w:val="sr-Latn-ME"/>
              </w:rPr>
            </w:pPr>
          </w:p>
          <w:p w14:paraId="465B402C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U cilju ispunjavanja minimalnog zahtjeva za regulatornim kapitalom i kvalifikovanim obavezama, Nacrtom zakona o sanaciji investicionih društava predlaže se da u slučaju svakog neispunjavanja tih zahtjeva, </w:t>
            </w:r>
            <w:r w:rsidR="00B146E8" w:rsidRPr="009E443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 xml:space="preserve"> preduzme odgovarajuću mjeru</w:t>
            </w:r>
            <w:r w:rsidR="0049408D" w:rsidRPr="009E4431">
              <w:rPr>
                <w:rFonts w:ascii="Arial" w:eastAsia="MS Mincho" w:hAnsi="Arial" w:cs="Arial"/>
                <w:noProof/>
                <w:lang w:val="sr-Latn-ME"/>
              </w:rPr>
              <w:t xml:space="preserve">. </w:t>
            </w:r>
            <w:r w:rsidRPr="009E4431">
              <w:rPr>
                <w:rFonts w:ascii="Arial" w:eastAsia="MS Mincho" w:hAnsi="Arial" w:cs="Arial"/>
                <w:noProof/>
                <w:lang w:val="sr-Latn-ME"/>
              </w:rPr>
              <w:t>Takođe, kako bi se obezbijedila transparentna primjena minimalnog zahtjeva za regulatornim kapitalom i kvalifikovanim obavezama Nacrtom zakona o sanaciji investicionih društava predlaže se obaveza investicionih društava da dostavljaju izvještaje o iznosu regulatornog kapitala i ostalih obaveza prihvatljivih za instrument interne sanacije.</w:t>
            </w:r>
          </w:p>
          <w:p w14:paraId="35B9BBF1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</w:p>
          <w:p w14:paraId="316BCBDE" w14:textId="77777777" w:rsidR="00F63B89" w:rsidRPr="009E4431" w:rsidRDefault="00B146E8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MS Mincho" w:hAnsi="Arial" w:cs="Arial"/>
                <w:noProof/>
                <w:lang w:val="sr-Latn-ME"/>
              </w:rPr>
            </w:pPr>
            <w:r w:rsidRPr="009E4431">
              <w:rPr>
                <w:rFonts w:ascii="Arial" w:eastAsia="MS Mincho" w:hAnsi="Arial" w:cs="Arial"/>
                <w:noProof/>
                <w:lang w:val="sr-Latn-ME"/>
              </w:rPr>
              <w:t>Komisija za tržište kapitala Crne Gore</w:t>
            </w:r>
            <w:r w:rsidR="00F63B89" w:rsidRPr="009E4431">
              <w:rPr>
                <w:rFonts w:ascii="Arial" w:eastAsia="MS Mincho" w:hAnsi="Arial" w:cs="Arial"/>
                <w:noProof/>
                <w:lang w:val="sr-Latn-ME"/>
              </w:rPr>
              <w:t xml:space="preserve"> smatra da Nacrt zakona o sanaciji investicionih društava neće dovesti do stvaranja administrativnih opterećenja i biznis barijera, kao i da su troškovi koje će investiciona društva imati za primjenu ovog zakona neznatni i neće imati matarijalan uticaj na ukupne troškove, profitabilnost i kapital investicionih društava.</w:t>
            </w:r>
          </w:p>
          <w:p w14:paraId="0F78C9C9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highlight w:val="yellow"/>
                <w:lang w:val="sr-Latn-ME" w:eastAsia="en-GB"/>
              </w:rPr>
            </w:pPr>
          </w:p>
        </w:tc>
      </w:tr>
      <w:tr w:rsidR="00F63B89" w:rsidRPr="009E4431" w14:paraId="0F76390C" w14:textId="77777777" w:rsidTr="00E27883">
        <w:tc>
          <w:tcPr>
            <w:tcW w:w="9576" w:type="dxa"/>
            <w:gridSpan w:val="2"/>
            <w:shd w:val="clear" w:color="auto" w:fill="D2EAF1"/>
          </w:tcPr>
          <w:p w14:paraId="1E2BF3C7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5. Procjena fiskalnog uticaja</w:t>
            </w:r>
          </w:p>
          <w:p w14:paraId="1733D1B7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je potrebno obezbjeđenje finansijskih sredstava iz budžeta Crne Gore za implementaciju propisa i u kom iznosu?</w:t>
            </w:r>
          </w:p>
          <w:p w14:paraId="3A012AB4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je obezbjeđenje finansijskih sredstava jednokratno, ili tokom određenog vremenskog perioda?  Obrazložiti.</w:t>
            </w:r>
          </w:p>
          <w:p w14:paraId="59D01155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implementacijom propisa proizilaze međunarodne finansijske obaveze? Obrazložiti.</w:t>
            </w:r>
          </w:p>
          <w:p w14:paraId="1E35D0D5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su neophodna finansijska sredstva obezbijeđena u budžetu za tekuću fiskalnu godinu, odnosno da li su planirana u budžetu za narednu fiskanu godinu?</w:t>
            </w:r>
          </w:p>
          <w:p w14:paraId="119944E3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lastRenderedPageBreak/>
              <w:t>Da li je usvajanjem propisa predviđeno donošenje podzakonskih akata iz kojih će proisteći finansijske obaveze?</w:t>
            </w:r>
          </w:p>
          <w:p w14:paraId="3FF47335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će se implementacijom propisa ostvariti prihod za budžet Crne Gore?</w:t>
            </w:r>
          </w:p>
          <w:p w14:paraId="1FF4A1AE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Obrazložiti metodologiju koja je korišćenja prilikom obračuna finansijskih izdataka/prihoda.</w:t>
            </w:r>
          </w:p>
          <w:p w14:paraId="06EB597F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su postojali problemi u preciznom obračunu finansijskih izdataka/prihoda? Obrazložiti.</w:t>
            </w:r>
          </w:p>
          <w:p w14:paraId="0DD502FB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su postojale sugestije Ministarstva finansija na nacrt/predlog propisa?</w:t>
            </w:r>
          </w:p>
          <w:p w14:paraId="3FE0003F" w14:textId="77777777" w:rsidR="00F63B89" w:rsidRPr="009E4431" w:rsidRDefault="00F63B89" w:rsidP="00F63B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Da li su dobijene primjedbe uključene u tekst propisa? Obrazložiti.</w:t>
            </w:r>
          </w:p>
        </w:tc>
      </w:tr>
      <w:tr w:rsidR="00F63B89" w:rsidRPr="009E4431" w14:paraId="5E984FF5" w14:textId="77777777" w:rsidTr="00E27883">
        <w:tc>
          <w:tcPr>
            <w:tcW w:w="9576" w:type="dxa"/>
            <w:gridSpan w:val="2"/>
          </w:tcPr>
          <w:p w14:paraId="457731C3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  <w:p w14:paraId="08BCECB8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>Za sprovođenje ovog zakona i podzakonskih akata koji će biti donijeti po osnovu ovog zakona nije potrebno obezbjeđenje finansijskih sredstava iz budžeta Crne Gore, niti iz zakona i podzakonskih akata proizilaze međunarodne finansijske obaveze.</w:t>
            </w:r>
          </w:p>
          <w:p w14:paraId="52D21161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5FF19B77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>Implementacijom propisa neće se direktno ostvariti prihodi za budžet Crne Gore.</w:t>
            </w:r>
          </w:p>
          <w:p w14:paraId="52E60D47" w14:textId="77777777" w:rsidR="00F63B89" w:rsidRPr="009E4431" w:rsidRDefault="00F63B89" w:rsidP="00F63B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9E4431" w14:paraId="1385E2DD" w14:textId="77777777" w:rsidTr="00E27883">
        <w:tc>
          <w:tcPr>
            <w:tcW w:w="9576" w:type="dxa"/>
            <w:gridSpan w:val="2"/>
            <w:shd w:val="clear" w:color="auto" w:fill="D2EAF1"/>
          </w:tcPr>
          <w:p w14:paraId="14404AD0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 xml:space="preserve">6. </w:t>
            </w:r>
            <w:r w:rsidRPr="009E4431">
              <w:rPr>
                <w:rFonts w:ascii="Arial" w:eastAsia="Times New Roman" w:hAnsi="Arial" w:cs="Arial"/>
                <w:lang w:val="sr-Latn-ME" w:eastAsia="en-GB"/>
              </w:rPr>
              <w:t>K</w:t>
            </w: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onsultacije zainteresovanih strana</w:t>
            </w:r>
          </w:p>
          <w:p w14:paraId="0182DB1E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Naznačiti da li je korišćena eksterna ekspertska podrška i ako da, kako.</w:t>
            </w:r>
          </w:p>
          <w:p w14:paraId="141CC14D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Naznačiti koje su grupe zainteresovanih strana konsultovane, u kojoj fazi RIA procesa i kako (javne ili ciljane konsultacije).</w:t>
            </w:r>
          </w:p>
          <w:p w14:paraId="2E3071AE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F63B89" w:rsidRPr="009E4431" w14:paraId="74FC4D9B" w14:textId="77777777" w:rsidTr="00E27883">
        <w:tc>
          <w:tcPr>
            <w:tcW w:w="9576" w:type="dxa"/>
            <w:gridSpan w:val="2"/>
          </w:tcPr>
          <w:p w14:paraId="125CEE6D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</w:p>
          <w:p w14:paraId="104EDF1A" w14:textId="77777777" w:rsidR="00302EE6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Prilikom izrade Nacrta zakona o izmjenama i dopunama Zakona o sanaciji investicionih društava, nije korišćena ekspertska podrška. Komisija za tržište kapitala Crne Gore je ostvarila komunikaciju sa Centralnom bankom Crne Gore u dosadašnjoj implementaciji Zakona o sanaciji kreditnih institucija, pa su se uzeli u obzir njihovi komentari i sugestije. </w:t>
            </w:r>
          </w:p>
          <w:p w14:paraId="123374EC" w14:textId="2693D493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Latn-ME" w:eastAsia="en-GB"/>
              </w:rPr>
            </w:pPr>
            <w:bookmarkStart w:id="0" w:name="_GoBack"/>
            <w:bookmarkEnd w:id="0"/>
            <w:r w:rsidRPr="009E4431">
              <w:rPr>
                <w:rFonts w:ascii="Arial" w:eastAsia="Times New Roman" w:hAnsi="Arial" w:cs="Arial"/>
                <w:bCs/>
                <w:lang w:val="sr-Latn-ME" w:eastAsia="en-GB"/>
              </w:rPr>
              <w:t xml:space="preserve">Dodatno, Nacrt zakona o  sanaciji investicionih društava se objavljuje na javnu raspravu, nakon koje će se uzeti u obzir i ti komentari i sugestije i utvrditi konačan tekst. </w:t>
            </w:r>
          </w:p>
          <w:p w14:paraId="5B194F19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</w:p>
        </w:tc>
      </w:tr>
      <w:tr w:rsidR="00F63B89" w:rsidRPr="009E4431" w14:paraId="5223A30D" w14:textId="77777777" w:rsidTr="00E27883">
        <w:tc>
          <w:tcPr>
            <w:tcW w:w="9576" w:type="dxa"/>
            <w:gridSpan w:val="2"/>
            <w:shd w:val="clear" w:color="auto" w:fill="D2EAF1"/>
          </w:tcPr>
          <w:p w14:paraId="0E3A1B76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7. Monitoring i evaluacija</w:t>
            </w:r>
          </w:p>
          <w:p w14:paraId="663C43EC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 xml:space="preserve">Koje su potencijalne prepreke za implementaciju propisa? </w:t>
            </w:r>
          </w:p>
          <w:p w14:paraId="3106AE92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Koje će mjere biti preduzete tokom primjene propisa da bi se ispunili ciljevi?</w:t>
            </w:r>
          </w:p>
          <w:p w14:paraId="6863D7DA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Koji su glavni indikatori prema kojima će se mjeriti ispunjenje ciljeva?</w:t>
            </w:r>
          </w:p>
          <w:p w14:paraId="595CA49B" w14:textId="77777777" w:rsidR="00F63B89" w:rsidRPr="009E4431" w:rsidRDefault="00F63B89" w:rsidP="00F63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b/>
                <w:lang w:val="sr-Latn-ME" w:eastAsia="en-GB"/>
              </w:rPr>
              <w:t>Ko će biti zadužen za sprovođenje monitoringa i evaluacije primjene propisa?</w:t>
            </w:r>
          </w:p>
        </w:tc>
      </w:tr>
      <w:tr w:rsidR="00F63B89" w:rsidRPr="009E4431" w14:paraId="41B64F4F" w14:textId="77777777" w:rsidTr="00E27883">
        <w:tc>
          <w:tcPr>
            <w:tcW w:w="9576" w:type="dxa"/>
            <w:gridSpan w:val="2"/>
          </w:tcPr>
          <w:p w14:paraId="3C331445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4B49E68E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lang w:val="sr-Latn-ME" w:eastAsia="en-GB"/>
              </w:rPr>
              <w:t xml:space="preserve">Ne postoje potencijalne prepreke za implementaciju ovog zakona. </w:t>
            </w:r>
          </w:p>
          <w:p w14:paraId="6D1EAAA1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  <w:p w14:paraId="4C84C28C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lang w:val="sr-Latn-ME" w:eastAsia="en-GB"/>
              </w:rPr>
              <w:t>Osnovni indikatori za mjerenje ispunjenja ciljeva predloženog zakona mogu biti: kvalitet pripremljenih planova sanacije i nivo regulatornog kapitala i kvalifikovanih obaveza u sistemu.</w:t>
            </w:r>
          </w:p>
          <w:p w14:paraId="1C28499B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sr-Latn-ME" w:eastAsia="en-GB"/>
              </w:rPr>
            </w:pPr>
          </w:p>
          <w:p w14:paraId="509C837E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  <w:r w:rsidRPr="009E4431">
              <w:rPr>
                <w:rFonts w:ascii="Arial" w:eastAsia="Times New Roman" w:hAnsi="Arial" w:cs="Arial"/>
                <w:lang w:val="sr-Latn-ME" w:eastAsia="en-GB"/>
              </w:rPr>
              <w:t>Za monitoring primjene ovog zakona biće zadužena Komisija za tržište kapitala Crne Gore kao organ za sanaciju, ovlašćen da primjenjuje instrumente sanacije i da izvršava druga sanaciona ovlašćenja iz ovog zakona.</w:t>
            </w:r>
          </w:p>
          <w:p w14:paraId="1F6D5DDB" w14:textId="77777777" w:rsidR="00F63B89" w:rsidRPr="009E4431" w:rsidRDefault="00F63B89" w:rsidP="00F6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</w:tbl>
    <w:p w14:paraId="3DF87F15" w14:textId="77777777" w:rsidR="00F63B89" w:rsidRPr="009E4431" w:rsidRDefault="00F63B89" w:rsidP="00F63B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sr-Latn-ME" w:eastAsia="en-GB"/>
        </w:rPr>
      </w:pPr>
    </w:p>
    <w:p w14:paraId="01301D3A" w14:textId="77777777" w:rsidR="00F63B89" w:rsidRPr="009E4431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ME" w:eastAsia="en-GB"/>
        </w:rPr>
      </w:pPr>
      <w:r w:rsidRPr="009E4431">
        <w:rPr>
          <w:rFonts w:ascii="Arial" w:eastAsia="Times New Roman" w:hAnsi="Arial" w:cs="Arial"/>
          <w:b/>
          <w:bCs/>
          <w:lang w:val="sr-Latn-ME" w:eastAsia="en-GB"/>
        </w:rPr>
        <w:t xml:space="preserve">    Datum i mjesto</w:t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/>
          <w:bCs/>
          <w:lang w:val="sr-Latn-ME" w:eastAsia="en-GB"/>
        </w:rPr>
        <w:tab/>
        <w:t xml:space="preserve">              Starješina </w:t>
      </w:r>
    </w:p>
    <w:p w14:paraId="2DDDF052" w14:textId="77777777" w:rsidR="00F63B89" w:rsidRPr="009E4431" w:rsidRDefault="00F63B89" w:rsidP="00F63B89">
      <w:pPr>
        <w:spacing w:after="0" w:line="240" w:lineRule="auto"/>
        <w:jc w:val="both"/>
        <w:rPr>
          <w:rFonts w:ascii="Arial" w:eastAsia="Times New Roman" w:hAnsi="Arial" w:cs="Arial"/>
          <w:bCs/>
          <w:lang w:val="sr-Latn-ME" w:eastAsia="en-GB"/>
        </w:rPr>
      </w:pPr>
    </w:p>
    <w:p w14:paraId="365940C0" w14:textId="69EAB205" w:rsidR="007E562E" w:rsidRPr="009E4431" w:rsidRDefault="005C7BE5">
      <w:pPr>
        <w:rPr>
          <w:lang w:val="sr-Latn-ME"/>
        </w:rPr>
      </w:pPr>
      <w:r w:rsidRPr="009E4431">
        <w:rPr>
          <w:rFonts w:ascii="Arial" w:eastAsia="Times New Roman" w:hAnsi="Arial" w:cs="Arial"/>
          <w:bCs/>
          <w:lang w:val="sr-Latn-ME" w:eastAsia="en-GB"/>
        </w:rPr>
        <w:t xml:space="preserve">Podgorica, </w:t>
      </w:r>
      <w:r w:rsidR="008C0F42">
        <w:rPr>
          <w:rFonts w:ascii="Arial" w:eastAsia="Times New Roman" w:hAnsi="Arial" w:cs="Arial"/>
          <w:bCs/>
          <w:lang w:val="sr-Latn-ME" w:eastAsia="en-GB"/>
        </w:rPr>
        <w:t>02.12</w:t>
      </w:r>
      <w:r w:rsidR="00AD2AA2" w:rsidRPr="009E4431">
        <w:rPr>
          <w:rFonts w:ascii="Arial" w:eastAsia="Times New Roman" w:hAnsi="Arial" w:cs="Arial"/>
          <w:bCs/>
          <w:lang w:val="sr-Latn-ME" w:eastAsia="en-GB"/>
        </w:rPr>
        <w:t>.2025</w:t>
      </w:r>
      <w:r w:rsidRPr="009E4431">
        <w:rPr>
          <w:rFonts w:ascii="Arial" w:eastAsia="Times New Roman" w:hAnsi="Arial" w:cs="Arial"/>
          <w:bCs/>
          <w:lang w:val="sr-Latn-ME" w:eastAsia="en-GB"/>
        </w:rPr>
        <w:t>. godine</w:t>
      </w:r>
      <w:r w:rsidRPr="009E4431">
        <w:rPr>
          <w:rFonts w:ascii="Arial" w:eastAsia="Times New Roman" w:hAnsi="Arial" w:cs="Arial"/>
          <w:bCs/>
          <w:lang w:val="sr-Latn-ME" w:eastAsia="en-GB"/>
        </w:rPr>
        <w:tab/>
      </w:r>
      <w:r w:rsidRPr="009E4431">
        <w:rPr>
          <w:rFonts w:ascii="Arial" w:eastAsia="Times New Roman" w:hAnsi="Arial" w:cs="Arial"/>
          <w:bCs/>
          <w:lang w:val="sr-Latn-ME" w:eastAsia="en-GB"/>
        </w:rPr>
        <w:tab/>
        <w:t xml:space="preserve">                        </w:t>
      </w:r>
    </w:p>
    <w:sectPr w:rsidR="007E562E" w:rsidRPr="009E4431" w:rsidSect="00D372A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DC3B4" w14:textId="77777777" w:rsidR="00217259" w:rsidRDefault="00217259">
      <w:pPr>
        <w:spacing w:after="0" w:line="240" w:lineRule="auto"/>
      </w:pPr>
      <w:r>
        <w:separator/>
      </w:r>
    </w:p>
  </w:endnote>
  <w:endnote w:type="continuationSeparator" w:id="0">
    <w:p w14:paraId="69F90CBA" w14:textId="77777777" w:rsidR="00217259" w:rsidRDefault="002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235BA" w14:textId="77777777" w:rsidR="00C5527E" w:rsidRDefault="00753AD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7BE5">
      <w:rPr>
        <w:noProof/>
      </w:rPr>
      <w:t>5</w:t>
    </w:r>
    <w:r>
      <w:rPr>
        <w:noProof/>
      </w:rPr>
      <w:fldChar w:fldCharType="end"/>
    </w:r>
  </w:p>
  <w:p w14:paraId="0263ED9A" w14:textId="77777777" w:rsidR="00C5527E" w:rsidRDefault="00C5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B9CD" w14:textId="77777777" w:rsidR="00217259" w:rsidRDefault="00217259">
      <w:pPr>
        <w:spacing w:after="0" w:line="240" w:lineRule="auto"/>
      </w:pPr>
      <w:r>
        <w:separator/>
      </w:r>
    </w:p>
  </w:footnote>
  <w:footnote w:type="continuationSeparator" w:id="0">
    <w:p w14:paraId="168954B6" w14:textId="77777777" w:rsidR="00217259" w:rsidRDefault="002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8EFA6" w14:textId="77777777" w:rsidR="00C5527E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E502FA5" wp14:editId="2540A057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CC11" w14:textId="77777777" w:rsidR="00C5527E" w:rsidRPr="00785639" w:rsidRDefault="00C5527E" w:rsidP="007856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E502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18pt;width:20pt;height:18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N7wEAAMc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" o:allowincell="f" stroked="f">
              <v:textbox style="mso-fit-shape-to-text:t">
                <w:txbxContent>
                  <w:p w14:paraId="4DF1CC11" w14:textId="77777777" w:rsidR="00000000" w:rsidRPr="00785639" w:rsidRDefault="00000000" w:rsidP="00785639">
                    <w:pPr>
                      <w:jc w:val="center"/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F304" w14:textId="77777777" w:rsidR="00C5527E" w:rsidRDefault="00F63B89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B53E373" wp14:editId="1C499550">
              <wp:simplePos x="0" y="0"/>
              <wp:positionH relativeFrom="margin">
                <wp:align>right</wp:align>
              </wp:positionH>
              <wp:positionV relativeFrom="page">
                <wp:posOffset>228600</wp:posOffset>
              </wp:positionV>
              <wp:extent cx="254000" cy="237490"/>
              <wp:effectExtent l="254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6C235" w14:textId="77777777" w:rsidR="00C5527E" w:rsidRPr="00785639" w:rsidRDefault="00C5527E" w:rsidP="006C4F23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B53E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31.2pt;margin-top:18pt;width:20pt;height:18.7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" o:allowincell="f" stroked="f">
              <v:textbox style="mso-fit-shape-to-text:t">
                <w:txbxContent>
                  <w:p w14:paraId="2646C235" w14:textId="77777777" w:rsidR="00000000" w:rsidRPr="00785639" w:rsidRDefault="00000000" w:rsidP="006C4F23">
                    <w:pPr>
                      <w:rPr>
                        <w:rFonts w:ascii="Arial" w:hAnsi="Arial" w:cs="Arial"/>
                        <w:b/>
                        <w:color w:val="000000"/>
                        <w:sz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264A"/>
    <w:multiLevelType w:val="hybridMultilevel"/>
    <w:tmpl w:val="33B8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2F"/>
    <w:rsid w:val="000540CD"/>
    <w:rsid w:val="000C0A31"/>
    <w:rsid w:val="0014404A"/>
    <w:rsid w:val="00217259"/>
    <w:rsid w:val="00302EE6"/>
    <w:rsid w:val="0039265C"/>
    <w:rsid w:val="0049408D"/>
    <w:rsid w:val="0056733B"/>
    <w:rsid w:val="005C7BE5"/>
    <w:rsid w:val="0065725D"/>
    <w:rsid w:val="00753ADC"/>
    <w:rsid w:val="007E2D0F"/>
    <w:rsid w:val="007E562E"/>
    <w:rsid w:val="00824789"/>
    <w:rsid w:val="008C0F42"/>
    <w:rsid w:val="009E4431"/>
    <w:rsid w:val="00A45F37"/>
    <w:rsid w:val="00AD2AA2"/>
    <w:rsid w:val="00B146E8"/>
    <w:rsid w:val="00BA4933"/>
    <w:rsid w:val="00BC11A9"/>
    <w:rsid w:val="00C5527E"/>
    <w:rsid w:val="00DA4726"/>
    <w:rsid w:val="00DD742F"/>
    <w:rsid w:val="00F3742F"/>
    <w:rsid w:val="00F525D6"/>
    <w:rsid w:val="00F529D8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7D371"/>
  <w15:chartTrackingRefBased/>
  <w15:docId w15:val="{052E7C45-1D91-41CD-A5CE-1F577210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63B89"/>
    <w:pPr>
      <w:tabs>
        <w:tab w:val="center" w:pos="4680"/>
        <w:tab w:val="right" w:pos="9360"/>
      </w:tabs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63B89"/>
    <w:rPr>
      <w:rFonts w:ascii="Garamond" w:eastAsia="Times New Roman" w:hAnsi="Garamond" w:cs="Times New Roman"/>
      <w:bCs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D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Sabovic</dc:creator>
  <cp:keywords/>
  <dc:description/>
  <cp:lastModifiedBy>Anastasija Perucica</cp:lastModifiedBy>
  <cp:revision>7</cp:revision>
  <dcterms:created xsi:type="dcterms:W3CDTF">2025-11-28T13:33:00Z</dcterms:created>
  <dcterms:modified xsi:type="dcterms:W3CDTF">2025-12-02T10:20:00Z</dcterms:modified>
</cp:coreProperties>
</file>